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7DD5" w14:textId="77777777" w:rsidR="00074050" w:rsidRPr="00074050" w:rsidRDefault="00074050" w:rsidP="00074050">
      <w:pPr>
        <w:widowControl/>
        <w:autoSpaceDE/>
        <w:autoSpaceDN/>
        <w:spacing w:before="120"/>
        <w:rPr>
          <w:rFonts w:eastAsia="Times New Roman"/>
          <w:sz w:val="24"/>
          <w:szCs w:val="20"/>
          <w:lang w:val="en-AU"/>
        </w:rPr>
      </w:pPr>
      <w:bookmarkStart w:id="0" w:name="THE_BAR_ASSOCIATION_OF_QUEENSLAND_PROFES"/>
      <w:bookmarkStart w:id="1" w:name="_Toc44738651"/>
      <w:bookmarkEnd w:id="0"/>
      <w:r w:rsidRPr="00074050">
        <w:rPr>
          <w:rFonts w:eastAsia="Times New Roman"/>
          <w:sz w:val="24"/>
          <w:szCs w:val="20"/>
          <w:lang w:val="en-AU"/>
        </w:rPr>
        <w:t>Australian Capital Territory</w:t>
      </w:r>
    </w:p>
    <w:p w14:paraId="17A940E1" w14:textId="77777777" w:rsidR="00074050" w:rsidRPr="00074050" w:rsidRDefault="00074050" w:rsidP="00074050">
      <w:pPr>
        <w:widowControl/>
        <w:tabs>
          <w:tab w:val="left" w:pos="2400"/>
          <w:tab w:val="left" w:pos="2880"/>
        </w:tabs>
        <w:autoSpaceDE/>
        <w:autoSpaceDN/>
        <w:spacing w:before="700" w:after="100"/>
        <w:rPr>
          <w:rFonts w:eastAsia="Times New Roman" w:cs="Times New Roman"/>
          <w:b/>
          <w:sz w:val="40"/>
          <w:szCs w:val="20"/>
          <w:lang w:val="en-AU"/>
        </w:rPr>
      </w:pPr>
      <w:r w:rsidRPr="00074050">
        <w:rPr>
          <w:rFonts w:eastAsia="Times New Roman" w:cs="Times New Roman"/>
          <w:b/>
          <w:sz w:val="40"/>
          <w:szCs w:val="20"/>
          <w:lang w:val="en-AU"/>
        </w:rPr>
        <w:t xml:space="preserve">Civil Law (Wrongs) The Bar Association of Queensland Professional Standards Scheme 2024 </w:t>
      </w:r>
    </w:p>
    <w:p w14:paraId="532AC2D1" w14:textId="1E08E077" w:rsidR="00074050" w:rsidRPr="00074050" w:rsidRDefault="00074050" w:rsidP="00074050">
      <w:pPr>
        <w:widowControl/>
        <w:autoSpaceDE/>
        <w:autoSpaceDN/>
        <w:spacing w:before="340"/>
        <w:rPr>
          <w:rFonts w:eastAsia="Times New Roman"/>
          <w:b/>
          <w:bCs/>
          <w:sz w:val="24"/>
          <w:szCs w:val="20"/>
          <w:lang w:val="en-AU"/>
        </w:rPr>
      </w:pPr>
      <w:r w:rsidRPr="00074050">
        <w:rPr>
          <w:rFonts w:eastAsia="Times New Roman"/>
          <w:b/>
          <w:bCs/>
          <w:sz w:val="24"/>
          <w:szCs w:val="20"/>
          <w:lang w:val="en-AU"/>
        </w:rPr>
        <w:t>Disallowable instrument DI</w:t>
      </w:r>
      <w:r w:rsidRPr="00074050">
        <w:rPr>
          <w:rFonts w:eastAsia="Times New Roman"/>
          <w:b/>
          <w:bCs/>
          <w:iCs/>
          <w:sz w:val="24"/>
          <w:szCs w:val="20"/>
          <w:lang w:val="en-AU"/>
        </w:rPr>
        <w:t>2024</w:t>
      </w:r>
      <w:r w:rsidRPr="00074050">
        <w:rPr>
          <w:rFonts w:eastAsia="Times New Roman"/>
          <w:b/>
          <w:bCs/>
          <w:sz w:val="24"/>
          <w:szCs w:val="20"/>
          <w:lang w:val="en-AU"/>
        </w:rPr>
        <w:t>–</w:t>
      </w:r>
      <w:r w:rsidR="0099117F">
        <w:rPr>
          <w:rFonts w:eastAsia="Times New Roman"/>
          <w:b/>
          <w:bCs/>
          <w:sz w:val="24"/>
          <w:szCs w:val="20"/>
          <w:lang w:val="en-AU"/>
        </w:rPr>
        <w:t>204</w:t>
      </w:r>
    </w:p>
    <w:p w14:paraId="2A80A5EB" w14:textId="77777777" w:rsidR="00074050" w:rsidRPr="00074050" w:rsidRDefault="00074050" w:rsidP="00074050">
      <w:pPr>
        <w:widowControl/>
        <w:autoSpaceDE/>
        <w:autoSpaceDN/>
        <w:spacing w:before="300"/>
        <w:jc w:val="both"/>
        <w:rPr>
          <w:rFonts w:ascii="Times New Roman" w:eastAsia="Times New Roman" w:hAnsi="Times New Roman" w:cs="Times New Roman"/>
          <w:sz w:val="24"/>
          <w:szCs w:val="20"/>
          <w:lang w:val="en-AU"/>
        </w:rPr>
      </w:pPr>
      <w:r w:rsidRPr="00074050">
        <w:rPr>
          <w:rFonts w:ascii="Times New Roman" w:eastAsia="Times New Roman" w:hAnsi="Times New Roman" w:cs="Times New Roman"/>
          <w:sz w:val="24"/>
          <w:szCs w:val="20"/>
          <w:lang w:val="en-AU"/>
        </w:rPr>
        <w:t xml:space="preserve">made under the  </w:t>
      </w:r>
    </w:p>
    <w:p w14:paraId="2469E19E" w14:textId="77777777" w:rsidR="00074050" w:rsidRPr="00074050" w:rsidRDefault="00074050" w:rsidP="00074050">
      <w:pPr>
        <w:widowControl/>
        <w:tabs>
          <w:tab w:val="left" w:pos="2600"/>
        </w:tabs>
        <w:autoSpaceDE/>
        <w:autoSpaceDN/>
        <w:spacing w:before="320"/>
        <w:jc w:val="both"/>
        <w:rPr>
          <w:rFonts w:eastAsia="Times New Roman"/>
          <w:b/>
          <w:sz w:val="20"/>
          <w:szCs w:val="20"/>
          <w:lang w:val="en-AU"/>
        </w:rPr>
      </w:pPr>
      <w:r w:rsidRPr="00074050">
        <w:rPr>
          <w:rFonts w:eastAsia="Times New Roman"/>
          <w:b/>
          <w:sz w:val="20"/>
          <w:szCs w:val="20"/>
          <w:lang w:val="en-AU"/>
        </w:rPr>
        <w:t>Civil Law (Wrongs) Act 2002, sch 4, s4.10(Schemes are subject to disallowance)</w:t>
      </w:r>
    </w:p>
    <w:p w14:paraId="0D013B8D" w14:textId="77777777" w:rsidR="00074050" w:rsidRPr="00074050" w:rsidRDefault="00074050" w:rsidP="00074050">
      <w:pPr>
        <w:widowControl/>
        <w:autoSpaceDE/>
        <w:autoSpaceDN/>
        <w:spacing w:before="60"/>
        <w:jc w:val="both"/>
        <w:rPr>
          <w:rFonts w:ascii="Times New Roman" w:eastAsia="Times New Roman" w:hAnsi="Times New Roman" w:cs="Times New Roman"/>
          <w:sz w:val="24"/>
          <w:szCs w:val="20"/>
          <w:lang w:val="en-AU"/>
        </w:rPr>
      </w:pPr>
    </w:p>
    <w:p w14:paraId="035638D6" w14:textId="77777777" w:rsidR="00074050" w:rsidRPr="00074050" w:rsidRDefault="00074050" w:rsidP="00074050">
      <w:pPr>
        <w:widowControl/>
        <w:pBdr>
          <w:top w:val="single" w:sz="12" w:space="1" w:color="auto"/>
        </w:pBdr>
        <w:autoSpaceDE/>
        <w:autoSpaceDN/>
        <w:jc w:val="both"/>
        <w:rPr>
          <w:rFonts w:ascii="Times New Roman" w:eastAsia="Times New Roman" w:hAnsi="Times New Roman" w:cs="Times New Roman"/>
          <w:sz w:val="24"/>
          <w:szCs w:val="20"/>
          <w:lang w:val="en-AU"/>
        </w:rPr>
      </w:pPr>
    </w:p>
    <w:p w14:paraId="1DCF2E74" w14:textId="77777777" w:rsidR="00074050" w:rsidRPr="00074050" w:rsidRDefault="00074050" w:rsidP="00074050">
      <w:pPr>
        <w:widowControl/>
        <w:autoSpaceDE/>
        <w:autoSpaceDN/>
        <w:spacing w:before="60" w:after="60"/>
        <w:ind w:left="720" w:hanging="720"/>
        <w:rPr>
          <w:rFonts w:eastAsia="Times New Roman"/>
          <w:b/>
          <w:bCs/>
          <w:sz w:val="24"/>
          <w:szCs w:val="20"/>
          <w:lang w:val="en-AU"/>
        </w:rPr>
      </w:pPr>
      <w:r w:rsidRPr="00074050">
        <w:rPr>
          <w:rFonts w:eastAsia="Times New Roman"/>
          <w:b/>
          <w:bCs/>
          <w:sz w:val="24"/>
          <w:szCs w:val="20"/>
          <w:lang w:val="en-AU"/>
        </w:rPr>
        <w:t>1</w:t>
      </w:r>
      <w:r w:rsidRPr="00074050">
        <w:rPr>
          <w:rFonts w:eastAsia="Times New Roman"/>
          <w:b/>
          <w:bCs/>
          <w:sz w:val="24"/>
          <w:szCs w:val="20"/>
          <w:lang w:val="en-AU"/>
        </w:rPr>
        <w:tab/>
        <w:t>Name of instrument</w:t>
      </w:r>
    </w:p>
    <w:p w14:paraId="3035E146" w14:textId="77777777" w:rsidR="00074050" w:rsidRPr="00074050" w:rsidRDefault="00074050" w:rsidP="00074050">
      <w:pPr>
        <w:widowControl/>
        <w:autoSpaceDE/>
        <w:autoSpaceDN/>
        <w:spacing w:before="140"/>
        <w:ind w:left="720"/>
        <w:rPr>
          <w:rFonts w:ascii="Times New Roman" w:eastAsia="Times New Roman" w:hAnsi="Times New Roman" w:cs="Times New Roman"/>
          <w:sz w:val="24"/>
          <w:szCs w:val="20"/>
          <w:lang w:val="en-AU"/>
        </w:rPr>
      </w:pPr>
      <w:r w:rsidRPr="00074050">
        <w:rPr>
          <w:rFonts w:ascii="Times New Roman" w:eastAsia="Times New Roman" w:hAnsi="Times New Roman" w:cs="Times New Roman"/>
          <w:sz w:val="24"/>
          <w:szCs w:val="20"/>
          <w:lang w:val="en-AU"/>
        </w:rPr>
        <w:t xml:space="preserve">This instrument is the </w:t>
      </w:r>
      <w:r w:rsidRPr="00074050">
        <w:rPr>
          <w:rFonts w:ascii="Times New Roman" w:eastAsia="Times New Roman" w:hAnsi="Times New Roman" w:cs="Times New Roman"/>
          <w:i/>
          <w:iCs/>
          <w:sz w:val="24"/>
          <w:szCs w:val="20"/>
          <w:lang w:val="en-AU"/>
        </w:rPr>
        <w:t xml:space="preserve">Civil Law (Wrongs)The Bar Association of Queensland Professional Standards Scheme 2024. </w:t>
      </w:r>
    </w:p>
    <w:p w14:paraId="1E0FF8B3" w14:textId="77777777" w:rsidR="00074050" w:rsidRPr="00074050" w:rsidRDefault="00074050" w:rsidP="00074050">
      <w:pPr>
        <w:widowControl/>
        <w:autoSpaceDE/>
        <w:autoSpaceDN/>
        <w:spacing w:before="300"/>
        <w:ind w:left="720" w:hanging="720"/>
        <w:rPr>
          <w:rFonts w:eastAsia="Times New Roman"/>
          <w:b/>
          <w:bCs/>
          <w:sz w:val="24"/>
          <w:szCs w:val="20"/>
          <w:lang w:val="en-AU"/>
        </w:rPr>
      </w:pPr>
      <w:r w:rsidRPr="00074050">
        <w:rPr>
          <w:rFonts w:eastAsia="Times New Roman"/>
          <w:b/>
          <w:bCs/>
          <w:sz w:val="24"/>
          <w:szCs w:val="20"/>
          <w:lang w:val="en-AU"/>
        </w:rPr>
        <w:t>2</w:t>
      </w:r>
      <w:r w:rsidRPr="00074050">
        <w:rPr>
          <w:rFonts w:eastAsia="Times New Roman"/>
          <w:b/>
          <w:bCs/>
          <w:sz w:val="24"/>
          <w:szCs w:val="20"/>
          <w:lang w:val="en-AU"/>
        </w:rPr>
        <w:tab/>
        <w:t xml:space="preserve">Commencement </w:t>
      </w:r>
    </w:p>
    <w:p w14:paraId="65C49C54" w14:textId="77777777" w:rsidR="00074050" w:rsidRPr="00074050" w:rsidRDefault="00074050" w:rsidP="00074050">
      <w:pPr>
        <w:widowControl/>
        <w:autoSpaceDE/>
        <w:autoSpaceDN/>
        <w:spacing w:before="140"/>
        <w:ind w:left="720"/>
        <w:rPr>
          <w:rFonts w:ascii="Times New Roman" w:eastAsia="Times New Roman" w:hAnsi="Times New Roman" w:cs="Times New Roman"/>
          <w:sz w:val="24"/>
          <w:szCs w:val="20"/>
          <w:lang w:val="en-AU"/>
        </w:rPr>
      </w:pPr>
      <w:r w:rsidRPr="00074050">
        <w:rPr>
          <w:rFonts w:ascii="Times New Roman" w:eastAsia="Times New Roman" w:hAnsi="Times New Roman" w:cs="Times New Roman"/>
          <w:sz w:val="24"/>
          <w:szCs w:val="20"/>
          <w:lang w:val="en-AU"/>
        </w:rPr>
        <w:t xml:space="preserve">This instrument commences on 1 July 2024. </w:t>
      </w:r>
    </w:p>
    <w:p w14:paraId="42AE3049" w14:textId="77777777" w:rsidR="00074050" w:rsidRPr="00074050" w:rsidRDefault="00074050" w:rsidP="00074050">
      <w:pPr>
        <w:widowControl/>
        <w:autoSpaceDE/>
        <w:autoSpaceDN/>
        <w:spacing w:before="300"/>
        <w:ind w:left="720" w:hanging="720"/>
        <w:rPr>
          <w:rFonts w:eastAsia="Times New Roman"/>
          <w:b/>
          <w:bCs/>
          <w:sz w:val="24"/>
          <w:szCs w:val="20"/>
          <w:lang w:val="en-AU"/>
        </w:rPr>
      </w:pPr>
      <w:r w:rsidRPr="00074050">
        <w:rPr>
          <w:rFonts w:eastAsia="Times New Roman"/>
          <w:b/>
          <w:bCs/>
          <w:sz w:val="24"/>
          <w:szCs w:val="20"/>
          <w:lang w:val="en-AU"/>
        </w:rPr>
        <w:t>3</w:t>
      </w:r>
      <w:r w:rsidRPr="00074050">
        <w:rPr>
          <w:rFonts w:eastAsia="Times New Roman"/>
          <w:b/>
          <w:bCs/>
          <w:sz w:val="24"/>
          <w:szCs w:val="20"/>
          <w:lang w:val="en-AU"/>
        </w:rPr>
        <w:tab/>
        <w:t>Notice</w:t>
      </w:r>
    </w:p>
    <w:p w14:paraId="00416127" w14:textId="77777777" w:rsidR="0017337C" w:rsidRDefault="0017337C" w:rsidP="0017337C">
      <w:pPr>
        <w:widowControl/>
        <w:autoSpaceDE/>
        <w:autoSpaceDN/>
        <w:spacing w:before="140"/>
        <w:ind w:left="1440"/>
        <w:contextualSpacing/>
        <w:rPr>
          <w:rFonts w:ascii="Times New Roman" w:eastAsia="Times New Roman" w:hAnsi="Times New Roman" w:cs="Times New Roman"/>
          <w:sz w:val="24"/>
          <w:szCs w:val="20"/>
          <w:lang w:val="en-AU"/>
        </w:rPr>
      </w:pPr>
    </w:p>
    <w:p w14:paraId="2F7F3E55" w14:textId="2DBED35D" w:rsidR="00074050" w:rsidRPr="0017337C" w:rsidRDefault="00074050" w:rsidP="0017337C">
      <w:pPr>
        <w:pStyle w:val="ListParagraph"/>
        <w:widowControl/>
        <w:numPr>
          <w:ilvl w:val="0"/>
          <w:numId w:val="3"/>
        </w:numPr>
        <w:autoSpaceDE/>
        <w:autoSpaceDN/>
        <w:spacing w:before="140"/>
        <w:contextualSpacing/>
        <w:rPr>
          <w:rFonts w:ascii="Times New Roman" w:eastAsia="Times New Roman" w:hAnsi="Times New Roman" w:cs="Times New Roman"/>
          <w:sz w:val="24"/>
          <w:szCs w:val="20"/>
          <w:lang w:val="en-AU"/>
        </w:rPr>
      </w:pPr>
      <w:r w:rsidRPr="0017337C">
        <w:rPr>
          <w:rFonts w:ascii="Times New Roman" w:eastAsia="Times New Roman" w:hAnsi="Times New Roman" w:cs="Times New Roman"/>
          <w:sz w:val="24"/>
          <w:szCs w:val="20"/>
          <w:lang w:val="en-AU"/>
        </w:rPr>
        <w:t xml:space="preserve">I give notice of the Professional Standards Council of Queensland’s approval of the attached </w:t>
      </w:r>
      <w:r w:rsidR="00CD6852">
        <w:rPr>
          <w:rFonts w:ascii="Times New Roman" w:eastAsia="Times New Roman" w:hAnsi="Times New Roman" w:cs="Times New Roman"/>
          <w:sz w:val="24"/>
          <w:szCs w:val="20"/>
          <w:lang w:val="en-AU"/>
        </w:rPr>
        <w:t>‘</w:t>
      </w:r>
      <w:r w:rsidRPr="0017337C">
        <w:rPr>
          <w:rFonts w:ascii="Times New Roman" w:eastAsia="Times New Roman" w:hAnsi="Times New Roman" w:cs="Times New Roman"/>
          <w:sz w:val="24"/>
          <w:szCs w:val="20"/>
          <w:lang w:val="en-AU"/>
        </w:rPr>
        <w:t>The Bar Association of Queensland Professional Standards Scheme</w:t>
      </w:r>
      <w:r w:rsidR="00CD6852">
        <w:rPr>
          <w:rFonts w:ascii="Times New Roman" w:eastAsia="Times New Roman" w:hAnsi="Times New Roman" w:cs="Times New Roman"/>
          <w:sz w:val="24"/>
          <w:szCs w:val="20"/>
          <w:lang w:val="en-AU"/>
        </w:rPr>
        <w:t>’</w:t>
      </w:r>
      <w:r w:rsidRPr="0017337C">
        <w:rPr>
          <w:rFonts w:ascii="Times New Roman" w:eastAsia="Times New Roman" w:hAnsi="Times New Roman" w:cs="Times New Roman"/>
          <w:sz w:val="24"/>
          <w:szCs w:val="20"/>
          <w:lang w:val="en-AU"/>
        </w:rPr>
        <w:t xml:space="preserve">. </w:t>
      </w:r>
    </w:p>
    <w:p w14:paraId="3F87063D" w14:textId="106B346D" w:rsidR="00074050" w:rsidRPr="00074050" w:rsidRDefault="00074050" w:rsidP="00074050">
      <w:pPr>
        <w:widowControl/>
        <w:numPr>
          <w:ilvl w:val="0"/>
          <w:numId w:val="3"/>
        </w:numPr>
        <w:autoSpaceDE/>
        <w:autoSpaceDN/>
        <w:spacing w:before="140"/>
        <w:contextualSpacing/>
        <w:rPr>
          <w:rFonts w:ascii="Times New Roman" w:eastAsia="Times New Roman" w:hAnsi="Times New Roman" w:cs="Times New Roman"/>
          <w:sz w:val="24"/>
          <w:szCs w:val="20"/>
          <w:lang w:val="en-AU"/>
        </w:rPr>
      </w:pPr>
      <w:r w:rsidRPr="00074050">
        <w:rPr>
          <w:rFonts w:ascii="Times New Roman" w:eastAsia="Times New Roman" w:hAnsi="Times New Roman" w:cs="Times New Roman"/>
          <w:sz w:val="24"/>
          <w:szCs w:val="20"/>
          <w:lang w:val="en-AU"/>
        </w:rPr>
        <w:t xml:space="preserve">The </w:t>
      </w:r>
      <w:r w:rsidR="00CD6852">
        <w:rPr>
          <w:rFonts w:ascii="Times New Roman" w:eastAsia="Times New Roman" w:hAnsi="Times New Roman" w:cs="Times New Roman"/>
          <w:sz w:val="24"/>
          <w:szCs w:val="20"/>
          <w:lang w:val="en-AU"/>
        </w:rPr>
        <w:t>s</w:t>
      </w:r>
      <w:r w:rsidRPr="00074050">
        <w:rPr>
          <w:rFonts w:ascii="Times New Roman" w:eastAsia="Times New Roman" w:hAnsi="Times New Roman" w:cs="Times New Roman"/>
          <w:sz w:val="24"/>
          <w:szCs w:val="20"/>
          <w:lang w:val="en-AU"/>
        </w:rPr>
        <w:t>cheme is in force until 30 June 2029</w:t>
      </w:r>
    </w:p>
    <w:p w14:paraId="3A073750" w14:textId="77777777" w:rsidR="00074050" w:rsidRPr="00074050" w:rsidRDefault="00074050" w:rsidP="00074050">
      <w:pPr>
        <w:widowControl/>
        <w:autoSpaceDE/>
        <w:autoSpaceDN/>
        <w:spacing w:before="300"/>
        <w:rPr>
          <w:rFonts w:ascii="Times New Roman" w:eastAsia="Times New Roman" w:hAnsi="Times New Roman" w:cs="Times New Roman"/>
          <w:sz w:val="24"/>
          <w:szCs w:val="20"/>
          <w:lang w:val="en-AU"/>
        </w:rPr>
      </w:pPr>
    </w:p>
    <w:p w14:paraId="41E1DA25" w14:textId="77777777" w:rsidR="00074050" w:rsidRPr="00074050" w:rsidRDefault="00074050" w:rsidP="00074050">
      <w:pPr>
        <w:widowControl/>
        <w:tabs>
          <w:tab w:val="left" w:pos="4320"/>
        </w:tabs>
        <w:autoSpaceDE/>
        <w:autoSpaceDN/>
        <w:spacing w:before="720"/>
        <w:rPr>
          <w:rFonts w:ascii="Times New Roman" w:eastAsia="Times New Roman" w:hAnsi="Times New Roman" w:cs="Times New Roman"/>
          <w:sz w:val="24"/>
          <w:szCs w:val="20"/>
          <w:lang w:val="en-AU"/>
        </w:rPr>
      </w:pPr>
      <w:r w:rsidRPr="00074050">
        <w:rPr>
          <w:rFonts w:ascii="Times New Roman" w:eastAsia="Times New Roman" w:hAnsi="Times New Roman" w:cs="Times New Roman"/>
          <w:sz w:val="24"/>
          <w:szCs w:val="20"/>
          <w:lang w:val="en-AU"/>
        </w:rPr>
        <w:t xml:space="preserve">Shane Rattenbury </w:t>
      </w:r>
    </w:p>
    <w:p w14:paraId="107A8E5E" w14:textId="226174B2" w:rsidR="00074050" w:rsidRPr="00074050" w:rsidRDefault="00074050" w:rsidP="00074050">
      <w:pPr>
        <w:widowControl/>
        <w:tabs>
          <w:tab w:val="left" w:pos="4320"/>
        </w:tabs>
        <w:autoSpaceDE/>
        <w:autoSpaceDN/>
        <w:rPr>
          <w:rFonts w:ascii="Times New Roman" w:eastAsia="Times New Roman" w:hAnsi="Times New Roman" w:cs="Times New Roman"/>
          <w:sz w:val="24"/>
          <w:szCs w:val="20"/>
          <w:lang w:val="en-AU"/>
        </w:rPr>
      </w:pPr>
      <w:r w:rsidRPr="00074050">
        <w:rPr>
          <w:rFonts w:ascii="Times New Roman" w:eastAsia="Times New Roman" w:hAnsi="Times New Roman" w:cs="Times New Roman"/>
          <w:sz w:val="24"/>
          <w:szCs w:val="20"/>
          <w:lang w:val="en-AU"/>
        </w:rPr>
        <w:t>Attorney</w:t>
      </w:r>
      <w:r w:rsidR="00EC0444">
        <w:rPr>
          <w:rFonts w:ascii="Times New Roman" w:eastAsia="Times New Roman" w:hAnsi="Times New Roman" w:cs="Times New Roman"/>
          <w:sz w:val="24"/>
          <w:szCs w:val="20"/>
          <w:lang w:val="en-AU"/>
        </w:rPr>
        <w:t>-</w:t>
      </w:r>
      <w:r w:rsidRPr="00074050">
        <w:rPr>
          <w:rFonts w:ascii="Times New Roman" w:eastAsia="Times New Roman" w:hAnsi="Times New Roman" w:cs="Times New Roman"/>
          <w:sz w:val="24"/>
          <w:szCs w:val="20"/>
          <w:lang w:val="en-AU"/>
        </w:rPr>
        <w:t>General</w:t>
      </w:r>
    </w:p>
    <w:bookmarkEnd w:id="1"/>
    <w:p w14:paraId="48B46638" w14:textId="490298A0" w:rsidR="00074050" w:rsidRPr="00074050" w:rsidRDefault="0099117F" w:rsidP="00074050">
      <w:pPr>
        <w:widowControl/>
        <w:tabs>
          <w:tab w:val="left" w:pos="4320"/>
        </w:tabs>
        <w:autoSpaceDE/>
        <w:autoSpaceDN/>
        <w:rPr>
          <w:rFonts w:ascii="Times New Roman" w:eastAsia="Times New Roman" w:hAnsi="Times New Roman" w:cs="Times New Roman"/>
          <w:sz w:val="24"/>
          <w:szCs w:val="20"/>
          <w:lang w:val="en-AU"/>
        </w:rPr>
      </w:pPr>
      <w:r>
        <w:rPr>
          <w:rFonts w:ascii="Times New Roman" w:eastAsia="Times New Roman" w:hAnsi="Times New Roman" w:cs="Times New Roman"/>
          <w:sz w:val="24"/>
          <w:szCs w:val="20"/>
          <w:lang w:val="en-AU"/>
        </w:rPr>
        <w:t>27 June 2024</w:t>
      </w:r>
      <w:r w:rsidR="00074050" w:rsidRPr="00074050">
        <w:rPr>
          <w:rFonts w:ascii="Times New Roman" w:eastAsia="Times New Roman" w:hAnsi="Times New Roman" w:cs="Times New Roman"/>
          <w:sz w:val="24"/>
          <w:szCs w:val="20"/>
          <w:lang w:val="en-AU"/>
        </w:rPr>
        <w:t>]</w:t>
      </w:r>
    </w:p>
    <w:p w14:paraId="4BC2436A" w14:textId="77777777" w:rsidR="00074050" w:rsidRPr="00074050" w:rsidRDefault="00074050" w:rsidP="00074050">
      <w:pPr>
        <w:widowControl/>
        <w:tabs>
          <w:tab w:val="left" w:pos="4320"/>
        </w:tabs>
        <w:autoSpaceDE/>
        <w:autoSpaceDN/>
        <w:rPr>
          <w:rFonts w:ascii="Times New Roman" w:eastAsia="Times New Roman" w:hAnsi="Times New Roman" w:cs="Times New Roman"/>
          <w:sz w:val="24"/>
          <w:szCs w:val="20"/>
          <w:lang w:val="en-AU"/>
        </w:rPr>
      </w:pPr>
    </w:p>
    <w:p w14:paraId="76A127E0" w14:textId="77777777" w:rsidR="00074050" w:rsidRPr="00074050" w:rsidRDefault="00074050" w:rsidP="00074050">
      <w:pPr>
        <w:widowControl/>
        <w:tabs>
          <w:tab w:val="left" w:pos="4320"/>
        </w:tabs>
        <w:autoSpaceDE/>
        <w:autoSpaceDN/>
        <w:rPr>
          <w:rFonts w:ascii="Times New Roman" w:eastAsia="Times New Roman" w:hAnsi="Times New Roman" w:cs="Times New Roman"/>
          <w:sz w:val="24"/>
          <w:szCs w:val="20"/>
          <w:lang w:val="en-AU"/>
        </w:rPr>
      </w:pPr>
    </w:p>
    <w:p w14:paraId="1F83AB92" w14:textId="77777777" w:rsidR="00074050" w:rsidRPr="00074050" w:rsidRDefault="00074050" w:rsidP="00074050">
      <w:pPr>
        <w:widowControl/>
        <w:tabs>
          <w:tab w:val="left" w:pos="4320"/>
        </w:tabs>
        <w:autoSpaceDE/>
        <w:autoSpaceDN/>
        <w:rPr>
          <w:rFonts w:ascii="Times New Roman" w:eastAsia="Times New Roman" w:hAnsi="Times New Roman" w:cs="Times New Roman"/>
          <w:sz w:val="24"/>
          <w:szCs w:val="20"/>
          <w:lang w:val="en-AU"/>
        </w:rPr>
      </w:pPr>
    </w:p>
    <w:p w14:paraId="1959C8CC" w14:textId="77777777" w:rsidR="00074050" w:rsidRPr="00074050" w:rsidRDefault="00074050" w:rsidP="00074050">
      <w:pPr>
        <w:widowControl/>
        <w:tabs>
          <w:tab w:val="left" w:pos="4320"/>
        </w:tabs>
        <w:autoSpaceDE/>
        <w:autoSpaceDN/>
        <w:rPr>
          <w:rFonts w:ascii="Times New Roman" w:eastAsia="Times New Roman" w:hAnsi="Times New Roman" w:cs="Times New Roman"/>
          <w:sz w:val="24"/>
          <w:szCs w:val="20"/>
          <w:lang w:val="en-AU"/>
        </w:rPr>
      </w:pPr>
    </w:p>
    <w:p w14:paraId="2478FBE6" w14:textId="77777777" w:rsidR="00074050" w:rsidRPr="00074050" w:rsidRDefault="00074050" w:rsidP="00074050">
      <w:pPr>
        <w:widowControl/>
        <w:tabs>
          <w:tab w:val="left" w:pos="4320"/>
        </w:tabs>
        <w:autoSpaceDE/>
        <w:autoSpaceDN/>
        <w:rPr>
          <w:rFonts w:ascii="Times New Roman" w:eastAsia="Times New Roman" w:hAnsi="Times New Roman" w:cs="Times New Roman"/>
          <w:sz w:val="24"/>
          <w:szCs w:val="20"/>
          <w:lang w:val="en-AU"/>
        </w:rPr>
      </w:pPr>
    </w:p>
    <w:p w14:paraId="50646C76" w14:textId="77777777" w:rsidR="00074050" w:rsidRPr="00074050" w:rsidRDefault="00074050" w:rsidP="00074050">
      <w:pPr>
        <w:widowControl/>
        <w:tabs>
          <w:tab w:val="left" w:pos="4320"/>
        </w:tabs>
        <w:autoSpaceDE/>
        <w:autoSpaceDN/>
        <w:rPr>
          <w:rFonts w:ascii="Times New Roman" w:eastAsia="Times New Roman" w:hAnsi="Times New Roman" w:cs="Times New Roman"/>
          <w:sz w:val="24"/>
          <w:szCs w:val="20"/>
          <w:lang w:val="en-AU"/>
        </w:rPr>
      </w:pPr>
    </w:p>
    <w:p w14:paraId="37A1D6C4" w14:textId="77777777" w:rsidR="00074050" w:rsidRPr="00074050" w:rsidRDefault="00074050" w:rsidP="00074050">
      <w:pPr>
        <w:widowControl/>
        <w:tabs>
          <w:tab w:val="left" w:pos="4320"/>
        </w:tabs>
        <w:autoSpaceDE/>
        <w:autoSpaceDN/>
        <w:rPr>
          <w:rFonts w:ascii="Times New Roman" w:eastAsia="Times New Roman" w:hAnsi="Times New Roman" w:cs="Times New Roman"/>
          <w:sz w:val="24"/>
          <w:szCs w:val="20"/>
          <w:lang w:val="en-AU"/>
        </w:rPr>
      </w:pPr>
    </w:p>
    <w:p w14:paraId="0E664FA4" w14:textId="77777777" w:rsidR="00074050" w:rsidRPr="00074050" w:rsidRDefault="00074050" w:rsidP="00074050">
      <w:pPr>
        <w:widowControl/>
        <w:tabs>
          <w:tab w:val="left" w:pos="4320"/>
        </w:tabs>
        <w:autoSpaceDE/>
        <w:autoSpaceDN/>
        <w:rPr>
          <w:rFonts w:ascii="Times New Roman" w:eastAsia="Times New Roman" w:hAnsi="Times New Roman" w:cs="Times New Roman"/>
          <w:sz w:val="24"/>
          <w:szCs w:val="20"/>
          <w:lang w:val="en-AU"/>
        </w:rPr>
      </w:pPr>
    </w:p>
    <w:p w14:paraId="0609FC02" w14:textId="77777777" w:rsidR="00074050" w:rsidRPr="00074050" w:rsidRDefault="00074050" w:rsidP="00074050">
      <w:pPr>
        <w:widowControl/>
        <w:tabs>
          <w:tab w:val="left" w:pos="4320"/>
        </w:tabs>
        <w:autoSpaceDE/>
        <w:autoSpaceDN/>
        <w:rPr>
          <w:rFonts w:ascii="Times New Roman" w:eastAsia="Times New Roman" w:hAnsi="Times New Roman" w:cs="Times New Roman"/>
          <w:sz w:val="24"/>
          <w:szCs w:val="20"/>
          <w:lang w:val="en-AU"/>
        </w:rPr>
      </w:pPr>
    </w:p>
    <w:p w14:paraId="48157965" w14:textId="77777777" w:rsidR="00074050" w:rsidRPr="00074050" w:rsidRDefault="00074050" w:rsidP="00074050">
      <w:pPr>
        <w:widowControl/>
        <w:tabs>
          <w:tab w:val="left" w:pos="4320"/>
        </w:tabs>
        <w:autoSpaceDE/>
        <w:autoSpaceDN/>
        <w:rPr>
          <w:rFonts w:ascii="Times New Roman" w:eastAsia="Times New Roman" w:hAnsi="Times New Roman" w:cs="Times New Roman"/>
          <w:sz w:val="24"/>
          <w:szCs w:val="20"/>
          <w:lang w:val="en-AU"/>
        </w:rPr>
      </w:pPr>
    </w:p>
    <w:p w14:paraId="65323101" w14:textId="17FE6A2A" w:rsidR="007300AF" w:rsidRDefault="006B013F">
      <w:pPr>
        <w:pStyle w:val="Heading1"/>
        <w:spacing w:before="69"/>
        <w:ind w:left="1438" w:right="1445"/>
        <w:jc w:val="center"/>
      </w:pPr>
      <w:r>
        <w:lastRenderedPageBreak/>
        <w:t>THE</w:t>
      </w:r>
      <w:r>
        <w:rPr>
          <w:spacing w:val="-9"/>
        </w:rPr>
        <w:t xml:space="preserve"> </w:t>
      </w:r>
      <w:r>
        <w:t>BAR</w:t>
      </w:r>
      <w:r>
        <w:rPr>
          <w:spacing w:val="-5"/>
        </w:rPr>
        <w:t xml:space="preserve"> </w:t>
      </w:r>
      <w:r>
        <w:t>ASSOCIATION</w:t>
      </w:r>
      <w:r>
        <w:rPr>
          <w:spacing w:val="-9"/>
        </w:rPr>
        <w:t xml:space="preserve"> </w:t>
      </w:r>
      <w:r>
        <w:t>OF</w:t>
      </w:r>
      <w:r>
        <w:rPr>
          <w:spacing w:val="-11"/>
        </w:rPr>
        <w:t xml:space="preserve"> </w:t>
      </w:r>
      <w:r>
        <w:t>QUEENSLAND PROFESSIONAL STANDARDS SCHEME</w:t>
      </w:r>
    </w:p>
    <w:p w14:paraId="518ECF4D" w14:textId="77777777" w:rsidR="007300AF" w:rsidRDefault="006B013F">
      <w:pPr>
        <w:spacing w:before="238"/>
        <w:ind w:left="1447" w:right="1445"/>
        <w:jc w:val="center"/>
        <w:rPr>
          <w:b/>
        </w:rPr>
      </w:pPr>
      <w:r>
        <w:rPr>
          <w:b/>
        </w:rPr>
        <w:t>A</w:t>
      </w:r>
      <w:r>
        <w:rPr>
          <w:b/>
          <w:spacing w:val="-10"/>
        </w:rPr>
        <w:t xml:space="preserve"> </w:t>
      </w:r>
      <w:r>
        <w:rPr>
          <w:b/>
        </w:rPr>
        <w:t>scheme</w:t>
      </w:r>
      <w:r>
        <w:rPr>
          <w:b/>
          <w:spacing w:val="-4"/>
        </w:rPr>
        <w:t xml:space="preserve"> </w:t>
      </w:r>
      <w:r>
        <w:rPr>
          <w:b/>
        </w:rPr>
        <w:t>under</w:t>
      </w:r>
      <w:r>
        <w:rPr>
          <w:b/>
          <w:spacing w:val="-6"/>
        </w:rPr>
        <w:t xml:space="preserve"> </w:t>
      </w:r>
      <w:r>
        <w:rPr>
          <w:b/>
        </w:rPr>
        <w:t>the</w:t>
      </w:r>
      <w:r>
        <w:rPr>
          <w:b/>
          <w:spacing w:val="-3"/>
        </w:rPr>
        <w:t xml:space="preserve"> </w:t>
      </w:r>
      <w:r>
        <w:rPr>
          <w:b/>
          <w:i/>
        </w:rPr>
        <w:t>Professional</w:t>
      </w:r>
      <w:r>
        <w:rPr>
          <w:b/>
          <w:i/>
          <w:spacing w:val="-3"/>
        </w:rPr>
        <w:t xml:space="preserve"> </w:t>
      </w:r>
      <w:r>
        <w:rPr>
          <w:b/>
          <w:i/>
        </w:rPr>
        <w:t>Standards</w:t>
      </w:r>
      <w:r>
        <w:rPr>
          <w:b/>
          <w:i/>
          <w:spacing w:val="-4"/>
        </w:rPr>
        <w:t xml:space="preserve"> </w:t>
      </w:r>
      <w:r>
        <w:rPr>
          <w:b/>
          <w:i/>
        </w:rPr>
        <w:t>Act</w:t>
      </w:r>
      <w:r>
        <w:rPr>
          <w:b/>
          <w:i/>
          <w:spacing w:val="-3"/>
        </w:rPr>
        <w:t xml:space="preserve"> </w:t>
      </w:r>
      <w:r>
        <w:rPr>
          <w:b/>
          <w:i/>
        </w:rPr>
        <w:t>2004</w:t>
      </w:r>
      <w:r>
        <w:rPr>
          <w:b/>
          <w:i/>
          <w:spacing w:val="-6"/>
        </w:rPr>
        <w:t xml:space="preserve"> </w:t>
      </w:r>
      <w:r>
        <w:rPr>
          <w:b/>
          <w:spacing w:val="-2"/>
        </w:rPr>
        <w:t>(Qld)</w:t>
      </w:r>
    </w:p>
    <w:p w14:paraId="6EB391F0" w14:textId="77777777" w:rsidR="007300AF" w:rsidRDefault="006B013F">
      <w:pPr>
        <w:pStyle w:val="Heading1"/>
        <w:spacing w:before="241"/>
      </w:pPr>
      <w:bookmarkStart w:id="2" w:name="PREAMBLE"/>
      <w:bookmarkEnd w:id="2"/>
      <w:r>
        <w:rPr>
          <w:spacing w:val="-2"/>
        </w:rPr>
        <w:t>PREAMBLE</w:t>
      </w:r>
    </w:p>
    <w:p w14:paraId="79F2A3A3" w14:textId="77777777" w:rsidR="007300AF" w:rsidRDefault="006B013F">
      <w:pPr>
        <w:spacing w:before="239"/>
        <w:ind w:left="117"/>
        <w:rPr>
          <w:b/>
        </w:rPr>
      </w:pPr>
      <w:r>
        <w:rPr>
          <w:b/>
        </w:rPr>
        <w:t>Occupational</w:t>
      </w:r>
      <w:r>
        <w:rPr>
          <w:b/>
          <w:spacing w:val="-6"/>
        </w:rPr>
        <w:t xml:space="preserve"> </w:t>
      </w:r>
      <w:r>
        <w:rPr>
          <w:b/>
          <w:spacing w:val="-2"/>
        </w:rPr>
        <w:t>Association</w:t>
      </w:r>
    </w:p>
    <w:p w14:paraId="6C7CA35E" w14:textId="77777777" w:rsidR="007300AF" w:rsidRDefault="006B013F">
      <w:pPr>
        <w:pStyle w:val="ListParagraph"/>
        <w:numPr>
          <w:ilvl w:val="0"/>
          <w:numId w:val="2"/>
        </w:numPr>
        <w:tabs>
          <w:tab w:val="left" w:pos="837"/>
        </w:tabs>
        <w:spacing w:before="244"/>
        <w:ind w:right="279"/>
      </w:pPr>
      <w:r>
        <w:t>The Bar Association of Queensland (ACN 009 717 739) (“the Association”) is an occupational</w:t>
      </w:r>
      <w:r>
        <w:rPr>
          <w:spacing w:val="-3"/>
        </w:rPr>
        <w:t xml:space="preserve"> </w:t>
      </w:r>
      <w:r>
        <w:t>association</w:t>
      </w:r>
      <w:r>
        <w:rPr>
          <w:spacing w:val="-5"/>
        </w:rPr>
        <w:t xml:space="preserve"> </w:t>
      </w:r>
      <w:r>
        <w:t>constituted</w:t>
      </w:r>
      <w:r>
        <w:rPr>
          <w:spacing w:val="-5"/>
        </w:rPr>
        <w:t xml:space="preserve"> </w:t>
      </w:r>
      <w:r>
        <w:t>as</w:t>
      </w:r>
      <w:r>
        <w:rPr>
          <w:spacing w:val="-2"/>
        </w:rPr>
        <w:t xml:space="preserve"> </w:t>
      </w:r>
      <w:r>
        <w:t>an</w:t>
      </w:r>
      <w:r>
        <w:rPr>
          <w:spacing w:val="-5"/>
        </w:rPr>
        <w:t xml:space="preserve"> </w:t>
      </w:r>
      <w:r>
        <w:t>Australian</w:t>
      </w:r>
      <w:r>
        <w:rPr>
          <w:spacing w:val="-3"/>
        </w:rPr>
        <w:t xml:space="preserve"> </w:t>
      </w:r>
      <w:r>
        <w:t>Public</w:t>
      </w:r>
      <w:r>
        <w:rPr>
          <w:spacing w:val="-2"/>
        </w:rPr>
        <w:t xml:space="preserve"> </w:t>
      </w:r>
      <w:r>
        <w:t>Company,</w:t>
      </w:r>
      <w:r>
        <w:rPr>
          <w:spacing w:val="-1"/>
        </w:rPr>
        <w:t xml:space="preserve"> </w:t>
      </w:r>
      <w:r>
        <w:t>Limited</w:t>
      </w:r>
      <w:r>
        <w:rPr>
          <w:spacing w:val="-3"/>
        </w:rPr>
        <w:t xml:space="preserve"> </w:t>
      </w:r>
      <w:r>
        <w:t xml:space="preserve">by Guarantee pursuant to the </w:t>
      </w:r>
      <w:r>
        <w:rPr>
          <w:i/>
        </w:rPr>
        <w:t>Corporations Act 2001</w:t>
      </w:r>
      <w:r>
        <w:rPr>
          <w:i/>
          <w:spacing w:val="-8"/>
        </w:rPr>
        <w:t xml:space="preserve"> </w:t>
      </w:r>
      <w:r>
        <w:t>(Cth).</w:t>
      </w:r>
    </w:p>
    <w:p w14:paraId="0494306F" w14:textId="77777777" w:rsidR="007300AF" w:rsidRDefault="006B013F">
      <w:pPr>
        <w:pStyle w:val="ListParagraph"/>
        <w:numPr>
          <w:ilvl w:val="0"/>
          <w:numId w:val="2"/>
        </w:numPr>
        <w:tabs>
          <w:tab w:val="left" w:pos="837"/>
        </w:tabs>
        <w:spacing w:before="239"/>
        <w:ind w:right="660"/>
      </w:pPr>
      <w:r>
        <w:t>The occupational group for the purposes of the Scheme represented by the Association</w:t>
      </w:r>
      <w:r>
        <w:rPr>
          <w:spacing w:val="-3"/>
        </w:rPr>
        <w:t xml:space="preserve"> </w:t>
      </w:r>
      <w:r>
        <w:t>consists</w:t>
      </w:r>
      <w:r>
        <w:rPr>
          <w:spacing w:val="-2"/>
        </w:rPr>
        <w:t xml:space="preserve"> </w:t>
      </w:r>
      <w:r>
        <w:t>of</w:t>
      </w:r>
      <w:r>
        <w:rPr>
          <w:spacing w:val="-1"/>
        </w:rPr>
        <w:t xml:space="preserve"> </w:t>
      </w:r>
      <w:r>
        <w:t>barristers</w:t>
      </w:r>
      <w:r>
        <w:rPr>
          <w:spacing w:val="-2"/>
        </w:rPr>
        <w:t xml:space="preserve"> </w:t>
      </w:r>
      <w:r>
        <w:t>practising</w:t>
      </w:r>
      <w:r>
        <w:rPr>
          <w:spacing w:val="-3"/>
        </w:rPr>
        <w:t xml:space="preserve"> </w:t>
      </w:r>
      <w:r>
        <w:t>in</w:t>
      </w:r>
      <w:r>
        <w:rPr>
          <w:spacing w:val="-3"/>
        </w:rPr>
        <w:t xml:space="preserve"> </w:t>
      </w:r>
      <w:r>
        <w:t>or</w:t>
      </w:r>
      <w:r>
        <w:rPr>
          <w:spacing w:val="-6"/>
        </w:rPr>
        <w:t xml:space="preserve"> </w:t>
      </w:r>
      <w:r>
        <w:t>from</w:t>
      </w:r>
      <w:r>
        <w:rPr>
          <w:spacing w:val="-4"/>
        </w:rPr>
        <w:t xml:space="preserve"> </w:t>
      </w:r>
      <w:r>
        <w:t>Queensland</w:t>
      </w:r>
      <w:r>
        <w:rPr>
          <w:spacing w:val="-3"/>
        </w:rPr>
        <w:t xml:space="preserve"> </w:t>
      </w:r>
      <w:r>
        <w:t>who</w:t>
      </w:r>
      <w:r>
        <w:rPr>
          <w:spacing w:val="-3"/>
        </w:rPr>
        <w:t xml:space="preserve"> </w:t>
      </w:r>
      <w:r>
        <w:t>hold</w:t>
      </w:r>
      <w:r>
        <w:rPr>
          <w:spacing w:val="-3"/>
        </w:rPr>
        <w:t xml:space="preserve"> </w:t>
      </w:r>
      <w:r>
        <w:t>a Queensland practising certificate.</w:t>
      </w:r>
    </w:p>
    <w:p w14:paraId="4412B95D" w14:textId="77777777" w:rsidR="007300AF" w:rsidRDefault="006B013F">
      <w:pPr>
        <w:pStyle w:val="ListParagraph"/>
        <w:numPr>
          <w:ilvl w:val="0"/>
          <w:numId w:val="2"/>
        </w:numPr>
        <w:tabs>
          <w:tab w:val="left" w:pos="837"/>
        </w:tabs>
        <w:spacing w:before="240"/>
        <w:ind w:right="269"/>
      </w:pPr>
      <w:r>
        <w:t>The</w:t>
      </w:r>
      <w:r>
        <w:rPr>
          <w:spacing w:val="-4"/>
        </w:rPr>
        <w:t xml:space="preserve"> </w:t>
      </w:r>
      <w:r>
        <w:t>objectives</w:t>
      </w:r>
      <w:r>
        <w:rPr>
          <w:spacing w:val="-1"/>
        </w:rPr>
        <w:t xml:space="preserve"> </w:t>
      </w:r>
      <w:r>
        <w:t>of the</w:t>
      </w:r>
      <w:r>
        <w:rPr>
          <w:spacing w:val="-4"/>
        </w:rPr>
        <w:t xml:space="preserve"> </w:t>
      </w:r>
      <w:r>
        <w:t>Association</w:t>
      </w:r>
      <w:r>
        <w:rPr>
          <w:spacing w:val="-2"/>
        </w:rPr>
        <w:t xml:space="preserve"> </w:t>
      </w:r>
      <w:r>
        <w:t>are</w:t>
      </w:r>
      <w:r>
        <w:rPr>
          <w:spacing w:val="-4"/>
        </w:rPr>
        <w:t xml:space="preserve"> </w:t>
      </w:r>
      <w:r>
        <w:t>expressed</w:t>
      </w:r>
      <w:r>
        <w:rPr>
          <w:spacing w:val="-2"/>
        </w:rPr>
        <w:t xml:space="preserve"> </w:t>
      </w:r>
      <w:r>
        <w:t>in</w:t>
      </w:r>
      <w:r>
        <w:rPr>
          <w:spacing w:val="-2"/>
        </w:rPr>
        <w:t xml:space="preserve"> </w:t>
      </w:r>
      <w:r>
        <w:t>clause</w:t>
      </w:r>
      <w:r>
        <w:rPr>
          <w:spacing w:val="-2"/>
        </w:rPr>
        <w:t xml:space="preserve"> </w:t>
      </w:r>
      <w:r>
        <w:t>3</w:t>
      </w:r>
      <w:r>
        <w:rPr>
          <w:spacing w:val="-4"/>
        </w:rPr>
        <w:t xml:space="preserve"> </w:t>
      </w:r>
      <w:r>
        <w:t>of its</w:t>
      </w:r>
      <w:r>
        <w:rPr>
          <w:spacing w:val="-4"/>
        </w:rPr>
        <w:t xml:space="preserve"> </w:t>
      </w:r>
      <w:r>
        <w:t>Constitution</w:t>
      </w:r>
      <w:r>
        <w:rPr>
          <w:spacing w:val="-2"/>
        </w:rPr>
        <w:t xml:space="preserve"> </w:t>
      </w:r>
      <w:r>
        <w:t xml:space="preserve">and </w:t>
      </w:r>
      <w:r>
        <w:rPr>
          <w:spacing w:val="-2"/>
        </w:rPr>
        <w:t>include:</w:t>
      </w:r>
    </w:p>
    <w:p w14:paraId="1D5DF09D" w14:textId="77777777" w:rsidR="007300AF" w:rsidRDefault="006B013F">
      <w:pPr>
        <w:pStyle w:val="ListParagraph"/>
        <w:numPr>
          <w:ilvl w:val="1"/>
          <w:numId w:val="2"/>
        </w:numPr>
        <w:tabs>
          <w:tab w:val="left" w:pos="1557"/>
        </w:tabs>
        <w:spacing w:before="118"/>
      </w:pPr>
      <w:r>
        <w:t>to</w:t>
      </w:r>
      <w:r>
        <w:rPr>
          <w:spacing w:val="-3"/>
        </w:rPr>
        <w:t xml:space="preserve"> </w:t>
      </w:r>
      <w:r>
        <w:t>promote</w:t>
      </w:r>
      <w:r>
        <w:rPr>
          <w:spacing w:val="-4"/>
        </w:rPr>
        <w:t xml:space="preserve"> </w:t>
      </w:r>
      <w:r>
        <w:t>the</w:t>
      </w:r>
      <w:r>
        <w:rPr>
          <w:spacing w:val="-4"/>
        </w:rPr>
        <w:t xml:space="preserve"> </w:t>
      </w:r>
      <w:r>
        <w:t>cause</w:t>
      </w:r>
      <w:r>
        <w:rPr>
          <w:spacing w:val="-2"/>
        </w:rPr>
        <w:t xml:space="preserve"> </w:t>
      </w:r>
      <w:r>
        <w:t>of</w:t>
      </w:r>
      <w:r>
        <w:rPr>
          <w:spacing w:val="-9"/>
        </w:rPr>
        <w:t xml:space="preserve"> </w:t>
      </w:r>
      <w:r>
        <w:rPr>
          <w:spacing w:val="-2"/>
        </w:rPr>
        <w:t>justice;</w:t>
      </w:r>
    </w:p>
    <w:p w14:paraId="37E489FB" w14:textId="77777777" w:rsidR="007300AF" w:rsidRDefault="006B013F">
      <w:pPr>
        <w:pStyle w:val="ListParagraph"/>
        <w:numPr>
          <w:ilvl w:val="1"/>
          <w:numId w:val="2"/>
        </w:numPr>
        <w:tabs>
          <w:tab w:val="left" w:pos="1557"/>
        </w:tabs>
        <w:spacing w:before="1"/>
      </w:pPr>
      <w:r>
        <w:t>to</w:t>
      </w:r>
      <w:r>
        <w:rPr>
          <w:spacing w:val="-5"/>
        </w:rPr>
        <w:t xml:space="preserve"> </w:t>
      </w:r>
      <w:r>
        <w:t>maintain</w:t>
      </w:r>
      <w:r>
        <w:rPr>
          <w:spacing w:val="-5"/>
        </w:rPr>
        <w:t xml:space="preserve"> </w:t>
      </w:r>
      <w:r>
        <w:t>the</w:t>
      </w:r>
      <w:r>
        <w:rPr>
          <w:spacing w:val="-2"/>
        </w:rPr>
        <w:t xml:space="preserve"> </w:t>
      </w:r>
      <w:r>
        <w:t>high</w:t>
      </w:r>
      <w:r>
        <w:rPr>
          <w:spacing w:val="-5"/>
        </w:rPr>
        <w:t xml:space="preserve"> </w:t>
      </w:r>
      <w:r>
        <w:t>tradition</w:t>
      </w:r>
      <w:r>
        <w:rPr>
          <w:spacing w:val="-3"/>
        </w:rPr>
        <w:t xml:space="preserve"> </w:t>
      </w:r>
      <w:r>
        <w:t>of the</w:t>
      </w:r>
      <w:r>
        <w:rPr>
          <w:spacing w:val="-15"/>
        </w:rPr>
        <w:t xml:space="preserve"> </w:t>
      </w:r>
      <w:r>
        <w:rPr>
          <w:spacing w:val="-4"/>
        </w:rPr>
        <w:t>Bar;</w:t>
      </w:r>
    </w:p>
    <w:p w14:paraId="558E3EF2" w14:textId="77777777" w:rsidR="007300AF" w:rsidRDefault="006B013F">
      <w:pPr>
        <w:pStyle w:val="ListParagraph"/>
        <w:numPr>
          <w:ilvl w:val="1"/>
          <w:numId w:val="2"/>
        </w:numPr>
        <w:tabs>
          <w:tab w:val="left" w:pos="1556"/>
        </w:tabs>
        <w:spacing w:before="4"/>
        <w:ind w:left="1556" w:right="712" w:hanging="721"/>
      </w:pPr>
      <w:r>
        <w:t>to</w:t>
      </w:r>
      <w:r>
        <w:rPr>
          <w:spacing w:val="-2"/>
        </w:rPr>
        <w:t xml:space="preserve"> </w:t>
      </w:r>
      <w:r>
        <w:t>uphold</w:t>
      </w:r>
      <w:r>
        <w:rPr>
          <w:spacing w:val="-4"/>
        </w:rPr>
        <w:t xml:space="preserve"> </w:t>
      </w:r>
      <w:r>
        <w:t>the</w:t>
      </w:r>
      <w:r>
        <w:rPr>
          <w:spacing w:val="-2"/>
        </w:rPr>
        <w:t xml:space="preserve"> </w:t>
      </w:r>
      <w:r>
        <w:t>honour</w:t>
      </w:r>
      <w:r>
        <w:rPr>
          <w:spacing w:val="-3"/>
        </w:rPr>
        <w:t xml:space="preserve"> </w:t>
      </w:r>
      <w:r>
        <w:t>and</w:t>
      </w:r>
      <w:r>
        <w:rPr>
          <w:spacing w:val="-4"/>
        </w:rPr>
        <w:t xml:space="preserve"> </w:t>
      </w:r>
      <w:r>
        <w:t>promote</w:t>
      </w:r>
      <w:r>
        <w:rPr>
          <w:spacing w:val="-4"/>
        </w:rPr>
        <w:t xml:space="preserve"> </w:t>
      </w:r>
      <w:r>
        <w:t>the</w:t>
      </w:r>
      <w:r>
        <w:rPr>
          <w:spacing w:val="-4"/>
        </w:rPr>
        <w:t xml:space="preserve"> </w:t>
      </w:r>
      <w:r>
        <w:t>interests</w:t>
      </w:r>
      <w:r>
        <w:rPr>
          <w:spacing w:val="-4"/>
        </w:rPr>
        <w:t xml:space="preserve"> </w:t>
      </w:r>
      <w:r>
        <w:t>of</w:t>
      </w:r>
      <w:r>
        <w:rPr>
          <w:spacing w:val="-3"/>
        </w:rPr>
        <w:t xml:space="preserve"> </w:t>
      </w:r>
      <w:r>
        <w:t>the</w:t>
      </w:r>
      <w:r>
        <w:rPr>
          <w:spacing w:val="-2"/>
        </w:rPr>
        <w:t xml:space="preserve"> </w:t>
      </w:r>
      <w:r>
        <w:t>Association</w:t>
      </w:r>
      <w:r>
        <w:rPr>
          <w:spacing w:val="-2"/>
        </w:rPr>
        <w:t xml:space="preserve"> </w:t>
      </w:r>
      <w:r>
        <w:t>and members of the Association;</w:t>
      </w:r>
    </w:p>
    <w:p w14:paraId="4D119ECF" w14:textId="77777777" w:rsidR="007300AF" w:rsidRDefault="006B013F">
      <w:pPr>
        <w:pStyle w:val="ListParagraph"/>
        <w:numPr>
          <w:ilvl w:val="1"/>
          <w:numId w:val="2"/>
        </w:numPr>
        <w:tabs>
          <w:tab w:val="left" w:pos="1556"/>
        </w:tabs>
        <w:spacing w:line="242" w:lineRule="auto"/>
        <w:ind w:left="1556" w:right="808"/>
      </w:pPr>
      <w:r>
        <w:t>to</w:t>
      </w:r>
      <w:r>
        <w:rPr>
          <w:spacing w:val="-4"/>
        </w:rPr>
        <w:t xml:space="preserve"> </w:t>
      </w:r>
      <w:r>
        <w:t>maintain</w:t>
      </w:r>
      <w:r>
        <w:rPr>
          <w:spacing w:val="-2"/>
        </w:rPr>
        <w:t xml:space="preserve"> </w:t>
      </w:r>
      <w:r>
        <w:t>correct and</w:t>
      </w:r>
      <w:r>
        <w:rPr>
          <w:spacing w:val="-2"/>
        </w:rPr>
        <w:t xml:space="preserve"> </w:t>
      </w:r>
      <w:r>
        <w:t>cordial</w:t>
      </w:r>
      <w:r>
        <w:rPr>
          <w:spacing w:val="-2"/>
        </w:rPr>
        <w:t xml:space="preserve"> </w:t>
      </w:r>
      <w:r>
        <w:t>relations</w:t>
      </w:r>
      <w:r>
        <w:rPr>
          <w:spacing w:val="-1"/>
        </w:rPr>
        <w:t xml:space="preserve"> </w:t>
      </w:r>
      <w:r>
        <w:t>with</w:t>
      </w:r>
      <w:r>
        <w:rPr>
          <w:spacing w:val="-2"/>
        </w:rPr>
        <w:t xml:space="preserve"> </w:t>
      </w:r>
      <w:r>
        <w:t>the</w:t>
      </w:r>
      <w:r>
        <w:rPr>
          <w:spacing w:val="-6"/>
        </w:rPr>
        <w:t xml:space="preserve"> </w:t>
      </w:r>
      <w:r>
        <w:t>Bench</w:t>
      </w:r>
      <w:r>
        <w:rPr>
          <w:spacing w:val="-2"/>
        </w:rPr>
        <w:t xml:space="preserve"> </w:t>
      </w:r>
      <w:r>
        <w:t>and</w:t>
      </w:r>
      <w:r>
        <w:rPr>
          <w:spacing w:val="-4"/>
        </w:rPr>
        <w:t xml:space="preserve"> </w:t>
      </w:r>
      <w:r>
        <w:t>the</w:t>
      </w:r>
      <w:r>
        <w:rPr>
          <w:spacing w:val="-2"/>
        </w:rPr>
        <w:t xml:space="preserve"> </w:t>
      </w:r>
      <w:r>
        <w:t>other branches of the profession;</w:t>
      </w:r>
    </w:p>
    <w:p w14:paraId="38063D52" w14:textId="77777777" w:rsidR="007300AF" w:rsidRDefault="006B013F">
      <w:pPr>
        <w:pStyle w:val="ListParagraph"/>
        <w:numPr>
          <w:ilvl w:val="1"/>
          <w:numId w:val="2"/>
        </w:numPr>
        <w:tabs>
          <w:tab w:val="left" w:pos="1556"/>
        </w:tabs>
        <w:spacing w:line="246" w:lineRule="exact"/>
        <w:ind w:left="1556" w:hanging="719"/>
      </w:pPr>
      <w:r>
        <w:t>to</w:t>
      </w:r>
      <w:r>
        <w:rPr>
          <w:spacing w:val="-11"/>
        </w:rPr>
        <w:t xml:space="preserve"> </w:t>
      </w:r>
      <w:r>
        <w:t>arrange</w:t>
      </w:r>
      <w:r>
        <w:rPr>
          <w:spacing w:val="-7"/>
        </w:rPr>
        <w:t xml:space="preserve"> </w:t>
      </w:r>
      <w:r>
        <w:t>and</w:t>
      </w:r>
      <w:r>
        <w:rPr>
          <w:spacing w:val="-5"/>
        </w:rPr>
        <w:t xml:space="preserve"> </w:t>
      </w:r>
      <w:r>
        <w:t>promote</w:t>
      </w:r>
      <w:r>
        <w:rPr>
          <w:spacing w:val="-7"/>
        </w:rPr>
        <w:t xml:space="preserve"> </w:t>
      </w:r>
      <w:r>
        <w:t>continuing</w:t>
      </w:r>
      <w:r>
        <w:rPr>
          <w:spacing w:val="-5"/>
        </w:rPr>
        <w:t xml:space="preserve"> </w:t>
      </w:r>
      <w:r>
        <w:t>professional</w:t>
      </w:r>
      <w:r>
        <w:rPr>
          <w:spacing w:val="-21"/>
        </w:rPr>
        <w:t xml:space="preserve"> </w:t>
      </w:r>
      <w:r>
        <w:rPr>
          <w:spacing w:val="-2"/>
        </w:rPr>
        <w:t>development;</w:t>
      </w:r>
    </w:p>
    <w:p w14:paraId="626B4FA0" w14:textId="77777777" w:rsidR="007300AF" w:rsidRDefault="006B013F">
      <w:pPr>
        <w:pStyle w:val="ListParagraph"/>
        <w:numPr>
          <w:ilvl w:val="1"/>
          <w:numId w:val="2"/>
        </w:numPr>
        <w:tabs>
          <w:tab w:val="left" w:pos="1556"/>
        </w:tabs>
        <w:ind w:left="1556" w:right="124" w:hanging="721"/>
      </w:pPr>
      <w:r>
        <w:t>to promote fair and honourable practice amongst barristers; to suppress, discourage and prevent unsatisfactory professional conduct and professional</w:t>
      </w:r>
      <w:r>
        <w:rPr>
          <w:spacing w:val="-4"/>
        </w:rPr>
        <w:t xml:space="preserve"> </w:t>
      </w:r>
      <w:r>
        <w:t>misconduct;</w:t>
      </w:r>
      <w:r>
        <w:rPr>
          <w:spacing w:val="-1"/>
        </w:rPr>
        <w:t xml:space="preserve"> </w:t>
      </w:r>
      <w:r>
        <w:t>to</w:t>
      </w:r>
      <w:r>
        <w:rPr>
          <w:spacing w:val="-3"/>
        </w:rPr>
        <w:t xml:space="preserve"> </w:t>
      </w:r>
      <w:r>
        <w:t>inquire</w:t>
      </w:r>
      <w:r>
        <w:rPr>
          <w:spacing w:val="-3"/>
        </w:rPr>
        <w:t xml:space="preserve"> </w:t>
      </w:r>
      <w:r>
        <w:t>into</w:t>
      </w:r>
      <w:r>
        <w:rPr>
          <w:spacing w:val="-3"/>
        </w:rPr>
        <w:t xml:space="preserve"> </w:t>
      </w:r>
      <w:r>
        <w:t>so</w:t>
      </w:r>
      <w:r>
        <w:rPr>
          <w:spacing w:val="-3"/>
        </w:rPr>
        <w:t xml:space="preserve"> </w:t>
      </w:r>
      <w:r>
        <w:t>far</w:t>
      </w:r>
      <w:r>
        <w:rPr>
          <w:spacing w:val="-2"/>
        </w:rPr>
        <w:t xml:space="preserve"> </w:t>
      </w:r>
      <w:r>
        <w:t>as</w:t>
      </w:r>
      <w:r>
        <w:rPr>
          <w:spacing w:val="-3"/>
        </w:rPr>
        <w:t xml:space="preserve"> </w:t>
      </w:r>
      <w:r>
        <w:t>the</w:t>
      </w:r>
      <w:r>
        <w:rPr>
          <w:spacing w:val="-1"/>
        </w:rPr>
        <w:t xml:space="preserve"> </w:t>
      </w:r>
      <w:r>
        <w:t>law</w:t>
      </w:r>
      <w:r>
        <w:rPr>
          <w:spacing w:val="-3"/>
        </w:rPr>
        <w:t xml:space="preserve"> </w:t>
      </w:r>
      <w:r>
        <w:t>permits</w:t>
      </w:r>
      <w:r>
        <w:rPr>
          <w:spacing w:val="-3"/>
        </w:rPr>
        <w:t xml:space="preserve"> </w:t>
      </w:r>
      <w:r>
        <w:t>and</w:t>
      </w:r>
      <w:r>
        <w:rPr>
          <w:spacing w:val="-1"/>
        </w:rPr>
        <w:t xml:space="preserve"> </w:t>
      </w:r>
      <w:r>
        <w:t xml:space="preserve">decide questions as to professional conduct and etiquette of barristers; to make rules (including rules for the imposition on members of penalties, including expulsion, suspension or fines), with regard to the foregoing to the extent the law permits and in the absence of other rules and regulations made under the </w:t>
      </w:r>
      <w:r>
        <w:rPr>
          <w:i/>
        </w:rPr>
        <w:t xml:space="preserve">Legal Profession Act 2007 </w:t>
      </w:r>
      <w:r>
        <w:t>(Qld) (“the LP Act”) for breach of such rules; and if deemed necessary, to report any of such rules or decisions to the Supreme Court of Queensland and to the Members of the Association and to the public as the Council sees fit;</w:t>
      </w:r>
    </w:p>
    <w:p w14:paraId="49DA88FD" w14:textId="77777777" w:rsidR="007300AF" w:rsidRDefault="006B013F">
      <w:pPr>
        <w:pStyle w:val="ListParagraph"/>
        <w:numPr>
          <w:ilvl w:val="1"/>
          <w:numId w:val="2"/>
        </w:numPr>
        <w:tabs>
          <w:tab w:val="left" w:pos="1556"/>
        </w:tabs>
        <w:ind w:left="1556" w:right="404"/>
      </w:pPr>
      <w:r>
        <w:t>to</w:t>
      </w:r>
      <w:r>
        <w:rPr>
          <w:spacing w:val="-4"/>
        </w:rPr>
        <w:t xml:space="preserve"> </w:t>
      </w:r>
      <w:r>
        <w:t>raise</w:t>
      </w:r>
      <w:r>
        <w:rPr>
          <w:spacing w:val="-2"/>
        </w:rPr>
        <w:t xml:space="preserve"> </w:t>
      </w:r>
      <w:r>
        <w:t>with</w:t>
      </w:r>
      <w:r>
        <w:rPr>
          <w:spacing w:val="-2"/>
        </w:rPr>
        <w:t xml:space="preserve"> </w:t>
      </w:r>
      <w:r>
        <w:t>the</w:t>
      </w:r>
      <w:r>
        <w:rPr>
          <w:spacing w:val="-4"/>
        </w:rPr>
        <w:t xml:space="preserve"> </w:t>
      </w:r>
      <w:r>
        <w:t>appropriate</w:t>
      </w:r>
      <w:r>
        <w:rPr>
          <w:spacing w:val="-2"/>
        </w:rPr>
        <w:t xml:space="preserve"> </w:t>
      </w:r>
      <w:r>
        <w:t>bodies</w:t>
      </w:r>
      <w:r>
        <w:rPr>
          <w:spacing w:val="-1"/>
        </w:rPr>
        <w:t xml:space="preserve"> </w:t>
      </w:r>
      <w:r>
        <w:t>established</w:t>
      </w:r>
      <w:r>
        <w:rPr>
          <w:spacing w:val="-2"/>
        </w:rPr>
        <w:t xml:space="preserve"> </w:t>
      </w:r>
      <w:r>
        <w:t>under</w:t>
      </w:r>
      <w:r>
        <w:rPr>
          <w:spacing w:val="-3"/>
        </w:rPr>
        <w:t xml:space="preserve"> </w:t>
      </w:r>
      <w:r>
        <w:t>the</w:t>
      </w:r>
      <w:r>
        <w:rPr>
          <w:spacing w:val="-2"/>
        </w:rPr>
        <w:t xml:space="preserve"> </w:t>
      </w:r>
      <w:r>
        <w:t>LP</w:t>
      </w:r>
      <w:r>
        <w:rPr>
          <w:spacing w:val="-4"/>
        </w:rPr>
        <w:t xml:space="preserve"> </w:t>
      </w:r>
      <w:r>
        <w:t>Act</w:t>
      </w:r>
      <w:r>
        <w:rPr>
          <w:spacing w:val="-2"/>
        </w:rPr>
        <w:t xml:space="preserve"> </w:t>
      </w:r>
      <w:r>
        <w:t>all</w:t>
      </w:r>
      <w:r>
        <w:rPr>
          <w:spacing w:val="-2"/>
        </w:rPr>
        <w:t xml:space="preserve"> </w:t>
      </w:r>
      <w:r>
        <w:t>such matters as are necessary in respect of the discipline of</w:t>
      </w:r>
      <w:r>
        <w:rPr>
          <w:spacing w:val="-5"/>
        </w:rPr>
        <w:t xml:space="preserve"> </w:t>
      </w:r>
      <w:r>
        <w:t>members;</w:t>
      </w:r>
    </w:p>
    <w:p w14:paraId="5FC61FE9" w14:textId="77777777" w:rsidR="007300AF" w:rsidRDefault="006B013F">
      <w:pPr>
        <w:pStyle w:val="ListParagraph"/>
        <w:numPr>
          <w:ilvl w:val="1"/>
          <w:numId w:val="2"/>
        </w:numPr>
        <w:tabs>
          <w:tab w:val="left" w:pos="1556"/>
        </w:tabs>
        <w:ind w:left="1556"/>
      </w:pPr>
      <w:r>
        <w:t>to</w:t>
      </w:r>
      <w:r>
        <w:rPr>
          <w:spacing w:val="-6"/>
        </w:rPr>
        <w:t xml:space="preserve"> </w:t>
      </w:r>
      <w:r>
        <w:t>be</w:t>
      </w:r>
      <w:r>
        <w:rPr>
          <w:spacing w:val="-5"/>
        </w:rPr>
        <w:t xml:space="preserve"> </w:t>
      </w:r>
      <w:r>
        <w:t>represented</w:t>
      </w:r>
      <w:r>
        <w:rPr>
          <w:spacing w:val="-5"/>
        </w:rPr>
        <w:t xml:space="preserve"> </w:t>
      </w:r>
      <w:r>
        <w:t>in</w:t>
      </w:r>
      <w:r>
        <w:rPr>
          <w:spacing w:val="-3"/>
        </w:rPr>
        <w:t xml:space="preserve"> </w:t>
      </w:r>
      <w:r>
        <w:t>any</w:t>
      </w:r>
      <w:r>
        <w:rPr>
          <w:spacing w:val="-7"/>
        </w:rPr>
        <w:t xml:space="preserve"> </w:t>
      </w:r>
      <w:r>
        <w:t>matter</w:t>
      </w:r>
      <w:r>
        <w:rPr>
          <w:spacing w:val="-5"/>
        </w:rPr>
        <w:t xml:space="preserve"> </w:t>
      </w:r>
      <w:r>
        <w:t>before</w:t>
      </w:r>
      <w:r>
        <w:rPr>
          <w:spacing w:val="-3"/>
        </w:rPr>
        <w:t xml:space="preserve"> </w:t>
      </w:r>
      <w:r>
        <w:t>any</w:t>
      </w:r>
      <w:r>
        <w:rPr>
          <w:spacing w:val="-5"/>
        </w:rPr>
        <w:t xml:space="preserve"> </w:t>
      </w:r>
      <w:r>
        <w:t>Court,</w:t>
      </w:r>
      <w:r>
        <w:rPr>
          <w:spacing w:val="-6"/>
        </w:rPr>
        <w:t xml:space="preserve"> </w:t>
      </w:r>
      <w:r>
        <w:t>tribunal,</w:t>
      </w:r>
      <w:r>
        <w:rPr>
          <w:spacing w:val="-1"/>
        </w:rPr>
        <w:t xml:space="preserve"> </w:t>
      </w:r>
      <w:r>
        <w:t>body</w:t>
      </w:r>
      <w:r>
        <w:rPr>
          <w:spacing w:val="-5"/>
        </w:rPr>
        <w:t xml:space="preserve"> </w:t>
      </w:r>
      <w:r>
        <w:t>or</w:t>
      </w:r>
      <w:r>
        <w:rPr>
          <w:spacing w:val="-22"/>
        </w:rPr>
        <w:t xml:space="preserve"> </w:t>
      </w:r>
      <w:r>
        <w:rPr>
          <w:spacing w:val="-2"/>
        </w:rPr>
        <w:t>person;</w:t>
      </w:r>
    </w:p>
    <w:p w14:paraId="4EC30ADB" w14:textId="77777777" w:rsidR="007300AF" w:rsidRDefault="006B013F">
      <w:pPr>
        <w:pStyle w:val="ListParagraph"/>
        <w:numPr>
          <w:ilvl w:val="1"/>
          <w:numId w:val="2"/>
        </w:numPr>
        <w:tabs>
          <w:tab w:val="left" w:pos="1556"/>
        </w:tabs>
        <w:spacing w:before="2"/>
        <w:ind w:left="1556" w:right="321"/>
      </w:pPr>
      <w:r>
        <w:t>to</w:t>
      </w:r>
      <w:r>
        <w:rPr>
          <w:spacing w:val="-2"/>
        </w:rPr>
        <w:t xml:space="preserve"> </w:t>
      </w:r>
      <w:r>
        <w:t>exercise</w:t>
      </w:r>
      <w:r>
        <w:rPr>
          <w:spacing w:val="-2"/>
        </w:rPr>
        <w:t xml:space="preserve"> </w:t>
      </w:r>
      <w:r>
        <w:t>such</w:t>
      </w:r>
      <w:r>
        <w:rPr>
          <w:spacing w:val="-2"/>
        </w:rPr>
        <w:t xml:space="preserve"> </w:t>
      </w:r>
      <w:r>
        <w:t>powers</w:t>
      </w:r>
      <w:r>
        <w:rPr>
          <w:spacing w:val="-4"/>
        </w:rPr>
        <w:t xml:space="preserve"> </w:t>
      </w:r>
      <w:r>
        <w:t>as</w:t>
      </w:r>
      <w:r>
        <w:rPr>
          <w:spacing w:val="-1"/>
        </w:rPr>
        <w:t xml:space="preserve"> </w:t>
      </w:r>
      <w:r>
        <w:t>may</w:t>
      </w:r>
      <w:r>
        <w:rPr>
          <w:spacing w:val="-4"/>
        </w:rPr>
        <w:t xml:space="preserve"> </w:t>
      </w:r>
      <w:r>
        <w:t>be</w:t>
      </w:r>
      <w:r>
        <w:rPr>
          <w:spacing w:val="-4"/>
        </w:rPr>
        <w:t xml:space="preserve"> </w:t>
      </w:r>
      <w:r>
        <w:t>conferred</w:t>
      </w:r>
      <w:r>
        <w:rPr>
          <w:spacing w:val="-4"/>
        </w:rPr>
        <w:t xml:space="preserve"> </w:t>
      </w:r>
      <w:r>
        <w:t>upon</w:t>
      </w:r>
      <w:r>
        <w:rPr>
          <w:spacing w:val="-2"/>
        </w:rPr>
        <w:t xml:space="preserve"> </w:t>
      </w:r>
      <w:r>
        <w:t>the</w:t>
      </w:r>
      <w:r>
        <w:rPr>
          <w:spacing w:val="-4"/>
        </w:rPr>
        <w:t xml:space="preserve"> </w:t>
      </w:r>
      <w:r>
        <w:t>Association</w:t>
      </w:r>
      <w:r>
        <w:rPr>
          <w:spacing w:val="-2"/>
        </w:rPr>
        <w:t xml:space="preserve"> </w:t>
      </w:r>
      <w:r>
        <w:t>by</w:t>
      </w:r>
      <w:r>
        <w:rPr>
          <w:spacing w:val="-6"/>
        </w:rPr>
        <w:t xml:space="preserve"> </w:t>
      </w:r>
      <w:r>
        <w:t>the LP Act, any other legislation, Rules of Court, or</w:t>
      </w:r>
      <w:r>
        <w:rPr>
          <w:spacing w:val="-13"/>
        </w:rPr>
        <w:t xml:space="preserve"> </w:t>
      </w:r>
      <w:r>
        <w:t>otherwise;</w:t>
      </w:r>
    </w:p>
    <w:p w14:paraId="2B844BE7" w14:textId="77777777" w:rsidR="007300AF" w:rsidRDefault="006B013F">
      <w:pPr>
        <w:pStyle w:val="ListParagraph"/>
        <w:numPr>
          <w:ilvl w:val="1"/>
          <w:numId w:val="2"/>
        </w:numPr>
        <w:tabs>
          <w:tab w:val="left" w:pos="1556"/>
        </w:tabs>
        <w:ind w:left="1556" w:right="189"/>
      </w:pPr>
      <w:r>
        <w:t>to confer, and when thought fit, to cooperate with bodies in Australia or elsewhere representing the profession of the law or any branch thereof, or with any other bodies in Australia or elsewhere, as to matters directly or indirectly affecting the profession of the law, or which may affect the Association or its members, or may affect the attainment of the objects of Association; and, form and maintain associations with the Australian Bar Association</w:t>
      </w:r>
      <w:r>
        <w:rPr>
          <w:spacing w:val="-3"/>
        </w:rPr>
        <w:t xml:space="preserve"> </w:t>
      </w:r>
      <w:r>
        <w:t>and</w:t>
      </w:r>
      <w:r>
        <w:rPr>
          <w:spacing w:val="-5"/>
        </w:rPr>
        <w:t xml:space="preserve"> </w:t>
      </w:r>
      <w:r>
        <w:t>the</w:t>
      </w:r>
      <w:r>
        <w:rPr>
          <w:spacing w:val="-3"/>
        </w:rPr>
        <w:t xml:space="preserve"> </w:t>
      </w:r>
      <w:r>
        <w:t>Law</w:t>
      </w:r>
      <w:r>
        <w:rPr>
          <w:spacing w:val="-8"/>
        </w:rPr>
        <w:t xml:space="preserve"> </w:t>
      </w:r>
      <w:r>
        <w:t>Council</w:t>
      </w:r>
      <w:r>
        <w:rPr>
          <w:spacing w:val="-3"/>
        </w:rPr>
        <w:t xml:space="preserve"> </w:t>
      </w:r>
      <w:r>
        <w:t>of</w:t>
      </w:r>
      <w:r>
        <w:rPr>
          <w:spacing w:val="-1"/>
        </w:rPr>
        <w:t xml:space="preserve"> </w:t>
      </w:r>
      <w:r>
        <w:t>Australia,</w:t>
      </w:r>
      <w:r>
        <w:rPr>
          <w:spacing w:val="-1"/>
        </w:rPr>
        <w:t xml:space="preserve"> </w:t>
      </w:r>
      <w:r>
        <w:t>or</w:t>
      </w:r>
      <w:r>
        <w:rPr>
          <w:spacing w:val="-1"/>
        </w:rPr>
        <w:t xml:space="preserve"> </w:t>
      </w:r>
      <w:r>
        <w:t>any</w:t>
      </w:r>
      <w:r>
        <w:rPr>
          <w:spacing w:val="-5"/>
        </w:rPr>
        <w:t xml:space="preserve"> </w:t>
      </w:r>
      <w:r>
        <w:t>other</w:t>
      </w:r>
      <w:r>
        <w:rPr>
          <w:spacing w:val="-1"/>
        </w:rPr>
        <w:t xml:space="preserve"> </w:t>
      </w:r>
      <w:r>
        <w:t>body</w:t>
      </w:r>
      <w:r>
        <w:rPr>
          <w:spacing w:val="-5"/>
        </w:rPr>
        <w:t xml:space="preserve"> </w:t>
      </w:r>
      <w:r>
        <w:t>in</w:t>
      </w:r>
      <w:r>
        <w:rPr>
          <w:spacing w:val="-3"/>
        </w:rPr>
        <w:t xml:space="preserve"> </w:t>
      </w:r>
      <w:r>
        <w:t>Australia or elsewhere whether or not connected with the profession of the</w:t>
      </w:r>
      <w:r>
        <w:rPr>
          <w:spacing w:val="-14"/>
        </w:rPr>
        <w:t xml:space="preserve"> </w:t>
      </w:r>
      <w:r>
        <w:t>law;</w:t>
      </w:r>
    </w:p>
    <w:p w14:paraId="0D609651" w14:textId="77777777" w:rsidR="007300AF" w:rsidRDefault="006B013F">
      <w:pPr>
        <w:pStyle w:val="ListParagraph"/>
        <w:numPr>
          <w:ilvl w:val="1"/>
          <w:numId w:val="2"/>
        </w:numPr>
        <w:tabs>
          <w:tab w:val="left" w:pos="1556"/>
        </w:tabs>
        <w:ind w:left="1556" w:right="590" w:hanging="721"/>
      </w:pPr>
      <w:r>
        <w:t>to</w:t>
      </w:r>
      <w:r>
        <w:rPr>
          <w:spacing w:val="-5"/>
        </w:rPr>
        <w:t xml:space="preserve"> </w:t>
      </w:r>
      <w:r>
        <w:t>make</w:t>
      </w:r>
      <w:r>
        <w:rPr>
          <w:spacing w:val="-5"/>
        </w:rPr>
        <w:t xml:space="preserve"> </w:t>
      </w:r>
      <w:r>
        <w:t>suggestions</w:t>
      </w:r>
      <w:r>
        <w:rPr>
          <w:spacing w:val="-5"/>
        </w:rPr>
        <w:t xml:space="preserve"> </w:t>
      </w:r>
      <w:r>
        <w:t>upon</w:t>
      </w:r>
      <w:r>
        <w:rPr>
          <w:spacing w:val="-3"/>
        </w:rPr>
        <w:t xml:space="preserve"> </w:t>
      </w:r>
      <w:r>
        <w:t>legislation,</w:t>
      </w:r>
      <w:r>
        <w:rPr>
          <w:spacing w:val="-3"/>
        </w:rPr>
        <w:t xml:space="preserve"> </w:t>
      </w:r>
      <w:r>
        <w:t>Rules</w:t>
      </w:r>
      <w:r>
        <w:rPr>
          <w:spacing w:val="-2"/>
        </w:rPr>
        <w:t xml:space="preserve"> </w:t>
      </w:r>
      <w:r>
        <w:t>of</w:t>
      </w:r>
      <w:r>
        <w:rPr>
          <w:spacing w:val="-1"/>
        </w:rPr>
        <w:t xml:space="preserve"> </w:t>
      </w:r>
      <w:r>
        <w:t>Court,</w:t>
      </w:r>
      <w:r>
        <w:rPr>
          <w:spacing w:val="-4"/>
        </w:rPr>
        <w:t xml:space="preserve"> </w:t>
      </w:r>
      <w:r>
        <w:t>the</w:t>
      </w:r>
      <w:r>
        <w:rPr>
          <w:spacing w:val="-3"/>
        </w:rPr>
        <w:t xml:space="preserve"> </w:t>
      </w:r>
      <w:r>
        <w:t>business</w:t>
      </w:r>
      <w:r>
        <w:rPr>
          <w:spacing w:val="-5"/>
        </w:rPr>
        <w:t xml:space="preserve"> </w:t>
      </w:r>
      <w:r>
        <w:t xml:space="preserve">and procedure of Courts, and the accommodation and condition of Court </w:t>
      </w:r>
      <w:r>
        <w:rPr>
          <w:spacing w:val="-2"/>
        </w:rPr>
        <w:t>buildings;</w:t>
      </w:r>
    </w:p>
    <w:p w14:paraId="4D735A25" w14:textId="77777777" w:rsidR="007300AF" w:rsidRDefault="006B013F">
      <w:pPr>
        <w:pStyle w:val="ListParagraph"/>
        <w:numPr>
          <w:ilvl w:val="1"/>
          <w:numId w:val="2"/>
        </w:numPr>
        <w:tabs>
          <w:tab w:val="left" w:pos="1556"/>
        </w:tabs>
        <w:spacing w:before="1"/>
        <w:ind w:left="1556" w:right="616"/>
      </w:pPr>
      <w:r>
        <w:t>to inquire into and report upon applications for admission as a legal practitioner</w:t>
      </w:r>
      <w:r>
        <w:rPr>
          <w:spacing w:val="-1"/>
        </w:rPr>
        <w:t xml:space="preserve"> </w:t>
      </w:r>
      <w:r>
        <w:t>and</w:t>
      </w:r>
      <w:r>
        <w:rPr>
          <w:spacing w:val="-4"/>
        </w:rPr>
        <w:t xml:space="preserve"> </w:t>
      </w:r>
      <w:r>
        <w:t>to</w:t>
      </w:r>
      <w:r>
        <w:rPr>
          <w:spacing w:val="-4"/>
        </w:rPr>
        <w:t xml:space="preserve"> </w:t>
      </w:r>
      <w:r>
        <w:t>take</w:t>
      </w:r>
      <w:r>
        <w:rPr>
          <w:spacing w:val="-4"/>
        </w:rPr>
        <w:t xml:space="preserve"> </w:t>
      </w:r>
      <w:r>
        <w:t>such</w:t>
      </w:r>
      <w:r>
        <w:rPr>
          <w:spacing w:val="-2"/>
        </w:rPr>
        <w:t xml:space="preserve"> </w:t>
      </w:r>
      <w:r>
        <w:t>action</w:t>
      </w:r>
      <w:r>
        <w:rPr>
          <w:spacing w:val="-4"/>
        </w:rPr>
        <w:t xml:space="preserve"> </w:t>
      </w:r>
      <w:r>
        <w:t>thereon</w:t>
      </w:r>
      <w:r>
        <w:rPr>
          <w:spacing w:val="-2"/>
        </w:rPr>
        <w:t xml:space="preserve"> </w:t>
      </w:r>
      <w:r>
        <w:t>as</w:t>
      </w:r>
      <w:r>
        <w:rPr>
          <w:spacing w:val="-6"/>
        </w:rPr>
        <w:t xml:space="preserve"> </w:t>
      </w:r>
      <w:r>
        <w:t>may</w:t>
      </w:r>
      <w:r>
        <w:rPr>
          <w:spacing w:val="-4"/>
        </w:rPr>
        <w:t xml:space="preserve"> </w:t>
      </w:r>
      <w:r>
        <w:t>be</w:t>
      </w:r>
      <w:r>
        <w:rPr>
          <w:spacing w:val="-2"/>
        </w:rPr>
        <w:t xml:space="preserve"> </w:t>
      </w:r>
      <w:r>
        <w:t>deemed</w:t>
      </w:r>
      <w:r>
        <w:rPr>
          <w:spacing w:val="-16"/>
        </w:rPr>
        <w:t xml:space="preserve"> </w:t>
      </w:r>
      <w:r>
        <w:t>proper;</w:t>
      </w:r>
    </w:p>
    <w:p w14:paraId="5D562A89" w14:textId="77777777" w:rsidR="007300AF" w:rsidRDefault="007300AF">
      <w:pPr>
        <w:sectPr w:rsidR="007300AF" w:rsidSect="00C32D07">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162" w:bottom="998" w:left="1678" w:header="720" w:footer="720" w:gutter="0"/>
          <w:pgNumType w:start="1"/>
          <w:cols w:space="720"/>
        </w:sectPr>
      </w:pPr>
    </w:p>
    <w:p w14:paraId="4DAAB597" w14:textId="77777777" w:rsidR="007300AF" w:rsidRDefault="006B013F">
      <w:pPr>
        <w:pStyle w:val="ListParagraph"/>
        <w:numPr>
          <w:ilvl w:val="1"/>
          <w:numId w:val="2"/>
        </w:numPr>
        <w:tabs>
          <w:tab w:val="left" w:pos="1557"/>
        </w:tabs>
        <w:spacing w:before="73"/>
        <w:ind w:right="149" w:hanging="721"/>
      </w:pPr>
      <w:r>
        <w:lastRenderedPageBreak/>
        <w:t>to</w:t>
      </w:r>
      <w:r>
        <w:rPr>
          <w:spacing w:val="-3"/>
        </w:rPr>
        <w:t xml:space="preserve"> </w:t>
      </w:r>
      <w:r>
        <w:t>promote,</w:t>
      </w:r>
      <w:r>
        <w:rPr>
          <w:spacing w:val="-3"/>
        </w:rPr>
        <w:t xml:space="preserve"> </w:t>
      </w:r>
      <w:r>
        <w:t>conduct</w:t>
      </w:r>
      <w:r>
        <w:rPr>
          <w:spacing w:val="-1"/>
        </w:rPr>
        <w:t xml:space="preserve"> </w:t>
      </w:r>
      <w:r>
        <w:t>or</w:t>
      </w:r>
      <w:r>
        <w:rPr>
          <w:spacing w:val="-1"/>
        </w:rPr>
        <w:t xml:space="preserve"> </w:t>
      </w:r>
      <w:r>
        <w:t>cooperate</w:t>
      </w:r>
      <w:r>
        <w:rPr>
          <w:spacing w:val="-5"/>
        </w:rPr>
        <w:t xml:space="preserve"> </w:t>
      </w:r>
      <w:r>
        <w:t>in</w:t>
      </w:r>
      <w:r>
        <w:rPr>
          <w:spacing w:val="-3"/>
        </w:rPr>
        <w:t xml:space="preserve"> </w:t>
      </w:r>
      <w:r>
        <w:t>the</w:t>
      </w:r>
      <w:r>
        <w:rPr>
          <w:spacing w:val="-5"/>
        </w:rPr>
        <w:t xml:space="preserve"> </w:t>
      </w:r>
      <w:r>
        <w:t>promotion</w:t>
      </w:r>
      <w:r>
        <w:rPr>
          <w:spacing w:val="-3"/>
        </w:rPr>
        <w:t xml:space="preserve"> </w:t>
      </w:r>
      <w:r>
        <w:t>or</w:t>
      </w:r>
      <w:r>
        <w:rPr>
          <w:spacing w:val="-4"/>
        </w:rPr>
        <w:t xml:space="preserve"> </w:t>
      </w:r>
      <w:r>
        <w:t>conduct</w:t>
      </w:r>
      <w:r>
        <w:rPr>
          <w:spacing w:val="-3"/>
        </w:rPr>
        <w:t xml:space="preserve"> </w:t>
      </w:r>
      <w:r>
        <w:t>of</w:t>
      </w:r>
      <w:r>
        <w:rPr>
          <w:spacing w:val="-1"/>
        </w:rPr>
        <w:t xml:space="preserve"> </w:t>
      </w:r>
      <w:r>
        <w:t>activities</w:t>
      </w:r>
      <w:r>
        <w:rPr>
          <w:spacing w:val="-2"/>
        </w:rPr>
        <w:t xml:space="preserve"> </w:t>
      </w:r>
      <w:r>
        <w:t>of a professional, educational, cultural, sporting and social nature amongst Members of the Association.</w:t>
      </w:r>
    </w:p>
    <w:p w14:paraId="29054A4F" w14:textId="77777777" w:rsidR="007300AF" w:rsidRDefault="006B013F">
      <w:pPr>
        <w:pStyle w:val="Heading1"/>
        <w:spacing w:before="112"/>
      </w:pPr>
      <w:bookmarkStart w:id="3" w:name="Nature_of_the_Scheme"/>
      <w:bookmarkEnd w:id="3"/>
      <w:r>
        <w:t>Nature</w:t>
      </w:r>
      <w:r>
        <w:rPr>
          <w:spacing w:val="-3"/>
        </w:rPr>
        <w:t xml:space="preserve"> </w:t>
      </w:r>
      <w:r>
        <w:t>of</w:t>
      </w:r>
      <w:r>
        <w:rPr>
          <w:spacing w:val="-4"/>
        </w:rPr>
        <w:t xml:space="preserve"> </w:t>
      </w:r>
      <w:r>
        <w:t>the</w:t>
      </w:r>
      <w:r>
        <w:rPr>
          <w:spacing w:val="-2"/>
        </w:rPr>
        <w:t xml:space="preserve"> Scheme</w:t>
      </w:r>
    </w:p>
    <w:p w14:paraId="4B00741E" w14:textId="77777777" w:rsidR="007300AF" w:rsidRDefault="006B013F">
      <w:pPr>
        <w:pStyle w:val="ListParagraph"/>
        <w:numPr>
          <w:ilvl w:val="0"/>
          <w:numId w:val="2"/>
        </w:numPr>
        <w:tabs>
          <w:tab w:val="left" w:pos="837"/>
        </w:tabs>
        <w:spacing w:before="244"/>
        <w:ind w:right="368"/>
      </w:pPr>
      <w:r>
        <w:t>The Bar Association of Queensland Professional Standards Scheme (“the Scheme”) is</w:t>
      </w:r>
      <w:r>
        <w:rPr>
          <w:spacing w:val="-4"/>
        </w:rPr>
        <w:t xml:space="preserve"> </w:t>
      </w:r>
      <w:r>
        <w:t>a</w:t>
      </w:r>
      <w:r>
        <w:rPr>
          <w:spacing w:val="-2"/>
        </w:rPr>
        <w:t xml:space="preserve"> </w:t>
      </w:r>
      <w:r>
        <w:t>scheme</w:t>
      </w:r>
      <w:r>
        <w:rPr>
          <w:spacing w:val="-4"/>
        </w:rPr>
        <w:t xml:space="preserve"> </w:t>
      </w:r>
      <w:r>
        <w:t>under</w:t>
      </w:r>
      <w:r>
        <w:rPr>
          <w:spacing w:val="-3"/>
        </w:rPr>
        <w:t xml:space="preserve"> </w:t>
      </w:r>
      <w:r>
        <w:t>the</w:t>
      </w:r>
      <w:r>
        <w:rPr>
          <w:spacing w:val="-2"/>
        </w:rPr>
        <w:t xml:space="preserve"> </w:t>
      </w:r>
      <w:r>
        <w:rPr>
          <w:i/>
        </w:rPr>
        <w:t>Professional</w:t>
      </w:r>
      <w:r>
        <w:rPr>
          <w:i/>
          <w:spacing w:val="-2"/>
        </w:rPr>
        <w:t xml:space="preserve"> </w:t>
      </w:r>
      <w:r>
        <w:rPr>
          <w:i/>
        </w:rPr>
        <w:t>Standards</w:t>
      </w:r>
      <w:r>
        <w:rPr>
          <w:i/>
          <w:spacing w:val="-1"/>
        </w:rPr>
        <w:t xml:space="preserve"> </w:t>
      </w:r>
      <w:r>
        <w:rPr>
          <w:i/>
        </w:rPr>
        <w:t>Act 2004</w:t>
      </w:r>
      <w:r>
        <w:rPr>
          <w:i/>
          <w:spacing w:val="-4"/>
        </w:rPr>
        <w:t xml:space="preserve"> </w:t>
      </w:r>
      <w:r>
        <w:t>(Qld)</w:t>
      </w:r>
      <w:r>
        <w:rPr>
          <w:spacing w:val="-3"/>
        </w:rPr>
        <w:t xml:space="preserve"> </w:t>
      </w:r>
      <w:r>
        <w:t>(“the</w:t>
      </w:r>
      <w:r>
        <w:rPr>
          <w:spacing w:val="-4"/>
        </w:rPr>
        <w:t xml:space="preserve"> </w:t>
      </w:r>
      <w:r>
        <w:t>PS Act”) that applies to the persons referred to below in clause 2.</w:t>
      </w:r>
    </w:p>
    <w:p w14:paraId="6B737E4F" w14:textId="77777777" w:rsidR="007300AF" w:rsidRDefault="006B013F">
      <w:pPr>
        <w:pStyle w:val="ListParagraph"/>
        <w:numPr>
          <w:ilvl w:val="0"/>
          <w:numId w:val="2"/>
        </w:numPr>
        <w:tabs>
          <w:tab w:val="left" w:pos="837"/>
        </w:tabs>
        <w:spacing w:before="242"/>
        <w:ind w:right="169"/>
      </w:pPr>
      <w:r>
        <w:t>The Scheme does not apply to all members of the Association. Article 4.1 of the Bar</w:t>
      </w:r>
      <w:r>
        <w:rPr>
          <w:spacing w:val="-1"/>
        </w:rPr>
        <w:t xml:space="preserve"> </w:t>
      </w:r>
      <w:r>
        <w:t>Association</w:t>
      </w:r>
      <w:r>
        <w:rPr>
          <w:spacing w:val="-5"/>
        </w:rPr>
        <w:t xml:space="preserve"> </w:t>
      </w:r>
      <w:r>
        <w:t>of</w:t>
      </w:r>
      <w:r>
        <w:rPr>
          <w:spacing w:val="-1"/>
        </w:rPr>
        <w:t xml:space="preserve"> </w:t>
      </w:r>
      <w:r>
        <w:t>Queensland</w:t>
      </w:r>
      <w:r>
        <w:rPr>
          <w:spacing w:val="-3"/>
        </w:rPr>
        <w:t xml:space="preserve"> </w:t>
      </w:r>
      <w:r>
        <w:t>Constitution</w:t>
      </w:r>
      <w:r>
        <w:rPr>
          <w:spacing w:val="-3"/>
        </w:rPr>
        <w:t xml:space="preserve"> </w:t>
      </w:r>
      <w:r>
        <w:t>provides</w:t>
      </w:r>
      <w:r>
        <w:rPr>
          <w:spacing w:val="-5"/>
        </w:rPr>
        <w:t xml:space="preserve"> </w:t>
      </w:r>
      <w:r>
        <w:t>for</w:t>
      </w:r>
      <w:r>
        <w:rPr>
          <w:spacing w:val="-4"/>
        </w:rPr>
        <w:t xml:space="preserve"> </w:t>
      </w:r>
      <w:r>
        <w:t>four</w:t>
      </w:r>
      <w:r>
        <w:rPr>
          <w:spacing w:val="-4"/>
        </w:rPr>
        <w:t xml:space="preserve"> </w:t>
      </w:r>
      <w:r>
        <w:t>types</w:t>
      </w:r>
      <w:r>
        <w:rPr>
          <w:spacing w:val="-2"/>
        </w:rPr>
        <w:t xml:space="preserve"> </w:t>
      </w:r>
      <w:r>
        <w:t>of</w:t>
      </w:r>
      <w:r>
        <w:rPr>
          <w:spacing w:val="-4"/>
        </w:rPr>
        <w:t xml:space="preserve"> </w:t>
      </w:r>
      <w:r>
        <w:t>membership: Ordinary Member - Class A, Class B or Class C; Associate Member; Honorary Member; or Life Member. The Constitution provides that a person, who agrees before admission to membership to undertake to abide by the Constitution and Rules of the Association, may be admitted as an Ordinary</w:t>
      </w:r>
      <w:r>
        <w:rPr>
          <w:spacing w:val="-11"/>
        </w:rPr>
        <w:t xml:space="preserve"> </w:t>
      </w:r>
      <w:r>
        <w:t>Member:</w:t>
      </w:r>
    </w:p>
    <w:p w14:paraId="48C18D9E" w14:textId="77777777" w:rsidR="007300AF" w:rsidRDefault="006B013F">
      <w:pPr>
        <w:pStyle w:val="ListParagraph"/>
        <w:numPr>
          <w:ilvl w:val="1"/>
          <w:numId w:val="2"/>
        </w:numPr>
        <w:tabs>
          <w:tab w:val="left" w:pos="1558"/>
        </w:tabs>
        <w:spacing w:before="119"/>
        <w:ind w:left="1558"/>
      </w:pPr>
      <w:r>
        <w:t>in</w:t>
      </w:r>
      <w:r>
        <w:rPr>
          <w:spacing w:val="-4"/>
        </w:rPr>
        <w:t xml:space="preserve"> </w:t>
      </w:r>
      <w:r>
        <w:t>Class</w:t>
      </w:r>
      <w:r>
        <w:rPr>
          <w:spacing w:val="-2"/>
        </w:rPr>
        <w:t xml:space="preserve"> </w:t>
      </w:r>
      <w:r>
        <w:t>A</w:t>
      </w:r>
      <w:r>
        <w:rPr>
          <w:spacing w:val="-6"/>
        </w:rPr>
        <w:t xml:space="preserve"> </w:t>
      </w:r>
      <w:r>
        <w:t>for</w:t>
      </w:r>
      <w:r>
        <w:rPr>
          <w:spacing w:val="-1"/>
        </w:rPr>
        <w:t xml:space="preserve"> </w:t>
      </w:r>
      <w:r>
        <w:t>any</w:t>
      </w:r>
      <w:r>
        <w:rPr>
          <w:spacing w:val="-5"/>
        </w:rPr>
        <w:t xml:space="preserve"> </w:t>
      </w:r>
      <w:r>
        <w:t>local</w:t>
      </w:r>
      <w:r>
        <w:rPr>
          <w:spacing w:val="-4"/>
        </w:rPr>
        <w:t xml:space="preserve"> </w:t>
      </w:r>
      <w:r>
        <w:t>practising</w:t>
      </w:r>
      <w:r>
        <w:rPr>
          <w:spacing w:val="-13"/>
        </w:rPr>
        <w:t xml:space="preserve"> </w:t>
      </w:r>
      <w:r>
        <w:rPr>
          <w:spacing w:val="-2"/>
        </w:rPr>
        <w:t>barrister;</w:t>
      </w:r>
    </w:p>
    <w:p w14:paraId="4462B60C" w14:textId="77777777" w:rsidR="007300AF" w:rsidRDefault="006B013F">
      <w:pPr>
        <w:pStyle w:val="ListParagraph"/>
        <w:numPr>
          <w:ilvl w:val="1"/>
          <w:numId w:val="2"/>
        </w:numPr>
        <w:tabs>
          <w:tab w:val="left" w:pos="1557"/>
        </w:tabs>
        <w:spacing w:before="1"/>
        <w:ind w:right="453"/>
      </w:pPr>
      <w:r>
        <w:t>in</w:t>
      </w:r>
      <w:r>
        <w:rPr>
          <w:spacing w:val="-2"/>
        </w:rPr>
        <w:t xml:space="preserve"> </w:t>
      </w:r>
      <w:r>
        <w:t>Class</w:t>
      </w:r>
      <w:r>
        <w:rPr>
          <w:spacing w:val="-1"/>
        </w:rPr>
        <w:t xml:space="preserve"> </w:t>
      </w:r>
      <w:r>
        <w:t>B</w:t>
      </w:r>
      <w:r>
        <w:rPr>
          <w:spacing w:val="-5"/>
        </w:rPr>
        <w:t xml:space="preserve"> </w:t>
      </w:r>
      <w:r>
        <w:t>for any</w:t>
      </w:r>
      <w:r>
        <w:rPr>
          <w:spacing w:val="-4"/>
        </w:rPr>
        <w:t xml:space="preserve"> </w:t>
      </w:r>
      <w:r>
        <w:t>person</w:t>
      </w:r>
      <w:r>
        <w:rPr>
          <w:spacing w:val="-2"/>
        </w:rPr>
        <w:t xml:space="preserve"> </w:t>
      </w:r>
      <w:r>
        <w:t>who</w:t>
      </w:r>
      <w:r>
        <w:rPr>
          <w:spacing w:val="-2"/>
        </w:rPr>
        <w:t xml:space="preserve"> </w:t>
      </w:r>
      <w:r>
        <w:t>holds</w:t>
      </w:r>
      <w:r>
        <w:rPr>
          <w:spacing w:val="-1"/>
        </w:rPr>
        <w:t xml:space="preserve"> </w:t>
      </w:r>
      <w:r>
        <w:t>a</w:t>
      </w:r>
      <w:r>
        <w:rPr>
          <w:spacing w:val="-2"/>
        </w:rPr>
        <w:t xml:space="preserve"> </w:t>
      </w:r>
      <w:r>
        <w:t>practising</w:t>
      </w:r>
      <w:r>
        <w:rPr>
          <w:spacing w:val="-4"/>
        </w:rPr>
        <w:t xml:space="preserve"> </w:t>
      </w:r>
      <w:r>
        <w:t>certificate</w:t>
      </w:r>
      <w:r>
        <w:rPr>
          <w:spacing w:val="-2"/>
        </w:rPr>
        <w:t xml:space="preserve"> </w:t>
      </w:r>
      <w:r>
        <w:t>issued</w:t>
      </w:r>
      <w:r>
        <w:rPr>
          <w:spacing w:val="-4"/>
        </w:rPr>
        <w:t xml:space="preserve"> </w:t>
      </w:r>
      <w:r>
        <w:t>by</w:t>
      </w:r>
      <w:r>
        <w:rPr>
          <w:spacing w:val="-4"/>
        </w:rPr>
        <w:t xml:space="preserve"> </w:t>
      </w:r>
      <w:r>
        <w:t>the Association who is not a local practising barrister;</w:t>
      </w:r>
      <w:r>
        <w:rPr>
          <w:spacing w:val="-5"/>
        </w:rPr>
        <w:t xml:space="preserve"> </w:t>
      </w:r>
      <w:r>
        <w:t>or</w:t>
      </w:r>
    </w:p>
    <w:p w14:paraId="19EEC76C" w14:textId="77777777" w:rsidR="007300AF" w:rsidRDefault="006B013F">
      <w:pPr>
        <w:pStyle w:val="ListParagraph"/>
        <w:numPr>
          <w:ilvl w:val="1"/>
          <w:numId w:val="2"/>
        </w:numPr>
        <w:tabs>
          <w:tab w:val="left" w:pos="1558"/>
        </w:tabs>
        <w:spacing w:line="251" w:lineRule="exact"/>
        <w:ind w:left="1558"/>
      </w:pPr>
      <w:r>
        <w:t>in</w:t>
      </w:r>
      <w:r>
        <w:rPr>
          <w:spacing w:val="-8"/>
        </w:rPr>
        <w:t xml:space="preserve"> </w:t>
      </w:r>
      <w:r>
        <w:t>Class</w:t>
      </w:r>
      <w:r>
        <w:rPr>
          <w:spacing w:val="-4"/>
        </w:rPr>
        <w:t xml:space="preserve"> </w:t>
      </w:r>
      <w:r>
        <w:t>C,</w:t>
      </w:r>
      <w:r>
        <w:rPr>
          <w:spacing w:val="-3"/>
        </w:rPr>
        <w:t xml:space="preserve"> </w:t>
      </w:r>
      <w:r>
        <w:t>being</w:t>
      </w:r>
      <w:r>
        <w:rPr>
          <w:spacing w:val="-5"/>
        </w:rPr>
        <w:t xml:space="preserve"> </w:t>
      </w:r>
      <w:r>
        <w:t>an</w:t>
      </w:r>
      <w:r>
        <w:rPr>
          <w:spacing w:val="-4"/>
        </w:rPr>
        <w:t xml:space="preserve"> </w:t>
      </w:r>
      <w:r>
        <w:t>interstate</w:t>
      </w:r>
      <w:r>
        <w:rPr>
          <w:spacing w:val="-5"/>
        </w:rPr>
        <w:t xml:space="preserve"> </w:t>
      </w:r>
      <w:r>
        <w:t>practising</w:t>
      </w:r>
      <w:r>
        <w:rPr>
          <w:spacing w:val="-15"/>
        </w:rPr>
        <w:t xml:space="preserve"> </w:t>
      </w:r>
      <w:r>
        <w:rPr>
          <w:spacing w:val="-2"/>
        </w:rPr>
        <w:t>barrister.</w:t>
      </w:r>
    </w:p>
    <w:p w14:paraId="786544A3" w14:textId="77777777" w:rsidR="007300AF" w:rsidRDefault="006B013F">
      <w:pPr>
        <w:pStyle w:val="BodyText"/>
        <w:spacing w:before="124"/>
        <w:ind w:left="838" w:firstLine="0"/>
      </w:pPr>
      <w:r>
        <w:t>Article 4.8 of the Constitution provides that Life Members are members or former members of the Association appointed for exceptional service to justice, the law or the</w:t>
      </w:r>
      <w:r>
        <w:rPr>
          <w:spacing w:val="-2"/>
        </w:rPr>
        <w:t xml:space="preserve"> </w:t>
      </w:r>
      <w:r>
        <w:t>Association</w:t>
      </w:r>
      <w:r>
        <w:rPr>
          <w:spacing w:val="-2"/>
        </w:rPr>
        <w:t xml:space="preserve"> </w:t>
      </w:r>
      <w:r>
        <w:t>upon</w:t>
      </w:r>
      <w:r>
        <w:rPr>
          <w:spacing w:val="-2"/>
        </w:rPr>
        <w:t xml:space="preserve"> </w:t>
      </w:r>
      <w:r>
        <w:t>nomination</w:t>
      </w:r>
      <w:r>
        <w:rPr>
          <w:spacing w:val="-2"/>
        </w:rPr>
        <w:t xml:space="preserve"> </w:t>
      </w:r>
      <w:r>
        <w:t>by</w:t>
      </w:r>
      <w:r>
        <w:rPr>
          <w:spacing w:val="-4"/>
        </w:rPr>
        <w:t xml:space="preserve"> </w:t>
      </w:r>
      <w:r>
        <w:t>the</w:t>
      </w:r>
      <w:r>
        <w:rPr>
          <w:spacing w:val="-4"/>
        </w:rPr>
        <w:t xml:space="preserve"> </w:t>
      </w:r>
      <w:r>
        <w:t>President,</w:t>
      </w:r>
      <w:r>
        <w:rPr>
          <w:spacing w:val="-2"/>
        </w:rPr>
        <w:t xml:space="preserve"> </w:t>
      </w:r>
      <w:r>
        <w:t>seconded</w:t>
      </w:r>
      <w:r>
        <w:rPr>
          <w:spacing w:val="-4"/>
        </w:rPr>
        <w:t xml:space="preserve"> </w:t>
      </w:r>
      <w:r>
        <w:t>by</w:t>
      </w:r>
      <w:r>
        <w:rPr>
          <w:spacing w:val="-4"/>
        </w:rPr>
        <w:t xml:space="preserve"> </w:t>
      </w:r>
      <w:r>
        <w:t>the</w:t>
      </w:r>
      <w:r>
        <w:rPr>
          <w:spacing w:val="-2"/>
        </w:rPr>
        <w:t xml:space="preserve"> </w:t>
      </w:r>
      <w:r>
        <w:t>Vice-President and approved by no less than three-quarters majority of a general meeting. A Life Member may also belong to another class of membership.</w:t>
      </w:r>
    </w:p>
    <w:p w14:paraId="60070937" w14:textId="77777777" w:rsidR="007300AF" w:rsidRDefault="006B013F">
      <w:pPr>
        <w:pStyle w:val="BodyText"/>
        <w:spacing w:before="241"/>
        <w:ind w:firstLine="0"/>
      </w:pPr>
      <w:r>
        <w:t>The</w:t>
      </w:r>
      <w:r>
        <w:rPr>
          <w:spacing w:val="-5"/>
        </w:rPr>
        <w:t xml:space="preserve"> </w:t>
      </w:r>
      <w:r>
        <w:t>Scheme</w:t>
      </w:r>
      <w:r>
        <w:rPr>
          <w:spacing w:val="-5"/>
        </w:rPr>
        <w:t xml:space="preserve"> </w:t>
      </w:r>
      <w:r>
        <w:t>will</w:t>
      </w:r>
      <w:r>
        <w:rPr>
          <w:spacing w:val="-3"/>
        </w:rPr>
        <w:t xml:space="preserve"> </w:t>
      </w:r>
      <w:r>
        <w:t>only</w:t>
      </w:r>
      <w:r>
        <w:rPr>
          <w:spacing w:val="-4"/>
        </w:rPr>
        <w:t xml:space="preserve"> </w:t>
      </w:r>
      <w:r>
        <w:t>apply</w:t>
      </w:r>
      <w:r>
        <w:rPr>
          <w:spacing w:val="-5"/>
        </w:rPr>
        <w:t xml:space="preserve"> </w:t>
      </w:r>
      <w:r>
        <w:t>to</w:t>
      </w:r>
      <w:r>
        <w:rPr>
          <w:spacing w:val="-3"/>
        </w:rPr>
        <w:t xml:space="preserve"> </w:t>
      </w:r>
      <w:r>
        <w:t>Class</w:t>
      </w:r>
      <w:r>
        <w:rPr>
          <w:spacing w:val="-2"/>
        </w:rPr>
        <w:t xml:space="preserve"> </w:t>
      </w:r>
      <w:r>
        <w:t>A</w:t>
      </w:r>
      <w:r>
        <w:rPr>
          <w:spacing w:val="-5"/>
        </w:rPr>
        <w:t xml:space="preserve"> </w:t>
      </w:r>
      <w:r>
        <w:t>Ordinary</w:t>
      </w:r>
      <w:r>
        <w:rPr>
          <w:spacing w:val="-7"/>
        </w:rPr>
        <w:t xml:space="preserve"> </w:t>
      </w:r>
      <w:r>
        <w:t>members</w:t>
      </w:r>
      <w:r>
        <w:rPr>
          <w:spacing w:val="-2"/>
        </w:rPr>
        <w:t xml:space="preserve"> </w:t>
      </w:r>
      <w:r>
        <w:t>and</w:t>
      </w:r>
      <w:r>
        <w:rPr>
          <w:spacing w:val="-3"/>
        </w:rPr>
        <w:t xml:space="preserve"> </w:t>
      </w:r>
      <w:r>
        <w:t>Life</w:t>
      </w:r>
      <w:r>
        <w:rPr>
          <w:spacing w:val="-4"/>
        </w:rPr>
        <w:t xml:space="preserve"> </w:t>
      </w:r>
      <w:r>
        <w:rPr>
          <w:spacing w:val="-2"/>
        </w:rPr>
        <w:t>Members.</w:t>
      </w:r>
    </w:p>
    <w:p w14:paraId="08F96152" w14:textId="77777777" w:rsidR="007300AF" w:rsidRDefault="006B013F">
      <w:pPr>
        <w:pStyle w:val="ListParagraph"/>
        <w:numPr>
          <w:ilvl w:val="0"/>
          <w:numId w:val="2"/>
        </w:numPr>
        <w:tabs>
          <w:tab w:val="left" w:pos="837"/>
        </w:tabs>
        <w:spacing w:before="239"/>
        <w:ind w:right="623" w:hanging="720"/>
      </w:pPr>
      <w:r>
        <w:t>The</w:t>
      </w:r>
      <w:r>
        <w:rPr>
          <w:spacing w:val="-4"/>
        </w:rPr>
        <w:t xml:space="preserve"> </w:t>
      </w:r>
      <w:r>
        <w:t>approximate</w:t>
      </w:r>
      <w:r>
        <w:rPr>
          <w:spacing w:val="-4"/>
        </w:rPr>
        <w:t xml:space="preserve"> </w:t>
      </w:r>
      <w:r>
        <w:t>number of</w:t>
      </w:r>
      <w:r>
        <w:rPr>
          <w:spacing w:val="-3"/>
        </w:rPr>
        <w:t xml:space="preserve"> </w:t>
      </w:r>
      <w:r>
        <w:t>members</w:t>
      </w:r>
      <w:r>
        <w:rPr>
          <w:spacing w:val="-4"/>
        </w:rPr>
        <w:t xml:space="preserve"> </w:t>
      </w:r>
      <w:r>
        <w:t>of the</w:t>
      </w:r>
      <w:r>
        <w:rPr>
          <w:spacing w:val="-4"/>
        </w:rPr>
        <w:t xml:space="preserve"> </w:t>
      </w:r>
      <w:r>
        <w:t>Association</w:t>
      </w:r>
      <w:r>
        <w:rPr>
          <w:spacing w:val="-2"/>
        </w:rPr>
        <w:t xml:space="preserve"> </w:t>
      </w:r>
      <w:r>
        <w:t>to</w:t>
      </w:r>
      <w:r>
        <w:rPr>
          <w:spacing w:val="-4"/>
        </w:rPr>
        <w:t xml:space="preserve"> </w:t>
      </w:r>
      <w:r>
        <w:t>whom the</w:t>
      </w:r>
      <w:r>
        <w:rPr>
          <w:spacing w:val="-4"/>
        </w:rPr>
        <w:t xml:space="preserve"> </w:t>
      </w:r>
      <w:r>
        <w:t>Scheme might apply at its commencement is 1036.</w:t>
      </w:r>
    </w:p>
    <w:p w14:paraId="62172E33" w14:textId="77777777" w:rsidR="007300AF" w:rsidRDefault="006B013F">
      <w:pPr>
        <w:pStyle w:val="ListParagraph"/>
        <w:numPr>
          <w:ilvl w:val="0"/>
          <w:numId w:val="2"/>
        </w:numPr>
        <w:tabs>
          <w:tab w:val="left" w:pos="837"/>
        </w:tabs>
        <w:spacing w:before="238"/>
        <w:ind w:right="415"/>
      </w:pPr>
      <w:r>
        <w:t>The Scheme is intended to operate under the PS Act, which has the purpose of improving</w:t>
      </w:r>
      <w:r>
        <w:rPr>
          <w:spacing w:val="-3"/>
        </w:rPr>
        <w:t xml:space="preserve"> </w:t>
      </w:r>
      <w:r>
        <w:t>the</w:t>
      </w:r>
      <w:r>
        <w:rPr>
          <w:spacing w:val="-3"/>
        </w:rPr>
        <w:t xml:space="preserve"> </w:t>
      </w:r>
      <w:r>
        <w:t>occupational</w:t>
      </w:r>
      <w:r>
        <w:rPr>
          <w:spacing w:val="-3"/>
        </w:rPr>
        <w:t xml:space="preserve"> </w:t>
      </w:r>
      <w:r>
        <w:t>standards</w:t>
      </w:r>
      <w:r>
        <w:rPr>
          <w:spacing w:val="-2"/>
        </w:rPr>
        <w:t xml:space="preserve"> </w:t>
      </w:r>
      <w:r>
        <w:t>of</w:t>
      </w:r>
      <w:r>
        <w:rPr>
          <w:spacing w:val="-1"/>
        </w:rPr>
        <w:t xml:space="preserve"> </w:t>
      </w:r>
      <w:r>
        <w:t>professional</w:t>
      </w:r>
      <w:r>
        <w:rPr>
          <w:spacing w:val="-3"/>
        </w:rPr>
        <w:t xml:space="preserve"> </w:t>
      </w:r>
      <w:r>
        <w:t>persons,</w:t>
      </w:r>
      <w:r>
        <w:rPr>
          <w:spacing w:val="-1"/>
        </w:rPr>
        <w:t xml:space="preserve"> </w:t>
      </w:r>
      <w:r>
        <w:t>and</w:t>
      </w:r>
      <w:r>
        <w:rPr>
          <w:spacing w:val="-5"/>
        </w:rPr>
        <w:t xml:space="preserve"> </w:t>
      </w:r>
      <w:r>
        <w:t>to</w:t>
      </w:r>
      <w:r>
        <w:rPr>
          <w:spacing w:val="-5"/>
        </w:rPr>
        <w:t xml:space="preserve"> </w:t>
      </w:r>
      <w:r>
        <w:t>protect</w:t>
      </w:r>
      <w:r>
        <w:rPr>
          <w:spacing w:val="-4"/>
        </w:rPr>
        <w:t xml:space="preserve"> </w:t>
      </w:r>
      <w:r>
        <w:t>the consumers of their services.</w:t>
      </w:r>
    </w:p>
    <w:p w14:paraId="2E544933" w14:textId="77777777" w:rsidR="007300AF" w:rsidRDefault="006B013F">
      <w:pPr>
        <w:pStyle w:val="ListParagraph"/>
        <w:numPr>
          <w:ilvl w:val="0"/>
          <w:numId w:val="2"/>
        </w:numPr>
        <w:tabs>
          <w:tab w:val="left" w:pos="837"/>
        </w:tabs>
        <w:spacing w:before="237"/>
        <w:ind w:hanging="720"/>
      </w:pPr>
      <w:r>
        <w:t>The</w:t>
      </w:r>
      <w:r>
        <w:rPr>
          <w:spacing w:val="-8"/>
        </w:rPr>
        <w:t xml:space="preserve"> </w:t>
      </w:r>
      <w:r>
        <w:t>Scheme</w:t>
      </w:r>
      <w:r>
        <w:rPr>
          <w:spacing w:val="-6"/>
        </w:rPr>
        <w:t xml:space="preserve"> </w:t>
      </w:r>
      <w:r>
        <w:t>limits</w:t>
      </w:r>
      <w:r>
        <w:rPr>
          <w:spacing w:val="-5"/>
        </w:rPr>
        <w:t xml:space="preserve"> </w:t>
      </w:r>
      <w:r>
        <w:t>the</w:t>
      </w:r>
      <w:r>
        <w:rPr>
          <w:spacing w:val="-6"/>
        </w:rPr>
        <w:t xml:space="preserve"> </w:t>
      </w:r>
      <w:r>
        <w:t>occupational</w:t>
      </w:r>
      <w:r>
        <w:rPr>
          <w:spacing w:val="-3"/>
        </w:rPr>
        <w:t xml:space="preserve"> </w:t>
      </w:r>
      <w:r>
        <w:t>liability</w:t>
      </w:r>
      <w:r>
        <w:rPr>
          <w:spacing w:val="-6"/>
        </w:rPr>
        <w:t xml:space="preserve"> </w:t>
      </w:r>
      <w:r>
        <w:t>of a</w:t>
      </w:r>
      <w:r>
        <w:rPr>
          <w:spacing w:val="-5"/>
        </w:rPr>
        <w:t xml:space="preserve"> </w:t>
      </w:r>
      <w:r>
        <w:t>person</w:t>
      </w:r>
      <w:r>
        <w:rPr>
          <w:spacing w:val="-6"/>
        </w:rPr>
        <w:t xml:space="preserve"> </w:t>
      </w:r>
      <w:r>
        <w:t>to</w:t>
      </w:r>
      <w:r>
        <w:rPr>
          <w:spacing w:val="-4"/>
        </w:rPr>
        <w:t xml:space="preserve"> </w:t>
      </w:r>
      <w:r>
        <w:t>whom</w:t>
      </w:r>
      <w:r>
        <w:rPr>
          <w:spacing w:val="-1"/>
        </w:rPr>
        <w:t xml:space="preserve"> </w:t>
      </w:r>
      <w:r>
        <w:t>it</w:t>
      </w:r>
      <w:r>
        <w:rPr>
          <w:spacing w:val="-27"/>
        </w:rPr>
        <w:t xml:space="preserve"> </w:t>
      </w:r>
      <w:r>
        <w:rPr>
          <w:spacing w:val="-2"/>
        </w:rPr>
        <w:t>applies.</w:t>
      </w:r>
    </w:p>
    <w:p w14:paraId="7288E7DD" w14:textId="77777777" w:rsidR="007300AF" w:rsidRDefault="006B013F">
      <w:pPr>
        <w:pStyle w:val="ListParagraph"/>
        <w:numPr>
          <w:ilvl w:val="0"/>
          <w:numId w:val="2"/>
        </w:numPr>
        <w:tabs>
          <w:tab w:val="left" w:pos="837"/>
        </w:tabs>
        <w:spacing w:before="241"/>
        <w:ind w:right="279"/>
      </w:pPr>
      <w:r>
        <w:t>The</w:t>
      </w:r>
      <w:r>
        <w:rPr>
          <w:spacing w:val="-3"/>
        </w:rPr>
        <w:t xml:space="preserve"> </w:t>
      </w:r>
      <w:r>
        <w:t>occupational</w:t>
      </w:r>
      <w:r>
        <w:rPr>
          <w:spacing w:val="-1"/>
        </w:rPr>
        <w:t xml:space="preserve"> </w:t>
      </w:r>
      <w:r>
        <w:t>liability limited</w:t>
      </w:r>
      <w:r>
        <w:rPr>
          <w:spacing w:val="-1"/>
        </w:rPr>
        <w:t xml:space="preserve"> </w:t>
      </w:r>
      <w:r>
        <w:t>by</w:t>
      </w:r>
      <w:r>
        <w:rPr>
          <w:spacing w:val="-3"/>
        </w:rPr>
        <w:t xml:space="preserve"> </w:t>
      </w:r>
      <w:r>
        <w:t>the</w:t>
      </w:r>
      <w:r>
        <w:rPr>
          <w:spacing w:val="-3"/>
        </w:rPr>
        <w:t xml:space="preserve"> </w:t>
      </w:r>
      <w:r>
        <w:t>Scheme</w:t>
      </w:r>
      <w:r>
        <w:rPr>
          <w:spacing w:val="-1"/>
        </w:rPr>
        <w:t xml:space="preserve"> </w:t>
      </w:r>
      <w:r>
        <w:t>is</w:t>
      </w:r>
      <w:r>
        <w:rPr>
          <w:spacing w:val="-3"/>
        </w:rPr>
        <w:t xml:space="preserve"> </w:t>
      </w:r>
      <w:r>
        <w:t>that provided</w:t>
      </w:r>
      <w:r>
        <w:rPr>
          <w:spacing w:val="-3"/>
        </w:rPr>
        <w:t xml:space="preserve"> </w:t>
      </w:r>
      <w:r>
        <w:t>for</w:t>
      </w:r>
      <w:r>
        <w:rPr>
          <w:spacing w:val="-2"/>
        </w:rPr>
        <w:t xml:space="preserve"> </w:t>
      </w:r>
      <w:r>
        <w:t>by</w:t>
      </w:r>
      <w:r>
        <w:rPr>
          <w:spacing w:val="-3"/>
        </w:rPr>
        <w:t xml:space="preserve"> </w:t>
      </w:r>
      <w:r>
        <w:t>the</w:t>
      </w:r>
      <w:r>
        <w:rPr>
          <w:spacing w:val="-3"/>
        </w:rPr>
        <w:t xml:space="preserve"> </w:t>
      </w:r>
      <w:r>
        <w:t>PS</w:t>
      </w:r>
      <w:r>
        <w:rPr>
          <w:spacing w:val="-1"/>
        </w:rPr>
        <w:t xml:space="preserve"> </w:t>
      </w:r>
      <w:r>
        <w:t>Act, which at present is all civil liability for damages (in tort, contract equity, or otherwise) in relation to a cause of action founded on an act or omission of a person to whom the Scheme applies acting in the performance of the person’s occupation that happens when the Scheme is in force.</w:t>
      </w:r>
    </w:p>
    <w:p w14:paraId="09340E49" w14:textId="77777777" w:rsidR="007300AF" w:rsidRDefault="006B013F">
      <w:pPr>
        <w:pStyle w:val="ListParagraph"/>
        <w:numPr>
          <w:ilvl w:val="0"/>
          <w:numId w:val="2"/>
        </w:numPr>
        <w:tabs>
          <w:tab w:val="left" w:pos="837"/>
        </w:tabs>
        <w:spacing w:before="242"/>
        <w:ind w:right="123"/>
      </w:pPr>
      <w:r>
        <w:t>The</w:t>
      </w:r>
      <w:r>
        <w:rPr>
          <w:spacing w:val="-2"/>
        </w:rPr>
        <w:t xml:space="preserve"> </w:t>
      </w:r>
      <w:r>
        <w:t>Scheme</w:t>
      </w:r>
      <w:r>
        <w:rPr>
          <w:spacing w:val="-2"/>
        </w:rPr>
        <w:t xml:space="preserve"> </w:t>
      </w:r>
      <w:r>
        <w:t>does</w:t>
      </w:r>
      <w:r>
        <w:rPr>
          <w:spacing w:val="-2"/>
        </w:rPr>
        <w:t xml:space="preserve"> </w:t>
      </w:r>
      <w:r>
        <w:t>not apply</w:t>
      </w:r>
      <w:r>
        <w:rPr>
          <w:spacing w:val="-2"/>
        </w:rPr>
        <w:t xml:space="preserve"> </w:t>
      </w:r>
      <w:r>
        <w:t>to any</w:t>
      </w:r>
      <w:r>
        <w:rPr>
          <w:spacing w:val="-2"/>
        </w:rPr>
        <w:t xml:space="preserve"> </w:t>
      </w:r>
      <w:r>
        <w:t>liability</w:t>
      </w:r>
      <w:r>
        <w:rPr>
          <w:spacing w:val="-2"/>
        </w:rPr>
        <w:t xml:space="preserve"> </w:t>
      </w:r>
      <w:r>
        <w:t>to which the</w:t>
      </w:r>
      <w:r>
        <w:rPr>
          <w:spacing w:val="-2"/>
        </w:rPr>
        <w:t xml:space="preserve"> </w:t>
      </w:r>
      <w:r>
        <w:t>PS Act does</w:t>
      </w:r>
      <w:r>
        <w:rPr>
          <w:spacing w:val="-2"/>
        </w:rPr>
        <w:t xml:space="preserve"> </w:t>
      </w:r>
      <w:r>
        <w:t>not apply</w:t>
      </w:r>
      <w:r>
        <w:rPr>
          <w:spacing w:val="-2"/>
        </w:rPr>
        <w:t xml:space="preserve"> </w:t>
      </w:r>
      <w:r>
        <w:t>from time to time, which at present is any liability for damages arising from death or personal injury to a person, any negligence or other fault of a lawyer in acting for a client in</w:t>
      </w:r>
      <w:r>
        <w:rPr>
          <w:spacing w:val="-2"/>
        </w:rPr>
        <w:t xml:space="preserve"> </w:t>
      </w:r>
      <w:r>
        <w:t>a</w:t>
      </w:r>
      <w:r>
        <w:rPr>
          <w:spacing w:val="-2"/>
        </w:rPr>
        <w:t xml:space="preserve"> </w:t>
      </w:r>
      <w:r>
        <w:t>personal</w:t>
      </w:r>
      <w:r>
        <w:rPr>
          <w:spacing w:val="-2"/>
        </w:rPr>
        <w:t xml:space="preserve"> </w:t>
      </w:r>
      <w:r>
        <w:t>injury</w:t>
      </w:r>
      <w:r>
        <w:rPr>
          <w:spacing w:val="-4"/>
        </w:rPr>
        <w:t xml:space="preserve"> </w:t>
      </w:r>
      <w:r>
        <w:t>claim,</w:t>
      </w:r>
      <w:r>
        <w:rPr>
          <w:spacing w:val="-2"/>
        </w:rPr>
        <w:t xml:space="preserve"> </w:t>
      </w:r>
      <w:r>
        <w:t>a</w:t>
      </w:r>
      <w:r>
        <w:rPr>
          <w:spacing w:val="-2"/>
        </w:rPr>
        <w:t xml:space="preserve"> </w:t>
      </w:r>
      <w:r>
        <w:t>breach</w:t>
      </w:r>
      <w:r>
        <w:rPr>
          <w:spacing w:val="-2"/>
        </w:rPr>
        <w:t xml:space="preserve"> </w:t>
      </w:r>
      <w:r>
        <w:t>of</w:t>
      </w:r>
      <w:r>
        <w:rPr>
          <w:spacing w:val="-3"/>
        </w:rPr>
        <w:t xml:space="preserve"> </w:t>
      </w:r>
      <w:r>
        <w:t>trust,</w:t>
      </w:r>
      <w:r>
        <w:rPr>
          <w:spacing w:val="-3"/>
        </w:rPr>
        <w:t xml:space="preserve"> </w:t>
      </w:r>
      <w:r>
        <w:t>fraud</w:t>
      </w:r>
      <w:r>
        <w:rPr>
          <w:spacing w:val="-4"/>
        </w:rPr>
        <w:t xml:space="preserve"> </w:t>
      </w:r>
      <w:r>
        <w:t>or</w:t>
      </w:r>
      <w:r>
        <w:rPr>
          <w:spacing w:val="-3"/>
        </w:rPr>
        <w:t xml:space="preserve"> </w:t>
      </w:r>
      <w:r>
        <w:t>dishonesty</w:t>
      </w:r>
      <w:r>
        <w:rPr>
          <w:spacing w:val="-4"/>
        </w:rPr>
        <w:t xml:space="preserve"> </w:t>
      </w:r>
      <w:r>
        <w:t>or</w:t>
      </w:r>
      <w:r>
        <w:rPr>
          <w:spacing w:val="-3"/>
        </w:rPr>
        <w:t xml:space="preserve"> </w:t>
      </w:r>
      <w:r>
        <w:t>liability</w:t>
      </w:r>
      <w:r>
        <w:rPr>
          <w:spacing w:val="-4"/>
        </w:rPr>
        <w:t xml:space="preserve"> </w:t>
      </w:r>
      <w:r>
        <w:t xml:space="preserve">that may be the subject of proceedings under the </w:t>
      </w:r>
      <w:r>
        <w:rPr>
          <w:i/>
        </w:rPr>
        <w:t xml:space="preserve">Land Title Act 1994 </w:t>
      </w:r>
      <w:r>
        <w:t>(Qld), part 9, division 2, subdivision C.</w:t>
      </w:r>
    </w:p>
    <w:p w14:paraId="2D14C9E2" w14:textId="77777777" w:rsidR="007300AF" w:rsidRDefault="006B013F">
      <w:pPr>
        <w:pStyle w:val="ListParagraph"/>
        <w:numPr>
          <w:ilvl w:val="0"/>
          <w:numId w:val="2"/>
        </w:numPr>
        <w:tabs>
          <w:tab w:val="left" w:pos="837"/>
        </w:tabs>
        <w:spacing w:before="239"/>
        <w:ind w:right="540"/>
      </w:pPr>
      <w:r>
        <w:t>The</w:t>
      </w:r>
      <w:r>
        <w:rPr>
          <w:spacing w:val="-4"/>
        </w:rPr>
        <w:t xml:space="preserve"> </w:t>
      </w:r>
      <w:r>
        <w:t>Scheme</w:t>
      </w:r>
      <w:r>
        <w:rPr>
          <w:spacing w:val="-4"/>
        </w:rPr>
        <w:t xml:space="preserve"> </w:t>
      </w:r>
      <w:r>
        <w:t>does</w:t>
      </w:r>
      <w:r>
        <w:rPr>
          <w:spacing w:val="-4"/>
        </w:rPr>
        <w:t xml:space="preserve"> </w:t>
      </w:r>
      <w:r>
        <w:t>not</w:t>
      </w:r>
      <w:r>
        <w:rPr>
          <w:spacing w:val="-2"/>
        </w:rPr>
        <w:t xml:space="preserve"> </w:t>
      </w:r>
      <w:r>
        <w:t>affect</w:t>
      </w:r>
      <w:r>
        <w:rPr>
          <w:spacing w:val="-2"/>
        </w:rPr>
        <w:t xml:space="preserve"> </w:t>
      </w:r>
      <w:r>
        <w:t>any</w:t>
      </w:r>
      <w:r>
        <w:rPr>
          <w:spacing w:val="-4"/>
        </w:rPr>
        <w:t xml:space="preserve"> </w:t>
      </w:r>
      <w:r>
        <w:t>claim</w:t>
      </w:r>
      <w:r>
        <w:rPr>
          <w:spacing w:val="-3"/>
        </w:rPr>
        <w:t xml:space="preserve"> </w:t>
      </w:r>
      <w:r>
        <w:t>for</w:t>
      </w:r>
      <w:r>
        <w:rPr>
          <w:spacing w:val="-3"/>
        </w:rPr>
        <w:t xml:space="preserve"> </w:t>
      </w:r>
      <w:r>
        <w:t>damages</w:t>
      </w:r>
      <w:r>
        <w:rPr>
          <w:spacing w:val="-1"/>
        </w:rPr>
        <w:t xml:space="preserve"> </w:t>
      </w:r>
      <w:r>
        <w:t>below</w:t>
      </w:r>
      <w:r>
        <w:rPr>
          <w:spacing w:val="-5"/>
        </w:rPr>
        <w:t xml:space="preserve"> </w:t>
      </w:r>
      <w:r>
        <w:t>the</w:t>
      </w:r>
      <w:r>
        <w:rPr>
          <w:spacing w:val="-2"/>
        </w:rPr>
        <w:t xml:space="preserve"> </w:t>
      </w:r>
      <w:r>
        <w:t>monetary</w:t>
      </w:r>
      <w:r>
        <w:rPr>
          <w:spacing w:val="-4"/>
        </w:rPr>
        <w:t xml:space="preserve"> </w:t>
      </w:r>
      <w:r>
        <w:t>ceiling specified in the Scheme for each member.</w:t>
      </w:r>
    </w:p>
    <w:p w14:paraId="1191A1E5" w14:textId="77777777" w:rsidR="007300AF" w:rsidRDefault="007300AF">
      <w:pPr>
        <w:sectPr w:rsidR="007300AF" w:rsidSect="00C32D07">
          <w:pgSz w:w="11920" w:h="16850"/>
          <w:pgMar w:top="1320" w:right="1160" w:bottom="1000" w:left="1680" w:header="0" w:footer="806" w:gutter="0"/>
          <w:cols w:space="720"/>
        </w:sectPr>
      </w:pPr>
    </w:p>
    <w:p w14:paraId="1AFC89E9" w14:textId="77777777" w:rsidR="007300AF" w:rsidRDefault="006B013F">
      <w:pPr>
        <w:pStyle w:val="ListParagraph"/>
        <w:numPr>
          <w:ilvl w:val="0"/>
          <w:numId w:val="2"/>
        </w:numPr>
        <w:tabs>
          <w:tab w:val="left" w:pos="837"/>
        </w:tabs>
        <w:spacing w:before="73"/>
        <w:ind w:right="242"/>
      </w:pPr>
      <w:r>
        <w:lastRenderedPageBreak/>
        <w:t>The Scheme limits liability for damages to the monetary ceiling specified for a person</w:t>
      </w:r>
      <w:r>
        <w:rPr>
          <w:spacing w:val="-4"/>
        </w:rPr>
        <w:t xml:space="preserve"> </w:t>
      </w:r>
      <w:r>
        <w:t>to</w:t>
      </w:r>
      <w:r>
        <w:rPr>
          <w:spacing w:val="-2"/>
        </w:rPr>
        <w:t xml:space="preserve"> </w:t>
      </w:r>
      <w:r>
        <w:t>whom it</w:t>
      </w:r>
      <w:r>
        <w:rPr>
          <w:spacing w:val="-2"/>
        </w:rPr>
        <w:t xml:space="preserve"> </w:t>
      </w:r>
      <w:r>
        <w:t>applies</w:t>
      </w:r>
      <w:r>
        <w:rPr>
          <w:spacing w:val="-1"/>
        </w:rPr>
        <w:t xml:space="preserve"> </w:t>
      </w:r>
      <w:r>
        <w:t>provided</w:t>
      </w:r>
      <w:r>
        <w:rPr>
          <w:spacing w:val="-2"/>
        </w:rPr>
        <w:t xml:space="preserve"> </w:t>
      </w:r>
      <w:r>
        <w:t>that</w:t>
      </w:r>
      <w:r>
        <w:rPr>
          <w:spacing w:val="-3"/>
        </w:rPr>
        <w:t xml:space="preserve"> </w:t>
      </w:r>
      <w:r>
        <w:t>the</w:t>
      </w:r>
      <w:r>
        <w:rPr>
          <w:spacing w:val="-2"/>
        </w:rPr>
        <w:t xml:space="preserve"> </w:t>
      </w:r>
      <w:r>
        <w:t>person</w:t>
      </w:r>
      <w:r>
        <w:rPr>
          <w:spacing w:val="-2"/>
        </w:rPr>
        <w:t xml:space="preserve"> </w:t>
      </w:r>
      <w:r>
        <w:t>has</w:t>
      </w:r>
      <w:r>
        <w:rPr>
          <w:spacing w:val="-1"/>
        </w:rPr>
        <w:t xml:space="preserve"> </w:t>
      </w:r>
      <w:r>
        <w:t>insurance</w:t>
      </w:r>
      <w:r>
        <w:rPr>
          <w:spacing w:val="-2"/>
        </w:rPr>
        <w:t xml:space="preserve"> </w:t>
      </w:r>
      <w:r>
        <w:t>as</w:t>
      </w:r>
      <w:r>
        <w:rPr>
          <w:spacing w:val="-4"/>
        </w:rPr>
        <w:t xml:space="preserve"> </w:t>
      </w:r>
      <w:r>
        <w:t>required</w:t>
      </w:r>
      <w:r>
        <w:rPr>
          <w:spacing w:val="-2"/>
        </w:rPr>
        <w:t xml:space="preserve"> </w:t>
      </w:r>
      <w:r>
        <w:t>by</w:t>
      </w:r>
      <w:r>
        <w:rPr>
          <w:spacing w:val="-4"/>
        </w:rPr>
        <w:t xml:space="preserve"> </w:t>
      </w:r>
      <w:r>
        <w:t>s 22 of the PS Act.</w:t>
      </w:r>
    </w:p>
    <w:p w14:paraId="65438091" w14:textId="77777777" w:rsidR="007300AF" w:rsidRDefault="006B013F">
      <w:pPr>
        <w:pStyle w:val="ListParagraph"/>
        <w:numPr>
          <w:ilvl w:val="0"/>
          <w:numId w:val="2"/>
        </w:numPr>
        <w:tabs>
          <w:tab w:val="left" w:pos="837"/>
        </w:tabs>
        <w:spacing w:before="237"/>
        <w:ind w:right="121"/>
      </w:pPr>
      <w:r>
        <w:t>Notwithstanding anything to the contrary contained in the Scheme, if in particular circumstances giving rise to occupational liability, the liability of any person who is subject to the Scheme should be capped both by this Scheme and also by any other scheme under Professional Standards</w:t>
      </w:r>
      <w:r>
        <w:rPr>
          <w:spacing w:val="-1"/>
        </w:rPr>
        <w:t xml:space="preserve"> </w:t>
      </w:r>
      <w:r>
        <w:t>Legislation (whether of this</w:t>
      </w:r>
      <w:r>
        <w:rPr>
          <w:spacing w:val="-1"/>
        </w:rPr>
        <w:t xml:space="preserve"> </w:t>
      </w:r>
      <w:r>
        <w:t>jurisdiction or under</w:t>
      </w:r>
      <w:r>
        <w:rPr>
          <w:spacing w:val="-3"/>
        </w:rPr>
        <w:t xml:space="preserve"> </w:t>
      </w:r>
      <w:r>
        <w:t>the</w:t>
      </w:r>
      <w:r>
        <w:rPr>
          <w:spacing w:val="-2"/>
        </w:rPr>
        <w:t xml:space="preserve"> </w:t>
      </w:r>
      <w:r>
        <w:t>law</w:t>
      </w:r>
      <w:r>
        <w:rPr>
          <w:spacing w:val="-5"/>
        </w:rPr>
        <w:t xml:space="preserve"> </w:t>
      </w:r>
      <w:r>
        <w:t>of any</w:t>
      </w:r>
      <w:r>
        <w:rPr>
          <w:spacing w:val="-4"/>
        </w:rPr>
        <w:t xml:space="preserve"> </w:t>
      </w:r>
      <w:r>
        <w:t>other</w:t>
      </w:r>
      <w:r>
        <w:rPr>
          <w:spacing w:val="-3"/>
        </w:rPr>
        <w:t xml:space="preserve"> </w:t>
      </w:r>
      <w:r>
        <w:t>Australian</w:t>
      </w:r>
      <w:r>
        <w:rPr>
          <w:spacing w:val="-2"/>
        </w:rPr>
        <w:t xml:space="preserve"> </w:t>
      </w:r>
      <w:r>
        <w:t>state</w:t>
      </w:r>
      <w:r>
        <w:rPr>
          <w:spacing w:val="-2"/>
        </w:rPr>
        <w:t xml:space="preserve"> </w:t>
      </w:r>
      <w:r>
        <w:t>or</w:t>
      </w:r>
      <w:r>
        <w:rPr>
          <w:spacing w:val="-3"/>
        </w:rPr>
        <w:t xml:space="preserve"> </w:t>
      </w:r>
      <w:r>
        <w:t>territory) and,</w:t>
      </w:r>
      <w:r>
        <w:rPr>
          <w:spacing w:val="-3"/>
        </w:rPr>
        <w:t xml:space="preserve"> </w:t>
      </w:r>
      <w:r>
        <w:t>if the</w:t>
      </w:r>
      <w:r>
        <w:rPr>
          <w:spacing w:val="-4"/>
        </w:rPr>
        <w:t xml:space="preserve"> </w:t>
      </w:r>
      <w:r>
        <w:t>amount of such caps should differ, then the cap on the liability of such person arising from such circumstances which is higher shall be the applicable cap.</w:t>
      </w:r>
    </w:p>
    <w:p w14:paraId="69A81B1B" w14:textId="77777777" w:rsidR="007300AF" w:rsidRDefault="006B013F">
      <w:pPr>
        <w:pStyle w:val="Heading1"/>
        <w:spacing w:before="236"/>
      </w:pPr>
      <w:bookmarkStart w:id="4" w:name="Risk_Management"/>
      <w:bookmarkEnd w:id="4"/>
      <w:r>
        <w:t>Risk</w:t>
      </w:r>
      <w:r>
        <w:rPr>
          <w:spacing w:val="-4"/>
        </w:rPr>
        <w:t xml:space="preserve"> </w:t>
      </w:r>
      <w:r>
        <w:rPr>
          <w:spacing w:val="-2"/>
        </w:rPr>
        <w:t>Management</w:t>
      </w:r>
    </w:p>
    <w:p w14:paraId="7124D23E" w14:textId="77777777" w:rsidR="007300AF" w:rsidRDefault="006B013F">
      <w:pPr>
        <w:pStyle w:val="ListParagraph"/>
        <w:numPr>
          <w:ilvl w:val="0"/>
          <w:numId w:val="2"/>
        </w:numPr>
        <w:tabs>
          <w:tab w:val="left" w:pos="837"/>
        </w:tabs>
        <w:spacing w:before="244"/>
        <w:ind w:right="135"/>
      </w:pPr>
      <w:r>
        <w:t>The Association has adopted strategies which cover requirements for professional entry to practice at the Bar in Queensland, and continuing professional development in the areas of ethics and regulation of the profession management, substantive law, court practice and procedure, and evidence, and advocacy, mediation and other barristers’ skills, including making rules about legal practice in this jurisdiction engaged in by an Australian legal practitioner as a barrister. The Association</w:t>
      </w:r>
      <w:r>
        <w:rPr>
          <w:spacing w:val="-3"/>
        </w:rPr>
        <w:t xml:space="preserve"> </w:t>
      </w:r>
      <w:r>
        <w:t>has</w:t>
      </w:r>
      <w:r>
        <w:rPr>
          <w:spacing w:val="-2"/>
        </w:rPr>
        <w:t xml:space="preserve"> </w:t>
      </w:r>
      <w:r>
        <w:t>provided</w:t>
      </w:r>
      <w:r>
        <w:rPr>
          <w:spacing w:val="-3"/>
        </w:rPr>
        <w:t xml:space="preserve"> </w:t>
      </w:r>
      <w:r>
        <w:t>the</w:t>
      </w:r>
      <w:r>
        <w:rPr>
          <w:spacing w:val="-5"/>
        </w:rPr>
        <w:t xml:space="preserve"> </w:t>
      </w:r>
      <w:r>
        <w:t>Professional</w:t>
      </w:r>
      <w:r>
        <w:rPr>
          <w:spacing w:val="-3"/>
        </w:rPr>
        <w:t xml:space="preserve"> </w:t>
      </w:r>
      <w:r>
        <w:t>Standards</w:t>
      </w:r>
      <w:r>
        <w:rPr>
          <w:spacing w:val="-2"/>
        </w:rPr>
        <w:t xml:space="preserve"> </w:t>
      </w:r>
      <w:r>
        <w:t>Councils</w:t>
      </w:r>
      <w:r>
        <w:rPr>
          <w:spacing w:val="-2"/>
        </w:rPr>
        <w:t xml:space="preserve"> </w:t>
      </w:r>
      <w:r>
        <w:t>with</w:t>
      </w:r>
      <w:r>
        <w:rPr>
          <w:spacing w:val="-3"/>
        </w:rPr>
        <w:t xml:space="preserve"> </w:t>
      </w:r>
      <w:r>
        <w:t>a</w:t>
      </w:r>
      <w:r>
        <w:rPr>
          <w:spacing w:val="-3"/>
        </w:rPr>
        <w:t xml:space="preserve"> </w:t>
      </w:r>
      <w:r>
        <w:t>detailed</w:t>
      </w:r>
      <w:r>
        <w:rPr>
          <w:spacing w:val="-3"/>
        </w:rPr>
        <w:t xml:space="preserve"> </w:t>
      </w:r>
      <w:r>
        <w:t>list</w:t>
      </w:r>
      <w:r>
        <w:rPr>
          <w:spacing w:val="-1"/>
        </w:rPr>
        <w:t xml:space="preserve"> </w:t>
      </w:r>
      <w:r>
        <w:t xml:space="preserve">of the risk management strategies intended to be implemented in respect of its members and the means by which those strategies are intended to be </w:t>
      </w:r>
      <w:r>
        <w:rPr>
          <w:spacing w:val="-2"/>
        </w:rPr>
        <w:t>implemented.</w:t>
      </w:r>
    </w:p>
    <w:p w14:paraId="2CA282E5" w14:textId="77777777" w:rsidR="007300AF" w:rsidRDefault="006B013F">
      <w:pPr>
        <w:pStyle w:val="ListParagraph"/>
        <w:numPr>
          <w:ilvl w:val="0"/>
          <w:numId w:val="2"/>
        </w:numPr>
        <w:tabs>
          <w:tab w:val="left" w:pos="837"/>
        </w:tabs>
        <w:spacing w:before="237"/>
        <w:ind w:right="290"/>
      </w:pPr>
      <w:r>
        <w:t>The Association will report annually on the implementation and monitoring of its risk</w:t>
      </w:r>
      <w:r>
        <w:rPr>
          <w:spacing w:val="-4"/>
        </w:rPr>
        <w:t xml:space="preserve"> </w:t>
      </w:r>
      <w:r>
        <w:t>management</w:t>
      </w:r>
      <w:r>
        <w:rPr>
          <w:spacing w:val="-3"/>
        </w:rPr>
        <w:t xml:space="preserve"> </w:t>
      </w:r>
      <w:r>
        <w:t>strategies, the</w:t>
      </w:r>
      <w:r>
        <w:rPr>
          <w:spacing w:val="-4"/>
        </w:rPr>
        <w:t xml:space="preserve"> </w:t>
      </w:r>
      <w:r>
        <w:t>effect of</w:t>
      </w:r>
      <w:r>
        <w:rPr>
          <w:spacing w:val="-3"/>
        </w:rPr>
        <w:t xml:space="preserve"> </w:t>
      </w:r>
      <w:r>
        <w:t>those</w:t>
      </w:r>
      <w:r>
        <w:rPr>
          <w:spacing w:val="-4"/>
        </w:rPr>
        <w:t xml:space="preserve"> </w:t>
      </w:r>
      <w:r>
        <w:t>strategies</w:t>
      </w:r>
      <w:r>
        <w:rPr>
          <w:spacing w:val="-1"/>
        </w:rPr>
        <w:t xml:space="preserve"> </w:t>
      </w:r>
      <w:r>
        <w:t>and</w:t>
      </w:r>
      <w:r>
        <w:rPr>
          <w:spacing w:val="-4"/>
        </w:rPr>
        <w:t xml:space="preserve"> </w:t>
      </w:r>
      <w:r>
        <w:t>any</w:t>
      </w:r>
      <w:r>
        <w:rPr>
          <w:spacing w:val="-4"/>
        </w:rPr>
        <w:t xml:space="preserve"> </w:t>
      </w:r>
      <w:r>
        <w:t>changes</w:t>
      </w:r>
      <w:r>
        <w:rPr>
          <w:spacing w:val="-1"/>
        </w:rPr>
        <w:t xml:space="preserve"> </w:t>
      </w:r>
      <w:r>
        <w:t>made or proposed to be made to them.</w:t>
      </w:r>
    </w:p>
    <w:p w14:paraId="71845418" w14:textId="77777777" w:rsidR="007300AF" w:rsidRDefault="006B013F">
      <w:pPr>
        <w:pStyle w:val="Heading1"/>
        <w:spacing w:before="235"/>
      </w:pPr>
      <w:bookmarkStart w:id="5" w:name="Complaints_and_discipline"/>
      <w:bookmarkEnd w:id="5"/>
      <w:r>
        <w:t>Complaints</w:t>
      </w:r>
      <w:r>
        <w:rPr>
          <w:spacing w:val="-5"/>
        </w:rPr>
        <w:t xml:space="preserve"> </w:t>
      </w:r>
      <w:r>
        <w:t>and</w:t>
      </w:r>
      <w:r>
        <w:rPr>
          <w:spacing w:val="-5"/>
        </w:rPr>
        <w:t xml:space="preserve"> </w:t>
      </w:r>
      <w:r>
        <w:rPr>
          <w:spacing w:val="-2"/>
        </w:rPr>
        <w:t>discipline</w:t>
      </w:r>
    </w:p>
    <w:p w14:paraId="7C9B12CD" w14:textId="77777777" w:rsidR="007300AF" w:rsidRDefault="006B013F">
      <w:pPr>
        <w:pStyle w:val="ListParagraph"/>
        <w:numPr>
          <w:ilvl w:val="0"/>
          <w:numId w:val="2"/>
        </w:numPr>
        <w:tabs>
          <w:tab w:val="left" w:pos="837"/>
        </w:tabs>
        <w:spacing w:before="244"/>
        <w:ind w:right="797"/>
      </w:pPr>
      <w:r>
        <w:t>Association</w:t>
      </w:r>
      <w:r>
        <w:rPr>
          <w:spacing w:val="-3"/>
        </w:rPr>
        <w:t xml:space="preserve"> </w:t>
      </w:r>
      <w:r>
        <w:t>members</w:t>
      </w:r>
      <w:r>
        <w:rPr>
          <w:spacing w:val="-2"/>
        </w:rPr>
        <w:t xml:space="preserve"> </w:t>
      </w:r>
      <w:r>
        <w:t>are</w:t>
      </w:r>
      <w:r>
        <w:rPr>
          <w:spacing w:val="-3"/>
        </w:rPr>
        <w:t xml:space="preserve"> </w:t>
      </w:r>
      <w:r>
        <w:t>subject</w:t>
      </w:r>
      <w:r>
        <w:rPr>
          <w:spacing w:val="-3"/>
        </w:rPr>
        <w:t xml:space="preserve"> </w:t>
      </w:r>
      <w:r>
        <w:t>to</w:t>
      </w:r>
      <w:r>
        <w:rPr>
          <w:spacing w:val="-5"/>
        </w:rPr>
        <w:t xml:space="preserve"> </w:t>
      </w:r>
      <w:r>
        <w:t>a</w:t>
      </w:r>
      <w:r>
        <w:rPr>
          <w:spacing w:val="-3"/>
        </w:rPr>
        <w:t xml:space="preserve"> </w:t>
      </w:r>
      <w:r>
        <w:t>complaints</w:t>
      </w:r>
      <w:r>
        <w:rPr>
          <w:spacing w:val="-5"/>
        </w:rPr>
        <w:t xml:space="preserve"> </w:t>
      </w:r>
      <w:r>
        <w:t>and</w:t>
      </w:r>
      <w:r>
        <w:rPr>
          <w:spacing w:val="-3"/>
        </w:rPr>
        <w:t xml:space="preserve"> </w:t>
      </w:r>
      <w:r>
        <w:t>discipline</w:t>
      </w:r>
      <w:r>
        <w:rPr>
          <w:spacing w:val="-3"/>
        </w:rPr>
        <w:t xml:space="preserve"> </w:t>
      </w:r>
      <w:r>
        <w:t>system.</w:t>
      </w:r>
      <w:r>
        <w:rPr>
          <w:spacing w:val="-4"/>
        </w:rPr>
        <w:t xml:space="preserve"> </w:t>
      </w:r>
      <w:r>
        <w:t>The system operates pursuant to the requirements of the LP</w:t>
      </w:r>
      <w:r>
        <w:rPr>
          <w:spacing w:val="-13"/>
        </w:rPr>
        <w:t xml:space="preserve"> </w:t>
      </w:r>
      <w:r>
        <w:t>Act.</w:t>
      </w:r>
    </w:p>
    <w:p w14:paraId="642D4CDD" w14:textId="77777777" w:rsidR="007300AF" w:rsidRDefault="006B013F">
      <w:pPr>
        <w:pStyle w:val="ListParagraph"/>
        <w:numPr>
          <w:ilvl w:val="0"/>
          <w:numId w:val="2"/>
        </w:numPr>
        <w:tabs>
          <w:tab w:val="left" w:pos="837"/>
        </w:tabs>
        <w:spacing w:before="240"/>
        <w:ind w:right="146"/>
      </w:pPr>
      <w:r>
        <w:t>The Association is actively engaged in that system, and has the functions of investigation and of making a recommendation as to whether a discipline application</w:t>
      </w:r>
      <w:r>
        <w:rPr>
          <w:spacing w:val="-2"/>
        </w:rPr>
        <w:t xml:space="preserve"> </w:t>
      </w:r>
      <w:r>
        <w:t>should</w:t>
      </w:r>
      <w:r>
        <w:rPr>
          <w:spacing w:val="-2"/>
        </w:rPr>
        <w:t xml:space="preserve"> </w:t>
      </w:r>
      <w:r>
        <w:t>be</w:t>
      </w:r>
      <w:r>
        <w:rPr>
          <w:spacing w:val="-2"/>
        </w:rPr>
        <w:t xml:space="preserve"> </w:t>
      </w:r>
      <w:r>
        <w:t>started</w:t>
      </w:r>
      <w:r>
        <w:rPr>
          <w:spacing w:val="-4"/>
        </w:rPr>
        <w:t xml:space="preserve"> </w:t>
      </w:r>
      <w:r>
        <w:t>when</w:t>
      </w:r>
      <w:r>
        <w:rPr>
          <w:spacing w:val="-2"/>
        </w:rPr>
        <w:t xml:space="preserve"> </w:t>
      </w:r>
      <w:r>
        <w:t>a</w:t>
      </w:r>
      <w:r>
        <w:rPr>
          <w:spacing w:val="-2"/>
        </w:rPr>
        <w:t xml:space="preserve"> </w:t>
      </w:r>
      <w:r>
        <w:t>complaint</w:t>
      </w:r>
      <w:r>
        <w:rPr>
          <w:spacing w:val="-2"/>
        </w:rPr>
        <w:t xml:space="preserve"> </w:t>
      </w:r>
      <w:r>
        <w:t>is</w:t>
      </w:r>
      <w:r>
        <w:rPr>
          <w:spacing w:val="-4"/>
        </w:rPr>
        <w:t xml:space="preserve"> </w:t>
      </w:r>
      <w:r>
        <w:t>referred</w:t>
      </w:r>
      <w:r>
        <w:rPr>
          <w:spacing w:val="-4"/>
        </w:rPr>
        <w:t xml:space="preserve"> </w:t>
      </w:r>
      <w:r>
        <w:t>to</w:t>
      </w:r>
      <w:r>
        <w:rPr>
          <w:spacing w:val="-4"/>
        </w:rPr>
        <w:t xml:space="preserve"> </w:t>
      </w:r>
      <w:r>
        <w:t>the</w:t>
      </w:r>
      <w:r>
        <w:rPr>
          <w:spacing w:val="-4"/>
        </w:rPr>
        <w:t xml:space="preserve"> </w:t>
      </w:r>
      <w:r>
        <w:t>Association</w:t>
      </w:r>
      <w:r>
        <w:rPr>
          <w:spacing w:val="-2"/>
        </w:rPr>
        <w:t xml:space="preserve"> </w:t>
      </w:r>
      <w:r>
        <w:t>by</w:t>
      </w:r>
      <w:r>
        <w:rPr>
          <w:spacing w:val="-4"/>
        </w:rPr>
        <w:t xml:space="preserve"> </w:t>
      </w:r>
      <w:r>
        <w:t>the Legal Services Commissioner.</w:t>
      </w:r>
    </w:p>
    <w:p w14:paraId="38EAA702" w14:textId="77777777" w:rsidR="007300AF" w:rsidRDefault="006B013F">
      <w:pPr>
        <w:pStyle w:val="Heading1"/>
      </w:pPr>
      <w:bookmarkStart w:id="6" w:name="Standards_of_Insurance"/>
      <w:bookmarkEnd w:id="6"/>
      <w:r>
        <w:t>Standards</w:t>
      </w:r>
      <w:r>
        <w:rPr>
          <w:spacing w:val="-5"/>
        </w:rPr>
        <w:t xml:space="preserve"> </w:t>
      </w:r>
      <w:r>
        <w:t>of</w:t>
      </w:r>
      <w:r>
        <w:rPr>
          <w:spacing w:val="-5"/>
        </w:rPr>
        <w:t xml:space="preserve"> </w:t>
      </w:r>
      <w:r>
        <w:rPr>
          <w:spacing w:val="-2"/>
        </w:rPr>
        <w:t>Insurance</w:t>
      </w:r>
    </w:p>
    <w:p w14:paraId="1D15C0B6" w14:textId="77777777" w:rsidR="007300AF" w:rsidRDefault="006B013F">
      <w:pPr>
        <w:pStyle w:val="ListParagraph"/>
        <w:numPr>
          <w:ilvl w:val="0"/>
          <w:numId w:val="2"/>
        </w:numPr>
        <w:tabs>
          <w:tab w:val="left" w:pos="834"/>
          <w:tab w:val="left" w:pos="837"/>
        </w:tabs>
        <w:spacing w:before="246"/>
        <w:ind w:right="717"/>
        <w:jc w:val="both"/>
      </w:pPr>
      <w:r>
        <w:t>Members</w:t>
      </w:r>
      <w:r>
        <w:rPr>
          <w:spacing w:val="-1"/>
        </w:rPr>
        <w:t xml:space="preserve"> </w:t>
      </w:r>
      <w:r>
        <w:t>of the</w:t>
      </w:r>
      <w:r>
        <w:rPr>
          <w:spacing w:val="-2"/>
        </w:rPr>
        <w:t xml:space="preserve"> </w:t>
      </w:r>
      <w:r>
        <w:t>Association</w:t>
      </w:r>
      <w:r>
        <w:rPr>
          <w:spacing w:val="-2"/>
        </w:rPr>
        <w:t xml:space="preserve"> </w:t>
      </w:r>
      <w:r>
        <w:t>are</w:t>
      </w:r>
      <w:r>
        <w:rPr>
          <w:spacing w:val="-2"/>
        </w:rPr>
        <w:t xml:space="preserve"> </w:t>
      </w:r>
      <w:r>
        <w:t>required</w:t>
      </w:r>
      <w:r>
        <w:rPr>
          <w:spacing w:val="-2"/>
        </w:rPr>
        <w:t xml:space="preserve"> </w:t>
      </w:r>
      <w:r>
        <w:t>by</w:t>
      </w:r>
      <w:r>
        <w:rPr>
          <w:spacing w:val="-4"/>
        </w:rPr>
        <w:t xml:space="preserve"> </w:t>
      </w:r>
      <w:r>
        <w:t>the</w:t>
      </w:r>
      <w:r>
        <w:rPr>
          <w:spacing w:val="-2"/>
        </w:rPr>
        <w:t xml:space="preserve"> </w:t>
      </w:r>
      <w:r>
        <w:t>LP</w:t>
      </w:r>
      <w:r>
        <w:rPr>
          <w:spacing w:val="-2"/>
        </w:rPr>
        <w:t xml:space="preserve"> </w:t>
      </w:r>
      <w:r>
        <w:t>Act and</w:t>
      </w:r>
      <w:r>
        <w:rPr>
          <w:spacing w:val="-4"/>
        </w:rPr>
        <w:t xml:space="preserve"> </w:t>
      </w:r>
      <w:r>
        <w:t>regulations</w:t>
      </w:r>
      <w:r>
        <w:rPr>
          <w:spacing w:val="-4"/>
        </w:rPr>
        <w:t xml:space="preserve"> </w:t>
      </w:r>
      <w:r>
        <w:t>made under it, as a condition precedent to the issue of a required annual practising certificate, to have professional indemnity insurance:</w:t>
      </w:r>
    </w:p>
    <w:p w14:paraId="668EB672" w14:textId="77777777" w:rsidR="007300AF" w:rsidRDefault="006B013F">
      <w:pPr>
        <w:pStyle w:val="ListParagraph"/>
        <w:numPr>
          <w:ilvl w:val="1"/>
          <w:numId w:val="2"/>
        </w:numPr>
        <w:tabs>
          <w:tab w:val="left" w:pos="1617"/>
        </w:tabs>
        <w:spacing w:before="117"/>
        <w:ind w:left="1617" w:hanging="780"/>
        <w:jc w:val="both"/>
      </w:pPr>
      <w:r>
        <w:t>for</w:t>
      </w:r>
      <w:r>
        <w:rPr>
          <w:spacing w:val="-8"/>
        </w:rPr>
        <w:t xml:space="preserve"> </w:t>
      </w:r>
      <w:r>
        <w:t>at</w:t>
      </w:r>
      <w:r>
        <w:rPr>
          <w:spacing w:val="-4"/>
        </w:rPr>
        <w:t xml:space="preserve"> </w:t>
      </w:r>
      <w:r>
        <w:t>least</w:t>
      </w:r>
      <w:r>
        <w:rPr>
          <w:spacing w:val="-5"/>
        </w:rPr>
        <w:t xml:space="preserve"> </w:t>
      </w:r>
      <w:r>
        <w:t>$1.5m</w:t>
      </w:r>
      <w:r>
        <w:rPr>
          <w:spacing w:val="-2"/>
        </w:rPr>
        <w:t xml:space="preserve"> </w:t>
      </w:r>
      <w:r>
        <w:t>inclusive</w:t>
      </w:r>
      <w:r>
        <w:rPr>
          <w:spacing w:val="-4"/>
        </w:rPr>
        <w:t xml:space="preserve"> </w:t>
      </w:r>
      <w:r>
        <w:t>of</w:t>
      </w:r>
      <w:r>
        <w:rPr>
          <w:spacing w:val="-3"/>
        </w:rPr>
        <w:t xml:space="preserve"> </w:t>
      </w:r>
      <w:r>
        <w:t>defence</w:t>
      </w:r>
      <w:r>
        <w:rPr>
          <w:spacing w:val="-4"/>
        </w:rPr>
        <w:t xml:space="preserve"> </w:t>
      </w:r>
      <w:r>
        <w:t>costs;</w:t>
      </w:r>
      <w:r>
        <w:rPr>
          <w:spacing w:val="-15"/>
        </w:rPr>
        <w:t xml:space="preserve"> </w:t>
      </w:r>
      <w:r>
        <w:rPr>
          <w:spacing w:val="-5"/>
        </w:rPr>
        <w:t>and</w:t>
      </w:r>
    </w:p>
    <w:p w14:paraId="0BFA1353" w14:textId="77777777" w:rsidR="007300AF" w:rsidRDefault="006B013F">
      <w:pPr>
        <w:pStyle w:val="ListParagraph"/>
        <w:numPr>
          <w:ilvl w:val="1"/>
          <w:numId w:val="2"/>
        </w:numPr>
        <w:tabs>
          <w:tab w:val="left" w:pos="1617"/>
        </w:tabs>
        <w:spacing w:before="1"/>
        <w:ind w:left="1617" w:hanging="780"/>
        <w:jc w:val="both"/>
      </w:pPr>
      <w:r>
        <w:t>provided</w:t>
      </w:r>
      <w:r>
        <w:rPr>
          <w:spacing w:val="-6"/>
        </w:rPr>
        <w:t xml:space="preserve"> </w:t>
      </w:r>
      <w:r>
        <w:t>by</w:t>
      </w:r>
      <w:r>
        <w:rPr>
          <w:spacing w:val="-6"/>
        </w:rPr>
        <w:t xml:space="preserve"> </w:t>
      </w:r>
      <w:r>
        <w:t>an</w:t>
      </w:r>
      <w:r>
        <w:rPr>
          <w:spacing w:val="-4"/>
        </w:rPr>
        <w:t xml:space="preserve"> </w:t>
      </w:r>
      <w:r>
        <w:t>insurer</w:t>
      </w:r>
      <w:r>
        <w:rPr>
          <w:spacing w:val="-2"/>
        </w:rPr>
        <w:t xml:space="preserve"> </w:t>
      </w:r>
      <w:r>
        <w:t>approved</w:t>
      </w:r>
      <w:r>
        <w:rPr>
          <w:spacing w:val="-4"/>
        </w:rPr>
        <w:t xml:space="preserve"> </w:t>
      </w:r>
      <w:r>
        <w:t>by</w:t>
      </w:r>
      <w:r>
        <w:rPr>
          <w:spacing w:val="-6"/>
        </w:rPr>
        <w:t xml:space="preserve"> </w:t>
      </w:r>
      <w:r>
        <w:t>the</w:t>
      </w:r>
      <w:r>
        <w:rPr>
          <w:spacing w:val="-14"/>
        </w:rPr>
        <w:t xml:space="preserve"> </w:t>
      </w:r>
      <w:r>
        <w:rPr>
          <w:spacing w:val="-2"/>
        </w:rPr>
        <w:t>Association.</w:t>
      </w:r>
    </w:p>
    <w:p w14:paraId="13C41DD0" w14:textId="77777777" w:rsidR="007300AF" w:rsidRDefault="006B013F">
      <w:pPr>
        <w:pStyle w:val="ListParagraph"/>
        <w:numPr>
          <w:ilvl w:val="0"/>
          <w:numId w:val="2"/>
        </w:numPr>
        <w:tabs>
          <w:tab w:val="left" w:pos="835"/>
          <w:tab w:val="left" w:pos="837"/>
        </w:tabs>
        <w:spacing w:before="119"/>
        <w:ind w:right="626"/>
        <w:jc w:val="both"/>
      </w:pPr>
      <w:r>
        <w:t>The</w:t>
      </w:r>
      <w:r>
        <w:rPr>
          <w:spacing w:val="-5"/>
        </w:rPr>
        <w:t xml:space="preserve"> </w:t>
      </w:r>
      <w:r>
        <w:t>Association</w:t>
      </w:r>
      <w:r>
        <w:rPr>
          <w:spacing w:val="-3"/>
        </w:rPr>
        <w:t xml:space="preserve"> </w:t>
      </w:r>
      <w:r>
        <w:t>annually</w:t>
      </w:r>
      <w:r>
        <w:rPr>
          <w:spacing w:val="-5"/>
        </w:rPr>
        <w:t xml:space="preserve"> </w:t>
      </w:r>
      <w:r>
        <w:t>approves</w:t>
      </w:r>
      <w:r>
        <w:rPr>
          <w:spacing w:val="-2"/>
        </w:rPr>
        <w:t xml:space="preserve"> </w:t>
      </w:r>
      <w:r>
        <w:t>insurers</w:t>
      </w:r>
      <w:r>
        <w:rPr>
          <w:spacing w:val="-5"/>
        </w:rPr>
        <w:t xml:space="preserve"> </w:t>
      </w:r>
      <w:r>
        <w:t>for</w:t>
      </w:r>
      <w:r>
        <w:rPr>
          <w:spacing w:val="-4"/>
        </w:rPr>
        <w:t xml:space="preserve"> </w:t>
      </w:r>
      <w:r>
        <w:t>that</w:t>
      </w:r>
      <w:r>
        <w:rPr>
          <w:spacing w:val="-1"/>
        </w:rPr>
        <w:t xml:space="preserve"> </w:t>
      </w:r>
      <w:r>
        <w:t>purpose</w:t>
      </w:r>
      <w:r>
        <w:rPr>
          <w:spacing w:val="-5"/>
        </w:rPr>
        <w:t xml:space="preserve"> </w:t>
      </w:r>
      <w:r>
        <w:t>to</w:t>
      </w:r>
      <w:r>
        <w:rPr>
          <w:spacing w:val="-3"/>
        </w:rPr>
        <w:t xml:space="preserve"> </w:t>
      </w:r>
      <w:r>
        <w:t>provide</w:t>
      </w:r>
      <w:r>
        <w:rPr>
          <w:spacing w:val="-3"/>
        </w:rPr>
        <w:t xml:space="preserve"> </w:t>
      </w:r>
      <w:r>
        <w:t>annual insurance cover on the terms of particular standard form</w:t>
      </w:r>
      <w:r>
        <w:rPr>
          <w:spacing w:val="-3"/>
        </w:rPr>
        <w:t xml:space="preserve"> </w:t>
      </w:r>
      <w:r>
        <w:t>policies.</w:t>
      </w:r>
    </w:p>
    <w:p w14:paraId="65B8730D" w14:textId="77777777" w:rsidR="007300AF" w:rsidRDefault="006B013F">
      <w:pPr>
        <w:pStyle w:val="ListParagraph"/>
        <w:numPr>
          <w:ilvl w:val="0"/>
          <w:numId w:val="2"/>
        </w:numPr>
        <w:tabs>
          <w:tab w:val="left" w:pos="837"/>
        </w:tabs>
        <w:spacing w:before="243"/>
        <w:ind w:right="355" w:hanging="720"/>
      </w:pPr>
      <w:r>
        <w:t>The</w:t>
      </w:r>
      <w:r>
        <w:rPr>
          <w:spacing w:val="-5"/>
        </w:rPr>
        <w:t xml:space="preserve"> </w:t>
      </w:r>
      <w:r>
        <w:t>standard</w:t>
      </w:r>
      <w:r>
        <w:rPr>
          <w:spacing w:val="-5"/>
        </w:rPr>
        <w:t xml:space="preserve"> </w:t>
      </w:r>
      <w:r>
        <w:t>form</w:t>
      </w:r>
      <w:r>
        <w:rPr>
          <w:spacing w:val="-4"/>
        </w:rPr>
        <w:t xml:space="preserve"> </w:t>
      </w:r>
      <w:r>
        <w:t>policies</w:t>
      </w:r>
      <w:r>
        <w:rPr>
          <w:spacing w:val="-2"/>
        </w:rPr>
        <w:t xml:space="preserve"> </w:t>
      </w:r>
      <w:r>
        <w:t>cover</w:t>
      </w:r>
      <w:r>
        <w:rPr>
          <w:spacing w:val="-1"/>
        </w:rPr>
        <w:t xml:space="preserve"> </w:t>
      </w:r>
      <w:r>
        <w:t>occupational</w:t>
      </w:r>
      <w:r>
        <w:rPr>
          <w:spacing w:val="-3"/>
        </w:rPr>
        <w:t xml:space="preserve"> </w:t>
      </w:r>
      <w:r>
        <w:t>liability</w:t>
      </w:r>
      <w:r>
        <w:rPr>
          <w:spacing w:val="-5"/>
        </w:rPr>
        <w:t xml:space="preserve"> </w:t>
      </w:r>
      <w:r>
        <w:t>in</w:t>
      </w:r>
      <w:r>
        <w:rPr>
          <w:spacing w:val="-3"/>
        </w:rPr>
        <w:t xml:space="preserve"> </w:t>
      </w:r>
      <w:r>
        <w:t>all</w:t>
      </w:r>
      <w:r>
        <w:rPr>
          <w:spacing w:val="-3"/>
        </w:rPr>
        <w:t xml:space="preserve"> </w:t>
      </w:r>
      <w:r>
        <w:t>Australian</w:t>
      </w:r>
      <w:r>
        <w:rPr>
          <w:spacing w:val="-2"/>
        </w:rPr>
        <w:t xml:space="preserve"> </w:t>
      </w:r>
      <w:r>
        <w:t>States</w:t>
      </w:r>
      <w:r>
        <w:rPr>
          <w:spacing w:val="-2"/>
        </w:rPr>
        <w:t xml:space="preserve"> </w:t>
      </w:r>
      <w:r>
        <w:t xml:space="preserve">and </w:t>
      </w:r>
      <w:r>
        <w:rPr>
          <w:spacing w:val="-2"/>
        </w:rPr>
        <w:t>Territories.</w:t>
      </w:r>
    </w:p>
    <w:p w14:paraId="7022A64B" w14:textId="77777777" w:rsidR="007300AF" w:rsidRDefault="007300AF">
      <w:pPr>
        <w:sectPr w:rsidR="007300AF" w:rsidSect="00C32D07">
          <w:pgSz w:w="11920" w:h="16850"/>
          <w:pgMar w:top="1320" w:right="1160" w:bottom="1000" w:left="1680" w:header="0" w:footer="806" w:gutter="0"/>
          <w:cols w:space="720"/>
        </w:sectPr>
      </w:pPr>
    </w:p>
    <w:p w14:paraId="7C526CA6" w14:textId="77777777" w:rsidR="007300AF" w:rsidRDefault="006B013F">
      <w:pPr>
        <w:pStyle w:val="Heading1"/>
        <w:spacing w:before="69"/>
      </w:pPr>
      <w:bookmarkStart w:id="7" w:name="Claims_Monitoring"/>
      <w:bookmarkEnd w:id="7"/>
      <w:r>
        <w:lastRenderedPageBreak/>
        <w:t>Claims</w:t>
      </w:r>
      <w:r>
        <w:rPr>
          <w:spacing w:val="-5"/>
        </w:rPr>
        <w:t xml:space="preserve"> </w:t>
      </w:r>
      <w:r>
        <w:rPr>
          <w:spacing w:val="-2"/>
        </w:rPr>
        <w:t>Monitoring</w:t>
      </w:r>
    </w:p>
    <w:p w14:paraId="011F219B" w14:textId="77777777" w:rsidR="007300AF" w:rsidRDefault="006B013F">
      <w:pPr>
        <w:pStyle w:val="ListParagraph"/>
        <w:numPr>
          <w:ilvl w:val="0"/>
          <w:numId w:val="2"/>
        </w:numPr>
        <w:tabs>
          <w:tab w:val="left" w:pos="834"/>
          <w:tab w:val="left" w:pos="837"/>
        </w:tabs>
        <w:spacing w:before="243"/>
        <w:ind w:right="112"/>
        <w:jc w:val="both"/>
      </w:pPr>
      <w:r>
        <w:t>As</w:t>
      </w:r>
      <w:r>
        <w:rPr>
          <w:spacing w:val="-1"/>
        </w:rPr>
        <w:t xml:space="preserve"> </w:t>
      </w:r>
      <w:r>
        <w:t>a</w:t>
      </w:r>
      <w:r>
        <w:rPr>
          <w:spacing w:val="-2"/>
        </w:rPr>
        <w:t xml:space="preserve"> </w:t>
      </w:r>
      <w:r>
        <w:t>condition</w:t>
      </w:r>
      <w:r>
        <w:rPr>
          <w:spacing w:val="-2"/>
        </w:rPr>
        <w:t xml:space="preserve"> </w:t>
      </w:r>
      <w:r>
        <w:t>of approval</w:t>
      </w:r>
      <w:r>
        <w:rPr>
          <w:spacing w:val="-2"/>
        </w:rPr>
        <w:t xml:space="preserve"> </w:t>
      </w:r>
      <w:r>
        <w:t>of an</w:t>
      </w:r>
      <w:r>
        <w:rPr>
          <w:spacing w:val="-2"/>
        </w:rPr>
        <w:t xml:space="preserve"> </w:t>
      </w:r>
      <w:r>
        <w:t>insurer each</w:t>
      </w:r>
      <w:r>
        <w:rPr>
          <w:spacing w:val="-4"/>
        </w:rPr>
        <w:t xml:space="preserve"> </w:t>
      </w:r>
      <w:r>
        <w:t>year,</w:t>
      </w:r>
      <w:r>
        <w:rPr>
          <w:spacing w:val="-3"/>
        </w:rPr>
        <w:t xml:space="preserve"> </w:t>
      </w:r>
      <w:r>
        <w:t>the</w:t>
      </w:r>
      <w:r>
        <w:rPr>
          <w:spacing w:val="-2"/>
        </w:rPr>
        <w:t xml:space="preserve"> </w:t>
      </w:r>
      <w:r>
        <w:t>Association</w:t>
      </w:r>
      <w:r>
        <w:rPr>
          <w:spacing w:val="-2"/>
        </w:rPr>
        <w:t xml:space="preserve"> </w:t>
      </w:r>
      <w:r>
        <w:t>requires</w:t>
      </w:r>
      <w:r>
        <w:rPr>
          <w:spacing w:val="-1"/>
        </w:rPr>
        <w:t xml:space="preserve"> </w:t>
      </w:r>
      <w:r>
        <w:t>that the insurer provide claims data to</w:t>
      </w:r>
      <w:r>
        <w:rPr>
          <w:spacing w:val="-2"/>
        </w:rPr>
        <w:t xml:space="preserve"> </w:t>
      </w:r>
      <w:r>
        <w:t>the Association, so that the Association can continue to monitor claims made against its members from time to</w:t>
      </w:r>
      <w:r>
        <w:rPr>
          <w:spacing w:val="-20"/>
        </w:rPr>
        <w:t xml:space="preserve"> </w:t>
      </w:r>
      <w:r>
        <w:t>time.</w:t>
      </w:r>
    </w:p>
    <w:p w14:paraId="2258F02E" w14:textId="77777777" w:rsidR="007300AF" w:rsidRDefault="006B013F">
      <w:pPr>
        <w:pStyle w:val="ListParagraph"/>
        <w:numPr>
          <w:ilvl w:val="0"/>
          <w:numId w:val="2"/>
        </w:numPr>
        <w:tabs>
          <w:tab w:val="left" w:pos="835"/>
          <w:tab w:val="left" w:pos="837"/>
        </w:tabs>
        <w:spacing w:before="240"/>
        <w:ind w:right="147"/>
        <w:jc w:val="both"/>
      </w:pPr>
      <w:r>
        <w:t>The</w:t>
      </w:r>
      <w:r>
        <w:rPr>
          <w:spacing w:val="-4"/>
        </w:rPr>
        <w:t xml:space="preserve"> </w:t>
      </w:r>
      <w:r>
        <w:t>Association</w:t>
      </w:r>
      <w:r>
        <w:rPr>
          <w:spacing w:val="-2"/>
        </w:rPr>
        <w:t xml:space="preserve"> </w:t>
      </w:r>
      <w:r>
        <w:t>will</w:t>
      </w:r>
      <w:r>
        <w:rPr>
          <w:spacing w:val="-2"/>
        </w:rPr>
        <w:t xml:space="preserve"> </w:t>
      </w:r>
      <w:r>
        <w:t>establish</w:t>
      </w:r>
      <w:r>
        <w:rPr>
          <w:spacing w:val="-2"/>
        </w:rPr>
        <w:t xml:space="preserve"> </w:t>
      </w:r>
      <w:r>
        <w:t>or</w:t>
      </w:r>
      <w:r>
        <w:rPr>
          <w:spacing w:val="-3"/>
        </w:rPr>
        <w:t xml:space="preserve"> </w:t>
      </w:r>
      <w:r>
        <w:t>maintain</w:t>
      </w:r>
      <w:r>
        <w:rPr>
          <w:spacing w:val="-4"/>
        </w:rPr>
        <w:t xml:space="preserve"> </w:t>
      </w:r>
      <w:r>
        <w:t>relationships</w:t>
      </w:r>
      <w:r>
        <w:rPr>
          <w:spacing w:val="-1"/>
        </w:rPr>
        <w:t xml:space="preserve"> </w:t>
      </w:r>
      <w:r>
        <w:t>with</w:t>
      </w:r>
      <w:r>
        <w:rPr>
          <w:spacing w:val="-2"/>
        </w:rPr>
        <w:t xml:space="preserve"> </w:t>
      </w:r>
      <w:r>
        <w:t>approved</w:t>
      </w:r>
      <w:r>
        <w:rPr>
          <w:spacing w:val="-2"/>
        </w:rPr>
        <w:t xml:space="preserve"> </w:t>
      </w:r>
      <w:r>
        <w:t>insurers</w:t>
      </w:r>
      <w:r>
        <w:rPr>
          <w:spacing w:val="-6"/>
        </w:rPr>
        <w:t xml:space="preserve"> </w:t>
      </w:r>
      <w:r>
        <w:t>from time to time.</w:t>
      </w:r>
    </w:p>
    <w:p w14:paraId="4902E961" w14:textId="77777777" w:rsidR="007300AF" w:rsidRDefault="006B013F">
      <w:pPr>
        <w:pStyle w:val="ListParagraph"/>
        <w:numPr>
          <w:ilvl w:val="0"/>
          <w:numId w:val="2"/>
        </w:numPr>
        <w:tabs>
          <w:tab w:val="left" w:pos="837"/>
        </w:tabs>
        <w:spacing w:before="238"/>
        <w:ind w:right="624"/>
      </w:pPr>
      <w:r>
        <w:t>The</w:t>
      </w:r>
      <w:r>
        <w:rPr>
          <w:spacing w:val="-4"/>
        </w:rPr>
        <w:t xml:space="preserve"> </w:t>
      </w:r>
      <w:r>
        <w:t>Association</w:t>
      </w:r>
      <w:r>
        <w:rPr>
          <w:spacing w:val="-3"/>
        </w:rPr>
        <w:t xml:space="preserve"> </w:t>
      </w:r>
      <w:r>
        <w:t>will</w:t>
      </w:r>
      <w:r>
        <w:rPr>
          <w:spacing w:val="-3"/>
        </w:rPr>
        <w:t xml:space="preserve"> </w:t>
      </w:r>
      <w:r>
        <w:t>report</w:t>
      </w:r>
      <w:r>
        <w:rPr>
          <w:spacing w:val="-3"/>
        </w:rPr>
        <w:t xml:space="preserve"> </w:t>
      </w:r>
      <w:r>
        <w:t>annually</w:t>
      </w:r>
      <w:r>
        <w:rPr>
          <w:spacing w:val="-4"/>
        </w:rPr>
        <w:t xml:space="preserve"> </w:t>
      </w:r>
      <w:r>
        <w:t>to</w:t>
      </w:r>
      <w:r>
        <w:rPr>
          <w:spacing w:val="-3"/>
        </w:rPr>
        <w:t xml:space="preserve"> </w:t>
      </w:r>
      <w:r>
        <w:t>the</w:t>
      </w:r>
      <w:r>
        <w:rPr>
          <w:spacing w:val="-4"/>
        </w:rPr>
        <w:t xml:space="preserve"> </w:t>
      </w:r>
      <w:r>
        <w:t>Professional</w:t>
      </w:r>
      <w:r>
        <w:rPr>
          <w:spacing w:val="-3"/>
        </w:rPr>
        <w:t xml:space="preserve"> </w:t>
      </w:r>
      <w:r>
        <w:t>Standards</w:t>
      </w:r>
      <w:r>
        <w:rPr>
          <w:spacing w:val="-2"/>
        </w:rPr>
        <w:t xml:space="preserve"> </w:t>
      </w:r>
      <w:r>
        <w:t>Councils</w:t>
      </w:r>
      <w:r>
        <w:rPr>
          <w:spacing w:val="-4"/>
        </w:rPr>
        <w:t xml:space="preserve"> </w:t>
      </w:r>
      <w:r>
        <w:t>on claims monitoring, tactics, performance measures and monitoring</w:t>
      </w:r>
      <w:r>
        <w:rPr>
          <w:spacing w:val="-11"/>
        </w:rPr>
        <w:t xml:space="preserve"> </w:t>
      </w:r>
      <w:r>
        <w:t>systems.</w:t>
      </w:r>
    </w:p>
    <w:p w14:paraId="0FC01D53" w14:textId="77777777" w:rsidR="007300AF" w:rsidRDefault="006B013F">
      <w:pPr>
        <w:pStyle w:val="Heading1"/>
        <w:spacing w:before="236"/>
      </w:pPr>
      <w:bookmarkStart w:id="8" w:name="Scheme_Administration"/>
      <w:bookmarkEnd w:id="8"/>
      <w:r>
        <w:t>Scheme</w:t>
      </w:r>
      <w:r>
        <w:rPr>
          <w:spacing w:val="-1"/>
        </w:rPr>
        <w:t xml:space="preserve"> </w:t>
      </w:r>
      <w:r>
        <w:rPr>
          <w:spacing w:val="-2"/>
        </w:rPr>
        <w:t>Administration</w:t>
      </w:r>
    </w:p>
    <w:p w14:paraId="5831A44F" w14:textId="77777777" w:rsidR="007300AF" w:rsidRDefault="006B013F">
      <w:pPr>
        <w:pStyle w:val="ListParagraph"/>
        <w:numPr>
          <w:ilvl w:val="0"/>
          <w:numId w:val="2"/>
        </w:numPr>
        <w:tabs>
          <w:tab w:val="left" w:pos="837"/>
        </w:tabs>
        <w:spacing w:before="243"/>
        <w:ind w:right="330"/>
      </w:pPr>
      <w:r>
        <w:t>Responsibility</w:t>
      </w:r>
      <w:r>
        <w:rPr>
          <w:spacing w:val="-5"/>
        </w:rPr>
        <w:t xml:space="preserve"> </w:t>
      </w:r>
      <w:r>
        <w:t>for</w:t>
      </w:r>
      <w:r>
        <w:rPr>
          <w:spacing w:val="-4"/>
        </w:rPr>
        <w:t xml:space="preserve"> </w:t>
      </w:r>
      <w:r>
        <w:t>administration</w:t>
      </w:r>
      <w:r>
        <w:rPr>
          <w:spacing w:val="-3"/>
        </w:rPr>
        <w:t xml:space="preserve"> </w:t>
      </w:r>
      <w:r>
        <w:t>of</w:t>
      </w:r>
      <w:r>
        <w:rPr>
          <w:spacing w:val="-4"/>
        </w:rPr>
        <w:t xml:space="preserve"> </w:t>
      </w:r>
      <w:r>
        <w:t>the</w:t>
      </w:r>
      <w:r>
        <w:rPr>
          <w:spacing w:val="-3"/>
        </w:rPr>
        <w:t xml:space="preserve"> </w:t>
      </w:r>
      <w:r>
        <w:t>Scheme</w:t>
      </w:r>
      <w:r>
        <w:rPr>
          <w:spacing w:val="-3"/>
        </w:rPr>
        <w:t xml:space="preserve"> </w:t>
      </w:r>
      <w:r>
        <w:t>and</w:t>
      </w:r>
      <w:r>
        <w:rPr>
          <w:spacing w:val="-3"/>
        </w:rPr>
        <w:t xml:space="preserve"> </w:t>
      </w:r>
      <w:r>
        <w:t>ensuring</w:t>
      </w:r>
      <w:r>
        <w:rPr>
          <w:spacing w:val="-3"/>
        </w:rPr>
        <w:t xml:space="preserve"> </w:t>
      </w:r>
      <w:r>
        <w:t>that</w:t>
      </w:r>
      <w:r>
        <w:rPr>
          <w:spacing w:val="-1"/>
        </w:rPr>
        <w:t xml:space="preserve"> </w:t>
      </w:r>
      <w:r>
        <w:t>it</w:t>
      </w:r>
      <w:r>
        <w:rPr>
          <w:spacing w:val="-3"/>
        </w:rPr>
        <w:t xml:space="preserve"> </w:t>
      </w:r>
      <w:r>
        <w:t>complies</w:t>
      </w:r>
      <w:r>
        <w:rPr>
          <w:spacing w:val="-2"/>
        </w:rPr>
        <w:t xml:space="preserve"> </w:t>
      </w:r>
      <w:r>
        <w:t>with the requirements of the PS Act and of the Professional Standards Councils rests with the Association.</w:t>
      </w:r>
    </w:p>
    <w:p w14:paraId="03795C85" w14:textId="77777777" w:rsidR="007300AF" w:rsidRDefault="006B013F">
      <w:pPr>
        <w:pStyle w:val="Heading1"/>
        <w:spacing w:before="237"/>
      </w:pPr>
      <w:bookmarkStart w:id="9" w:name="Duration"/>
      <w:bookmarkEnd w:id="9"/>
      <w:r>
        <w:rPr>
          <w:spacing w:val="-2"/>
        </w:rPr>
        <w:t>Duration</w:t>
      </w:r>
    </w:p>
    <w:p w14:paraId="61DF0A6B" w14:textId="77777777" w:rsidR="007300AF" w:rsidRDefault="006B013F">
      <w:pPr>
        <w:pStyle w:val="ListParagraph"/>
        <w:numPr>
          <w:ilvl w:val="0"/>
          <w:numId w:val="2"/>
        </w:numPr>
        <w:tabs>
          <w:tab w:val="left" w:pos="837"/>
        </w:tabs>
        <w:spacing w:before="242"/>
        <w:ind w:right="681"/>
      </w:pPr>
      <w:r>
        <w:t>It</w:t>
      </w:r>
      <w:r>
        <w:rPr>
          <w:spacing w:val="-1"/>
        </w:rPr>
        <w:t xml:space="preserve"> </w:t>
      </w:r>
      <w:r>
        <w:t>is intended</w:t>
      </w:r>
      <w:r>
        <w:rPr>
          <w:spacing w:val="-5"/>
        </w:rPr>
        <w:t xml:space="preserve"> </w:t>
      </w:r>
      <w:r>
        <w:t>for</w:t>
      </w:r>
      <w:r>
        <w:rPr>
          <w:spacing w:val="-2"/>
        </w:rPr>
        <w:t xml:space="preserve"> </w:t>
      </w:r>
      <w:r>
        <w:t>the</w:t>
      </w:r>
      <w:r>
        <w:rPr>
          <w:spacing w:val="-1"/>
        </w:rPr>
        <w:t xml:space="preserve"> </w:t>
      </w:r>
      <w:r>
        <w:t>Scheme</w:t>
      </w:r>
      <w:r>
        <w:rPr>
          <w:spacing w:val="-3"/>
        </w:rPr>
        <w:t xml:space="preserve"> </w:t>
      </w:r>
      <w:r>
        <w:t>to</w:t>
      </w:r>
      <w:r>
        <w:rPr>
          <w:spacing w:val="-3"/>
        </w:rPr>
        <w:t xml:space="preserve"> </w:t>
      </w:r>
      <w:r>
        <w:t>remain</w:t>
      </w:r>
      <w:r>
        <w:rPr>
          <w:spacing w:val="-3"/>
        </w:rPr>
        <w:t xml:space="preserve"> </w:t>
      </w:r>
      <w:r>
        <w:t>in</w:t>
      </w:r>
      <w:r>
        <w:rPr>
          <w:spacing w:val="-3"/>
        </w:rPr>
        <w:t xml:space="preserve"> </w:t>
      </w:r>
      <w:r>
        <w:t>force</w:t>
      </w:r>
      <w:r>
        <w:rPr>
          <w:spacing w:val="-3"/>
        </w:rPr>
        <w:t xml:space="preserve"> </w:t>
      </w:r>
      <w:r>
        <w:t>for a</w:t>
      </w:r>
      <w:r>
        <w:rPr>
          <w:spacing w:val="-3"/>
        </w:rPr>
        <w:t xml:space="preserve"> </w:t>
      </w:r>
      <w:r>
        <w:t>period</w:t>
      </w:r>
      <w:r>
        <w:rPr>
          <w:spacing w:val="-1"/>
        </w:rPr>
        <w:t xml:space="preserve"> </w:t>
      </w:r>
      <w:r>
        <w:t>of 5</w:t>
      </w:r>
      <w:r>
        <w:rPr>
          <w:spacing w:val="-3"/>
        </w:rPr>
        <w:t xml:space="preserve"> </w:t>
      </w:r>
      <w:r>
        <w:t>years</w:t>
      </w:r>
      <w:r>
        <w:rPr>
          <w:spacing w:val="-3"/>
        </w:rPr>
        <w:t xml:space="preserve"> </w:t>
      </w:r>
      <w:r>
        <w:t>from its commencement unless it is revoked, extended or ceases in accordance with section 33 of the PS Act.</w:t>
      </w:r>
    </w:p>
    <w:p w14:paraId="449F9C3D" w14:textId="77777777" w:rsidR="007300AF" w:rsidRDefault="006B013F">
      <w:pPr>
        <w:pStyle w:val="Heading1"/>
      </w:pPr>
      <w:bookmarkStart w:id="10" w:name="Operation_as_an_interstate_scheme"/>
      <w:bookmarkEnd w:id="10"/>
      <w:r>
        <w:t>Operation</w:t>
      </w:r>
      <w:r>
        <w:rPr>
          <w:spacing w:val="-6"/>
        </w:rPr>
        <w:t xml:space="preserve"> </w:t>
      </w:r>
      <w:r>
        <w:t>as</w:t>
      </w:r>
      <w:r>
        <w:rPr>
          <w:spacing w:val="-4"/>
        </w:rPr>
        <w:t xml:space="preserve"> </w:t>
      </w:r>
      <w:r>
        <w:t>an</w:t>
      </w:r>
      <w:r>
        <w:rPr>
          <w:spacing w:val="-6"/>
        </w:rPr>
        <w:t xml:space="preserve"> </w:t>
      </w:r>
      <w:r>
        <w:t>interstate</w:t>
      </w:r>
      <w:r>
        <w:rPr>
          <w:spacing w:val="-3"/>
        </w:rPr>
        <w:t xml:space="preserve"> </w:t>
      </w:r>
      <w:r>
        <w:rPr>
          <w:spacing w:val="-2"/>
        </w:rPr>
        <w:t>scheme</w:t>
      </w:r>
    </w:p>
    <w:p w14:paraId="3A39A32E" w14:textId="77777777" w:rsidR="007300AF" w:rsidRDefault="006B013F">
      <w:pPr>
        <w:pStyle w:val="ListParagraph"/>
        <w:numPr>
          <w:ilvl w:val="0"/>
          <w:numId w:val="2"/>
        </w:numPr>
        <w:tabs>
          <w:tab w:val="left" w:pos="837"/>
        </w:tabs>
        <w:spacing w:before="247"/>
        <w:ind w:right="121" w:hanging="720"/>
      </w:pPr>
      <w:r>
        <w:t>The Scheme is intended to operate in a jurisdiction other than Queensland in accordance</w:t>
      </w:r>
      <w:r>
        <w:rPr>
          <w:spacing w:val="-4"/>
        </w:rPr>
        <w:t xml:space="preserve"> </w:t>
      </w:r>
      <w:r>
        <w:t>with</w:t>
      </w:r>
      <w:r>
        <w:rPr>
          <w:spacing w:val="-2"/>
        </w:rPr>
        <w:t xml:space="preserve"> </w:t>
      </w:r>
      <w:r>
        <w:t>the</w:t>
      </w:r>
      <w:r>
        <w:rPr>
          <w:spacing w:val="-2"/>
        </w:rPr>
        <w:t xml:space="preserve"> </w:t>
      </w:r>
      <w:r>
        <w:t>corresponding law</w:t>
      </w:r>
      <w:r>
        <w:rPr>
          <w:spacing w:val="-5"/>
        </w:rPr>
        <w:t xml:space="preserve"> </w:t>
      </w:r>
      <w:r>
        <w:t>to</w:t>
      </w:r>
      <w:r>
        <w:rPr>
          <w:spacing w:val="-4"/>
        </w:rPr>
        <w:t xml:space="preserve"> </w:t>
      </w:r>
      <w:r>
        <w:t>the</w:t>
      </w:r>
      <w:r>
        <w:rPr>
          <w:spacing w:val="-4"/>
        </w:rPr>
        <w:t xml:space="preserve"> </w:t>
      </w:r>
      <w:r>
        <w:t>PS</w:t>
      </w:r>
      <w:r>
        <w:rPr>
          <w:spacing w:val="-4"/>
        </w:rPr>
        <w:t xml:space="preserve"> </w:t>
      </w:r>
      <w:r>
        <w:t>Act of</w:t>
      </w:r>
      <w:r>
        <w:rPr>
          <w:spacing w:val="-3"/>
        </w:rPr>
        <w:t xml:space="preserve"> </w:t>
      </w:r>
      <w:r>
        <w:t>that</w:t>
      </w:r>
      <w:r>
        <w:rPr>
          <w:spacing w:val="-2"/>
        </w:rPr>
        <w:t xml:space="preserve"> </w:t>
      </w:r>
      <w:r>
        <w:t>jurisdiction</w:t>
      </w:r>
      <w:r>
        <w:rPr>
          <w:spacing w:val="-2"/>
        </w:rPr>
        <w:t xml:space="preserve"> </w:t>
      </w:r>
      <w:r>
        <w:t>and</w:t>
      </w:r>
      <w:r>
        <w:rPr>
          <w:spacing w:val="-2"/>
        </w:rPr>
        <w:t xml:space="preserve"> </w:t>
      </w:r>
      <w:r>
        <w:t>subject to the requirements of the corresponding law, so that references to a provision of the PS Act, the application of the Scheme to a liability, the limit of a liability under the PS Act or what constitutes occupational liability are intended to pick up the relevant provisions of the corresponding law, applied mutatis mutandis, to the extent that is necessary for the application of the Scheme in that jurisdiction as an interstate scheme.</w:t>
      </w:r>
    </w:p>
    <w:p w14:paraId="5035FF71" w14:textId="77777777" w:rsidR="007300AF" w:rsidRDefault="006B013F">
      <w:pPr>
        <w:pStyle w:val="Heading1"/>
      </w:pPr>
      <w:bookmarkStart w:id="11" w:name="THE_BAR_ASSOCIATION_OF_QUEENSLAND_SCHEME"/>
      <w:bookmarkEnd w:id="11"/>
      <w:r>
        <w:t>THE</w:t>
      </w:r>
      <w:r>
        <w:rPr>
          <w:spacing w:val="-7"/>
        </w:rPr>
        <w:t xml:space="preserve"> </w:t>
      </w:r>
      <w:r>
        <w:t>BAR</w:t>
      </w:r>
      <w:r>
        <w:rPr>
          <w:spacing w:val="-2"/>
        </w:rPr>
        <w:t xml:space="preserve"> </w:t>
      </w:r>
      <w:r>
        <w:t>ASSOCIATION</w:t>
      </w:r>
      <w:r>
        <w:rPr>
          <w:spacing w:val="-6"/>
        </w:rPr>
        <w:t xml:space="preserve"> </w:t>
      </w:r>
      <w:r>
        <w:t>OF</w:t>
      </w:r>
      <w:r>
        <w:rPr>
          <w:spacing w:val="-8"/>
        </w:rPr>
        <w:t xml:space="preserve"> </w:t>
      </w:r>
      <w:r>
        <w:t>QUEENSLAND</w:t>
      </w:r>
      <w:r>
        <w:rPr>
          <w:spacing w:val="-6"/>
        </w:rPr>
        <w:t xml:space="preserve"> </w:t>
      </w:r>
      <w:r>
        <w:rPr>
          <w:spacing w:val="-2"/>
        </w:rPr>
        <w:t>SCHEME</w:t>
      </w:r>
    </w:p>
    <w:p w14:paraId="429562D3" w14:textId="77777777" w:rsidR="007300AF" w:rsidRDefault="006B013F">
      <w:pPr>
        <w:pStyle w:val="ListParagraph"/>
        <w:numPr>
          <w:ilvl w:val="0"/>
          <w:numId w:val="1"/>
        </w:numPr>
        <w:tabs>
          <w:tab w:val="left" w:pos="837"/>
        </w:tabs>
        <w:spacing w:before="239"/>
        <w:ind w:hanging="720"/>
        <w:rPr>
          <w:b/>
        </w:rPr>
      </w:pPr>
      <w:r>
        <w:rPr>
          <w:b/>
        </w:rPr>
        <w:t>Occupational</w:t>
      </w:r>
      <w:r>
        <w:rPr>
          <w:b/>
          <w:spacing w:val="-13"/>
        </w:rPr>
        <w:t xml:space="preserve"> </w:t>
      </w:r>
      <w:r>
        <w:rPr>
          <w:b/>
          <w:spacing w:val="-2"/>
        </w:rPr>
        <w:t>association</w:t>
      </w:r>
    </w:p>
    <w:p w14:paraId="77FD0B25" w14:textId="77777777" w:rsidR="007300AF" w:rsidRDefault="006B013F">
      <w:pPr>
        <w:pStyle w:val="ListParagraph"/>
        <w:numPr>
          <w:ilvl w:val="1"/>
          <w:numId w:val="1"/>
        </w:numPr>
        <w:tabs>
          <w:tab w:val="left" w:pos="837"/>
        </w:tabs>
        <w:spacing w:before="247"/>
        <w:ind w:right="146"/>
      </w:pPr>
      <w:r>
        <w:t>The</w:t>
      </w:r>
      <w:r>
        <w:rPr>
          <w:spacing w:val="-4"/>
        </w:rPr>
        <w:t xml:space="preserve"> </w:t>
      </w:r>
      <w:r>
        <w:t>Bar Association</w:t>
      </w:r>
      <w:r>
        <w:rPr>
          <w:spacing w:val="-2"/>
        </w:rPr>
        <w:t xml:space="preserve"> </w:t>
      </w:r>
      <w:r>
        <w:t>of</w:t>
      </w:r>
      <w:r>
        <w:rPr>
          <w:spacing w:val="-3"/>
        </w:rPr>
        <w:t xml:space="preserve"> </w:t>
      </w:r>
      <w:r>
        <w:t>Queensland</w:t>
      </w:r>
      <w:r>
        <w:rPr>
          <w:spacing w:val="-2"/>
        </w:rPr>
        <w:t xml:space="preserve"> </w:t>
      </w:r>
      <w:r>
        <w:t>Scheme</w:t>
      </w:r>
      <w:r>
        <w:rPr>
          <w:spacing w:val="-4"/>
        </w:rPr>
        <w:t xml:space="preserve"> </w:t>
      </w:r>
      <w:r>
        <w:t>(“the</w:t>
      </w:r>
      <w:r>
        <w:rPr>
          <w:spacing w:val="-4"/>
        </w:rPr>
        <w:t xml:space="preserve"> </w:t>
      </w:r>
      <w:r>
        <w:t>Scheme”)</w:t>
      </w:r>
      <w:r>
        <w:rPr>
          <w:spacing w:val="-3"/>
        </w:rPr>
        <w:t xml:space="preserve"> </w:t>
      </w:r>
      <w:r>
        <w:t>is</w:t>
      </w:r>
      <w:r>
        <w:rPr>
          <w:spacing w:val="-1"/>
        </w:rPr>
        <w:t xml:space="preserve"> </w:t>
      </w:r>
      <w:r>
        <w:t>a</w:t>
      </w:r>
      <w:r>
        <w:rPr>
          <w:spacing w:val="-4"/>
        </w:rPr>
        <w:t xml:space="preserve"> </w:t>
      </w:r>
      <w:r>
        <w:t>scheme</w:t>
      </w:r>
      <w:r>
        <w:rPr>
          <w:spacing w:val="-2"/>
        </w:rPr>
        <w:t xml:space="preserve"> </w:t>
      </w:r>
      <w:r>
        <w:t>under</w:t>
      </w:r>
      <w:r>
        <w:rPr>
          <w:spacing w:val="-3"/>
        </w:rPr>
        <w:t xml:space="preserve"> </w:t>
      </w:r>
      <w:r>
        <w:t>the PS Act.</w:t>
      </w:r>
    </w:p>
    <w:p w14:paraId="41A18A1F" w14:textId="77777777" w:rsidR="007300AF" w:rsidRDefault="006B013F">
      <w:pPr>
        <w:pStyle w:val="ListParagraph"/>
        <w:numPr>
          <w:ilvl w:val="1"/>
          <w:numId w:val="1"/>
        </w:numPr>
        <w:tabs>
          <w:tab w:val="left" w:pos="835"/>
          <w:tab w:val="left" w:pos="837"/>
        </w:tabs>
        <w:spacing w:before="240"/>
        <w:ind w:right="130"/>
        <w:jc w:val="both"/>
      </w:pPr>
      <w:r>
        <w:t>The</w:t>
      </w:r>
      <w:r>
        <w:rPr>
          <w:spacing w:val="-4"/>
        </w:rPr>
        <w:t xml:space="preserve"> </w:t>
      </w:r>
      <w:r>
        <w:t>Scheme</w:t>
      </w:r>
      <w:r>
        <w:rPr>
          <w:spacing w:val="-4"/>
        </w:rPr>
        <w:t xml:space="preserve"> </w:t>
      </w:r>
      <w:r>
        <w:t>was</w:t>
      </w:r>
      <w:r>
        <w:rPr>
          <w:spacing w:val="-1"/>
        </w:rPr>
        <w:t xml:space="preserve"> </w:t>
      </w:r>
      <w:r>
        <w:t>prepared</w:t>
      </w:r>
      <w:r>
        <w:rPr>
          <w:spacing w:val="-2"/>
        </w:rPr>
        <w:t xml:space="preserve"> </w:t>
      </w:r>
      <w:r>
        <w:t>by</w:t>
      </w:r>
      <w:r>
        <w:rPr>
          <w:spacing w:val="-4"/>
        </w:rPr>
        <w:t xml:space="preserve"> </w:t>
      </w:r>
      <w:r>
        <w:t>the</w:t>
      </w:r>
      <w:r>
        <w:rPr>
          <w:spacing w:val="-2"/>
        </w:rPr>
        <w:t xml:space="preserve"> </w:t>
      </w:r>
      <w:r>
        <w:t>Association,</w:t>
      </w:r>
      <w:r>
        <w:rPr>
          <w:spacing w:val="-3"/>
        </w:rPr>
        <w:t xml:space="preserve"> </w:t>
      </w:r>
      <w:r>
        <w:t>whose</w:t>
      </w:r>
      <w:r>
        <w:rPr>
          <w:spacing w:val="-2"/>
        </w:rPr>
        <w:t xml:space="preserve"> </w:t>
      </w:r>
      <w:r>
        <w:t>business</w:t>
      </w:r>
      <w:r>
        <w:rPr>
          <w:spacing w:val="-1"/>
        </w:rPr>
        <w:t xml:space="preserve"> </w:t>
      </w:r>
      <w:r>
        <w:t>address</w:t>
      </w:r>
      <w:r>
        <w:rPr>
          <w:spacing w:val="-4"/>
        </w:rPr>
        <w:t xml:space="preserve"> </w:t>
      </w:r>
      <w:r>
        <w:t>is:</w:t>
      </w:r>
      <w:r>
        <w:rPr>
          <w:spacing w:val="-3"/>
        </w:rPr>
        <w:t xml:space="preserve"> </w:t>
      </w:r>
      <w:r>
        <w:t>Ground Floor, Inns of Court, 107 North Quay, Brisbane, Queensland.</w:t>
      </w:r>
      <w:r>
        <w:rPr>
          <w:spacing w:val="-7"/>
        </w:rPr>
        <w:t xml:space="preserve"> </w:t>
      </w:r>
      <w:r>
        <w:t>4000.</w:t>
      </w:r>
    </w:p>
    <w:p w14:paraId="6D3C8E84" w14:textId="77777777" w:rsidR="007300AF" w:rsidRDefault="006B013F">
      <w:pPr>
        <w:pStyle w:val="Heading1"/>
        <w:numPr>
          <w:ilvl w:val="0"/>
          <w:numId w:val="1"/>
        </w:numPr>
        <w:tabs>
          <w:tab w:val="left" w:pos="837"/>
        </w:tabs>
        <w:spacing w:before="233"/>
        <w:ind w:hanging="720"/>
      </w:pPr>
      <w:bookmarkStart w:id="12" w:name="2._Persons_to_Whom_the_Scheme_Applies"/>
      <w:bookmarkEnd w:id="12"/>
      <w:r>
        <w:t>Persons</w:t>
      </w:r>
      <w:r>
        <w:rPr>
          <w:spacing w:val="-3"/>
        </w:rPr>
        <w:t xml:space="preserve"> </w:t>
      </w:r>
      <w:r>
        <w:t>to</w:t>
      </w:r>
      <w:r>
        <w:rPr>
          <w:spacing w:val="-5"/>
        </w:rPr>
        <w:t xml:space="preserve"> </w:t>
      </w:r>
      <w:r>
        <w:t>Whom</w:t>
      </w:r>
      <w:r>
        <w:rPr>
          <w:spacing w:val="-4"/>
        </w:rPr>
        <w:t xml:space="preserve"> </w:t>
      </w:r>
      <w:r>
        <w:t>the</w:t>
      </w:r>
      <w:r>
        <w:rPr>
          <w:spacing w:val="-5"/>
        </w:rPr>
        <w:t xml:space="preserve"> </w:t>
      </w:r>
      <w:r>
        <w:t>Scheme</w:t>
      </w:r>
      <w:r>
        <w:rPr>
          <w:spacing w:val="-6"/>
        </w:rPr>
        <w:t xml:space="preserve"> </w:t>
      </w:r>
      <w:r>
        <w:rPr>
          <w:spacing w:val="-2"/>
        </w:rPr>
        <w:t>Applies</w:t>
      </w:r>
    </w:p>
    <w:p w14:paraId="47345431" w14:textId="77777777" w:rsidR="007300AF" w:rsidRDefault="006B013F">
      <w:pPr>
        <w:pStyle w:val="ListParagraph"/>
        <w:numPr>
          <w:ilvl w:val="1"/>
          <w:numId w:val="1"/>
        </w:numPr>
        <w:tabs>
          <w:tab w:val="left" w:pos="837"/>
        </w:tabs>
        <w:spacing w:before="246"/>
        <w:ind w:right="206"/>
      </w:pPr>
      <w:r>
        <w:t>The</w:t>
      </w:r>
      <w:r>
        <w:rPr>
          <w:spacing w:val="-4"/>
        </w:rPr>
        <w:t xml:space="preserve"> </w:t>
      </w:r>
      <w:r>
        <w:t>Scheme</w:t>
      </w:r>
      <w:r>
        <w:rPr>
          <w:spacing w:val="-4"/>
        </w:rPr>
        <w:t xml:space="preserve"> </w:t>
      </w:r>
      <w:r>
        <w:t>applies</w:t>
      </w:r>
      <w:r>
        <w:rPr>
          <w:spacing w:val="-1"/>
        </w:rPr>
        <w:t xml:space="preserve"> </w:t>
      </w:r>
      <w:r>
        <w:t>to</w:t>
      </w:r>
      <w:r>
        <w:rPr>
          <w:spacing w:val="-4"/>
        </w:rPr>
        <w:t xml:space="preserve"> </w:t>
      </w:r>
      <w:r>
        <w:t>any</w:t>
      </w:r>
      <w:r>
        <w:rPr>
          <w:spacing w:val="-4"/>
        </w:rPr>
        <w:t xml:space="preserve"> </w:t>
      </w:r>
      <w:r>
        <w:t>barrister</w:t>
      </w:r>
      <w:r>
        <w:rPr>
          <w:spacing w:val="-3"/>
        </w:rPr>
        <w:t xml:space="preserve"> </w:t>
      </w:r>
      <w:r>
        <w:t>who</w:t>
      </w:r>
      <w:r>
        <w:rPr>
          <w:spacing w:val="-2"/>
        </w:rPr>
        <w:t xml:space="preserve"> </w:t>
      </w:r>
      <w:r>
        <w:t>holds</w:t>
      </w:r>
      <w:r>
        <w:rPr>
          <w:spacing w:val="-1"/>
        </w:rPr>
        <w:t xml:space="preserve"> </w:t>
      </w:r>
      <w:r>
        <w:t>a</w:t>
      </w:r>
      <w:r>
        <w:rPr>
          <w:spacing w:val="-4"/>
        </w:rPr>
        <w:t xml:space="preserve"> </w:t>
      </w:r>
      <w:r>
        <w:t>Queensland</w:t>
      </w:r>
      <w:r>
        <w:rPr>
          <w:spacing w:val="-2"/>
        </w:rPr>
        <w:t xml:space="preserve"> </w:t>
      </w:r>
      <w:r>
        <w:t>practising certificate issued under the LP Act or regulations made under it, is a Class A Ordinary member or a Life member of the Association and is insured under an approved professional indemnity insurance policy which complies with the requirements under the LP Act and regulations made under it (or any Act replacing those requirements) and clause 3.1 below.</w:t>
      </w:r>
    </w:p>
    <w:p w14:paraId="3D8EA78E" w14:textId="77777777" w:rsidR="007300AF" w:rsidRDefault="006B013F">
      <w:pPr>
        <w:pStyle w:val="ListParagraph"/>
        <w:numPr>
          <w:ilvl w:val="1"/>
          <w:numId w:val="1"/>
        </w:numPr>
        <w:tabs>
          <w:tab w:val="left" w:pos="837"/>
        </w:tabs>
        <w:spacing w:before="237"/>
        <w:ind w:right="340"/>
      </w:pPr>
      <w:r>
        <w:t>This</w:t>
      </w:r>
      <w:r>
        <w:rPr>
          <w:spacing w:val="-1"/>
        </w:rPr>
        <w:t xml:space="preserve"> </w:t>
      </w:r>
      <w:r>
        <w:t>Scheme</w:t>
      </w:r>
      <w:r>
        <w:rPr>
          <w:spacing w:val="-4"/>
        </w:rPr>
        <w:t xml:space="preserve"> </w:t>
      </w:r>
      <w:r>
        <w:t>also</w:t>
      </w:r>
      <w:r>
        <w:rPr>
          <w:spacing w:val="-2"/>
        </w:rPr>
        <w:t xml:space="preserve"> </w:t>
      </w:r>
      <w:r>
        <w:t>applies</w:t>
      </w:r>
      <w:r>
        <w:rPr>
          <w:spacing w:val="-1"/>
        </w:rPr>
        <w:t xml:space="preserve"> </w:t>
      </w:r>
      <w:r>
        <w:t>to</w:t>
      </w:r>
      <w:r>
        <w:rPr>
          <w:spacing w:val="-4"/>
        </w:rPr>
        <w:t xml:space="preserve"> </w:t>
      </w:r>
      <w:r>
        <w:t>any</w:t>
      </w:r>
      <w:r>
        <w:rPr>
          <w:spacing w:val="-4"/>
        </w:rPr>
        <w:t xml:space="preserve"> </w:t>
      </w:r>
      <w:r>
        <w:t>person</w:t>
      </w:r>
      <w:r>
        <w:rPr>
          <w:spacing w:val="-4"/>
        </w:rPr>
        <w:t xml:space="preserve"> </w:t>
      </w:r>
      <w:r>
        <w:t>to</w:t>
      </w:r>
      <w:r>
        <w:rPr>
          <w:spacing w:val="-4"/>
        </w:rPr>
        <w:t xml:space="preserve"> </w:t>
      </w:r>
      <w:r>
        <w:t>whom it applies</w:t>
      </w:r>
      <w:r>
        <w:rPr>
          <w:spacing w:val="-1"/>
        </w:rPr>
        <w:t xml:space="preserve"> </w:t>
      </w:r>
      <w:r>
        <w:t>by</w:t>
      </w:r>
      <w:r>
        <w:rPr>
          <w:spacing w:val="-4"/>
        </w:rPr>
        <w:t xml:space="preserve"> </w:t>
      </w:r>
      <w:r>
        <w:t>the</w:t>
      </w:r>
      <w:r>
        <w:rPr>
          <w:spacing w:val="-2"/>
        </w:rPr>
        <w:t xml:space="preserve"> </w:t>
      </w:r>
      <w:r>
        <w:t>operation</w:t>
      </w:r>
      <w:r>
        <w:rPr>
          <w:spacing w:val="-2"/>
        </w:rPr>
        <w:t xml:space="preserve"> </w:t>
      </w:r>
      <w:r>
        <w:t>of ss 20, 21 or 21A of the PS Act.</w:t>
      </w:r>
    </w:p>
    <w:p w14:paraId="24BEBE91" w14:textId="77777777" w:rsidR="007300AF" w:rsidRDefault="007300AF">
      <w:pPr>
        <w:sectPr w:rsidR="007300AF" w:rsidSect="00C32D07">
          <w:pgSz w:w="11920" w:h="16850"/>
          <w:pgMar w:top="1320" w:right="1160" w:bottom="1000" w:left="1680" w:header="0" w:footer="806" w:gutter="0"/>
          <w:cols w:space="720"/>
        </w:sectPr>
      </w:pPr>
    </w:p>
    <w:p w14:paraId="44A17B32" w14:textId="77777777" w:rsidR="007300AF" w:rsidRDefault="006B013F">
      <w:pPr>
        <w:pStyle w:val="ListParagraph"/>
        <w:numPr>
          <w:ilvl w:val="1"/>
          <w:numId w:val="1"/>
        </w:numPr>
        <w:tabs>
          <w:tab w:val="left" w:pos="837"/>
        </w:tabs>
        <w:spacing w:before="73"/>
        <w:ind w:right="136"/>
      </w:pPr>
      <w:r>
        <w:lastRenderedPageBreak/>
        <w:t>The</w:t>
      </w:r>
      <w:r>
        <w:rPr>
          <w:spacing w:val="-4"/>
        </w:rPr>
        <w:t xml:space="preserve"> </w:t>
      </w:r>
      <w:r>
        <w:t>Scheme</w:t>
      </w:r>
      <w:r>
        <w:rPr>
          <w:spacing w:val="-4"/>
        </w:rPr>
        <w:t xml:space="preserve"> </w:t>
      </w:r>
      <w:r>
        <w:t>limits</w:t>
      </w:r>
      <w:r>
        <w:rPr>
          <w:spacing w:val="-4"/>
        </w:rPr>
        <w:t xml:space="preserve"> </w:t>
      </w:r>
      <w:r>
        <w:t>the</w:t>
      </w:r>
      <w:r>
        <w:rPr>
          <w:spacing w:val="-4"/>
        </w:rPr>
        <w:t xml:space="preserve"> </w:t>
      </w:r>
      <w:r>
        <w:t>occupational</w:t>
      </w:r>
      <w:r>
        <w:rPr>
          <w:spacing w:val="-2"/>
        </w:rPr>
        <w:t xml:space="preserve"> </w:t>
      </w:r>
      <w:r>
        <w:t>liability, in</w:t>
      </w:r>
      <w:r>
        <w:rPr>
          <w:spacing w:val="-2"/>
        </w:rPr>
        <w:t xml:space="preserve"> </w:t>
      </w:r>
      <w:r>
        <w:t>relation</w:t>
      </w:r>
      <w:r>
        <w:rPr>
          <w:spacing w:val="-2"/>
        </w:rPr>
        <w:t xml:space="preserve"> </w:t>
      </w:r>
      <w:r>
        <w:t>to</w:t>
      </w:r>
      <w:r>
        <w:rPr>
          <w:spacing w:val="-4"/>
        </w:rPr>
        <w:t xml:space="preserve"> </w:t>
      </w:r>
      <w:r>
        <w:t>a</w:t>
      </w:r>
      <w:r>
        <w:rPr>
          <w:spacing w:val="-4"/>
        </w:rPr>
        <w:t xml:space="preserve"> </w:t>
      </w:r>
      <w:r>
        <w:t>cause</w:t>
      </w:r>
      <w:r>
        <w:rPr>
          <w:spacing w:val="-2"/>
        </w:rPr>
        <w:t xml:space="preserve"> </w:t>
      </w:r>
      <w:r>
        <w:t>of action</w:t>
      </w:r>
      <w:r>
        <w:rPr>
          <w:spacing w:val="-6"/>
        </w:rPr>
        <w:t xml:space="preserve"> </w:t>
      </w:r>
      <w:r>
        <w:t>founded on an act or omission that happens when the Scheme is in force, of any person to whom the Scheme applies when the act or omission</w:t>
      </w:r>
      <w:r>
        <w:rPr>
          <w:spacing w:val="-2"/>
        </w:rPr>
        <w:t xml:space="preserve"> </w:t>
      </w:r>
      <w:r>
        <w:t>happens.</w:t>
      </w:r>
    </w:p>
    <w:p w14:paraId="020001B0" w14:textId="77777777" w:rsidR="007300AF" w:rsidRDefault="006B013F">
      <w:pPr>
        <w:pStyle w:val="ListParagraph"/>
        <w:numPr>
          <w:ilvl w:val="1"/>
          <w:numId w:val="1"/>
        </w:numPr>
        <w:tabs>
          <w:tab w:val="left" w:pos="837"/>
        </w:tabs>
        <w:spacing w:before="237"/>
        <w:ind w:right="308"/>
      </w:pPr>
      <w:r>
        <w:t>The</w:t>
      </w:r>
      <w:r>
        <w:rPr>
          <w:spacing w:val="-4"/>
        </w:rPr>
        <w:t xml:space="preserve"> </w:t>
      </w:r>
      <w:r>
        <w:t>Association</w:t>
      </w:r>
      <w:r>
        <w:rPr>
          <w:spacing w:val="-4"/>
        </w:rPr>
        <w:t xml:space="preserve"> </w:t>
      </w:r>
      <w:r>
        <w:t>may, upon</w:t>
      </w:r>
      <w:r>
        <w:rPr>
          <w:spacing w:val="-2"/>
        </w:rPr>
        <w:t xml:space="preserve"> </w:t>
      </w:r>
      <w:r>
        <w:t>application</w:t>
      </w:r>
      <w:r>
        <w:rPr>
          <w:spacing w:val="-2"/>
        </w:rPr>
        <w:t xml:space="preserve"> </w:t>
      </w:r>
      <w:r>
        <w:t>by</w:t>
      </w:r>
      <w:r>
        <w:rPr>
          <w:spacing w:val="-4"/>
        </w:rPr>
        <w:t xml:space="preserve"> </w:t>
      </w:r>
      <w:r>
        <w:t>a</w:t>
      </w:r>
      <w:r>
        <w:rPr>
          <w:spacing w:val="-2"/>
        </w:rPr>
        <w:t xml:space="preserve"> </w:t>
      </w:r>
      <w:r>
        <w:t>person</w:t>
      </w:r>
      <w:r>
        <w:rPr>
          <w:spacing w:val="-2"/>
        </w:rPr>
        <w:t xml:space="preserve"> </w:t>
      </w:r>
      <w:r>
        <w:t>to</w:t>
      </w:r>
      <w:r>
        <w:rPr>
          <w:spacing w:val="-4"/>
        </w:rPr>
        <w:t xml:space="preserve"> </w:t>
      </w:r>
      <w:r>
        <w:t>whom the</w:t>
      </w:r>
      <w:r>
        <w:rPr>
          <w:spacing w:val="-4"/>
        </w:rPr>
        <w:t xml:space="preserve"> </w:t>
      </w:r>
      <w:r>
        <w:t>Scheme</w:t>
      </w:r>
      <w:r>
        <w:rPr>
          <w:spacing w:val="-4"/>
        </w:rPr>
        <w:t xml:space="preserve"> </w:t>
      </w:r>
      <w:r>
        <w:t xml:space="preserve">applies, exempt that person from participation in the Scheme with effect from a date specified by the Bar Council on or after the date on which the exemption is </w:t>
      </w:r>
      <w:r>
        <w:rPr>
          <w:spacing w:val="-2"/>
        </w:rPr>
        <w:t>granted.</w:t>
      </w:r>
    </w:p>
    <w:p w14:paraId="554D6C37" w14:textId="77777777" w:rsidR="007300AF" w:rsidRDefault="006B013F">
      <w:pPr>
        <w:pStyle w:val="ListParagraph"/>
        <w:numPr>
          <w:ilvl w:val="1"/>
          <w:numId w:val="1"/>
        </w:numPr>
        <w:tabs>
          <w:tab w:val="left" w:pos="837"/>
        </w:tabs>
        <w:spacing w:before="239"/>
        <w:ind w:right="402"/>
      </w:pPr>
      <w:r>
        <w:t>The Association may, upon application by a person exempted from the Scheme under clause</w:t>
      </w:r>
      <w:r>
        <w:rPr>
          <w:spacing w:val="-4"/>
        </w:rPr>
        <w:t xml:space="preserve"> </w:t>
      </w:r>
      <w:r>
        <w:t>2.4,</w:t>
      </w:r>
      <w:r>
        <w:rPr>
          <w:spacing w:val="-3"/>
        </w:rPr>
        <w:t xml:space="preserve"> </w:t>
      </w:r>
      <w:r>
        <w:t>revoke</w:t>
      </w:r>
      <w:r>
        <w:rPr>
          <w:spacing w:val="-4"/>
        </w:rPr>
        <w:t xml:space="preserve"> </w:t>
      </w:r>
      <w:r>
        <w:t>such</w:t>
      </w:r>
      <w:r>
        <w:rPr>
          <w:spacing w:val="-2"/>
        </w:rPr>
        <w:t xml:space="preserve"> </w:t>
      </w:r>
      <w:r>
        <w:t>exemption</w:t>
      </w:r>
      <w:r>
        <w:rPr>
          <w:spacing w:val="-2"/>
        </w:rPr>
        <w:t xml:space="preserve"> </w:t>
      </w:r>
      <w:r>
        <w:t>with</w:t>
      </w:r>
      <w:r>
        <w:rPr>
          <w:spacing w:val="-2"/>
        </w:rPr>
        <w:t xml:space="preserve"> </w:t>
      </w:r>
      <w:r>
        <w:t>effect</w:t>
      </w:r>
      <w:r>
        <w:rPr>
          <w:spacing w:val="-3"/>
        </w:rPr>
        <w:t xml:space="preserve"> </w:t>
      </w:r>
      <w:r>
        <w:t>from a</w:t>
      </w:r>
      <w:r>
        <w:rPr>
          <w:spacing w:val="-4"/>
        </w:rPr>
        <w:t xml:space="preserve"> </w:t>
      </w:r>
      <w:r>
        <w:t>date</w:t>
      </w:r>
      <w:r>
        <w:rPr>
          <w:spacing w:val="-2"/>
        </w:rPr>
        <w:t xml:space="preserve"> </w:t>
      </w:r>
      <w:r>
        <w:t>specified</w:t>
      </w:r>
      <w:r>
        <w:rPr>
          <w:spacing w:val="-4"/>
        </w:rPr>
        <w:t xml:space="preserve"> </w:t>
      </w:r>
      <w:r>
        <w:t>by</w:t>
      </w:r>
      <w:r>
        <w:rPr>
          <w:spacing w:val="-4"/>
        </w:rPr>
        <w:t xml:space="preserve"> </w:t>
      </w:r>
      <w:r>
        <w:t>the Bar Council.</w:t>
      </w:r>
    </w:p>
    <w:p w14:paraId="163D6B6D" w14:textId="77777777" w:rsidR="007300AF" w:rsidRDefault="006B013F">
      <w:pPr>
        <w:pStyle w:val="Heading1"/>
        <w:numPr>
          <w:ilvl w:val="0"/>
          <w:numId w:val="1"/>
        </w:numPr>
        <w:tabs>
          <w:tab w:val="left" w:pos="837"/>
        </w:tabs>
        <w:spacing w:before="237"/>
        <w:ind w:hanging="720"/>
      </w:pPr>
      <w:bookmarkStart w:id="13" w:name="3._Limitation_of_Liability"/>
      <w:bookmarkEnd w:id="13"/>
      <w:r>
        <w:t>Limitation</w:t>
      </w:r>
      <w:r>
        <w:rPr>
          <w:spacing w:val="-5"/>
        </w:rPr>
        <w:t xml:space="preserve"> </w:t>
      </w:r>
      <w:r>
        <w:t>of</w:t>
      </w:r>
      <w:r>
        <w:rPr>
          <w:spacing w:val="-8"/>
        </w:rPr>
        <w:t xml:space="preserve"> </w:t>
      </w:r>
      <w:r>
        <w:rPr>
          <w:spacing w:val="-2"/>
        </w:rPr>
        <w:t>Liability</w:t>
      </w:r>
    </w:p>
    <w:p w14:paraId="4D4EFF3A" w14:textId="77777777" w:rsidR="007300AF" w:rsidRDefault="006B013F">
      <w:pPr>
        <w:pStyle w:val="ListParagraph"/>
        <w:numPr>
          <w:ilvl w:val="1"/>
          <w:numId w:val="1"/>
        </w:numPr>
        <w:tabs>
          <w:tab w:val="left" w:pos="837"/>
        </w:tabs>
        <w:spacing w:before="244"/>
        <w:ind w:right="699"/>
      </w:pPr>
      <w:r>
        <w:t>If</w:t>
      </w:r>
      <w:r>
        <w:rPr>
          <w:spacing w:val="-1"/>
        </w:rPr>
        <w:t xml:space="preserve"> </w:t>
      </w:r>
      <w:r>
        <w:t>a</w:t>
      </w:r>
      <w:r>
        <w:rPr>
          <w:spacing w:val="-3"/>
        </w:rPr>
        <w:t xml:space="preserve"> </w:t>
      </w:r>
      <w:r>
        <w:t>person</w:t>
      </w:r>
      <w:r>
        <w:rPr>
          <w:spacing w:val="-5"/>
        </w:rPr>
        <w:t xml:space="preserve"> </w:t>
      </w:r>
      <w:r>
        <w:t>to</w:t>
      </w:r>
      <w:r>
        <w:rPr>
          <w:spacing w:val="-3"/>
        </w:rPr>
        <w:t xml:space="preserve"> </w:t>
      </w:r>
      <w:r>
        <w:t>whom</w:t>
      </w:r>
      <w:r>
        <w:rPr>
          <w:spacing w:val="-4"/>
        </w:rPr>
        <w:t xml:space="preserve"> </w:t>
      </w:r>
      <w:r>
        <w:t>this</w:t>
      </w:r>
      <w:r>
        <w:rPr>
          <w:spacing w:val="-5"/>
        </w:rPr>
        <w:t xml:space="preserve"> </w:t>
      </w:r>
      <w:r>
        <w:t>Scheme</w:t>
      </w:r>
      <w:r>
        <w:rPr>
          <w:spacing w:val="-3"/>
        </w:rPr>
        <w:t xml:space="preserve"> </w:t>
      </w:r>
      <w:r>
        <w:t>applies</w:t>
      </w:r>
      <w:r>
        <w:rPr>
          <w:spacing w:val="-2"/>
        </w:rPr>
        <w:t xml:space="preserve"> </w:t>
      </w:r>
      <w:r>
        <w:t>and</w:t>
      </w:r>
      <w:r>
        <w:rPr>
          <w:spacing w:val="-5"/>
        </w:rPr>
        <w:t xml:space="preserve"> </w:t>
      </w:r>
      <w:r>
        <w:t>against</w:t>
      </w:r>
      <w:r>
        <w:rPr>
          <w:spacing w:val="-1"/>
        </w:rPr>
        <w:t xml:space="preserve"> </w:t>
      </w:r>
      <w:r>
        <w:t>whom</w:t>
      </w:r>
      <w:r>
        <w:rPr>
          <w:spacing w:val="-1"/>
        </w:rPr>
        <w:t xml:space="preserve"> </w:t>
      </w:r>
      <w:r>
        <w:t>a</w:t>
      </w:r>
      <w:r>
        <w:rPr>
          <w:spacing w:val="-5"/>
        </w:rPr>
        <w:t xml:space="preserve"> </w:t>
      </w:r>
      <w:r>
        <w:t>cause</w:t>
      </w:r>
      <w:r>
        <w:rPr>
          <w:spacing w:val="-3"/>
        </w:rPr>
        <w:t xml:space="preserve"> </w:t>
      </w:r>
      <w:r>
        <w:t>of</w:t>
      </w:r>
      <w:r>
        <w:rPr>
          <w:spacing w:val="-1"/>
        </w:rPr>
        <w:t xml:space="preserve"> </w:t>
      </w:r>
      <w:r>
        <w:t>action relating to occupational liability is brought is able to satisfy the Court</w:t>
      </w:r>
      <w:r>
        <w:rPr>
          <w:spacing w:val="-17"/>
        </w:rPr>
        <w:t xml:space="preserve"> </w:t>
      </w:r>
      <w:r>
        <w:t>that:</w:t>
      </w:r>
    </w:p>
    <w:p w14:paraId="6AA22A9C" w14:textId="77777777" w:rsidR="007300AF" w:rsidRDefault="006B013F">
      <w:pPr>
        <w:pStyle w:val="ListParagraph"/>
        <w:numPr>
          <w:ilvl w:val="2"/>
          <w:numId w:val="1"/>
        </w:numPr>
        <w:tabs>
          <w:tab w:val="left" w:pos="1557"/>
        </w:tabs>
        <w:spacing w:before="118"/>
        <w:ind w:right="845"/>
      </w:pPr>
      <w:r>
        <w:t>the</w:t>
      </w:r>
      <w:r>
        <w:rPr>
          <w:spacing w:val="-3"/>
        </w:rPr>
        <w:t xml:space="preserve"> </w:t>
      </w:r>
      <w:r>
        <w:t>person</w:t>
      </w:r>
      <w:r>
        <w:rPr>
          <w:spacing w:val="-3"/>
        </w:rPr>
        <w:t xml:space="preserve"> </w:t>
      </w:r>
      <w:r>
        <w:t>has</w:t>
      </w:r>
      <w:r>
        <w:rPr>
          <w:spacing w:val="-5"/>
        </w:rPr>
        <w:t xml:space="preserve"> </w:t>
      </w:r>
      <w:r>
        <w:t>the</w:t>
      </w:r>
      <w:r>
        <w:rPr>
          <w:spacing w:val="-3"/>
        </w:rPr>
        <w:t xml:space="preserve"> </w:t>
      </w:r>
      <w:r>
        <w:t>benefit</w:t>
      </w:r>
      <w:r>
        <w:rPr>
          <w:spacing w:val="-1"/>
        </w:rPr>
        <w:t xml:space="preserve"> </w:t>
      </w:r>
      <w:r>
        <w:t>of</w:t>
      </w:r>
      <w:r>
        <w:rPr>
          <w:spacing w:val="-1"/>
        </w:rPr>
        <w:t xml:space="preserve"> </w:t>
      </w:r>
      <w:r>
        <w:t>an</w:t>
      </w:r>
      <w:r>
        <w:rPr>
          <w:spacing w:val="-3"/>
        </w:rPr>
        <w:t xml:space="preserve"> </w:t>
      </w:r>
      <w:r>
        <w:t>insurance</w:t>
      </w:r>
      <w:r>
        <w:rPr>
          <w:spacing w:val="-3"/>
        </w:rPr>
        <w:t xml:space="preserve"> </w:t>
      </w:r>
      <w:r>
        <w:t>policy</w:t>
      </w:r>
      <w:r>
        <w:rPr>
          <w:spacing w:val="-5"/>
        </w:rPr>
        <w:t xml:space="preserve"> </w:t>
      </w:r>
      <w:r>
        <w:t>insuring</w:t>
      </w:r>
      <w:r>
        <w:rPr>
          <w:spacing w:val="-3"/>
        </w:rPr>
        <w:t xml:space="preserve"> </w:t>
      </w:r>
      <w:r>
        <w:t>the</w:t>
      </w:r>
      <w:r>
        <w:rPr>
          <w:spacing w:val="-5"/>
        </w:rPr>
        <w:t xml:space="preserve"> </w:t>
      </w:r>
      <w:r>
        <w:t>person against the occupational liability; and</w:t>
      </w:r>
    </w:p>
    <w:p w14:paraId="6A499B01" w14:textId="77777777" w:rsidR="007300AF" w:rsidRDefault="006B013F">
      <w:pPr>
        <w:pStyle w:val="ListParagraph"/>
        <w:numPr>
          <w:ilvl w:val="2"/>
          <w:numId w:val="1"/>
        </w:numPr>
        <w:tabs>
          <w:tab w:val="left" w:pos="1556"/>
        </w:tabs>
        <w:spacing w:before="3"/>
        <w:ind w:left="1556" w:right="197"/>
      </w:pPr>
      <w:r>
        <w:t>the amount payable under the insurance policy in relation to the occupational</w:t>
      </w:r>
      <w:r>
        <w:rPr>
          <w:spacing w:val="-3"/>
        </w:rPr>
        <w:t xml:space="preserve"> </w:t>
      </w:r>
      <w:r>
        <w:t>liability</w:t>
      </w:r>
      <w:r>
        <w:rPr>
          <w:spacing w:val="-5"/>
        </w:rPr>
        <w:t xml:space="preserve"> </w:t>
      </w:r>
      <w:r>
        <w:t>is</w:t>
      </w:r>
      <w:r>
        <w:rPr>
          <w:spacing w:val="-2"/>
        </w:rPr>
        <w:t xml:space="preserve"> </w:t>
      </w:r>
      <w:r>
        <w:t>at</w:t>
      </w:r>
      <w:r>
        <w:rPr>
          <w:spacing w:val="-1"/>
        </w:rPr>
        <w:t xml:space="preserve"> </w:t>
      </w:r>
      <w:r>
        <w:t>least</w:t>
      </w:r>
      <w:r>
        <w:rPr>
          <w:spacing w:val="-4"/>
        </w:rPr>
        <w:t xml:space="preserve"> </w:t>
      </w:r>
      <w:r>
        <w:t>the</w:t>
      </w:r>
      <w:r>
        <w:rPr>
          <w:spacing w:val="-5"/>
        </w:rPr>
        <w:t xml:space="preserve"> </w:t>
      </w:r>
      <w:r>
        <w:t>amount</w:t>
      </w:r>
      <w:r>
        <w:rPr>
          <w:spacing w:val="-1"/>
        </w:rPr>
        <w:t xml:space="preserve"> </w:t>
      </w:r>
      <w:r>
        <w:t>of</w:t>
      </w:r>
      <w:r>
        <w:rPr>
          <w:spacing w:val="-4"/>
        </w:rPr>
        <w:t xml:space="preserve"> </w:t>
      </w:r>
      <w:r>
        <w:t>the</w:t>
      </w:r>
      <w:r>
        <w:rPr>
          <w:spacing w:val="-5"/>
        </w:rPr>
        <w:t xml:space="preserve"> </w:t>
      </w:r>
      <w:r>
        <w:t>monetary</w:t>
      </w:r>
      <w:r>
        <w:rPr>
          <w:spacing w:val="-5"/>
        </w:rPr>
        <w:t xml:space="preserve"> </w:t>
      </w:r>
      <w:r>
        <w:t>ceiling specified in</w:t>
      </w:r>
      <w:r>
        <w:rPr>
          <w:spacing w:val="-1"/>
        </w:rPr>
        <w:t xml:space="preserve"> </w:t>
      </w:r>
      <w:r>
        <w:t>clause</w:t>
      </w:r>
      <w:r>
        <w:rPr>
          <w:spacing w:val="-1"/>
        </w:rPr>
        <w:t xml:space="preserve"> </w:t>
      </w:r>
      <w:r>
        <w:t>3.8</w:t>
      </w:r>
      <w:r>
        <w:rPr>
          <w:spacing w:val="-3"/>
        </w:rPr>
        <w:t xml:space="preserve"> </w:t>
      </w:r>
      <w:r>
        <w:t>in</w:t>
      </w:r>
      <w:r>
        <w:rPr>
          <w:spacing w:val="-1"/>
        </w:rPr>
        <w:t xml:space="preserve"> </w:t>
      </w:r>
      <w:r>
        <w:t>relation</w:t>
      </w:r>
      <w:r>
        <w:rPr>
          <w:spacing w:val="-1"/>
        </w:rPr>
        <w:t xml:space="preserve"> </w:t>
      </w:r>
      <w:r>
        <w:t>to</w:t>
      </w:r>
      <w:r>
        <w:rPr>
          <w:spacing w:val="-1"/>
        </w:rPr>
        <w:t xml:space="preserve"> </w:t>
      </w:r>
      <w:r>
        <w:t>the</w:t>
      </w:r>
      <w:r>
        <w:rPr>
          <w:spacing w:val="-3"/>
        </w:rPr>
        <w:t xml:space="preserve"> </w:t>
      </w:r>
      <w:r>
        <w:t>class of person</w:t>
      </w:r>
      <w:r>
        <w:rPr>
          <w:spacing w:val="-3"/>
        </w:rPr>
        <w:t xml:space="preserve"> </w:t>
      </w:r>
      <w:r>
        <w:t>and</w:t>
      </w:r>
      <w:r>
        <w:rPr>
          <w:spacing w:val="-1"/>
        </w:rPr>
        <w:t xml:space="preserve"> </w:t>
      </w:r>
      <w:r>
        <w:t>the</w:t>
      </w:r>
      <w:r>
        <w:rPr>
          <w:spacing w:val="-5"/>
        </w:rPr>
        <w:t xml:space="preserve"> </w:t>
      </w:r>
      <w:r>
        <w:t>kind</w:t>
      </w:r>
      <w:r>
        <w:rPr>
          <w:spacing w:val="-1"/>
        </w:rPr>
        <w:t xml:space="preserve"> </w:t>
      </w:r>
      <w:r>
        <w:t>of work to</w:t>
      </w:r>
      <w:r>
        <w:rPr>
          <w:spacing w:val="-1"/>
        </w:rPr>
        <w:t xml:space="preserve"> </w:t>
      </w:r>
      <w:r>
        <w:t>which the cause of action relates;</w:t>
      </w:r>
    </w:p>
    <w:p w14:paraId="24CC6AA1" w14:textId="77777777" w:rsidR="007300AF" w:rsidRDefault="006B013F">
      <w:pPr>
        <w:pStyle w:val="BodyText"/>
        <w:spacing w:before="118"/>
        <w:ind w:right="106" w:firstLine="0"/>
      </w:pPr>
      <w:r>
        <w:t>the person is not liable in damages in relation to that cause of action above the amount of that monetary ceiling. For the purposes of s 27 of the PS Act, the Scheme</w:t>
      </w:r>
      <w:r>
        <w:rPr>
          <w:spacing w:val="-2"/>
        </w:rPr>
        <w:t xml:space="preserve"> </w:t>
      </w:r>
      <w:r>
        <w:t>only</w:t>
      </w:r>
      <w:r>
        <w:rPr>
          <w:spacing w:val="-4"/>
        </w:rPr>
        <w:t xml:space="preserve"> </w:t>
      </w:r>
      <w:r>
        <w:t>affects</w:t>
      </w:r>
      <w:r>
        <w:rPr>
          <w:spacing w:val="-1"/>
        </w:rPr>
        <w:t xml:space="preserve"> </w:t>
      </w:r>
      <w:r>
        <w:t>a</w:t>
      </w:r>
      <w:r>
        <w:rPr>
          <w:spacing w:val="-4"/>
        </w:rPr>
        <w:t xml:space="preserve"> </w:t>
      </w:r>
      <w:r>
        <w:t>liability</w:t>
      </w:r>
      <w:r>
        <w:rPr>
          <w:spacing w:val="-4"/>
        </w:rPr>
        <w:t xml:space="preserve"> </w:t>
      </w:r>
      <w:r>
        <w:t>for</w:t>
      </w:r>
      <w:r>
        <w:rPr>
          <w:spacing w:val="-3"/>
        </w:rPr>
        <w:t xml:space="preserve"> </w:t>
      </w:r>
      <w:r>
        <w:t>damages</w:t>
      </w:r>
      <w:r>
        <w:rPr>
          <w:spacing w:val="-1"/>
        </w:rPr>
        <w:t xml:space="preserve"> </w:t>
      </w:r>
      <w:r>
        <w:t>arising</w:t>
      </w:r>
      <w:r>
        <w:rPr>
          <w:spacing w:val="-4"/>
        </w:rPr>
        <w:t xml:space="preserve"> </w:t>
      </w:r>
      <w:r>
        <w:t>from</w:t>
      </w:r>
      <w:r>
        <w:rPr>
          <w:spacing w:val="-3"/>
        </w:rPr>
        <w:t xml:space="preserve"> </w:t>
      </w:r>
      <w:r>
        <w:t>a</w:t>
      </w:r>
      <w:r>
        <w:rPr>
          <w:spacing w:val="-2"/>
        </w:rPr>
        <w:t xml:space="preserve"> </w:t>
      </w:r>
      <w:r>
        <w:t>single</w:t>
      </w:r>
      <w:r>
        <w:rPr>
          <w:spacing w:val="-2"/>
        </w:rPr>
        <w:t xml:space="preserve"> </w:t>
      </w:r>
      <w:r>
        <w:t>cause</w:t>
      </w:r>
      <w:r>
        <w:rPr>
          <w:spacing w:val="-2"/>
        </w:rPr>
        <w:t xml:space="preserve"> </w:t>
      </w:r>
      <w:r>
        <w:t>of action</w:t>
      </w:r>
      <w:r>
        <w:rPr>
          <w:spacing w:val="-2"/>
        </w:rPr>
        <w:t xml:space="preserve"> </w:t>
      </w:r>
      <w:r>
        <w:t>to the extent that the liability results in damages exceeding $1,500,000.</w:t>
      </w:r>
    </w:p>
    <w:p w14:paraId="5123603A" w14:textId="77777777" w:rsidR="007300AF" w:rsidRDefault="006B013F">
      <w:pPr>
        <w:pStyle w:val="ListParagraph"/>
        <w:numPr>
          <w:ilvl w:val="1"/>
          <w:numId w:val="1"/>
        </w:numPr>
        <w:tabs>
          <w:tab w:val="left" w:pos="837"/>
        </w:tabs>
        <w:spacing w:before="243"/>
        <w:ind w:right="232"/>
      </w:pPr>
      <w:r>
        <w:t>For the operation of this Scheme in Queensland or in a jurisdiction other than Queensland pursuant to the PS Act, “occupational liability” in this Scheme means any</w:t>
      </w:r>
      <w:r>
        <w:rPr>
          <w:spacing w:val="-4"/>
        </w:rPr>
        <w:t xml:space="preserve"> </w:t>
      </w:r>
      <w:r>
        <w:t>civil</w:t>
      </w:r>
      <w:r>
        <w:rPr>
          <w:spacing w:val="-2"/>
        </w:rPr>
        <w:t xml:space="preserve"> </w:t>
      </w:r>
      <w:r>
        <w:t>liability</w:t>
      </w:r>
      <w:r>
        <w:rPr>
          <w:spacing w:val="-4"/>
        </w:rPr>
        <w:t xml:space="preserve"> </w:t>
      </w:r>
      <w:r>
        <w:t>arising whether</w:t>
      </w:r>
      <w:r>
        <w:rPr>
          <w:spacing w:val="-3"/>
        </w:rPr>
        <w:t xml:space="preserve"> </w:t>
      </w:r>
      <w:r>
        <w:t>in</w:t>
      </w:r>
      <w:r>
        <w:rPr>
          <w:spacing w:val="-2"/>
        </w:rPr>
        <w:t xml:space="preserve"> </w:t>
      </w:r>
      <w:r>
        <w:t>tort,</w:t>
      </w:r>
      <w:r>
        <w:rPr>
          <w:spacing w:val="-3"/>
        </w:rPr>
        <w:t xml:space="preserve"> </w:t>
      </w:r>
      <w:r>
        <w:t>contract</w:t>
      </w:r>
      <w:r>
        <w:rPr>
          <w:spacing w:val="-2"/>
        </w:rPr>
        <w:t xml:space="preserve"> </w:t>
      </w:r>
      <w:r>
        <w:t>or</w:t>
      </w:r>
      <w:r>
        <w:rPr>
          <w:spacing w:val="-3"/>
        </w:rPr>
        <w:t xml:space="preserve"> </w:t>
      </w:r>
      <w:r>
        <w:t>otherwise,</w:t>
      </w:r>
      <w:r>
        <w:rPr>
          <w:spacing w:val="-1"/>
        </w:rPr>
        <w:t xml:space="preserve"> </w:t>
      </w:r>
      <w:r>
        <w:t>directly</w:t>
      </w:r>
      <w:r>
        <w:rPr>
          <w:spacing w:val="-4"/>
        </w:rPr>
        <w:t xml:space="preserve"> </w:t>
      </w:r>
      <w:r>
        <w:t>or</w:t>
      </w:r>
      <w:r>
        <w:rPr>
          <w:spacing w:val="-1"/>
        </w:rPr>
        <w:t xml:space="preserve"> </w:t>
      </w:r>
      <w:r>
        <w:t>vicariously from anything done or omitted by a member of the Association acting in the performance of the member’s occupation and any other liability included in the meaning of “occupational liability” under the PS Act from time to</w:t>
      </w:r>
      <w:r>
        <w:rPr>
          <w:spacing w:val="-19"/>
        </w:rPr>
        <w:t xml:space="preserve"> </w:t>
      </w:r>
      <w:r>
        <w:t>time.</w:t>
      </w:r>
    </w:p>
    <w:p w14:paraId="552F84AF" w14:textId="77777777" w:rsidR="007300AF" w:rsidRDefault="006B013F">
      <w:pPr>
        <w:pStyle w:val="ListParagraph"/>
        <w:numPr>
          <w:ilvl w:val="1"/>
          <w:numId w:val="1"/>
        </w:numPr>
        <w:tabs>
          <w:tab w:val="left" w:pos="837"/>
        </w:tabs>
        <w:spacing w:before="237"/>
        <w:ind w:right="209"/>
      </w:pPr>
      <w:r>
        <w:t>For the operation of this Scheme in a jurisdiction other than Queensland under a corresponding law of that jurisdiction, “occupational liability” means any liability included</w:t>
      </w:r>
      <w:r>
        <w:rPr>
          <w:spacing w:val="-3"/>
        </w:rPr>
        <w:t xml:space="preserve"> </w:t>
      </w:r>
      <w:r>
        <w:t>in</w:t>
      </w:r>
      <w:r>
        <w:rPr>
          <w:spacing w:val="-3"/>
        </w:rPr>
        <w:t xml:space="preserve"> </w:t>
      </w:r>
      <w:r>
        <w:t>the</w:t>
      </w:r>
      <w:r>
        <w:rPr>
          <w:spacing w:val="-5"/>
        </w:rPr>
        <w:t xml:space="preserve"> </w:t>
      </w:r>
      <w:r>
        <w:t>meaning</w:t>
      </w:r>
      <w:r>
        <w:rPr>
          <w:spacing w:val="-3"/>
        </w:rPr>
        <w:t xml:space="preserve"> </w:t>
      </w:r>
      <w:r>
        <w:t>of</w:t>
      </w:r>
      <w:r>
        <w:rPr>
          <w:spacing w:val="-1"/>
        </w:rPr>
        <w:t xml:space="preserve"> </w:t>
      </w:r>
      <w:r>
        <w:t>“occupational</w:t>
      </w:r>
      <w:r>
        <w:rPr>
          <w:spacing w:val="-3"/>
        </w:rPr>
        <w:t xml:space="preserve"> </w:t>
      </w:r>
      <w:r>
        <w:t>liability”</w:t>
      </w:r>
      <w:r>
        <w:rPr>
          <w:spacing w:val="-1"/>
        </w:rPr>
        <w:t xml:space="preserve"> </w:t>
      </w:r>
      <w:r>
        <w:t>in</w:t>
      </w:r>
      <w:r>
        <w:rPr>
          <w:spacing w:val="-3"/>
        </w:rPr>
        <w:t xml:space="preserve"> </w:t>
      </w:r>
      <w:r>
        <w:t>the</w:t>
      </w:r>
      <w:r>
        <w:rPr>
          <w:spacing w:val="-3"/>
        </w:rPr>
        <w:t xml:space="preserve"> </w:t>
      </w:r>
      <w:r>
        <w:t>corresponding</w:t>
      </w:r>
      <w:r>
        <w:rPr>
          <w:spacing w:val="-3"/>
        </w:rPr>
        <w:t xml:space="preserve"> </w:t>
      </w:r>
      <w:r>
        <w:t>law</w:t>
      </w:r>
      <w:r>
        <w:rPr>
          <w:spacing w:val="-6"/>
        </w:rPr>
        <w:t xml:space="preserve"> </w:t>
      </w:r>
      <w:r>
        <w:t>which</w:t>
      </w:r>
      <w:r>
        <w:rPr>
          <w:spacing w:val="-3"/>
        </w:rPr>
        <w:t xml:space="preserve"> </w:t>
      </w:r>
      <w:r>
        <w:t>is in force in that jurisdiction from time to</w:t>
      </w:r>
      <w:r>
        <w:rPr>
          <w:spacing w:val="-6"/>
        </w:rPr>
        <w:t xml:space="preserve"> </w:t>
      </w:r>
      <w:r>
        <w:t>time.</w:t>
      </w:r>
    </w:p>
    <w:p w14:paraId="1B0211D5" w14:textId="77777777" w:rsidR="007300AF" w:rsidRDefault="006B013F">
      <w:pPr>
        <w:pStyle w:val="ListParagraph"/>
        <w:numPr>
          <w:ilvl w:val="1"/>
          <w:numId w:val="1"/>
        </w:numPr>
        <w:tabs>
          <w:tab w:val="left" w:pos="837"/>
        </w:tabs>
        <w:spacing w:before="241"/>
        <w:ind w:right="218"/>
      </w:pPr>
      <w:r>
        <w:t>The occupational liability for which a person is not liable above the amount of the monetary</w:t>
      </w:r>
      <w:r>
        <w:rPr>
          <w:spacing w:val="-2"/>
        </w:rPr>
        <w:t xml:space="preserve"> </w:t>
      </w:r>
      <w:r>
        <w:t>ceiling is an</w:t>
      </w:r>
      <w:r>
        <w:rPr>
          <w:spacing w:val="-2"/>
        </w:rPr>
        <w:t xml:space="preserve"> </w:t>
      </w:r>
      <w:r>
        <w:t>occupational liability</w:t>
      </w:r>
      <w:r>
        <w:rPr>
          <w:spacing w:val="-2"/>
        </w:rPr>
        <w:t xml:space="preserve"> </w:t>
      </w:r>
      <w:r>
        <w:t>in relation to a</w:t>
      </w:r>
      <w:r>
        <w:rPr>
          <w:spacing w:val="-2"/>
        </w:rPr>
        <w:t xml:space="preserve"> </w:t>
      </w:r>
      <w:r>
        <w:t>cause</w:t>
      </w:r>
      <w:r>
        <w:rPr>
          <w:spacing w:val="-2"/>
        </w:rPr>
        <w:t xml:space="preserve"> </w:t>
      </w:r>
      <w:r>
        <w:t>of action</w:t>
      </w:r>
      <w:r>
        <w:rPr>
          <w:spacing w:val="-2"/>
        </w:rPr>
        <w:t xml:space="preserve"> </w:t>
      </w:r>
      <w:r>
        <w:t>founded on</w:t>
      </w:r>
      <w:r>
        <w:rPr>
          <w:spacing w:val="-2"/>
        </w:rPr>
        <w:t xml:space="preserve"> </w:t>
      </w:r>
      <w:r>
        <w:t>an</w:t>
      </w:r>
      <w:r>
        <w:rPr>
          <w:spacing w:val="-2"/>
        </w:rPr>
        <w:t xml:space="preserve"> </w:t>
      </w:r>
      <w:r>
        <w:t>act or omission</w:t>
      </w:r>
      <w:r>
        <w:rPr>
          <w:spacing w:val="-4"/>
        </w:rPr>
        <w:t xml:space="preserve"> </w:t>
      </w:r>
      <w:r>
        <w:t>that happens</w:t>
      </w:r>
      <w:r>
        <w:rPr>
          <w:spacing w:val="-4"/>
        </w:rPr>
        <w:t xml:space="preserve"> </w:t>
      </w:r>
      <w:r>
        <w:t>when</w:t>
      </w:r>
      <w:r>
        <w:rPr>
          <w:spacing w:val="-2"/>
        </w:rPr>
        <w:t xml:space="preserve"> </w:t>
      </w:r>
      <w:r>
        <w:t>the</w:t>
      </w:r>
      <w:r>
        <w:rPr>
          <w:spacing w:val="-2"/>
        </w:rPr>
        <w:t xml:space="preserve"> </w:t>
      </w:r>
      <w:r>
        <w:t>Scheme</w:t>
      </w:r>
      <w:r>
        <w:rPr>
          <w:spacing w:val="-2"/>
        </w:rPr>
        <w:t xml:space="preserve"> </w:t>
      </w:r>
      <w:r>
        <w:t>is</w:t>
      </w:r>
      <w:r>
        <w:rPr>
          <w:spacing w:val="-4"/>
        </w:rPr>
        <w:t xml:space="preserve"> </w:t>
      </w:r>
      <w:r>
        <w:t>in</w:t>
      </w:r>
      <w:r>
        <w:rPr>
          <w:spacing w:val="-4"/>
        </w:rPr>
        <w:t xml:space="preserve"> </w:t>
      </w:r>
      <w:r>
        <w:t>force</w:t>
      </w:r>
      <w:r>
        <w:rPr>
          <w:spacing w:val="-2"/>
        </w:rPr>
        <w:t xml:space="preserve"> </w:t>
      </w:r>
      <w:r>
        <w:t>in</w:t>
      </w:r>
      <w:r>
        <w:rPr>
          <w:spacing w:val="-4"/>
        </w:rPr>
        <w:t xml:space="preserve"> </w:t>
      </w:r>
      <w:r>
        <w:t>a</w:t>
      </w:r>
      <w:r>
        <w:rPr>
          <w:spacing w:val="-4"/>
        </w:rPr>
        <w:t xml:space="preserve"> </w:t>
      </w:r>
      <w:r>
        <w:t>jurisdiction</w:t>
      </w:r>
      <w:r>
        <w:rPr>
          <w:spacing w:val="-2"/>
        </w:rPr>
        <w:t xml:space="preserve"> </w:t>
      </w:r>
      <w:r>
        <w:t>to which the Scheme applies.</w:t>
      </w:r>
    </w:p>
    <w:p w14:paraId="3972CD34" w14:textId="77777777" w:rsidR="007300AF" w:rsidRDefault="006B013F">
      <w:pPr>
        <w:pStyle w:val="ListParagraph"/>
        <w:numPr>
          <w:ilvl w:val="1"/>
          <w:numId w:val="1"/>
        </w:numPr>
        <w:tabs>
          <w:tab w:val="left" w:pos="837"/>
        </w:tabs>
        <w:spacing w:before="241"/>
        <w:ind w:right="208"/>
      </w:pPr>
      <w:r>
        <w:t>Notwithstanding clause</w:t>
      </w:r>
      <w:r>
        <w:rPr>
          <w:spacing w:val="-4"/>
        </w:rPr>
        <w:t xml:space="preserve"> </w:t>
      </w:r>
      <w:r>
        <w:t>3.1,</w:t>
      </w:r>
      <w:r>
        <w:rPr>
          <w:spacing w:val="-5"/>
        </w:rPr>
        <w:t xml:space="preserve"> </w:t>
      </w:r>
      <w:r>
        <w:t>for</w:t>
      </w:r>
      <w:r>
        <w:rPr>
          <w:spacing w:val="-3"/>
        </w:rPr>
        <w:t xml:space="preserve"> </w:t>
      </w:r>
      <w:r>
        <w:t>the</w:t>
      </w:r>
      <w:r>
        <w:rPr>
          <w:spacing w:val="-2"/>
        </w:rPr>
        <w:t xml:space="preserve"> </w:t>
      </w:r>
      <w:r>
        <w:t>operation</w:t>
      </w:r>
      <w:r>
        <w:rPr>
          <w:spacing w:val="-4"/>
        </w:rPr>
        <w:t xml:space="preserve"> </w:t>
      </w:r>
      <w:r>
        <w:t>of this</w:t>
      </w:r>
      <w:r>
        <w:rPr>
          <w:spacing w:val="-1"/>
        </w:rPr>
        <w:t xml:space="preserve"> </w:t>
      </w:r>
      <w:r>
        <w:t>Scheme</w:t>
      </w:r>
      <w:r>
        <w:rPr>
          <w:spacing w:val="-4"/>
        </w:rPr>
        <w:t xml:space="preserve"> </w:t>
      </w:r>
      <w:r>
        <w:t>in</w:t>
      </w:r>
      <w:r>
        <w:rPr>
          <w:spacing w:val="-4"/>
        </w:rPr>
        <w:t xml:space="preserve"> </w:t>
      </w:r>
      <w:r>
        <w:t>Queensland</w:t>
      </w:r>
      <w:r>
        <w:rPr>
          <w:spacing w:val="-2"/>
        </w:rPr>
        <w:t xml:space="preserve"> </w:t>
      </w:r>
      <w:r>
        <w:t>or</w:t>
      </w:r>
      <w:r>
        <w:rPr>
          <w:spacing w:val="-3"/>
        </w:rPr>
        <w:t xml:space="preserve"> </w:t>
      </w:r>
      <w:r>
        <w:t>in</w:t>
      </w:r>
      <w:r>
        <w:rPr>
          <w:spacing w:val="-2"/>
        </w:rPr>
        <w:t xml:space="preserve"> </w:t>
      </w:r>
      <w:r>
        <w:t>a jurisdiction other</w:t>
      </w:r>
      <w:r>
        <w:rPr>
          <w:spacing w:val="-2"/>
        </w:rPr>
        <w:t xml:space="preserve"> </w:t>
      </w:r>
      <w:r>
        <w:t>than</w:t>
      </w:r>
      <w:r>
        <w:rPr>
          <w:spacing w:val="-1"/>
        </w:rPr>
        <w:t xml:space="preserve"> </w:t>
      </w:r>
      <w:r>
        <w:t>Queensland pursuant to</w:t>
      </w:r>
      <w:r>
        <w:rPr>
          <w:spacing w:val="-1"/>
        </w:rPr>
        <w:t xml:space="preserve"> </w:t>
      </w:r>
      <w:r>
        <w:t>the</w:t>
      </w:r>
      <w:r>
        <w:rPr>
          <w:spacing w:val="-1"/>
        </w:rPr>
        <w:t xml:space="preserve"> </w:t>
      </w:r>
      <w:r>
        <w:t>PS Act the</w:t>
      </w:r>
      <w:r>
        <w:rPr>
          <w:spacing w:val="-1"/>
        </w:rPr>
        <w:t xml:space="preserve"> </w:t>
      </w:r>
      <w:r>
        <w:t>occupational liability to which this Scheme applies does not include liability to which the PS Act states, from time to time, that it does not</w:t>
      </w:r>
      <w:r>
        <w:rPr>
          <w:spacing w:val="-7"/>
        </w:rPr>
        <w:t xml:space="preserve"> </w:t>
      </w:r>
      <w:r>
        <w:t>apply.</w:t>
      </w:r>
    </w:p>
    <w:p w14:paraId="04371FE8" w14:textId="77777777" w:rsidR="007300AF" w:rsidRDefault="006B013F">
      <w:pPr>
        <w:pStyle w:val="ListParagraph"/>
        <w:numPr>
          <w:ilvl w:val="1"/>
          <w:numId w:val="1"/>
        </w:numPr>
        <w:tabs>
          <w:tab w:val="left" w:pos="837"/>
        </w:tabs>
        <w:spacing w:before="238"/>
        <w:ind w:right="284"/>
      </w:pPr>
      <w:r>
        <w:t>Notwithstanding clause</w:t>
      </w:r>
      <w:r>
        <w:rPr>
          <w:spacing w:val="-4"/>
        </w:rPr>
        <w:t xml:space="preserve"> </w:t>
      </w:r>
      <w:r>
        <w:t>3.1,</w:t>
      </w:r>
      <w:r>
        <w:rPr>
          <w:spacing w:val="-5"/>
        </w:rPr>
        <w:t xml:space="preserve"> </w:t>
      </w:r>
      <w:r>
        <w:t>for</w:t>
      </w:r>
      <w:r>
        <w:rPr>
          <w:spacing w:val="-3"/>
        </w:rPr>
        <w:t xml:space="preserve"> </w:t>
      </w:r>
      <w:r>
        <w:t>the</w:t>
      </w:r>
      <w:r>
        <w:rPr>
          <w:spacing w:val="-3"/>
        </w:rPr>
        <w:t xml:space="preserve"> </w:t>
      </w:r>
      <w:r>
        <w:t>operation</w:t>
      </w:r>
      <w:r>
        <w:rPr>
          <w:spacing w:val="-4"/>
        </w:rPr>
        <w:t xml:space="preserve"> </w:t>
      </w:r>
      <w:r>
        <w:t>of</w:t>
      </w:r>
      <w:r>
        <w:rPr>
          <w:spacing w:val="-1"/>
        </w:rPr>
        <w:t xml:space="preserve"> </w:t>
      </w:r>
      <w:r>
        <w:t>this</w:t>
      </w:r>
      <w:r>
        <w:rPr>
          <w:spacing w:val="-2"/>
        </w:rPr>
        <w:t xml:space="preserve"> </w:t>
      </w:r>
      <w:r>
        <w:t>Scheme</w:t>
      </w:r>
      <w:r>
        <w:rPr>
          <w:spacing w:val="-4"/>
        </w:rPr>
        <w:t xml:space="preserve"> </w:t>
      </w:r>
      <w:r>
        <w:t>in</w:t>
      </w:r>
      <w:r>
        <w:rPr>
          <w:spacing w:val="-3"/>
        </w:rPr>
        <w:t xml:space="preserve"> </w:t>
      </w:r>
      <w:r>
        <w:t>a</w:t>
      </w:r>
      <w:r>
        <w:rPr>
          <w:spacing w:val="-4"/>
        </w:rPr>
        <w:t xml:space="preserve"> </w:t>
      </w:r>
      <w:r>
        <w:t>jurisdiction</w:t>
      </w:r>
      <w:r>
        <w:rPr>
          <w:spacing w:val="-3"/>
        </w:rPr>
        <w:t xml:space="preserve"> </w:t>
      </w:r>
      <w:r>
        <w:t>other than Queensland under a corresponding law of that jurisdiction the occupational liability to which this Scheme applies does not include liability to which the corresponding law states, from time to time, that it does not</w:t>
      </w:r>
      <w:r>
        <w:rPr>
          <w:spacing w:val="-14"/>
        </w:rPr>
        <w:t xml:space="preserve"> </w:t>
      </w:r>
      <w:r>
        <w:t>apply.</w:t>
      </w:r>
    </w:p>
    <w:p w14:paraId="51CFBCDB" w14:textId="77777777" w:rsidR="007300AF" w:rsidRDefault="007300AF">
      <w:pPr>
        <w:sectPr w:rsidR="007300AF" w:rsidSect="00C32D07">
          <w:pgSz w:w="11920" w:h="16850"/>
          <w:pgMar w:top="1320" w:right="1160" w:bottom="1000" w:left="1680" w:header="0" w:footer="806" w:gutter="0"/>
          <w:cols w:space="720"/>
        </w:sectPr>
      </w:pPr>
    </w:p>
    <w:p w14:paraId="298CF287" w14:textId="77777777" w:rsidR="007300AF" w:rsidRDefault="006B013F">
      <w:pPr>
        <w:pStyle w:val="ListParagraph"/>
        <w:numPr>
          <w:ilvl w:val="1"/>
          <w:numId w:val="1"/>
        </w:numPr>
        <w:tabs>
          <w:tab w:val="left" w:pos="837"/>
        </w:tabs>
        <w:spacing w:before="73"/>
        <w:ind w:right="138"/>
      </w:pPr>
      <w:r>
        <w:lastRenderedPageBreak/>
        <w:t>The Scheme is intended to apply in respect of occupational liability of a person to whom the Scheme applies arising in the jurisdictions of Queensland, New South Wales,</w:t>
      </w:r>
      <w:r>
        <w:rPr>
          <w:spacing w:val="-1"/>
        </w:rPr>
        <w:t xml:space="preserve"> </w:t>
      </w:r>
      <w:r>
        <w:t>Victoria,</w:t>
      </w:r>
      <w:r>
        <w:rPr>
          <w:spacing w:val="-3"/>
        </w:rPr>
        <w:t xml:space="preserve"> </w:t>
      </w:r>
      <w:r>
        <w:t>South</w:t>
      </w:r>
      <w:r>
        <w:rPr>
          <w:spacing w:val="-4"/>
        </w:rPr>
        <w:t xml:space="preserve"> </w:t>
      </w:r>
      <w:r>
        <w:t>Australia,</w:t>
      </w:r>
      <w:r>
        <w:rPr>
          <w:spacing w:val="-7"/>
        </w:rPr>
        <w:t xml:space="preserve"> </w:t>
      </w:r>
      <w:r>
        <w:t>Western</w:t>
      </w:r>
      <w:r>
        <w:rPr>
          <w:spacing w:val="-4"/>
        </w:rPr>
        <w:t xml:space="preserve"> </w:t>
      </w:r>
      <w:r>
        <w:t>Australia,</w:t>
      </w:r>
      <w:r>
        <w:rPr>
          <w:spacing w:val="-3"/>
        </w:rPr>
        <w:t xml:space="preserve"> </w:t>
      </w:r>
      <w:r>
        <w:t>the</w:t>
      </w:r>
      <w:r>
        <w:rPr>
          <w:spacing w:val="-2"/>
        </w:rPr>
        <w:t xml:space="preserve"> </w:t>
      </w:r>
      <w:r>
        <w:t>Australian</w:t>
      </w:r>
      <w:r>
        <w:rPr>
          <w:spacing w:val="-2"/>
        </w:rPr>
        <w:t xml:space="preserve"> </w:t>
      </w:r>
      <w:r>
        <w:t>Capital</w:t>
      </w:r>
      <w:r>
        <w:rPr>
          <w:spacing w:val="-5"/>
        </w:rPr>
        <w:t xml:space="preserve"> </w:t>
      </w:r>
      <w:r>
        <w:t>Territory, the Northern Territory and Tasmania and to apply in each of those jurisdictions</w:t>
      </w:r>
      <w:r>
        <w:rPr>
          <w:spacing w:val="40"/>
        </w:rPr>
        <w:t xml:space="preserve"> </w:t>
      </w:r>
      <w:r>
        <w:t>from the time the Scheme commences under the PS Act or, to the extent required by a corresponding law of another jurisdiction, by the corresponding law of the relevant jurisdiction.</w:t>
      </w:r>
    </w:p>
    <w:p w14:paraId="1F40FE23" w14:textId="77777777" w:rsidR="007300AF" w:rsidRDefault="006B013F">
      <w:pPr>
        <w:pStyle w:val="ListParagraph"/>
        <w:numPr>
          <w:ilvl w:val="1"/>
          <w:numId w:val="1"/>
        </w:numPr>
        <w:tabs>
          <w:tab w:val="left" w:pos="837"/>
        </w:tabs>
        <w:spacing w:before="241"/>
      </w:pPr>
      <w:r>
        <w:t>The</w:t>
      </w:r>
      <w:r>
        <w:rPr>
          <w:spacing w:val="-6"/>
        </w:rPr>
        <w:t xml:space="preserve"> </w:t>
      </w:r>
      <w:r>
        <w:t>monetary</w:t>
      </w:r>
      <w:r>
        <w:rPr>
          <w:spacing w:val="-6"/>
        </w:rPr>
        <w:t xml:space="preserve"> </w:t>
      </w:r>
      <w:r>
        <w:t>ceiling</w:t>
      </w:r>
      <w:r>
        <w:rPr>
          <w:spacing w:val="-4"/>
        </w:rPr>
        <w:t xml:space="preserve"> </w:t>
      </w:r>
      <w:r>
        <w:t>is</w:t>
      </w:r>
      <w:r>
        <w:rPr>
          <w:spacing w:val="-9"/>
        </w:rPr>
        <w:t xml:space="preserve"> </w:t>
      </w:r>
      <w:r>
        <w:rPr>
          <w:spacing w:val="-2"/>
        </w:rPr>
        <w:t>$1,500,000.</w:t>
      </w:r>
    </w:p>
    <w:p w14:paraId="1B623712" w14:textId="77777777" w:rsidR="007300AF" w:rsidRDefault="006B013F">
      <w:pPr>
        <w:pStyle w:val="ListParagraph"/>
        <w:numPr>
          <w:ilvl w:val="1"/>
          <w:numId w:val="1"/>
        </w:numPr>
        <w:tabs>
          <w:tab w:val="left" w:pos="837"/>
        </w:tabs>
        <w:spacing w:before="236"/>
      </w:pPr>
      <w:r>
        <w:t>The</w:t>
      </w:r>
      <w:r>
        <w:rPr>
          <w:spacing w:val="-10"/>
        </w:rPr>
        <w:t xml:space="preserve"> </w:t>
      </w:r>
      <w:r>
        <w:t>monetary</w:t>
      </w:r>
      <w:r>
        <w:rPr>
          <w:spacing w:val="-7"/>
        </w:rPr>
        <w:t xml:space="preserve"> </w:t>
      </w:r>
      <w:r>
        <w:t>ceiling</w:t>
      </w:r>
      <w:r>
        <w:rPr>
          <w:spacing w:val="-5"/>
        </w:rPr>
        <w:t xml:space="preserve"> </w:t>
      </w:r>
      <w:r>
        <w:t>is</w:t>
      </w:r>
      <w:r>
        <w:rPr>
          <w:spacing w:val="-4"/>
        </w:rPr>
        <w:t xml:space="preserve"> </w:t>
      </w:r>
      <w:r>
        <w:t>in</w:t>
      </w:r>
      <w:r>
        <w:rPr>
          <w:spacing w:val="-5"/>
        </w:rPr>
        <w:t xml:space="preserve"> </w:t>
      </w:r>
      <w:r>
        <w:t>Australian</w:t>
      </w:r>
      <w:r>
        <w:rPr>
          <w:spacing w:val="-15"/>
        </w:rPr>
        <w:t xml:space="preserve"> </w:t>
      </w:r>
      <w:r>
        <w:rPr>
          <w:spacing w:val="-2"/>
        </w:rPr>
        <w:t>currency.</w:t>
      </w:r>
    </w:p>
    <w:p w14:paraId="21E7636A" w14:textId="77777777" w:rsidR="007300AF" w:rsidRDefault="006B013F">
      <w:pPr>
        <w:pStyle w:val="Heading1"/>
        <w:numPr>
          <w:ilvl w:val="0"/>
          <w:numId w:val="1"/>
        </w:numPr>
        <w:tabs>
          <w:tab w:val="left" w:pos="837"/>
        </w:tabs>
        <w:spacing w:before="237"/>
        <w:ind w:hanging="720"/>
      </w:pPr>
      <w:bookmarkStart w:id="14" w:name="4._Conferral_of_discretionary_authority"/>
      <w:bookmarkEnd w:id="14"/>
      <w:r>
        <w:t>Conferral</w:t>
      </w:r>
      <w:r>
        <w:rPr>
          <w:spacing w:val="-9"/>
        </w:rPr>
        <w:t xml:space="preserve"> </w:t>
      </w:r>
      <w:r>
        <w:t>of</w:t>
      </w:r>
      <w:r>
        <w:rPr>
          <w:spacing w:val="-7"/>
        </w:rPr>
        <w:t xml:space="preserve"> </w:t>
      </w:r>
      <w:r>
        <w:t>discretionary</w:t>
      </w:r>
      <w:r>
        <w:rPr>
          <w:spacing w:val="-15"/>
        </w:rPr>
        <w:t xml:space="preserve"> </w:t>
      </w:r>
      <w:r>
        <w:rPr>
          <w:spacing w:val="-2"/>
        </w:rPr>
        <w:t>authority</w:t>
      </w:r>
    </w:p>
    <w:p w14:paraId="44DDA3FD" w14:textId="77777777" w:rsidR="007300AF" w:rsidRDefault="006B013F">
      <w:pPr>
        <w:pStyle w:val="ListParagraph"/>
        <w:numPr>
          <w:ilvl w:val="1"/>
          <w:numId w:val="1"/>
        </w:numPr>
        <w:tabs>
          <w:tab w:val="left" w:pos="837"/>
        </w:tabs>
        <w:spacing w:before="244"/>
        <w:ind w:right="171"/>
      </w:pPr>
      <w:r>
        <w:t>The</w:t>
      </w:r>
      <w:r>
        <w:rPr>
          <w:spacing w:val="-4"/>
        </w:rPr>
        <w:t xml:space="preserve"> </w:t>
      </w:r>
      <w:r>
        <w:t>Scheme</w:t>
      </w:r>
      <w:r>
        <w:rPr>
          <w:spacing w:val="-4"/>
        </w:rPr>
        <w:t xml:space="preserve"> </w:t>
      </w:r>
      <w:r>
        <w:t>confers</w:t>
      </w:r>
      <w:r>
        <w:rPr>
          <w:spacing w:val="-4"/>
        </w:rPr>
        <w:t xml:space="preserve"> </w:t>
      </w:r>
      <w:r>
        <w:t>on</w:t>
      </w:r>
      <w:r>
        <w:rPr>
          <w:spacing w:val="-4"/>
        </w:rPr>
        <w:t xml:space="preserve"> </w:t>
      </w:r>
      <w:r>
        <w:t>the</w:t>
      </w:r>
      <w:r>
        <w:rPr>
          <w:spacing w:val="-2"/>
        </w:rPr>
        <w:t xml:space="preserve"> </w:t>
      </w:r>
      <w:r>
        <w:t>Association</w:t>
      </w:r>
      <w:r>
        <w:rPr>
          <w:spacing w:val="-2"/>
        </w:rPr>
        <w:t xml:space="preserve"> </w:t>
      </w:r>
      <w:r>
        <w:t>a</w:t>
      </w:r>
      <w:r>
        <w:rPr>
          <w:spacing w:val="-2"/>
        </w:rPr>
        <w:t xml:space="preserve"> </w:t>
      </w:r>
      <w:r>
        <w:t>discretionary</w:t>
      </w:r>
      <w:r>
        <w:rPr>
          <w:spacing w:val="-4"/>
        </w:rPr>
        <w:t xml:space="preserve"> </w:t>
      </w:r>
      <w:r>
        <w:t>authority,</w:t>
      </w:r>
      <w:r>
        <w:rPr>
          <w:spacing w:val="-3"/>
        </w:rPr>
        <w:t xml:space="preserve"> </w:t>
      </w:r>
      <w:r>
        <w:t>on</w:t>
      </w:r>
      <w:r>
        <w:rPr>
          <w:spacing w:val="-2"/>
        </w:rPr>
        <w:t xml:space="preserve"> </w:t>
      </w:r>
      <w:r>
        <w:t>application</w:t>
      </w:r>
      <w:r>
        <w:rPr>
          <w:spacing w:val="-2"/>
        </w:rPr>
        <w:t xml:space="preserve"> </w:t>
      </w:r>
      <w:r>
        <w:t>by a person to whom the Scheme applies, to specify a higher maximum amount of liability than would otherwise apply under the Scheme in relation to the person, either in all cases or in any specified case or class of case, being a specified monetary ceiling not exceeding $50 million.</w:t>
      </w:r>
    </w:p>
    <w:p w14:paraId="05E8E985" w14:textId="77777777" w:rsidR="007300AF" w:rsidRDefault="006B013F">
      <w:pPr>
        <w:pStyle w:val="Heading1"/>
        <w:numPr>
          <w:ilvl w:val="0"/>
          <w:numId w:val="1"/>
        </w:numPr>
        <w:tabs>
          <w:tab w:val="left" w:pos="837"/>
        </w:tabs>
        <w:spacing w:before="232"/>
        <w:ind w:hanging="720"/>
      </w:pPr>
      <w:bookmarkStart w:id="15" w:name="5._Duration"/>
      <w:bookmarkEnd w:id="15"/>
      <w:r>
        <w:rPr>
          <w:spacing w:val="-2"/>
        </w:rPr>
        <w:t>Duration</w:t>
      </w:r>
    </w:p>
    <w:p w14:paraId="5353472A" w14:textId="77777777" w:rsidR="007300AF" w:rsidRDefault="006B013F">
      <w:pPr>
        <w:pStyle w:val="ListParagraph"/>
        <w:numPr>
          <w:ilvl w:val="1"/>
          <w:numId w:val="1"/>
        </w:numPr>
        <w:tabs>
          <w:tab w:val="left" w:pos="837"/>
        </w:tabs>
        <w:spacing w:before="244" w:line="252" w:lineRule="exact"/>
      </w:pPr>
      <w:r>
        <w:t>The</w:t>
      </w:r>
      <w:r>
        <w:rPr>
          <w:spacing w:val="-5"/>
        </w:rPr>
        <w:t xml:space="preserve"> </w:t>
      </w:r>
      <w:r>
        <w:t>Scheme</w:t>
      </w:r>
      <w:r>
        <w:rPr>
          <w:spacing w:val="-5"/>
        </w:rPr>
        <w:t xml:space="preserve"> </w:t>
      </w:r>
      <w:r>
        <w:t>will</w:t>
      </w:r>
      <w:r>
        <w:rPr>
          <w:spacing w:val="-2"/>
        </w:rPr>
        <w:t xml:space="preserve"> commence:</w:t>
      </w:r>
    </w:p>
    <w:p w14:paraId="3CDE0AC6" w14:textId="77777777" w:rsidR="007300AF" w:rsidRDefault="006B013F">
      <w:pPr>
        <w:pStyle w:val="ListParagraph"/>
        <w:numPr>
          <w:ilvl w:val="2"/>
          <w:numId w:val="1"/>
        </w:numPr>
        <w:tabs>
          <w:tab w:val="left" w:pos="1557"/>
        </w:tabs>
        <w:spacing w:line="252" w:lineRule="exact"/>
      </w:pPr>
      <w:r>
        <w:t>In</w:t>
      </w:r>
      <w:r>
        <w:rPr>
          <w:spacing w:val="-6"/>
        </w:rPr>
        <w:t xml:space="preserve"> </w:t>
      </w:r>
      <w:r>
        <w:t>New</w:t>
      </w:r>
      <w:r>
        <w:rPr>
          <w:spacing w:val="-5"/>
        </w:rPr>
        <w:t xml:space="preserve"> </w:t>
      </w:r>
      <w:r>
        <w:t>South</w:t>
      </w:r>
      <w:r>
        <w:rPr>
          <w:spacing w:val="-10"/>
        </w:rPr>
        <w:t xml:space="preserve"> </w:t>
      </w:r>
      <w:r>
        <w:t>Wales,</w:t>
      </w:r>
      <w:r>
        <w:rPr>
          <w:spacing w:val="-4"/>
        </w:rPr>
        <w:t xml:space="preserve"> </w:t>
      </w:r>
      <w:r>
        <w:t>the</w:t>
      </w:r>
      <w:r>
        <w:rPr>
          <w:spacing w:val="-5"/>
        </w:rPr>
        <w:t xml:space="preserve"> </w:t>
      </w:r>
      <w:r>
        <w:t>Northern</w:t>
      </w:r>
      <w:r>
        <w:rPr>
          <w:spacing w:val="-5"/>
        </w:rPr>
        <w:t xml:space="preserve"> </w:t>
      </w:r>
      <w:r>
        <w:t>Territory,</w:t>
      </w:r>
      <w:r>
        <w:rPr>
          <w:spacing w:val="-4"/>
        </w:rPr>
        <w:t xml:space="preserve"> </w:t>
      </w:r>
      <w:r>
        <w:t>Tasmania,</w:t>
      </w:r>
      <w:r>
        <w:rPr>
          <w:spacing w:val="-8"/>
        </w:rPr>
        <w:t xml:space="preserve"> </w:t>
      </w:r>
      <w:r>
        <w:t>Western</w:t>
      </w:r>
      <w:r>
        <w:rPr>
          <w:spacing w:val="-4"/>
        </w:rPr>
        <w:t xml:space="preserve"> </w:t>
      </w:r>
      <w:r>
        <w:rPr>
          <w:spacing w:val="-2"/>
        </w:rPr>
        <w:t>Australia,</w:t>
      </w:r>
    </w:p>
    <w:p w14:paraId="2D5012B7" w14:textId="77777777" w:rsidR="007300AF" w:rsidRDefault="006B013F">
      <w:pPr>
        <w:pStyle w:val="BodyText"/>
        <w:spacing w:before="2" w:line="252" w:lineRule="exact"/>
        <w:ind w:left="1557" w:firstLine="0"/>
      </w:pPr>
      <w:r>
        <w:t>Victoria</w:t>
      </w:r>
      <w:r>
        <w:rPr>
          <w:spacing w:val="-4"/>
        </w:rPr>
        <w:t xml:space="preserve"> </w:t>
      </w:r>
      <w:r>
        <w:t>and</w:t>
      </w:r>
      <w:r>
        <w:rPr>
          <w:spacing w:val="-5"/>
        </w:rPr>
        <w:t xml:space="preserve"> </w:t>
      </w:r>
      <w:r>
        <w:t>Queensland</w:t>
      </w:r>
      <w:r>
        <w:rPr>
          <w:spacing w:val="-5"/>
        </w:rPr>
        <w:t xml:space="preserve"> </w:t>
      </w:r>
      <w:r>
        <w:t>on</w:t>
      </w:r>
      <w:r>
        <w:rPr>
          <w:spacing w:val="-3"/>
        </w:rPr>
        <w:t xml:space="preserve"> </w:t>
      </w:r>
      <w:r>
        <w:t>1</w:t>
      </w:r>
      <w:r>
        <w:rPr>
          <w:spacing w:val="-5"/>
        </w:rPr>
        <w:t xml:space="preserve"> </w:t>
      </w:r>
      <w:r>
        <w:t>July</w:t>
      </w:r>
      <w:r>
        <w:rPr>
          <w:spacing w:val="-5"/>
        </w:rPr>
        <w:t xml:space="preserve"> </w:t>
      </w:r>
      <w:r>
        <w:t xml:space="preserve">2024; </w:t>
      </w:r>
      <w:r>
        <w:rPr>
          <w:spacing w:val="-5"/>
        </w:rPr>
        <w:t>and</w:t>
      </w:r>
    </w:p>
    <w:p w14:paraId="73EAC693" w14:textId="77777777" w:rsidR="007300AF" w:rsidRDefault="006B013F">
      <w:pPr>
        <w:pStyle w:val="ListParagraph"/>
        <w:numPr>
          <w:ilvl w:val="2"/>
          <w:numId w:val="1"/>
        </w:numPr>
        <w:tabs>
          <w:tab w:val="left" w:pos="1557"/>
        </w:tabs>
        <w:ind w:right="282"/>
      </w:pPr>
      <w:r>
        <w:t>In</w:t>
      </w:r>
      <w:r>
        <w:rPr>
          <w:spacing w:val="40"/>
        </w:rPr>
        <w:t xml:space="preserve"> </w:t>
      </w:r>
      <w:r>
        <w:t>the Australian Capital Territory and in South Australia, on this same date,</w:t>
      </w:r>
      <w:r>
        <w:rPr>
          <w:spacing w:val="-3"/>
        </w:rPr>
        <w:t xml:space="preserve"> </w:t>
      </w:r>
      <w:r>
        <w:t>or</w:t>
      </w:r>
      <w:r>
        <w:rPr>
          <w:spacing w:val="-3"/>
        </w:rPr>
        <w:t xml:space="preserve"> </w:t>
      </w:r>
      <w:r>
        <w:t>such</w:t>
      </w:r>
      <w:r>
        <w:rPr>
          <w:spacing w:val="-4"/>
        </w:rPr>
        <w:t xml:space="preserve"> </w:t>
      </w:r>
      <w:r>
        <w:t>other later</w:t>
      </w:r>
      <w:r>
        <w:rPr>
          <w:spacing w:val="-3"/>
        </w:rPr>
        <w:t xml:space="preserve"> </w:t>
      </w:r>
      <w:r>
        <w:t>date,</w:t>
      </w:r>
      <w:r>
        <w:rPr>
          <w:spacing w:val="-2"/>
        </w:rPr>
        <w:t xml:space="preserve"> </w:t>
      </w:r>
      <w:r>
        <w:t>provided</w:t>
      </w:r>
      <w:r>
        <w:rPr>
          <w:spacing w:val="-2"/>
        </w:rPr>
        <w:t xml:space="preserve"> </w:t>
      </w:r>
      <w:r>
        <w:t>the</w:t>
      </w:r>
      <w:r>
        <w:rPr>
          <w:spacing w:val="-4"/>
        </w:rPr>
        <w:t xml:space="preserve"> </w:t>
      </w:r>
      <w:r>
        <w:t>date</w:t>
      </w:r>
      <w:r>
        <w:rPr>
          <w:spacing w:val="-4"/>
        </w:rPr>
        <w:t xml:space="preserve"> </w:t>
      </w:r>
      <w:r>
        <w:t>is</w:t>
      </w:r>
      <w:r>
        <w:rPr>
          <w:spacing w:val="-1"/>
        </w:rPr>
        <w:t xml:space="preserve"> </w:t>
      </w:r>
      <w:r>
        <w:t>specified</w:t>
      </w:r>
      <w:r>
        <w:rPr>
          <w:spacing w:val="-2"/>
        </w:rPr>
        <w:t xml:space="preserve"> </w:t>
      </w:r>
      <w:r>
        <w:t>in</w:t>
      </w:r>
      <w:r>
        <w:rPr>
          <w:spacing w:val="-4"/>
        </w:rPr>
        <w:t xml:space="preserve"> </w:t>
      </w:r>
      <w:r>
        <w:t>the</w:t>
      </w:r>
      <w:r>
        <w:rPr>
          <w:spacing w:val="-4"/>
        </w:rPr>
        <w:t xml:space="preserve"> </w:t>
      </w:r>
      <w:r>
        <w:t>relevant Minister’s notice in relation to the scheme; or,</w:t>
      </w:r>
    </w:p>
    <w:p w14:paraId="10D0FC47" w14:textId="77777777" w:rsidR="007300AF" w:rsidRDefault="006B013F">
      <w:pPr>
        <w:pStyle w:val="ListParagraph"/>
        <w:numPr>
          <w:ilvl w:val="2"/>
          <w:numId w:val="1"/>
        </w:numPr>
        <w:tabs>
          <w:tab w:val="left" w:pos="1559"/>
        </w:tabs>
        <w:spacing w:before="1" w:line="247" w:lineRule="auto"/>
        <w:ind w:left="1559" w:right="624" w:hanging="708"/>
      </w:pPr>
      <w:r>
        <w:t>In</w:t>
      </w:r>
      <w:r>
        <w:rPr>
          <w:spacing w:val="-3"/>
        </w:rPr>
        <w:t xml:space="preserve"> </w:t>
      </w:r>
      <w:r>
        <w:t>all</w:t>
      </w:r>
      <w:r>
        <w:rPr>
          <w:spacing w:val="-3"/>
        </w:rPr>
        <w:t xml:space="preserve"> </w:t>
      </w:r>
      <w:r>
        <w:t>other</w:t>
      </w:r>
      <w:r>
        <w:rPr>
          <w:spacing w:val="-4"/>
        </w:rPr>
        <w:t xml:space="preserve"> </w:t>
      </w:r>
      <w:r>
        <w:t>cases,</w:t>
      </w:r>
      <w:r>
        <w:rPr>
          <w:spacing w:val="-1"/>
        </w:rPr>
        <w:t xml:space="preserve"> </w:t>
      </w:r>
      <w:r>
        <w:t>subject</w:t>
      </w:r>
      <w:r>
        <w:rPr>
          <w:spacing w:val="-4"/>
        </w:rPr>
        <w:t xml:space="preserve"> </w:t>
      </w:r>
      <w:r>
        <w:t>to</w:t>
      </w:r>
      <w:r>
        <w:rPr>
          <w:spacing w:val="-5"/>
        </w:rPr>
        <w:t xml:space="preserve"> </w:t>
      </w:r>
      <w:r>
        <w:t>the</w:t>
      </w:r>
      <w:r>
        <w:rPr>
          <w:spacing w:val="-3"/>
        </w:rPr>
        <w:t xml:space="preserve"> </w:t>
      </w:r>
      <w:r>
        <w:t>statutory</w:t>
      </w:r>
      <w:r>
        <w:rPr>
          <w:spacing w:val="-5"/>
        </w:rPr>
        <w:t xml:space="preserve"> </w:t>
      </w:r>
      <w:r>
        <w:t>provisions</w:t>
      </w:r>
      <w:r>
        <w:rPr>
          <w:spacing w:val="-2"/>
        </w:rPr>
        <w:t xml:space="preserve"> </w:t>
      </w:r>
      <w:r>
        <w:t>of</w:t>
      </w:r>
      <w:r>
        <w:rPr>
          <w:spacing w:val="-1"/>
        </w:rPr>
        <w:t xml:space="preserve"> </w:t>
      </w:r>
      <w:r>
        <w:t>each</w:t>
      </w:r>
      <w:r>
        <w:rPr>
          <w:spacing w:val="-5"/>
        </w:rPr>
        <w:t xml:space="preserve"> </w:t>
      </w:r>
      <w:r>
        <w:t xml:space="preserve">applicable </w:t>
      </w:r>
      <w:r>
        <w:rPr>
          <w:spacing w:val="-2"/>
        </w:rPr>
        <w:t>jurisdiction.</w:t>
      </w:r>
    </w:p>
    <w:p w14:paraId="3C6AE179" w14:textId="77777777" w:rsidR="007300AF" w:rsidRDefault="007300AF">
      <w:pPr>
        <w:pStyle w:val="BodyText"/>
        <w:spacing w:before="3"/>
        <w:ind w:left="0" w:firstLine="0"/>
      </w:pPr>
    </w:p>
    <w:p w14:paraId="6B58A2D7" w14:textId="77777777" w:rsidR="007300AF" w:rsidRDefault="006B013F">
      <w:pPr>
        <w:pStyle w:val="ListParagraph"/>
        <w:numPr>
          <w:ilvl w:val="1"/>
          <w:numId w:val="1"/>
        </w:numPr>
        <w:tabs>
          <w:tab w:val="left" w:pos="836"/>
        </w:tabs>
        <w:ind w:left="836" w:right="257"/>
      </w:pPr>
      <w:r>
        <w:t>The</w:t>
      </w:r>
      <w:r>
        <w:rPr>
          <w:spacing w:val="-3"/>
        </w:rPr>
        <w:t xml:space="preserve"> </w:t>
      </w:r>
      <w:r>
        <w:t>Scheme</w:t>
      </w:r>
      <w:r>
        <w:rPr>
          <w:spacing w:val="-3"/>
        </w:rPr>
        <w:t xml:space="preserve"> </w:t>
      </w:r>
      <w:r>
        <w:t>will</w:t>
      </w:r>
      <w:r>
        <w:rPr>
          <w:spacing w:val="-1"/>
        </w:rPr>
        <w:t xml:space="preserve"> </w:t>
      </w:r>
      <w:r>
        <w:t>remain</w:t>
      </w:r>
      <w:r>
        <w:rPr>
          <w:spacing w:val="-3"/>
        </w:rPr>
        <w:t xml:space="preserve"> </w:t>
      </w:r>
      <w:r>
        <w:t>in</w:t>
      </w:r>
      <w:r>
        <w:rPr>
          <w:spacing w:val="-3"/>
        </w:rPr>
        <w:t xml:space="preserve"> </w:t>
      </w:r>
      <w:r>
        <w:t>force</w:t>
      </w:r>
      <w:r>
        <w:rPr>
          <w:spacing w:val="-5"/>
        </w:rPr>
        <w:t xml:space="preserve"> </w:t>
      </w:r>
      <w:r>
        <w:t>for a</w:t>
      </w:r>
      <w:r>
        <w:rPr>
          <w:spacing w:val="-3"/>
        </w:rPr>
        <w:t xml:space="preserve"> </w:t>
      </w:r>
      <w:r>
        <w:t>period</w:t>
      </w:r>
      <w:r>
        <w:rPr>
          <w:spacing w:val="-3"/>
        </w:rPr>
        <w:t xml:space="preserve"> </w:t>
      </w:r>
      <w:r>
        <w:t>of 5</w:t>
      </w:r>
      <w:r>
        <w:rPr>
          <w:spacing w:val="-3"/>
        </w:rPr>
        <w:t xml:space="preserve"> </w:t>
      </w:r>
      <w:r>
        <w:t>years</w:t>
      </w:r>
      <w:r>
        <w:rPr>
          <w:spacing w:val="-3"/>
        </w:rPr>
        <w:t xml:space="preserve"> </w:t>
      </w:r>
      <w:r>
        <w:t>from</w:t>
      </w:r>
      <w:r>
        <w:rPr>
          <w:spacing w:val="-2"/>
        </w:rPr>
        <w:t xml:space="preserve"> </w:t>
      </w:r>
      <w:r>
        <w:t>its</w:t>
      </w:r>
      <w:r>
        <w:rPr>
          <w:spacing w:val="-3"/>
        </w:rPr>
        <w:t xml:space="preserve"> </w:t>
      </w:r>
      <w:r>
        <w:t>commencement</w:t>
      </w:r>
      <w:r>
        <w:rPr>
          <w:spacing w:val="-2"/>
        </w:rPr>
        <w:t xml:space="preserve"> </w:t>
      </w:r>
      <w:r>
        <w:t xml:space="preserve">in </w:t>
      </w:r>
      <w:r>
        <w:rPr>
          <w:spacing w:val="-2"/>
        </w:rPr>
        <w:t>Queensland.</w:t>
      </w:r>
    </w:p>
    <w:p w14:paraId="426C01AD" w14:textId="77777777" w:rsidR="007300AF" w:rsidRDefault="006B013F">
      <w:pPr>
        <w:pStyle w:val="ListParagraph"/>
        <w:numPr>
          <w:ilvl w:val="1"/>
          <w:numId w:val="1"/>
        </w:numPr>
        <w:tabs>
          <w:tab w:val="left" w:pos="837"/>
        </w:tabs>
        <w:spacing w:before="119"/>
        <w:ind w:right="1025"/>
      </w:pPr>
      <w:r>
        <w:t>Clause</w:t>
      </w:r>
      <w:r>
        <w:rPr>
          <w:spacing w:val="-2"/>
        </w:rPr>
        <w:t xml:space="preserve"> </w:t>
      </w:r>
      <w:r>
        <w:t>5.2</w:t>
      </w:r>
      <w:r>
        <w:rPr>
          <w:spacing w:val="-2"/>
        </w:rPr>
        <w:t xml:space="preserve"> </w:t>
      </w:r>
      <w:r>
        <w:t>is</w:t>
      </w:r>
      <w:r>
        <w:rPr>
          <w:spacing w:val="-4"/>
        </w:rPr>
        <w:t xml:space="preserve"> </w:t>
      </w:r>
      <w:r>
        <w:t>subject</w:t>
      </w:r>
      <w:r>
        <w:rPr>
          <w:spacing w:val="-2"/>
        </w:rPr>
        <w:t xml:space="preserve"> </w:t>
      </w:r>
      <w:r>
        <w:t>to</w:t>
      </w:r>
      <w:r>
        <w:rPr>
          <w:spacing w:val="-4"/>
        </w:rPr>
        <w:t xml:space="preserve"> </w:t>
      </w:r>
      <w:r>
        <w:t>the</w:t>
      </w:r>
      <w:r>
        <w:rPr>
          <w:spacing w:val="-2"/>
        </w:rPr>
        <w:t xml:space="preserve"> </w:t>
      </w:r>
      <w:r>
        <w:t>provisions</w:t>
      </w:r>
      <w:r>
        <w:rPr>
          <w:spacing w:val="-1"/>
        </w:rPr>
        <w:t xml:space="preserve"> </w:t>
      </w:r>
      <w:r>
        <w:t>of each</w:t>
      </w:r>
      <w:r>
        <w:rPr>
          <w:spacing w:val="-4"/>
        </w:rPr>
        <w:t xml:space="preserve"> </w:t>
      </w:r>
      <w:r>
        <w:t>jurisdiction</w:t>
      </w:r>
      <w:r>
        <w:rPr>
          <w:spacing w:val="-2"/>
        </w:rPr>
        <w:t xml:space="preserve"> </w:t>
      </w:r>
      <w:r>
        <w:t>in</w:t>
      </w:r>
      <w:r>
        <w:rPr>
          <w:spacing w:val="-2"/>
        </w:rPr>
        <w:t xml:space="preserve"> </w:t>
      </w:r>
      <w:r>
        <w:t>relation</w:t>
      </w:r>
      <w:r>
        <w:rPr>
          <w:spacing w:val="-2"/>
        </w:rPr>
        <w:t xml:space="preserve"> </w:t>
      </w:r>
      <w:r>
        <w:t>to</w:t>
      </w:r>
      <w:r>
        <w:rPr>
          <w:spacing w:val="-4"/>
        </w:rPr>
        <w:t xml:space="preserve"> </w:t>
      </w:r>
      <w:r>
        <w:t>the revocation, extension, or cessation of a scheme.</w:t>
      </w:r>
    </w:p>
    <w:sectPr w:rsidR="007300AF">
      <w:pgSz w:w="11920" w:h="16850"/>
      <w:pgMar w:top="1320" w:right="1160" w:bottom="1000" w:left="1680" w:header="0" w:footer="8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142F8" w14:textId="77777777" w:rsidR="00C32D07" w:rsidRDefault="00C32D07">
      <w:r>
        <w:separator/>
      </w:r>
    </w:p>
  </w:endnote>
  <w:endnote w:type="continuationSeparator" w:id="0">
    <w:p w14:paraId="1BB4F753" w14:textId="77777777" w:rsidR="00C32D07" w:rsidRDefault="00C3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0715" w14:textId="77777777" w:rsidR="00BA15B8" w:rsidRDefault="00BA1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5697" w14:textId="782C2832" w:rsidR="00D90557" w:rsidRDefault="00D90557" w:rsidP="00D90557">
    <w:pPr>
      <w:jc w:val="center"/>
      <w:rPr>
        <w:sz w:val="14"/>
        <w:szCs w:val="14"/>
      </w:rPr>
    </w:pPr>
    <w:r w:rsidRPr="00D90557">
      <w:rPr>
        <w:noProof/>
        <w:sz w:val="14"/>
        <w:szCs w:val="14"/>
      </w:rPr>
      <mc:AlternateContent>
        <mc:Choice Requires="wps">
          <w:drawing>
            <wp:inline distT="0" distB="0" distL="0" distR="0" wp14:anchorId="510EF37C" wp14:editId="02C6CDA8">
              <wp:extent cx="167005" cy="18224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6DB5F2AF" w14:textId="77777777" w:rsidR="00D90557" w:rsidRDefault="00D90557" w:rsidP="00D90557">
                          <w:pPr>
                            <w:pStyle w:val="BodyText"/>
                            <w:spacing w:before="13"/>
                            <w:ind w:left="60" w:firstLine="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inline>
          </w:drawing>
        </mc:Choice>
        <mc:Fallback>
          <w:pict>
            <v:shapetype w14:anchorId="510EF37C" id="_x0000_t202" coordsize="21600,21600" o:spt="202" path="m,l,21600r21600,l21600,xe">
              <v:stroke joinstyle="miter"/>
              <v:path gradientshapeok="t" o:connecttype="rect"/>
            </v:shapetype>
            <v:shape id="Textbox 1" o:spid="_x0000_s1026" type="#_x0000_t202" style="width:13.15pt;height:1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2rkw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" filled="f" stroked="f">
              <v:textbox inset="0,0,0,0">
                <w:txbxContent>
                  <w:p w14:paraId="6DB5F2AF" w14:textId="77777777" w:rsidR="00D90557" w:rsidRDefault="00D90557" w:rsidP="00D90557">
                    <w:pPr>
                      <w:pStyle w:val="BodyText"/>
                      <w:spacing w:before="13"/>
                      <w:ind w:left="60" w:firstLine="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anchorlock/>
            </v:shape>
          </w:pict>
        </mc:Fallback>
      </mc:AlternateContent>
    </w:r>
  </w:p>
  <w:p w14:paraId="62000A35" w14:textId="38DD75CA" w:rsidR="007300AF" w:rsidRPr="00BA15B8" w:rsidRDefault="00BA15B8" w:rsidP="00BA15B8">
    <w:pPr>
      <w:spacing w:before="80"/>
      <w:jc w:val="center"/>
      <w:rPr>
        <w:sz w:val="14"/>
        <w:szCs w:val="14"/>
      </w:rPr>
    </w:pPr>
    <w:r w:rsidRPr="00BA15B8">
      <w:rPr>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6E13" w14:textId="77777777" w:rsidR="00BA15B8" w:rsidRDefault="00BA1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04BC8" w14:textId="77777777" w:rsidR="00C32D07" w:rsidRDefault="00C32D07">
      <w:r>
        <w:separator/>
      </w:r>
    </w:p>
  </w:footnote>
  <w:footnote w:type="continuationSeparator" w:id="0">
    <w:p w14:paraId="37D10BFB" w14:textId="77777777" w:rsidR="00C32D07" w:rsidRDefault="00C32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5B9B" w14:textId="77777777" w:rsidR="00BA15B8" w:rsidRDefault="00BA1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DD32" w14:textId="77777777" w:rsidR="00BA15B8" w:rsidRDefault="00BA15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EA4C" w14:textId="77777777" w:rsidR="00BA15B8" w:rsidRDefault="00BA1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2285B"/>
    <w:multiLevelType w:val="hybridMultilevel"/>
    <w:tmpl w:val="9C062364"/>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485770A7"/>
    <w:multiLevelType w:val="multilevel"/>
    <w:tmpl w:val="0C7EABFC"/>
    <w:lvl w:ilvl="0">
      <w:start w:val="1"/>
      <w:numFmt w:val="decimal"/>
      <w:lvlText w:val="%1."/>
      <w:lvlJc w:val="left"/>
      <w:pPr>
        <w:ind w:left="837" w:hanging="721"/>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837" w:hanging="720"/>
      </w:pPr>
      <w:rPr>
        <w:rFonts w:ascii="Arial" w:eastAsia="Arial" w:hAnsi="Arial" w:cs="Arial" w:hint="default"/>
        <w:b w:val="0"/>
        <w:bCs w:val="0"/>
        <w:i w:val="0"/>
        <w:iCs w:val="0"/>
        <w:spacing w:val="-1"/>
        <w:w w:val="100"/>
        <w:sz w:val="22"/>
        <w:szCs w:val="22"/>
        <w:lang w:val="en-US" w:eastAsia="en-US" w:bidi="ar-SA"/>
      </w:rPr>
    </w:lvl>
    <w:lvl w:ilvl="2">
      <w:start w:val="1"/>
      <w:numFmt w:val="lowerLetter"/>
      <w:lvlText w:val="(%3)"/>
      <w:lvlJc w:val="left"/>
      <w:pPr>
        <w:ind w:left="1557" w:hanging="720"/>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229" w:hanging="720"/>
      </w:pPr>
      <w:rPr>
        <w:rFonts w:hint="default"/>
        <w:lang w:val="en-US" w:eastAsia="en-US" w:bidi="ar-SA"/>
      </w:rPr>
    </w:lvl>
    <w:lvl w:ilvl="4">
      <w:numFmt w:val="bullet"/>
      <w:lvlText w:val="•"/>
      <w:lvlJc w:val="left"/>
      <w:pPr>
        <w:ind w:left="4063" w:hanging="720"/>
      </w:pPr>
      <w:rPr>
        <w:rFonts w:hint="default"/>
        <w:lang w:val="en-US" w:eastAsia="en-US" w:bidi="ar-SA"/>
      </w:rPr>
    </w:lvl>
    <w:lvl w:ilvl="5">
      <w:numFmt w:val="bullet"/>
      <w:lvlText w:val="•"/>
      <w:lvlJc w:val="left"/>
      <w:pPr>
        <w:ind w:left="4898" w:hanging="720"/>
      </w:pPr>
      <w:rPr>
        <w:rFonts w:hint="default"/>
        <w:lang w:val="en-US" w:eastAsia="en-US" w:bidi="ar-SA"/>
      </w:rPr>
    </w:lvl>
    <w:lvl w:ilvl="6">
      <w:numFmt w:val="bullet"/>
      <w:lvlText w:val="•"/>
      <w:lvlJc w:val="left"/>
      <w:pPr>
        <w:ind w:left="5732" w:hanging="720"/>
      </w:pPr>
      <w:rPr>
        <w:rFonts w:hint="default"/>
        <w:lang w:val="en-US" w:eastAsia="en-US" w:bidi="ar-SA"/>
      </w:rPr>
    </w:lvl>
    <w:lvl w:ilvl="7">
      <w:numFmt w:val="bullet"/>
      <w:lvlText w:val="•"/>
      <w:lvlJc w:val="left"/>
      <w:pPr>
        <w:ind w:left="6567" w:hanging="720"/>
      </w:pPr>
      <w:rPr>
        <w:rFonts w:hint="default"/>
        <w:lang w:val="en-US" w:eastAsia="en-US" w:bidi="ar-SA"/>
      </w:rPr>
    </w:lvl>
    <w:lvl w:ilvl="8">
      <w:numFmt w:val="bullet"/>
      <w:lvlText w:val="•"/>
      <w:lvlJc w:val="left"/>
      <w:pPr>
        <w:ind w:left="7402" w:hanging="720"/>
      </w:pPr>
      <w:rPr>
        <w:rFonts w:hint="default"/>
        <w:lang w:val="en-US" w:eastAsia="en-US" w:bidi="ar-SA"/>
      </w:rPr>
    </w:lvl>
  </w:abstractNum>
  <w:abstractNum w:abstractNumId="2" w15:restartNumberingAfterBreak="0">
    <w:nsid w:val="5B5065C4"/>
    <w:multiLevelType w:val="hybridMultilevel"/>
    <w:tmpl w:val="D1DEE268"/>
    <w:lvl w:ilvl="0" w:tplc="339076EC">
      <w:start w:val="1"/>
      <w:numFmt w:val="upperLetter"/>
      <w:lvlText w:val="%1."/>
      <w:lvlJc w:val="left"/>
      <w:pPr>
        <w:ind w:left="837" w:hanging="721"/>
      </w:pPr>
      <w:rPr>
        <w:rFonts w:ascii="Arial" w:eastAsia="Arial" w:hAnsi="Arial" w:cs="Arial" w:hint="default"/>
        <w:b w:val="0"/>
        <w:bCs w:val="0"/>
        <w:i w:val="0"/>
        <w:iCs w:val="0"/>
        <w:spacing w:val="-1"/>
        <w:w w:val="100"/>
        <w:sz w:val="22"/>
        <w:szCs w:val="22"/>
        <w:lang w:val="en-US" w:eastAsia="en-US" w:bidi="ar-SA"/>
      </w:rPr>
    </w:lvl>
    <w:lvl w:ilvl="1" w:tplc="9DC4CDF2">
      <w:start w:val="1"/>
      <w:numFmt w:val="lowerLetter"/>
      <w:lvlText w:val="(%2)"/>
      <w:lvlJc w:val="left"/>
      <w:pPr>
        <w:ind w:left="1557" w:hanging="720"/>
      </w:pPr>
      <w:rPr>
        <w:rFonts w:ascii="Arial" w:eastAsia="Arial" w:hAnsi="Arial" w:cs="Arial" w:hint="default"/>
        <w:b w:val="0"/>
        <w:bCs w:val="0"/>
        <w:i w:val="0"/>
        <w:iCs w:val="0"/>
        <w:spacing w:val="-1"/>
        <w:w w:val="100"/>
        <w:sz w:val="22"/>
        <w:szCs w:val="22"/>
        <w:lang w:val="en-US" w:eastAsia="en-US" w:bidi="ar-SA"/>
      </w:rPr>
    </w:lvl>
    <w:lvl w:ilvl="2" w:tplc="5DFC2938">
      <w:numFmt w:val="bullet"/>
      <w:lvlText w:val="•"/>
      <w:lvlJc w:val="left"/>
      <w:pPr>
        <w:ind w:left="1620" w:hanging="720"/>
      </w:pPr>
      <w:rPr>
        <w:rFonts w:hint="default"/>
        <w:lang w:val="en-US" w:eastAsia="en-US" w:bidi="ar-SA"/>
      </w:rPr>
    </w:lvl>
    <w:lvl w:ilvl="3" w:tplc="C0D8CB68">
      <w:numFmt w:val="bullet"/>
      <w:lvlText w:val="•"/>
      <w:lvlJc w:val="left"/>
      <w:pPr>
        <w:ind w:left="2551" w:hanging="720"/>
      </w:pPr>
      <w:rPr>
        <w:rFonts w:hint="default"/>
        <w:lang w:val="en-US" w:eastAsia="en-US" w:bidi="ar-SA"/>
      </w:rPr>
    </w:lvl>
    <w:lvl w:ilvl="4" w:tplc="EB5EFDEA">
      <w:numFmt w:val="bullet"/>
      <w:lvlText w:val="•"/>
      <w:lvlJc w:val="left"/>
      <w:pPr>
        <w:ind w:left="3482" w:hanging="720"/>
      </w:pPr>
      <w:rPr>
        <w:rFonts w:hint="default"/>
        <w:lang w:val="en-US" w:eastAsia="en-US" w:bidi="ar-SA"/>
      </w:rPr>
    </w:lvl>
    <w:lvl w:ilvl="5" w:tplc="836C6E10">
      <w:numFmt w:val="bullet"/>
      <w:lvlText w:val="•"/>
      <w:lvlJc w:val="left"/>
      <w:pPr>
        <w:ind w:left="4414" w:hanging="720"/>
      </w:pPr>
      <w:rPr>
        <w:rFonts w:hint="default"/>
        <w:lang w:val="en-US" w:eastAsia="en-US" w:bidi="ar-SA"/>
      </w:rPr>
    </w:lvl>
    <w:lvl w:ilvl="6" w:tplc="E1C005CE">
      <w:numFmt w:val="bullet"/>
      <w:lvlText w:val="•"/>
      <w:lvlJc w:val="left"/>
      <w:pPr>
        <w:ind w:left="5345" w:hanging="720"/>
      </w:pPr>
      <w:rPr>
        <w:rFonts w:hint="default"/>
        <w:lang w:val="en-US" w:eastAsia="en-US" w:bidi="ar-SA"/>
      </w:rPr>
    </w:lvl>
    <w:lvl w:ilvl="7" w:tplc="EA94E8A6">
      <w:numFmt w:val="bullet"/>
      <w:lvlText w:val="•"/>
      <w:lvlJc w:val="left"/>
      <w:pPr>
        <w:ind w:left="6277" w:hanging="720"/>
      </w:pPr>
      <w:rPr>
        <w:rFonts w:hint="default"/>
        <w:lang w:val="en-US" w:eastAsia="en-US" w:bidi="ar-SA"/>
      </w:rPr>
    </w:lvl>
    <w:lvl w:ilvl="8" w:tplc="B8E6C938">
      <w:numFmt w:val="bullet"/>
      <w:lvlText w:val="•"/>
      <w:lvlJc w:val="left"/>
      <w:pPr>
        <w:ind w:left="7208" w:hanging="720"/>
      </w:pPr>
      <w:rPr>
        <w:rFonts w:hint="default"/>
        <w:lang w:val="en-US" w:eastAsia="en-US" w:bidi="ar-SA"/>
      </w:rPr>
    </w:lvl>
  </w:abstractNum>
  <w:num w:numId="1" w16cid:durableId="1106851612">
    <w:abstractNumId w:val="1"/>
  </w:num>
  <w:num w:numId="2" w16cid:durableId="2103598192">
    <w:abstractNumId w:val="2"/>
  </w:num>
  <w:num w:numId="3" w16cid:durableId="712996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300AF"/>
    <w:rsid w:val="00074050"/>
    <w:rsid w:val="00081F43"/>
    <w:rsid w:val="000C26CD"/>
    <w:rsid w:val="0017337C"/>
    <w:rsid w:val="001F719E"/>
    <w:rsid w:val="001F7956"/>
    <w:rsid w:val="00690E83"/>
    <w:rsid w:val="006B013F"/>
    <w:rsid w:val="007108CC"/>
    <w:rsid w:val="007300AF"/>
    <w:rsid w:val="007B74EC"/>
    <w:rsid w:val="0099117F"/>
    <w:rsid w:val="009C7B5B"/>
    <w:rsid w:val="00BA15B8"/>
    <w:rsid w:val="00C32D07"/>
    <w:rsid w:val="00CD6852"/>
    <w:rsid w:val="00D90557"/>
    <w:rsid w:val="00DC6043"/>
    <w:rsid w:val="00E72B9F"/>
    <w:rsid w:val="00EC04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82599"/>
  <w15:docId w15:val="{05A84413-5003-4948-9077-F1F092EC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34"/>
      <w:ind w:left="11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37" w:hanging="720"/>
    </w:pPr>
  </w:style>
  <w:style w:type="paragraph" w:styleId="ListParagraph">
    <w:name w:val="List Paragraph"/>
    <w:basedOn w:val="Normal"/>
    <w:uiPriority w:val="1"/>
    <w:qFormat/>
    <w:pPr>
      <w:ind w:left="837"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C26CD"/>
    <w:pPr>
      <w:tabs>
        <w:tab w:val="center" w:pos="4513"/>
        <w:tab w:val="right" w:pos="9026"/>
      </w:tabs>
    </w:pPr>
  </w:style>
  <w:style w:type="character" w:customStyle="1" w:styleId="HeaderChar">
    <w:name w:val="Header Char"/>
    <w:basedOn w:val="DefaultParagraphFont"/>
    <w:link w:val="Header"/>
    <w:uiPriority w:val="99"/>
    <w:rsid w:val="000C26CD"/>
    <w:rPr>
      <w:rFonts w:ascii="Arial" w:eastAsia="Arial" w:hAnsi="Arial" w:cs="Arial"/>
    </w:rPr>
  </w:style>
  <w:style w:type="paragraph" w:styleId="Footer">
    <w:name w:val="footer"/>
    <w:basedOn w:val="Normal"/>
    <w:link w:val="FooterChar"/>
    <w:uiPriority w:val="99"/>
    <w:unhideWhenUsed/>
    <w:rsid w:val="000C26CD"/>
    <w:pPr>
      <w:tabs>
        <w:tab w:val="center" w:pos="4513"/>
        <w:tab w:val="right" w:pos="9026"/>
      </w:tabs>
    </w:pPr>
  </w:style>
  <w:style w:type="character" w:customStyle="1" w:styleId="FooterChar">
    <w:name w:val="Footer Char"/>
    <w:basedOn w:val="DefaultParagraphFont"/>
    <w:link w:val="Footer"/>
    <w:uiPriority w:val="99"/>
    <w:rsid w:val="000C26CD"/>
    <w:rPr>
      <w:rFonts w:ascii="Arial" w:eastAsia="Arial" w:hAnsi="Arial" w:cs="Arial"/>
    </w:rPr>
  </w:style>
  <w:style w:type="character" w:customStyle="1" w:styleId="BodyTextChar">
    <w:name w:val="Body Text Char"/>
    <w:basedOn w:val="DefaultParagraphFont"/>
    <w:link w:val="BodyText"/>
    <w:uiPriority w:val="1"/>
    <w:rsid w:val="00D9055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2737</Words>
  <Characters>13981</Characters>
  <Application>Microsoft Office Word</Application>
  <DocSecurity>0</DocSecurity>
  <Lines>285</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Medina</dc:creator>
  <cp:lastModifiedBy>PCODCS</cp:lastModifiedBy>
  <cp:revision>4</cp:revision>
  <dcterms:created xsi:type="dcterms:W3CDTF">2024-06-28T02:33:00Z</dcterms:created>
  <dcterms:modified xsi:type="dcterms:W3CDTF">2024-06-28T02:33:00Z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Acrobat PDFMaker 15 for Word</vt:lpwstr>
  </property>
  <property fmtid="{D5CDD505-2E9C-101B-9397-08002B2CF9AE}" pid="4" name="LastSaved">
    <vt:filetime>2024-05-13T00:00:00Z</vt:filetime>
  </property>
  <property fmtid="{D5CDD505-2E9C-101B-9397-08002B2CF9AE}" pid="5" name="Producer">
    <vt:lpwstr>Adobe PDF Library 15.0</vt:lpwstr>
  </property>
  <property fmtid="{D5CDD505-2E9C-101B-9397-08002B2CF9AE}" pid="6" name="SourceModified">
    <vt:lpwstr>D:20231128021354</vt:lpwstr>
  </property>
  <property fmtid="{D5CDD505-2E9C-101B-9397-08002B2CF9AE}" pid="7" name="MSIP_Label_69af8531-eb46-4968-8cb3-105d2f5ea87e_Enabled">
    <vt:lpwstr>true</vt:lpwstr>
  </property>
  <property fmtid="{D5CDD505-2E9C-101B-9397-08002B2CF9AE}" pid="8" name="MSIP_Label_69af8531-eb46-4968-8cb3-105d2f5ea87e_SetDate">
    <vt:lpwstr>2024-05-13T05:39:53Z</vt:lpwstr>
  </property>
  <property fmtid="{D5CDD505-2E9C-101B-9397-08002B2CF9AE}" pid="9" name="MSIP_Label_69af8531-eb46-4968-8cb3-105d2f5ea87e_Method">
    <vt:lpwstr>Standard</vt:lpwstr>
  </property>
  <property fmtid="{D5CDD505-2E9C-101B-9397-08002B2CF9AE}" pid="10" name="MSIP_Label_69af8531-eb46-4968-8cb3-105d2f5ea87e_Name">
    <vt:lpwstr>Official - No Marking</vt:lpwstr>
  </property>
  <property fmtid="{D5CDD505-2E9C-101B-9397-08002B2CF9AE}" pid="11" name="MSIP_Label_69af8531-eb46-4968-8cb3-105d2f5ea87e_SiteId">
    <vt:lpwstr>b46c1908-0334-4236-b978-585ee88e4199</vt:lpwstr>
  </property>
  <property fmtid="{D5CDD505-2E9C-101B-9397-08002B2CF9AE}" pid="12" name="MSIP_Label_69af8531-eb46-4968-8cb3-105d2f5ea87e_ActionId">
    <vt:lpwstr>03667827-779e-46ca-979a-f05e1c658f9d</vt:lpwstr>
  </property>
  <property fmtid="{D5CDD505-2E9C-101B-9397-08002B2CF9AE}" pid="13" name="MSIP_Label_69af8531-eb46-4968-8cb3-105d2f5ea87e_ContentBits">
    <vt:lpwstr>0</vt:lpwstr>
  </property>
</Properties>
</file>