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59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83CA02A" w14:textId="49D6586A" w:rsidR="00F10CB2" w:rsidRPr="00614227" w:rsidRDefault="00574E65">
      <w:pPr>
        <w:pStyle w:val="Billname"/>
        <w:spacing w:before="700"/>
      </w:pPr>
      <w:bookmarkStart w:id="1" w:name="_Hlk120110758"/>
      <w:bookmarkStart w:id="2" w:name="_Hlk120110862"/>
      <w:r>
        <w:t xml:space="preserve">Human Rights Commission </w:t>
      </w:r>
      <w:bookmarkEnd w:id="1"/>
      <w:r w:rsidRPr="00614227">
        <w:t>(Public Servant</w:t>
      </w:r>
      <w:r w:rsidR="00630DE9">
        <w:t>)</w:t>
      </w:r>
      <w:r w:rsidRPr="00614227">
        <w:t xml:space="preserve"> Process</w:t>
      </w:r>
      <w:r w:rsidR="00630DE9">
        <w:t xml:space="preserve"> </w:t>
      </w:r>
      <w:r w:rsidR="00AE5610">
        <w:t>2024</w:t>
      </w:r>
      <w:r w:rsidR="00F10CB2" w:rsidRPr="00614227">
        <w:t xml:space="preserve"> (No </w:t>
      </w:r>
      <w:r w:rsidRPr="00614227">
        <w:t>1</w:t>
      </w:r>
      <w:r w:rsidR="00F10CB2" w:rsidRPr="00614227">
        <w:t>)</w:t>
      </w:r>
    </w:p>
    <w:bookmarkEnd w:id="2"/>
    <w:p w14:paraId="68D91969" w14:textId="4330D66D" w:rsidR="00F10CB2" w:rsidRPr="00614227" w:rsidRDefault="00F10CB2" w:rsidP="00D47F13">
      <w:pPr>
        <w:spacing w:before="340"/>
        <w:rPr>
          <w:rFonts w:ascii="Arial" w:hAnsi="Arial" w:cs="Arial"/>
          <w:b/>
          <w:bCs/>
        </w:rPr>
      </w:pPr>
      <w:r w:rsidRPr="00614227">
        <w:rPr>
          <w:rFonts w:ascii="Arial" w:hAnsi="Arial" w:cs="Arial"/>
          <w:b/>
          <w:bCs/>
        </w:rPr>
        <w:t>Disallowable instrument DI</w:t>
      </w:r>
      <w:r w:rsidR="00AE5610">
        <w:rPr>
          <w:rFonts w:ascii="Arial" w:hAnsi="Arial" w:cs="Arial"/>
          <w:b/>
          <w:bCs/>
          <w:iCs/>
        </w:rPr>
        <w:t>2024</w:t>
      </w:r>
      <w:r w:rsidRPr="00614227">
        <w:rPr>
          <w:rFonts w:ascii="Arial" w:hAnsi="Arial" w:cs="Arial"/>
          <w:b/>
          <w:bCs/>
        </w:rPr>
        <w:t>–</w:t>
      </w:r>
      <w:r w:rsidR="00ED69A9">
        <w:rPr>
          <w:rFonts w:ascii="Arial" w:hAnsi="Arial" w:cs="Arial"/>
          <w:b/>
          <w:bCs/>
        </w:rPr>
        <w:t>24</w:t>
      </w:r>
    </w:p>
    <w:p w14:paraId="6BB0CD26" w14:textId="77777777" w:rsidR="00F10CB2" w:rsidRPr="00614227" w:rsidRDefault="00F10CB2" w:rsidP="00CD4E55">
      <w:pPr>
        <w:pStyle w:val="madeunder"/>
        <w:spacing w:before="300" w:after="0"/>
      </w:pPr>
      <w:r w:rsidRPr="00614227">
        <w:t xml:space="preserve">made under the  </w:t>
      </w:r>
    </w:p>
    <w:p w14:paraId="78BB1C3E" w14:textId="0791F5E5" w:rsidR="00F10CB2" w:rsidRPr="00614227" w:rsidRDefault="00574E65" w:rsidP="00CD4E55">
      <w:pPr>
        <w:pStyle w:val="CoverActName"/>
        <w:spacing w:before="320" w:after="0"/>
        <w:rPr>
          <w:rFonts w:cs="Arial"/>
          <w:sz w:val="20"/>
        </w:rPr>
      </w:pPr>
      <w:bookmarkStart w:id="3" w:name="_Hlk154131342"/>
      <w:r w:rsidRPr="00614227">
        <w:rPr>
          <w:rFonts w:cs="Arial"/>
          <w:i/>
          <w:iCs/>
          <w:sz w:val="20"/>
        </w:rPr>
        <w:t>Human Rights Commission Act 2005</w:t>
      </w:r>
      <w:r w:rsidR="00F10CB2" w:rsidRPr="00614227">
        <w:rPr>
          <w:rFonts w:cs="Arial"/>
          <w:sz w:val="20"/>
        </w:rPr>
        <w:t xml:space="preserve">, </w:t>
      </w:r>
      <w:r w:rsidRPr="00614227">
        <w:rPr>
          <w:rFonts w:cs="Arial"/>
          <w:sz w:val="20"/>
        </w:rPr>
        <w:t xml:space="preserve">section 94D (Code of </w:t>
      </w:r>
      <w:r w:rsidR="0091734E">
        <w:rPr>
          <w:rFonts w:cs="Arial"/>
          <w:sz w:val="20"/>
        </w:rPr>
        <w:t>c</w:t>
      </w:r>
      <w:r w:rsidR="0091734E" w:rsidRPr="00614227">
        <w:rPr>
          <w:rFonts w:cs="Arial"/>
          <w:sz w:val="20"/>
        </w:rPr>
        <w:t xml:space="preserve">onduct </w:t>
      </w:r>
      <w:r w:rsidRPr="00614227">
        <w:rPr>
          <w:rFonts w:cs="Arial"/>
          <w:sz w:val="20"/>
        </w:rPr>
        <w:t>breach by public servants)</w:t>
      </w:r>
    </w:p>
    <w:bookmarkEnd w:id="3"/>
    <w:p w14:paraId="3D377707" w14:textId="77777777" w:rsidR="00F10CB2" w:rsidRPr="00614227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3DE0ECE" w14:textId="77777777" w:rsidR="00F10CB2" w:rsidRPr="00614227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EA9E59" w14:textId="77777777" w:rsidR="00F10CB2" w:rsidRPr="00614227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14227">
        <w:rPr>
          <w:rFonts w:ascii="Arial" w:hAnsi="Arial" w:cs="Arial"/>
          <w:b/>
          <w:bCs/>
        </w:rPr>
        <w:t>1</w:t>
      </w:r>
      <w:r w:rsidRPr="00614227">
        <w:rPr>
          <w:rFonts w:ascii="Arial" w:hAnsi="Arial" w:cs="Arial"/>
          <w:b/>
          <w:bCs/>
        </w:rPr>
        <w:tab/>
        <w:t>Name of instrument</w:t>
      </w:r>
    </w:p>
    <w:p w14:paraId="6BC987EF" w14:textId="77B705E8" w:rsidR="00F10CB2" w:rsidRPr="00614227" w:rsidRDefault="00F10CB2" w:rsidP="00D47F13">
      <w:pPr>
        <w:spacing w:before="140"/>
        <w:ind w:left="720"/>
      </w:pPr>
      <w:r w:rsidRPr="00614227">
        <w:t xml:space="preserve">This instrument is the </w:t>
      </w:r>
      <w:r w:rsidR="00574E65" w:rsidRPr="00614227">
        <w:rPr>
          <w:i/>
          <w:iCs/>
        </w:rPr>
        <w:t>Human Rights Commission (Public Servant</w:t>
      </w:r>
      <w:r w:rsidR="00630DE9">
        <w:rPr>
          <w:i/>
          <w:iCs/>
        </w:rPr>
        <w:t>)</w:t>
      </w:r>
      <w:r w:rsidR="00574E65" w:rsidRPr="00614227">
        <w:rPr>
          <w:i/>
          <w:iCs/>
        </w:rPr>
        <w:t xml:space="preserve"> Process 202</w:t>
      </w:r>
      <w:r w:rsidR="00344551">
        <w:rPr>
          <w:i/>
          <w:iCs/>
        </w:rPr>
        <w:t>4</w:t>
      </w:r>
      <w:r w:rsidR="00574E65" w:rsidRPr="00614227">
        <w:rPr>
          <w:i/>
          <w:iCs/>
        </w:rPr>
        <w:t xml:space="preserve"> (No 1).</w:t>
      </w:r>
    </w:p>
    <w:p w14:paraId="2D70C03B" w14:textId="77777777" w:rsidR="00F10CB2" w:rsidRPr="00614227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614227">
        <w:rPr>
          <w:rFonts w:ascii="Arial" w:hAnsi="Arial" w:cs="Arial"/>
          <w:b/>
          <w:bCs/>
        </w:rPr>
        <w:t>2</w:t>
      </w:r>
      <w:r w:rsidRPr="00614227">
        <w:rPr>
          <w:rFonts w:ascii="Arial" w:hAnsi="Arial" w:cs="Arial"/>
          <w:b/>
          <w:bCs/>
        </w:rPr>
        <w:tab/>
        <w:t xml:space="preserve">Commencement </w:t>
      </w:r>
    </w:p>
    <w:p w14:paraId="598B5A32" w14:textId="70A158C3" w:rsidR="00F10CB2" w:rsidRPr="00614227" w:rsidRDefault="00F10CB2" w:rsidP="00D47F13">
      <w:pPr>
        <w:spacing w:before="140"/>
        <w:ind w:left="720"/>
      </w:pPr>
      <w:r w:rsidRPr="00614227">
        <w:t xml:space="preserve">This instrument commences on </w:t>
      </w:r>
      <w:r w:rsidR="00344551">
        <w:t xml:space="preserve">the </w:t>
      </w:r>
      <w:r w:rsidR="0091734E">
        <w:t>day after it is notified</w:t>
      </w:r>
      <w:r w:rsidR="00344551">
        <w:t>.</w:t>
      </w:r>
      <w:r w:rsidRPr="00614227">
        <w:t xml:space="preserve"> </w:t>
      </w:r>
    </w:p>
    <w:p w14:paraId="521003EF" w14:textId="791722EB" w:rsidR="00F10CB2" w:rsidRPr="00614227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614227">
        <w:rPr>
          <w:rFonts w:ascii="Arial" w:hAnsi="Arial" w:cs="Arial"/>
          <w:b/>
          <w:bCs/>
        </w:rPr>
        <w:t>3</w:t>
      </w:r>
      <w:r w:rsidRPr="00614227">
        <w:rPr>
          <w:rFonts w:ascii="Arial" w:hAnsi="Arial" w:cs="Arial"/>
          <w:b/>
          <w:bCs/>
        </w:rPr>
        <w:tab/>
      </w:r>
      <w:r w:rsidR="00675595" w:rsidRPr="00614227">
        <w:rPr>
          <w:rFonts w:ascii="Arial" w:hAnsi="Arial" w:cs="Arial"/>
          <w:b/>
          <w:bCs/>
        </w:rPr>
        <w:t>Determination</w:t>
      </w:r>
    </w:p>
    <w:p w14:paraId="4B73C483" w14:textId="35798BC5" w:rsidR="00F10CB2" w:rsidRDefault="00630DE9" w:rsidP="009419E4">
      <w:pPr>
        <w:spacing w:before="140"/>
        <w:ind w:left="720"/>
      </w:pPr>
      <w:r>
        <w:t>The Executive determines t</w:t>
      </w:r>
      <w:r w:rsidR="00675595" w:rsidRPr="00614227">
        <w:t xml:space="preserve">he process set out in </w:t>
      </w:r>
      <w:r w:rsidR="0091734E">
        <w:t>the s</w:t>
      </w:r>
      <w:r w:rsidR="00675595" w:rsidRPr="00614227">
        <w:t xml:space="preserve">chedule </w:t>
      </w:r>
      <w:r>
        <w:t>for code of conduct breaches for public servants</w:t>
      </w:r>
      <w:r w:rsidR="00675595" w:rsidRPr="00614227">
        <w:t xml:space="preserve">. </w:t>
      </w:r>
    </w:p>
    <w:p w14:paraId="225FDC2E" w14:textId="77777777" w:rsidR="009268DA" w:rsidRDefault="009268DA" w:rsidP="00D47F13">
      <w:pPr>
        <w:tabs>
          <w:tab w:val="left" w:pos="4320"/>
        </w:tabs>
      </w:pPr>
    </w:p>
    <w:p w14:paraId="5487D7D6" w14:textId="77777777" w:rsidR="00630DE9" w:rsidRDefault="00630DE9" w:rsidP="00D47F13">
      <w:pPr>
        <w:tabs>
          <w:tab w:val="left" w:pos="4320"/>
        </w:tabs>
      </w:pPr>
    </w:p>
    <w:p w14:paraId="762C2D11" w14:textId="77777777" w:rsidR="00630DE9" w:rsidRDefault="00630DE9" w:rsidP="00D47F13">
      <w:pPr>
        <w:tabs>
          <w:tab w:val="left" w:pos="4320"/>
        </w:tabs>
      </w:pPr>
    </w:p>
    <w:p w14:paraId="176F9DC3" w14:textId="2F01E147" w:rsidR="009268DA" w:rsidRDefault="009268DA" w:rsidP="00D47F13">
      <w:pPr>
        <w:tabs>
          <w:tab w:val="left" w:pos="4320"/>
        </w:tabs>
      </w:pPr>
      <w:r w:rsidRPr="009268DA">
        <w:t xml:space="preserve">Tara Cheyne MLA </w:t>
      </w:r>
      <w:r>
        <w:t xml:space="preserve"> </w:t>
      </w:r>
    </w:p>
    <w:p w14:paraId="2F9A91D9" w14:textId="589A0A6E" w:rsidR="009268DA" w:rsidRDefault="009268DA" w:rsidP="00D47F13">
      <w:pPr>
        <w:tabs>
          <w:tab w:val="left" w:pos="4320"/>
        </w:tabs>
      </w:pPr>
      <w:r>
        <w:t>Minister for Human Rights</w:t>
      </w:r>
    </w:p>
    <w:p w14:paraId="528F41AB" w14:textId="77777777" w:rsidR="009268DA" w:rsidRDefault="009268DA" w:rsidP="00D47F13">
      <w:pPr>
        <w:tabs>
          <w:tab w:val="left" w:pos="4320"/>
        </w:tabs>
      </w:pPr>
    </w:p>
    <w:p w14:paraId="04AA209F" w14:textId="77777777" w:rsidR="00630DE9" w:rsidRDefault="00630DE9" w:rsidP="00D47F13">
      <w:pPr>
        <w:tabs>
          <w:tab w:val="left" w:pos="4320"/>
        </w:tabs>
      </w:pPr>
    </w:p>
    <w:p w14:paraId="1A5F6682" w14:textId="77777777" w:rsidR="00630DE9" w:rsidRDefault="00630DE9" w:rsidP="00D47F13">
      <w:pPr>
        <w:tabs>
          <w:tab w:val="left" w:pos="4320"/>
        </w:tabs>
      </w:pPr>
    </w:p>
    <w:p w14:paraId="4E0E4535" w14:textId="0D7CA40C" w:rsidR="00630DE9" w:rsidRDefault="00630DE9" w:rsidP="00D47F13">
      <w:pPr>
        <w:tabs>
          <w:tab w:val="left" w:pos="4320"/>
        </w:tabs>
      </w:pPr>
      <w:r>
        <w:t>Andrew Barr MLA</w:t>
      </w:r>
    </w:p>
    <w:p w14:paraId="72DB1522" w14:textId="54BC4A2A" w:rsidR="00630DE9" w:rsidRPr="00614227" w:rsidRDefault="00630DE9" w:rsidP="00D47F13">
      <w:pPr>
        <w:tabs>
          <w:tab w:val="left" w:pos="4320"/>
        </w:tabs>
      </w:pPr>
      <w:r>
        <w:t>Chief Minister</w:t>
      </w:r>
    </w:p>
    <w:bookmarkEnd w:id="0"/>
    <w:p w14:paraId="4432A5E9" w14:textId="77777777" w:rsidR="00ED69A9" w:rsidRDefault="00ED69A9"/>
    <w:p w14:paraId="20E48194" w14:textId="1D868AC1" w:rsidR="00675595" w:rsidRPr="00614227" w:rsidRDefault="00ED69A9">
      <w:r>
        <w:t>16 February 2024</w:t>
      </w:r>
      <w:r w:rsidR="00675595" w:rsidRPr="00614227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75595" w:rsidRPr="00614227" w14:paraId="41DEB171" w14:textId="77777777" w:rsidTr="00675595">
        <w:tc>
          <w:tcPr>
            <w:tcW w:w="8523" w:type="dxa"/>
            <w:shd w:val="clear" w:color="auto" w:fill="D9D9D9" w:themeFill="background1" w:themeFillShade="D9"/>
          </w:tcPr>
          <w:p w14:paraId="0FFEED35" w14:textId="40637441" w:rsidR="00675595" w:rsidRPr="00614227" w:rsidRDefault="00675595" w:rsidP="00675595">
            <w:pPr>
              <w:spacing w:before="120" w:after="120"/>
              <w:jc w:val="both"/>
              <w:rPr>
                <w:b/>
                <w:bCs/>
                <w:sz w:val="21"/>
                <w:szCs w:val="21"/>
              </w:rPr>
            </w:pPr>
            <w:r w:rsidRPr="00614227">
              <w:rPr>
                <w:rFonts w:ascii="Arial" w:hAnsi="Arial" w:cs="Arial"/>
                <w:b/>
                <w:bCs/>
              </w:rPr>
              <w:lastRenderedPageBreak/>
              <w:t>SCHEDULE</w:t>
            </w:r>
          </w:p>
        </w:tc>
      </w:tr>
    </w:tbl>
    <w:p w14:paraId="3BE134F9" w14:textId="77777777" w:rsidR="00675595" w:rsidRPr="00CF268E" w:rsidRDefault="00675595" w:rsidP="00675595">
      <w:pPr>
        <w:spacing w:before="300"/>
        <w:ind w:left="720" w:hanging="720"/>
        <w:rPr>
          <w:rFonts w:cs="Arial"/>
          <w:bCs/>
        </w:rPr>
      </w:pPr>
      <w:bookmarkStart w:id="4" w:name="_Hlk120265841"/>
      <w:r w:rsidRPr="00614227">
        <w:rPr>
          <w:rFonts w:ascii="Arial" w:hAnsi="Arial" w:cs="Arial"/>
          <w:b/>
          <w:bCs/>
        </w:rPr>
        <w:t>1</w:t>
      </w:r>
      <w:r w:rsidRPr="00614227">
        <w:rPr>
          <w:rFonts w:ascii="Arial" w:hAnsi="Arial" w:cs="Arial"/>
          <w:b/>
          <w:bCs/>
        </w:rPr>
        <w:tab/>
      </w:r>
      <w:r w:rsidRPr="00CF268E">
        <w:rPr>
          <w:rFonts w:ascii="Arial" w:hAnsi="Arial" w:cs="Arial"/>
          <w:b/>
          <w:bCs/>
        </w:rPr>
        <w:t xml:space="preserve">Sharing of Relevant Information </w:t>
      </w:r>
    </w:p>
    <w:bookmarkEnd w:id="4"/>
    <w:p w14:paraId="580C6465" w14:textId="5CDAECC8" w:rsidR="00675595" w:rsidRPr="00CF268E" w:rsidRDefault="00675595" w:rsidP="00675595">
      <w:pPr>
        <w:spacing w:before="300"/>
        <w:ind w:left="720" w:hanging="11"/>
        <w:rPr>
          <w:rFonts w:ascii="Times" w:hAnsi="Times" w:cs="Times"/>
          <w:b/>
          <w:bCs/>
          <w:szCs w:val="24"/>
        </w:rPr>
      </w:pPr>
      <w:r w:rsidRPr="00CF268E">
        <w:rPr>
          <w:rFonts w:ascii="Times" w:hAnsi="Times" w:cs="Times"/>
          <w:szCs w:val="24"/>
        </w:rPr>
        <w:t xml:space="preserve">The </w:t>
      </w:r>
      <w:r w:rsidR="00024A6E" w:rsidRPr="00CF268E">
        <w:rPr>
          <w:rFonts w:ascii="Times" w:hAnsi="Times" w:cs="Times"/>
          <w:szCs w:val="24"/>
        </w:rPr>
        <w:t>commission</w:t>
      </w:r>
      <w:r w:rsidRPr="00CF268E">
        <w:rPr>
          <w:rFonts w:ascii="Times" w:hAnsi="Times" w:cs="Times"/>
          <w:szCs w:val="24"/>
        </w:rPr>
        <w:t xml:space="preserve"> must</w:t>
      </w:r>
      <w:r w:rsidR="00F14C52" w:rsidRPr="00CF268E">
        <w:rPr>
          <w:rFonts w:ascii="Times" w:hAnsi="Times" w:cs="Times"/>
          <w:szCs w:val="24"/>
        </w:rPr>
        <w:t>,</w:t>
      </w:r>
      <w:r w:rsidRPr="00CF268E">
        <w:rPr>
          <w:rFonts w:ascii="Times" w:hAnsi="Times" w:cs="Times"/>
          <w:szCs w:val="24"/>
        </w:rPr>
        <w:t xml:space="preserve"> in relation to any complaint, unless otherwise specified in a relationship protocol: </w:t>
      </w:r>
    </w:p>
    <w:p w14:paraId="6E744F54" w14:textId="56503162" w:rsidR="00675595" w:rsidRPr="00CF268E" w:rsidRDefault="00675595" w:rsidP="00675595">
      <w:pPr>
        <w:pStyle w:val="ListParagraph"/>
        <w:numPr>
          <w:ilvl w:val="0"/>
          <w:numId w:val="11"/>
        </w:numPr>
        <w:spacing w:before="240"/>
        <w:ind w:left="1276" w:hanging="567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>provide a copy of relevant information to the relevant information sharing entity; and</w:t>
      </w:r>
    </w:p>
    <w:p w14:paraId="7F144525" w14:textId="72E7CF75" w:rsidR="00675595" w:rsidRPr="00CF268E" w:rsidRDefault="00675595" w:rsidP="00675595">
      <w:pPr>
        <w:pStyle w:val="ListParagraph"/>
        <w:numPr>
          <w:ilvl w:val="0"/>
          <w:numId w:val="11"/>
        </w:numPr>
        <w:spacing w:before="240"/>
        <w:ind w:left="1276" w:hanging="567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>consult with the relevant information sharing entity of the person subject to the complaint in relation to the appropriate process for handling the complaint including:</w:t>
      </w:r>
    </w:p>
    <w:p w14:paraId="47AD918E" w14:textId="1AC52005" w:rsidR="00675595" w:rsidRPr="00CF268E" w:rsidRDefault="00675595" w:rsidP="00675595">
      <w:pPr>
        <w:pStyle w:val="ListParagraph"/>
        <w:numPr>
          <w:ilvl w:val="0"/>
          <w:numId w:val="18"/>
        </w:numPr>
        <w:ind w:left="2127" w:hanging="851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>the process for undertaking any preliminary assessment of inappropriate behaviour or alleged misconduct by the manager or supervisor; and</w:t>
      </w:r>
    </w:p>
    <w:p w14:paraId="68B5CAD4" w14:textId="146F4B46" w:rsidR="00675595" w:rsidRPr="00CF268E" w:rsidRDefault="00675595" w:rsidP="00675595">
      <w:pPr>
        <w:pStyle w:val="ListParagraph"/>
        <w:numPr>
          <w:ilvl w:val="0"/>
          <w:numId w:val="18"/>
        </w:numPr>
        <w:spacing w:before="240"/>
        <w:ind w:left="2127" w:hanging="851"/>
        <w:contextualSpacing w:val="0"/>
        <w:jc w:val="both"/>
        <w:rPr>
          <w:rFonts w:ascii="Times" w:hAnsi="Times" w:cs="Times"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 xml:space="preserve">any proposal of the commission to </w:t>
      </w:r>
      <w:r w:rsidR="00F91ED8" w:rsidRPr="00CF268E">
        <w:rPr>
          <w:rFonts w:ascii="Times" w:hAnsi="Times" w:cs="Times"/>
          <w:sz w:val="24"/>
          <w:szCs w:val="24"/>
        </w:rPr>
        <w:t xml:space="preserve">progress the </w:t>
      </w:r>
      <w:r w:rsidRPr="00CF268E">
        <w:rPr>
          <w:rFonts w:ascii="Times" w:hAnsi="Times" w:cs="Times"/>
          <w:sz w:val="24"/>
          <w:szCs w:val="24"/>
        </w:rPr>
        <w:t>complaint.</w:t>
      </w:r>
    </w:p>
    <w:p w14:paraId="783D7ACD" w14:textId="0AA820BE" w:rsidR="00675595" w:rsidRPr="00CF268E" w:rsidRDefault="00675595" w:rsidP="00675595">
      <w:pPr>
        <w:spacing w:before="300"/>
        <w:ind w:left="720" w:hanging="720"/>
        <w:rPr>
          <w:rFonts w:ascii="Arial" w:hAnsi="Arial" w:cs="Arial"/>
          <w:b/>
          <w:bCs/>
        </w:rPr>
      </w:pPr>
      <w:r w:rsidRPr="00CF268E">
        <w:rPr>
          <w:rFonts w:ascii="Arial" w:hAnsi="Arial" w:cs="Arial"/>
          <w:b/>
          <w:bCs/>
        </w:rPr>
        <w:t>2</w:t>
      </w:r>
      <w:r w:rsidRPr="00CF268E">
        <w:rPr>
          <w:rFonts w:ascii="Arial" w:hAnsi="Arial" w:cs="Arial"/>
          <w:b/>
          <w:bCs/>
        </w:rPr>
        <w:tab/>
        <w:t xml:space="preserve">Limitation on issuing final orders </w:t>
      </w:r>
    </w:p>
    <w:p w14:paraId="2133037B" w14:textId="4BD97094" w:rsidR="00675595" w:rsidRPr="00CF268E" w:rsidRDefault="00675595" w:rsidP="00675595">
      <w:pPr>
        <w:pStyle w:val="ListParagraph"/>
        <w:spacing w:before="240"/>
        <w:contextualSpacing w:val="0"/>
        <w:jc w:val="both"/>
        <w:rPr>
          <w:rFonts w:ascii="Times" w:hAnsi="Times" w:cs="Times"/>
          <w:b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 xml:space="preserve">Unless otherwise agreed by the public sector standards commissioner, a final order must not be issued in relation to a complaint until the process for preliminary assessment and investigation (if any) of any alleged inappropriate behaviour or misconduct under </w:t>
      </w:r>
      <w:r w:rsidR="00030F32" w:rsidRPr="00CF268E">
        <w:rPr>
          <w:rFonts w:ascii="Times" w:hAnsi="Times" w:cs="Times"/>
          <w:sz w:val="24"/>
          <w:szCs w:val="24"/>
        </w:rPr>
        <w:t xml:space="preserve">the </w:t>
      </w:r>
      <w:r w:rsidRPr="00CF268E">
        <w:rPr>
          <w:rFonts w:ascii="Times" w:hAnsi="Times" w:cs="Times"/>
          <w:sz w:val="24"/>
          <w:szCs w:val="24"/>
        </w:rPr>
        <w:t xml:space="preserve">relevant enterprise agreement and the </w:t>
      </w:r>
      <w:r w:rsidRPr="00CF268E">
        <w:rPr>
          <w:rFonts w:ascii="Times" w:hAnsi="Times" w:cs="Times"/>
          <w:i/>
          <w:iCs/>
          <w:sz w:val="24"/>
          <w:szCs w:val="24"/>
        </w:rPr>
        <w:t>Public Sector Management Act 1994</w:t>
      </w:r>
      <w:r w:rsidRPr="00CF268E">
        <w:rPr>
          <w:rFonts w:ascii="Times" w:hAnsi="Times" w:cs="Times"/>
          <w:sz w:val="24"/>
          <w:szCs w:val="24"/>
        </w:rPr>
        <w:t xml:space="preserve"> is complete. </w:t>
      </w:r>
    </w:p>
    <w:p w14:paraId="2EDDBE82" w14:textId="1B885362" w:rsidR="00675595" w:rsidRPr="00CF268E" w:rsidRDefault="00675595" w:rsidP="00675595">
      <w:pPr>
        <w:spacing w:before="300"/>
        <w:ind w:left="720" w:hanging="720"/>
        <w:rPr>
          <w:rFonts w:ascii="Arial" w:hAnsi="Arial" w:cs="Arial"/>
          <w:b/>
          <w:bCs/>
        </w:rPr>
      </w:pPr>
      <w:r w:rsidRPr="00CF268E">
        <w:rPr>
          <w:rFonts w:ascii="Arial" w:hAnsi="Arial" w:cs="Arial"/>
          <w:b/>
          <w:bCs/>
        </w:rPr>
        <w:t>3</w:t>
      </w:r>
      <w:r w:rsidRPr="00CF268E">
        <w:rPr>
          <w:rFonts w:ascii="Arial" w:hAnsi="Arial" w:cs="Arial"/>
          <w:b/>
          <w:bCs/>
        </w:rPr>
        <w:tab/>
        <w:t xml:space="preserve">No limitation on interim orders </w:t>
      </w:r>
    </w:p>
    <w:p w14:paraId="360D670A" w14:textId="1BCAD70C" w:rsidR="00675595" w:rsidRPr="00CF268E" w:rsidRDefault="00675595" w:rsidP="00675595">
      <w:pPr>
        <w:pStyle w:val="ListParagraph"/>
        <w:numPr>
          <w:ilvl w:val="0"/>
          <w:numId w:val="12"/>
        </w:numPr>
        <w:spacing w:before="240"/>
        <w:ind w:hanging="578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>This instrument is not intended to limit any power or function of the</w:t>
      </w:r>
      <w:r w:rsidR="003678C7" w:rsidRPr="00CF268E">
        <w:rPr>
          <w:rFonts w:ascii="Times" w:hAnsi="Times" w:cs="Times"/>
          <w:sz w:val="24"/>
          <w:szCs w:val="24"/>
        </w:rPr>
        <w:t xml:space="preserve"> commission </w:t>
      </w:r>
      <w:r w:rsidRPr="00CF268E">
        <w:rPr>
          <w:rFonts w:ascii="Times" w:hAnsi="Times" w:cs="Times"/>
          <w:sz w:val="24"/>
          <w:szCs w:val="24"/>
        </w:rPr>
        <w:t xml:space="preserve">in relation to any interim order or public statement. </w:t>
      </w:r>
    </w:p>
    <w:p w14:paraId="048C69B1" w14:textId="7FC1C0D4" w:rsidR="00675595" w:rsidRPr="00CF268E" w:rsidRDefault="003865F7" w:rsidP="00675595">
      <w:pPr>
        <w:pStyle w:val="ListParagraph"/>
        <w:numPr>
          <w:ilvl w:val="0"/>
          <w:numId w:val="12"/>
        </w:numPr>
        <w:spacing w:before="240"/>
        <w:ind w:hanging="578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 xml:space="preserve">The </w:t>
      </w:r>
      <w:r w:rsidR="00024A6E" w:rsidRPr="00CF268E">
        <w:rPr>
          <w:rFonts w:ascii="Times" w:hAnsi="Times" w:cs="Times"/>
          <w:sz w:val="24"/>
          <w:szCs w:val="24"/>
        </w:rPr>
        <w:t>commission</w:t>
      </w:r>
      <w:r w:rsidRPr="00CF268E">
        <w:rPr>
          <w:rFonts w:ascii="Times" w:hAnsi="Times" w:cs="Times"/>
          <w:sz w:val="24"/>
          <w:szCs w:val="24"/>
        </w:rPr>
        <w:t xml:space="preserve"> may extend an interim order for the period of time required by </w:t>
      </w:r>
      <w:r w:rsidR="00675595" w:rsidRPr="00CF268E">
        <w:rPr>
          <w:rFonts w:ascii="Times" w:hAnsi="Times" w:cs="Times"/>
          <w:sz w:val="24"/>
          <w:szCs w:val="24"/>
        </w:rPr>
        <w:t>the public sector standards commissioner to complete the consideration of the complaint.</w:t>
      </w:r>
    </w:p>
    <w:p w14:paraId="305E6FBB" w14:textId="0F69718E" w:rsidR="00675595" w:rsidRPr="00CF268E" w:rsidRDefault="00675595" w:rsidP="00675595">
      <w:pPr>
        <w:spacing w:before="240"/>
        <w:ind w:left="142"/>
        <w:jc w:val="both"/>
        <w:rPr>
          <w:rFonts w:ascii="Times" w:hAnsi="Times" w:cs="Times"/>
          <w:b/>
          <w:bCs/>
          <w:szCs w:val="24"/>
        </w:rPr>
      </w:pPr>
      <w:r w:rsidRPr="00CF268E">
        <w:rPr>
          <w:rFonts w:ascii="Arial" w:hAnsi="Arial" w:cs="Arial"/>
          <w:b/>
          <w:bCs/>
        </w:rPr>
        <w:t>4</w:t>
      </w:r>
      <w:r w:rsidRPr="00CF268E">
        <w:rPr>
          <w:rFonts w:ascii="Arial" w:hAnsi="Arial" w:cs="Arial"/>
          <w:b/>
          <w:bCs/>
        </w:rPr>
        <w:tab/>
        <w:t>Relationship protocol</w:t>
      </w:r>
    </w:p>
    <w:p w14:paraId="0C876200" w14:textId="594D09F5" w:rsidR="00675595" w:rsidRPr="00CF268E" w:rsidRDefault="00675595" w:rsidP="00675595">
      <w:pPr>
        <w:pStyle w:val="ListParagraph"/>
        <w:numPr>
          <w:ilvl w:val="0"/>
          <w:numId w:val="20"/>
        </w:numPr>
        <w:spacing w:before="240"/>
        <w:ind w:hanging="578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>The</w:t>
      </w:r>
      <w:r w:rsidR="000C7EFB" w:rsidRPr="00CF268E">
        <w:rPr>
          <w:rFonts w:ascii="Times" w:hAnsi="Times" w:cs="Times"/>
          <w:sz w:val="24"/>
          <w:szCs w:val="24"/>
        </w:rPr>
        <w:t xml:space="preserve"> </w:t>
      </w:r>
      <w:r w:rsidR="000C72F2" w:rsidRPr="00CF268E">
        <w:rPr>
          <w:rFonts w:ascii="Times" w:hAnsi="Times" w:cs="Times"/>
          <w:sz w:val="24"/>
          <w:szCs w:val="24"/>
        </w:rPr>
        <w:t>commission</w:t>
      </w:r>
      <w:r w:rsidRPr="00CF268E">
        <w:rPr>
          <w:rFonts w:ascii="Times" w:hAnsi="Times" w:cs="Times"/>
          <w:sz w:val="24"/>
          <w:szCs w:val="24"/>
        </w:rPr>
        <w:t xml:space="preserve"> and the public sector standards commissioner may</w:t>
      </w:r>
      <w:r w:rsidR="00030F32" w:rsidRPr="00CF268E">
        <w:rPr>
          <w:rFonts w:ascii="Times" w:hAnsi="Times" w:cs="Times"/>
          <w:sz w:val="24"/>
          <w:szCs w:val="24"/>
        </w:rPr>
        <w:t>,</w:t>
      </w:r>
      <w:r w:rsidRPr="00CF268E">
        <w:rPr>
          <w:rFonts w:ascii="Times" w:hAnsi="Times" w:cs="Times"/>
          <w:sz w:val="24"/>
          <w:szCs w:val="24"/>
        </w:rPr>
        <w:t xml:space="preserve"> </w:t>
      </w:r>
      <w:r w:rsidR="00CA0D11" w:rsidRPr="00CF268E">
        <w:rPr>
          <w:rFonts w:ascii="Times" w:hAnsi="Times" w:cs="Times"/>
          <w:sz w:val="24"/>
          <w:szCs w:val="24"/>
        </w:rPr>
        <w:t>by agreement</w:t>
      </w:r>
      <w:r w:rsidR="00030F32" w:rsidRPr="00CF268E">
        <w:rPr>
          <w:rFonts w:ascii="Times" w:hAnsi="Times" w:cs="Times"/>
          <w:sz w:val="24"/>
          <w:szCs w:val="24"/>
        </w:rPr>
        <w:t>,</w:t>
      </w:r>
      <w:r w:rsidR="00CA0D11" w:rsidRPr="00CF268E">
        <w:rPr>
          <w:rFonts w:ascii="Times" w:hAnsi="Times" w:cs="Times"/>
          <w:sz w:val="24"/>
          <w:szCs w:val="24"/>
        </w:rPr>
        <w:t xml:space="preserve"> </w:t>
      </w:r>
      <w:r w:rsidRPr="00CF268E">
        <w:rPr>
          <w:rFonts w:ascii="Times" w:hAnsi="Times" w:cs="Times"/>
          <w:sz w:val="24"/>
          <w:szCs w:val="24"/>
        </w:rPr>
        <w:t xml:space="preserve">establish a relationship protocol to </w:t>
      </w:r>
      <w:bookmarkStart w:id="5" w:name="_Hlk108021487"/>
      <w:r w:rsidRPr="00CF268E">
        <w:rPr>
          <w:rFonts w:ascii="Times" w:hAnsi="Times" w:cs="Times"/>
          <w:sz w:val="24"/>
          <w:szCs w:val="24"/>
        </w:rPr>
        <w:t>assist in:</w:t>
      </w:r>
    </w:p>
    <w:p w14:paraId="40C74EF9" w14:textId="77777777" w:rsidR="00675595" w:rsidRPr="00CF268E" w:rsidRDefault="00675595" w:rsidP="00675595">
      <w:pPr>
        <w:pStyle w:val="ListParagraph"/>
        <w:numPr>
          <w:ilvl w:val="0"/>
          <w:numId w:val="13"/>
        </w:numPr>
        <w:spacing w:before="240"/>
        <w:ind w:left="1276" w:hanging="567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>avoiding delay and unnecessary duplication of the statutory functions of each office holder; or</w:t>
      </w:r>
    </w:p>
    <w:p w14:paraId="392D9068" w14:textId="415D2EF6" w:rsidR="00675595" w:rsidRPr="00CF268E" w:rsidRDefault="00675595" w:rsidP="00675595">
      <w:pPr>
        <w:pStyle w:val="ListParagraph"/>
        <w:numPr>
          <w:ilvl w:val="0"/>
          <w:numId w:val="13"/>
        </w:numPr>
        <w:spacing w:before="240"/>
        <w:ind w:left="1276" w:hanging="567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>efficiently mana</w:t>
      </w:r>
      <w:r w:rsidR="00030F32" w:rsidRPr="00CF268E">
        <w:rPr>
          <w:rFonts w:ascii="Times" w:hAnsi="Times" w:cs="Times"/>
          <w:sz w:val="24"/>
          <w:szCs w:val="24"/>
        </w:rPr>
        <w:t>g</w:t>
      </w:r>
      <w:r w:rsidR="00BC587B" w:rsidRPr="00CF268E">
        <w:rPr>
          <w:rFonts w:ascii="Times" w:hAnsi="Times" w:cs="Times"/>
          <w:sz w:val="24"/>
          <w:szCs w:val="24"/>
        </w:rPr>
        <w:t>ing</w:t>
      </w:r>
      <w:r w:rsidRPr="00CF268E">
        <w:rPr>
          <w:rFonts w:ascii="Times" w:hAnsi="Times" w:cs="Times"/>
          <w:sz w:val="24"/>
          <w:szCs w:val="24"/>
        </w:rPr>
        <w:t xml:space="preserve"> the interaction of the statutory functions of each office holder.</w:t>
      </w:r>
      <w:bookmarkEnd w:id="5"/>
    </w:p>
    <w:p w14:paraId="0CF5CFAE" w14:textId="1E787545" w:rsidR="00675595" w:rsidRPr="00CF268E" w:rsidRDefault="00675595" w:rsidP="00F91ED8">
      <w:pPr>
        <w:keepNext/>
        <w:spacing w:before="240"/>
        <w:ind w:left="142"/>
        <w:jc w:val="both"/>
        <w:rPr>
          <w:rFonts w:ascii="Arial" w:hAnsi="Arial" w:cs="Arial"/>
          <w:b/>
          <w:bCs/>
        </w:rPr>
      </w:pPr>
      <w:r w:rsidRPr="00CF268E">
        <w:rPr>
          <w:rFonts w:ascii="Arial" w:hAnsi="Arial" w:cs="Arial"/>
          <w:b/>
          <w:bCs/>
        </w:rPr>
        <w:lastRenderedPageBreak/>
        <w:t>5</w:t>
      </w:r>
      <w:r w:rsidRPr="00CF268E">
        <w:rPr>
          <w:rFonts w:ascii="Arial" w:hAnsi="Arial" w:cs="Arial"/>
          <w:b/>
          <w:bCs/>
        </w:rPr>
        <w:tab/>
        <w:t>Definitions</w:t>
      </w:r>
    </w:p>
    <w:p w14:paraId="249B7725" w14:textId="36A839CC" w:rsidR="00675595" w:rsidRPr="00CF268E" w:rsidRDefault="00675595" w:rsidP="00675595">
      <w:pPr>
        <w:pStyle w:val="ListParagraph"/>
        <w:spacing w:before="240"/>
        <w:contextualSpacing w:val="0"/>
        <w:jc w:val="both"/>
        <w:rPr>
          <w:rFonts w:ascii="Times" w:hAnsi="Times" w:cs="Times"/>
          <w:b/>
          <w:bCs/>
          <w:sz w:val="24"/>
          <w:szCs w:val="24"/>
        </w:rPr>
      </w:pPr>
      <w:r w:rsidRPr="00CF268E">
        <w:rPr>
          <w:rFonts w:ascii="Times" w:hAnsi="Times" w:cs="Times"/>
          <w:b/>
          <w:sz w:val="24"/>
          <w:szCs w:val="24"/>
        </w:rPr>
        <w:t xml:space="preserve">complaint </w:t>
      </w:r>
      <w:r w:rsidRPr="00CF268E">
        <w:rPr>
          <w:rFonts w:ascii="Times" w:hAnsi="Times" w:cs="Times"/>
          <w:bCs/>
          <w:sz w:val="24"/>
          <w:szCs w:val="24"/>
        </w:rPr>
        <w:t>a complaint under the Act, in relation to which:</w:t>
      </w:r>
    </w:p>
    <w:p w14:paraId="2118A6EE" w14:textId="01E527CF" w:rsidR="00675595" w:rsidRPr="00CF268E" w:rsidRDefault="00675595" w:rsidP="00675595">
      <w:pPr>
        <w:pStyle w:val="ListParagraph"/>
        <w:numPr>
          <w:ilvl w:val="0"/>
          <w:numId w:val="21"/>
        </w:numPr>
        <w:spacing w:before="240"/>
        <w:ind w:left="1276" w:hanging="567"/>
        <w:contextualSpacing w:val="0"/>
        <w:jc w:val="both"/>
        <w:rPr>
          <w:rFonts w:ascii="Times" w:hAnsi="Times" w:cs="Times"/>
          <w:bCs/>
          <w:sz w:val="24"/>
          <w:szCs w:val="24"/>
        </w:rPr>
      </w:pPr>
      <w:r w:rsidRPr="00CF268E">
        <w:rPr>
          <w:rFonts w:ascii="Times" w:hAnsi="Times" w:cs="Times"/>
          <w:bCs/>
          <w:sz w:val="24"/>
          <w:szCs w:val="24"/>
        </w:rPr>
        <w:t>section 94D of the Act applies;</w:t>
      </w:r>
    </w:p>
    <w:p w14:paraId="5EBF6C68" w14:textId="43A4FBD0" w:rsidR="00675595" w:rsidRPr="00CF268E" w:rsidRDefault="00675595" w:rsidP="00675595">
      <w:pPr>
        <w:pStyle w:val="ListParagraph"/>
        <w:numPr>
          <w:ilvl w:val="0"/>
          <w:numId w:val="21"/>
        </w:numPr>
        <w:ind w:left="1276" w:hanging="567"/>
        <w:contextualSpacing w:val="0"/>
        <w:jc w:val="both"/>
        <w:rPr>
          <w:rFonts w:ascii="Times" w:hAnsi="Times" w:cs="Times"/>
          <w:bCs/>
          <w:sz w:val="24"/>
          <w:szCs w:val="24"/>
        </w:rPr>
      </w:pPr>
      <w:r w:rsidRPr="00CF268E">
        <w:rPr>
          <w:rFonts w:ascii="Times" w:hAnsi="Times" w:cs="Times"/>
          <w:bCs/>
          <w:sz w:val="24"/>
          <w:szCs w:val="24"/>
        </w:rPr>
        <w:t>the health services commissioner holds relevant information; and</w:t>
      </w:r>
    </w:p>
    <w:p w14:paraId="33BCA72D" w14:textId="18E7408A" w:rsidR="00675595" w:rsidRPr="00CF268E" w:rsidRDefault="00675595" w:rsidP="00675595">
      <w:pPr>
        <w:pStyle w:val="ListParagraph"/>
        <w:numPr>
          <w:ilvl w:val="0"/>
          <w:numId w:val="21"/>
        </w:numPr>
        <w:ind w:left="1276" w:hanging="567"/>
        <w:contextualSpacing w:val="0"/>
        <w:jc w:val="both"/>
        <w:rPr>
          <w:rFonts w:ascii="Times" w:hAnsi="Times" w:cs="Times"/>
          <w:bCs/>
          <w:sz w:val="24"/>
          <w:szCs w:val="24"/>
        </w:rPr>
      </w:pPr>
      <w:r w:rsidRPr="00CF268E">
        <w:rPr>
          <w:rFonts w:ascii="Times" w:hAnsi="Times" w:cs="Times"/>
          <w:bCs/>
          <w:sz w:val="24"/>
          <w:szCs w:val="24"/>
        </w:rPr>
        <w:t xml:space="preserve">the person subject to the complaint </w:t>
      </w:r>
      <w:r w:rsidR="00BE5298" w:rsidRPr="00CF268E">
        <w:rPr>
          <w:rFonts w:ascii="Times" w:hAnsi="Times" w:cs="Times"/>
          <w:bCs/>
          <w:sz w:val="24"/>
          <w:szCs w:val="24"/>
        </w:rPr>
        <w:t xml:space="preserve">is </w:t>
      </w:r>
      <w:r w:rsidRPr="00CF268E">
        <w:rPr>
          <w:rFonts w:ascii="Times" w:hAnsi="Times" w:cs="Times"/>
          <w:bCs/>
          <w:sz w:val="24"/>
          <w:szCs w:val="24"/>
        </w:rPr>
        <w:t xml:space="preserve">employed as a public servant at the time of the relevant action. </w:t>
      </w:r>
    </w:p>
    <w:p w14:paraId="45D9F822" w14:textId="659DD202" w:rsidR="000C72F2" w:rsidRPr="00CF268E" w:rsidRDefault="00CA0D11" w:rsidP="00675595">
      <w:pPr>
        <w:pStyle w:val="ListParagraph"/>
        <w:spacing w:before="240"/>
        <w:contextualSpacing w:val="0"/>
        <w:jc w:val="both"/>
        <w:rPr>
          <w:rFonts w:ascii="Times" w:hAnsi="Times" w:cs="Times"/>
          <w:sz w:val="24"/>
          <w:szCs w:val="24"/>
        </w:rPr>
      </w:pPr>
      <w:r w:rsidRPr="00CF268E">
        <w:rPr>
          <w:rFonts w:ascii="Times" w:hAnsi="Times" w:cs="Times"/>
          <w:b/>
          <w:bCs/>
          <w:sz w:val="24"/>
          <w:szCs w:val="24"/>
        </w:rPr>
        <w:t>c</w:t>
      </w:r>
      <w:r w:rsidR="00675595" w:rsidRPr="00CF268E">
        <w:rPr>
          <w:rFonts w:ascii="Times" w:hAnsi="Times" w:cs="Times"/>
          <w:b/>
          <w:bCs/>
          <w:sz w:val="24"/>
          <w:szCs w:val="24"/>
        </w:rPr>
        <w:t>omplete</w:t>
      </w:r>
      <w:r w:rsidRPr="00CF268E">
        <w:rPr>
          <w:rFonts w:ascii="Times" w:hAnsi="Times" w:cs="Times"/>
          <w:b/>
          <w:bCs/>
          <w:sz w:val="24"/>
          <w:szCs w:val="24"/>
        </w:rPr>
        <w:t xml:space="preserve">, </w:t>
      </w:r>
      <w:r w:rsidRPr="00CF268E">
        <w:rPr>
          <w:rFonts w:ascii="Times" w:hAnsi="Times" w:cs="Times"/>
          <w:sz w:val="24"/>
          <w:szCs w:val="24"/>
        </w:rPr>
        <w:t xml:space="preserve">in relation to the preliminary assessment and any investigation of </w:t>
      </w:r>
      <w:r w:rsidR="00024A6E" w:rsidRPr="00CF268E">
        <w:rPr>
          <w:rFonts w:ascii="Times" w:hAnsi="Times" w:cs="Times"/>
          <w:sz w:val="24"/>
          <w:szCs w:val="24"/>
        </w:rPr>
        <w:t xml:space="preserve">conduct </w:t>
      </w:r>
      <w:r w:rsidR="00DD76E7">
        <w:rPr>
          <w:rFonts w:ascii="Times" w:hAnsi="Times" w:cs="Times"/>
          <w:sz w:val="24"/>
          <w:szCs w:val="24"/>
        </w:rPr>
        <w:t xml:space="preserve">the </w:t>
      </w:r>
      <w:r w:rsidR="00024A6E" w:rsidRPr="00CF268E">
        <w:rPr>
          <w:rFonts w:ascii="Times" w:hAnsi="Times" w:cs="Times"/>
          <w:sz w:val="24"/>
          <w:szCs w:val="24"/>
        </w:rPr>
        <w:t xml:space="preserve">subject </w:t>
      </w:r>
      <w:r w:rsidR="00DD76E7">
        <w:rPr>
          <w:rFonts w:ascii="Times" w:hAnsi="Times" w:cs="Times"/>
          <w:sz w:val="24"/>
          <w:szCs w:val="24"/>
        </w:rPr>
        <w:t>of</w:t>
      </w:r>
      <w:r w:rsidR="00024A6E" w:rsidRPr="00CF268E">
        <w:rPr>
          <w:rFonts w:ascii="Times" w:hAnsi="Times" w:cs="Times"/>
          <w:sz w:val="24"/>
          <w:szCs w:val="24"/>
        </w:rPr>
        <w:t xml:space="preserve"> </w:t>
      </w:r>
      <w:r w:rsidRPr="00CF268E">
        <w:rPr>
          <w:rFonts w:ascii="Times" w:hAnsi="Times" w:cs="Times"/>
          <w:sz w:val="24"/>
          <w:szCs w:val="24"/>
        </w:rPr>
        <w:t xml:space="preserve">a complaint pursuant to an enterprise agreement or the </w:t>
      </w:r>
      <w:r w:rsidRPr="00CF268E">
        <w:rPr>
          <w:rFonts w:ascii="Times" w:hAnsi="Times" w:cs="Times"/>
          <w:i/>
          <w:iCs/>
          <w:sz w:val="24"/>
          <w:szCs w:val="24"/>
        </w:rPr>
        <w:t xml:space="preserve">Public Sector Management Act 1994, </w:t>
      </w:r>
      <w:r w:rsidRPr="00CF268E">
        <w:rPr>
          <w:rFonts w:ascii="Times" w:hAnsi="Times" w:cs="Times"/>
          <w:sz w:val="24"/>
          <w:szCs w:val="24"/>
        </w:rPr>
        <w:t>includes</w:t>
      </w:r>
      <w:r w:rsidR="000C72F2" w:rsidRPr="00CF268E">
        <w:rPr>
          <w:rFonts w:ascii="Times" w:hAnsi="Times" w:cs="Times"/>
          <w:sz w:val="24"/>
          <w:szCs w:val="24"/>
        </w:rPr>
        <w:t>:</w:t>
      </w:r>
    </w:p>
    <w:p w14:paraId="291E28A9" w14:textId="273F7503" w:rsidR="000C72F2" w:rsidRPr="00CF268E" w:rsidRDefault="000C72F2" w:rsidP="000C72F2">
      <w:pPr>
        <w:pStyle w:val="ListParagraph"/>
        <w:numPr>
          <w:ilvl w:val="0"/>
          <w:numId w:val="22"/>
        </w:numPr>
        <w:spacing w:before="240"/>
        <w:contextualSpacing w:val="0"/>
        <w:jc w:val="both"/>
        <w:rPr>
          <w:rFonts w:ascii="Times" w:hAnsi="Times" w:cs="Times"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 xml:space="preserve">where </w:t>
      </w:r>
      <w:r w:rsidR="00CA0D11" w:rsidRPr="00CF268E">
        <w:rPr>
          <w:rFonts w:ascii="Times" w:hAnsi="Times" w:cs="Times"/>
          <w:sz w:val="24"/>
          <w:szCs w:val="24"/>
        </w:rPr>
        <w:t xml:space="preserve">the </w:t>
      </w:r>
      <w:r w:rsidR="00024A6E" w:rsidRPr="00CF268E">
        <w:rPr>
          <w:rFonts w:ascii="Times" w:hAnsi="Times" w:cs="Times"/>
          <w:sz w:val="24"/>
          <w:szCs w:val="24"/>
        </w:rPr>
        <w:t xml:space="preserve">conduct </w:t>
      </w:r>
      <w:r w:rsidR="00CA0D11" w:rsidRPr="00CF268E">
        <w:rPr>
          <w:rFonts w:ascii="Times" w:hAnsi="Times" w:cs="Times"/>
          <w:sz w:val="24"/>
          <w:szCs w:val="24"/>
        </w:rPr>
        <w:t>does not require further consideration or investigation by the relevant entity</w:t>
      </w:r>
      <w:r w:rsidRPr="00CF268E">
        <w:rPr>
          <w:rFonts w:ascii="Times" w:hAnsi="Times" w:cs="Times"/>
          <w:sz w:val="24"/>
          <w:szCs w:val="24"/>
        </w:rPr>
        <w:t>;</w:t>
      </w:r>
      <w:r w:rsidR="00024A6E" w:rsidRPr="00CF268E">
        <w:rPr>
          <w:rFonts w:ascii="Times" w:hAnsi="Times" w:cs="Times"/>
          <w:sz w:val="24"/>
          <w:szCs w:val="24"/>
        </w:rPr>
        <w:t xml:space="preserve"> and </w:t>
      </w:r>
    </w:p>
    <w:p w14:paraId="48E063C1" w14:textId="13C3DA84" w:rsidR="00675595" w:rsidRPr="00CF268E" w:rsidRDefault="000C72F2" w:rsidP="00B72D8B">
      <w:pPr>
        <w:pStyle w:val="ListParagraph"/>
        <w:numPr>
          <w:ilvl w:val="0"/>
          <w:numId w:val="22"/>
        </w:numPr>
        <w:spacing w:before="240"/>
        <w:contextualSpacing w:val="0"/>
        <w:jc w:val="both"/>
        <w:rPr>
          <w:rFonts w:ascii="Times" w:hAnsi="Times" w:cs="Times"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>an</w:t>
      </w:r>
      <w:r w:rsidR="00024A6E" w:rsidRPr="00CF268E">
        <w:rPr>
          <w:rFonts w:ascii="Times" w:hAnsi="Times" w:cs="Times"/>
          <w:sz w:val="24"/>
          <w:szCs w:val="24"/>
        </w:rPr>
        <w:t xml:space="preserve"> investigation </w:t>
      </w:r>
      <w:r w:rsidRPr="00CF268E">
        <w:rPr>
          <w:rFonts w:ascii="Times" w:hAnsi="Times" w:cs="Times"/>
          <w:sz w:val="24"/>
          <w:szCs w:val="24"/>
        </w:rPr>
        <w:t xml:space="preserve">that </w:t>
      </w:r>
      <w:r w:rsidR="00024A6E" w:rsidRPr="00CF268E">
        <w:rPr>
          <w:rFonts w:ascii="Times" w:hAnsi="Times" w:cs="Times"/>
          <w:sz w:val="24"/>
          <w:szCs w:val="24"/>
        </w:rPr>
        <w:t>has been stayed or discontinued.</w:t>
      </w:r>
    </w:p>
    <w:p w14:paraId="77AF0AED" w14:textId="4121AF1B" w:rsidR="00675595" w:rsidRPr="00CF268E" w:rsidRDefault="00675595" w:rsidP="00CA0D11">
      <w:pPr>
        <w:pStyle w:val="ListParagraph"/>
        <w:tabs>
          <w:tab w:val="left" w:pos="1701"/>
        </w:tabs>
        <w:spacing w:before="240"/>
        <w:contextualSpacing w:val="0"/>
        <w:jc w:val="both"/>
        <w:rPr>
          <w:rFonts w:ascii="Times" w:hAnsi="Times" w:cs="Times"/>
          <w:b/>
          <w:sz w:val="24"/>
          <w:szCs w:val="24"/>
        </w:rPr>
      </w:pPr>
      <w:r w:rsidRPr="00CF268E">
        <w:rPr>
          <w:rFonts w:ascii="Times" w:hAnsi="Times" w:cs="Times"/>
          <w:b/>
          <w:sz w:val="24"/>
          <w:szCs w:val="24"/>
        </w:rPr>
        <w:t>enterprise agreement</w:t>
      </w:r>
      <w:r w:rsidR="00CA0D11" w:rsidRPr="00CF268E">
        <w:rPr>
          <w:rFonts w:ascii="Times" w:hAnsi="Times" w:cs="Times"/>
          <w:b/>
          <w:sz w:val="24"/>
          <w:szCs w:val="24"/>
        </w:rPr>
        <w:t xml:space="preserve"> </w:t>
      </w:r>
      <w:r w:rsidR="00CA0D11" w:rsidRPr="00CF268E">
        <w:rPr>
          <w:rFonts w:ascii="Times" w:hAnsi="Times" w:cs="Times"/>
          <w:sz w:val="24"/>
          <w:szCs w:val="24"/>
        </w:rPr>
        <w:t xml:space="preserve">means the enterprise agreement, approved by the Fair Work Commission under the </w:t>
      </w:r>
      <w:r w:rsidR="00CA0D11" w:rsidRPr="00CF268E">
        <w:rPr>
          <w:rFonts w:ascii="Times" w:hAnsi="Times" w:cs="Times"/>
          <w:i/>
          <w:iCs/>
          <w:sz w:val="24"/>
          <w:szCs w:val="24"/>
        </w:rPr>
        <w:t>Fair Work Act 2009</w:t>
      </w:r>
      <w:r w:rsidR="00CA0D11" w:rsidRPr="00CF268E">
        <w:rPr>
          <w:rFonts w:ascii="Times" w:hAnsi="Times" w:cs="Times"/>
          <w:sz w:val="24"/>
          <w:szCs w:val="24"/>
        </w:rPr>
        <w:t xml:space="preserve"> (Cwlth), applicable to the relevant public servant. </w:t>
      </w:r>
    </w:p>
    <w:p w14:paraId="2BDB5406" w14:textId="5F29C9E6" w:rsidR="00675595" w:rsidRPr="00CF268E" w:rsidRDefault="00675595" w:rsidP="00675595">
      <w:pPr>
        <w:pStyle w:val="ListParagraph"/>
        <w:spacing w:before="240"/>
        <w:contextualSpacing w:val="0"/>
        <w:jc w:val="both"/>
        <w:rPr>
          <w:rFonts w:ascii="Times" w:hAnsi="Times" w:cs="Times"/>
          <w:b/>
          <w:sz w:val="24"/>
          <w:szCs w:val="24"/>
        </w:rPr>
      </w:pPr>
      <w:bookmarkStart w:id="6" w:name="_Hlk120711962"/>
      <w:r w:rsidRPr="00CF268E">
        <w:rPr>
          <w:rFonts w:ascii="Times" w:hAnsi="Times" w:cs="Times"/>
          <w:b/>
          <w:bCs/>
          <w:sz w:val="24"/>
          <w:szCs w:val="24"/>
        </w:rPr>
        <w:t xml:space="preserve">relevant information </w:t>
      </w:r>
      <w:r w:rsidRPr="00CF268E">
        <w:rPr>
          <w:rFonts w:ascii="Times" w:hAnsi="Times" w:cs="Times"/>
          <w:sz w:val="24"/>
          <w:szCs w:val="24"/>
        </w:rPr>
        <w:t>means</w:t>
      </w:r>
      <w:r w:rsidR="00030F32" w:rsidRPr="00CF268E">
        <w:rPr>
          <w:rFonts w:ascii="Times" w:hAnsi="Times" w:cs="Times"/>
          <w:sz w:val="24"/>
          <w:szCs w:val="24"/>
        </w:rPr>
        <w:t xml:space="preserve"> </w:t>
      </w:r>
      <w:r w:rsidRPr="00CF268E">
        <w:rPr>
          <w:rFonts w:ascii="Times" w:hAnsi="Times" w:cs="Times"/>
          <w:sz w:val="24"/>
          <w:szCs w:val="24"/>
        </w:rPr>
        <w:t xml:space="preserve">information in relation to a complaint which the </w:t>
      </w:r>
      <w:r w:rsidR="00A213AF" w:rsidRPr="00CF268E">
        <w:rPr>
          <w:rFonts w:ascii="Times" w:hAnsi="Times" w:cs="Times"/>
          <w:sz w:val="24"/>
          <w:szCs w:val="24"/>
        </w:rPr>
        <w:t>commission</w:t>
      </w:r>
      <w:r w:rsidRPr="00CF268E">
        <w:rPr>
          <w:rFonts w:ascii="Times" w:hAnsi="Times" w:cs="Times"/>
          <w:sz w:val="24"/>
          <w:szCs w:val="24"/>
        </w:rPr>
        <w:t>:</w:t>
      </w:r>
    </w:p>
    <w:p w14:paraId="0DD2851F" w14:textId="07EF8559" w:rsidR="00675595" w:rsidRPr="00CF268E" w:rsidRDefault="00675595" w:rsidP="00675595">
      <w:pPr>
        <w:pStyle w:val="ListParagraph"/>
        <w:numPr>
          <w:ilvl w:val="0"/>
          <w:numId w:val="14"/>
        </w:numPr>
        <w:spacing w:before="240"/>
        <w:contextualSpacing w:val="0"/>
        <w:jc w:val="both"/>
        <w:rPr>
          <w:rFonts w:ascii="Times" w:hAnsi="Times" w:cs="Times"/>
          <w:b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 xml:space="preserve">may share with the </w:t>
      </w:r>
      <w:r w:rsidR="003865F7" w:rsidRPr="00CF268E">
        <w:rPr>
          <w:rFonts w:ascii="Times" w:hAnsi="Times" w:cs="Times"/>
          <w:szCs w:val="24"/>
        </w:rPr>
        <w:t>relevant information sharing entity</w:t>
      </w:r>
      <w:r w:rsidRPr="00CF268E">
        <w:rPr>
          <w:rFonts w:ascii="Times" w:hAnsi="Times" w:cs="Times"/>
          <w:sz w:val="24"/>
          <w:szCs w:val="24"/>
        </w:rPr>
        <w:t xml:space="preserve"> under section 94E of the Act; </w:t>
      </w:r>
      <w:r w:rsidR="00D86F4F" w:rsidRPr="00CF268E">
        <w:rPr>
          <w:rFonts w:ascii="Times" w:hAnsi="Times" w:cs="Times"/>
          <w:sz w:val="24"/>
          <w:szCs w:val="24"/>
        </w:rPr>
        <w:t>and</w:t>
      </w:r>
    </w:p>
    <w:bookmarkEnd w:id="6"/>
    <w:p w14:paraId="0914F1A2" w14:textId="6EB7BFC2" w:rsidR="00296DC0" w:rsidRPr="00CF268E" w:rsidRDefault="00D86F4F" w:rsidP="00675595">
      <w:pPr>
        <w:pStyle w:val="ListParagraph"/>
        <w:numPr>
          <w:ilvl w:val="0"/>
          <w:numId w:val="14"/>
        </w:numPr>
        <w:spacing w:before="240"/>
        <w:contextualSpacing w:val="0"/>
        <w:jc w:val="both"/>
        <w:rPr>
          <w:rFonts w:ascii="Times" w:hAnsi="Times" w:cs="Times"/>
          <w:sz w:val="24"/>
          <w:szCs w:val="24"/>
        </w:rPr>
      </w:pPr>
      <w:r w:rsidRPr="00CF268E">
        <w:rPr>
          <w:rFonts w:ascii="Times" w:hAnsi="Times" w:cs="Times"/>
          <w:sz w:val="24"/>
          <w:szCs w:val="24"/>
        </w:rPr>
        <w:t xml:space="preserve">considers reasonably necessary to enable alleged inappropriate behaviour or misconduct </w:t>
      </w:r>
      <w:r w:rsidR="00296DC0" w:rsidRPr="00CF268E">
        <w:rPr>
          <w:rFonts w:ascii="Times" w:hAnsi="Times" w:cs="Times"/>
          <w:sz w:val="24"/>
          <w:szCs w:val="24"/>
        </w:rPr>
        <w:t xml:space="preserve">to be considered under the enterprise agreement or the </w:t>
      </w:r>
      <w:r w:rsidR="00296DC0" w:rsidRPr="00CF268E">
        <w:rPr>
          <w:rFonts w:ascii="Times" w:hAnsi="Times" w:cs="Times"/>
          <w:i/>
          <w:iCs/>
          <w:sz w:val="24"/>
          <w:szCs w:val="24"/>
        </w:rPr>
        <w:t xml:space="preserve">Public Sector Management Act 1994 </w:t>
      </w:r>
      <w:r w:rsidR="00296DC0" w:rsidRPr="00CF268E">
        <w:rPr>
          <w:rFonts w:ascii="Times" w:hAnsi="Times" w:cs="Times"/>
          <w:sz w:val="24"/>
          <w:szCs w:val="24"/>
        </w:rPr>
        <w:t>in relation to the public servant,</w:t>
      </w:r>
    </w:p>
    <w:p w14:paraId="4CBFA8A7" w14:textId="1B43D163" w:rsidR="00296DC0" w:rsidRPr="00CF268E" w:rsidRDefault="00296DC0" w:rsidP="00296DC0">
      <w:pPr>
        <w:spacing w:before="240"/>
        <w:ind w:left="720"/>
        <w:jc w:val="both"/>
        <w:rPr>
          <w:rFonts w:ascii="Times" w:hAnsi="Times" w:cs="Times"/>
          <w:szCs w:val="24"/>
        </w:rPr>
      </w:pPr>
      <w:r w:rsidRPr="00CF268E">
        <w:rPr>
          <w:rFonts w:ascii="Times" w:hAnsi="Times" w:cs="Times"/>
          <w:bCs/>
          <w:szCs w:val="24"/>
        </w:rPr>
        <w:t xml:space="preserve">but does not include information which the </w:t>
      </w:r>
      <w:r w:rsidR="00A213AF" w:rsidRPr="00CF268E">
        <w:rPr>
          <w:rFonts w:ascii="Times" w:hAnsi="Times" w:cs="Times"/>
          <w:bCs/>
          <w:szCs w:val="24"/>
        </w:rPr>
        <w:t>commission</w:t>
      </w:r>
      <w:r w:rsidRPr="00CF268E">
        <w:rPr>
          <w:rFonts w:ascii="Times" w:hAnsi="Times" w:cs="Times"/>
          <w:bCs/>
          <w:szCs w:val="24"/>
        </w:rPr>
        <w:t xml:space="preserve"> reasonably believes is necessary to redact </w:t>
      </w:r>
      <w:r w:rsidR="00D86F4F" w:rsidRPr="00CF268E">
        <w:rPr>
          <w:rFonts w:ascii="Times" w:hAnsi="Times" w:cs="Times"/>
          <w:bCs/>
          <w:szCs w:val="24"/>
        </w:rPr>
        <w:t xml:space="preserve">or withhold </w:t>
      </w:r>
      <w:r w:rsidRPr="00CF268E">
        <w:rPr>
          <w:rFonts w:ascii="Times" w:hAnsi="Times" w:cs="Times"/>
          <w:bCs/>
          <w:szCs w:val="24"/>
        </w:rPr>
        <w:t xml:space="preserve">in order to protect the privacy of the complainant or another person who has provided information to the </w:t>
      </w:r>
      <w:r w:rsidR="00A213AF" w:rsidRPr="00CF268E">
        <w:rPr>
          <w:rFonts w:ascii="Times" w:hAnsi="Times" w:cs="Times"/>
          <w:szCs w:val="24"/>
        </w:rPr>
        <w:t>commission</w:t>
      </w:r>
      <w:r w:rsidRPr="00CF268E">
        <w:rPr>
          <w:rFonts w:ascii="Times" w:hAnsi="Times" w:cs="Times"/>
          <w:szCs w:val="24"/>
        </w:rPr>
        <w:t xml:space="preserve">.  </w:t>
      </w:r>
    </w:p>
    <w:p w14:paraId="14E7AD79" w14:textId="43B6C3E7" w:rsidR="00CA0D11" w:rsidRPr="00CF268E" w:rsidRDefault="00675595" w:rsidP="00296DC0">
      <w:pPr>
        <w:spacing w:before="240"/>
        <w:ind w:left="720"/>
        <w:jc w:val="both"/>
        <w:rPr>
          <w:rFonts w:ascii="Times" w:hAnsi="Times" w:cs="Times"/>
          <w:b/>
          <w:bCs/>
          <w:szCs w:val="24"/>
        </w:rPr>
      </w:pPr>
      <w:r w:rsidRPr="00CF268E">
        <w:rPr>
          <w:rFonts w:ascii="Times" w:hAnsi="Times" w:cs="Times"/>
          <w:b/>
          <w:szCs w:val="24"/>
        </w:rPr>
        <w:t>relevant information sharing entity</w:t>
      </w:r>
      <w:r w:rsidR="00CA0D11" w:rsidRPr="00CF268E">
        <w:rPr>
          <w:rFonts w:ascii="Times" w:hAnsi="Times" w:cs="Times"/>
          <w:b/>
          <w:szCs w:val="24"/>
        </w:rPr>
        <w:t xml:space="preserve"> </w:t>
      </w:r>
      <w:r w:rsidR="00CA0D11" w:rsidRPr="00CF268E">
        <w:rPr>
          <w:rFonts w:ascii="Times" w:hAnsi="Times" w:cs="Times"/>
          <w:bCs/>
          <w:szCs w:val="24"/>
        </w:rPr>
        <w:t xml:space="preserve">means an information sharing entity set out in </w:t>
      </w:r>
      <w:r w:rsidR="00F91ED8" w:rsidRPr="00CF268E">
        <w:rPr>
          <w:rFonts w:ascii="Times" w:hAnsi="Times" w:cs="Times"/>
          <w:bCs/>
          <w:szCs w:val="24"/>
        </w:rPr>
        <w:t xml:space="preserve">section </w:t>
      </w:r>
      <w:r w:rsidR="00CA0D11" w:rsidRPr="00CF268E">
        <w:rPr>
          <w:rFonts w:ascii="Times" w:hAnsi="Times" w:cs="Times"/>
          <w:bCs/>
          <w:szCs w:val="24"/>
        </w:rPr>
        <w:t>94</w:t>
      </w:r>
      <w:r w:rsidR="00030F32" w:rsidRPr="00CF268E">
        <w:rPr>
          <w:rFonts w:ascii="Times" w:hAnsi="Times" w:cs="Times"/>
          <w:bCs/>
          <w:szCs w:val="24"/>
        </w:rPr>
        <w:t>E</w:t>
      </w:r>
      <w:r w:rsidR="00CA0D11" w:rsidRPr="00CF268E">
        <w:rPr>
          <w:rFonts w:ascii="Times" w:hAnsi="Times" w:cs="Times"/>
          <w:bCs/>
          <w:szCs w:val="24"/>
        </w:rPr>
        <w:t xml:space="preserve"> of the Act, or the delegate for that information sharing entity, who is currently responsible for the supervision or management of the relevant public servant</w:t>
      </w:r>
      <w:r w:rsidR="00F91ED8" w:rsidRPr="00CF268E">
        <w:rPr>
          <w:rFonts w:ascii="Times" w:hAnsi="Times" w:cs="Times"/>
          <w:bCs/>
          <w:szCs w:val="24"/>
        </w:rPr>
        <w:t xml:space="preserve">, or </w:t>
      </w:r>
      <w:r w:rsidR="005271C8" w:rsidRPr="00CF268E">
        <w:rPr>
          <w:rFonts w:ascii="Times" w:hAnsi="Times" w:cs="Times"/>
          <w:bCs/>
          <w:szCs w:val="24"/>
        </w:rPr>
        <w:t xml:space="preserve">the investigation or management of the </w:t>
      </w:r>
      <w:r w:rsidR="00F91ED8" w:rsidRPr="00CF268E">
        <w:rPr>
          <w:rFonts w:ascii="Times" w:hAnsi="Times" w:cs="Times"/>
          <w:bCs/>
          <w:szCs w:val="24"/>
        </w:rPr>
        <w:t>complaint</w:t>
      </w:r>
      <w:r w:rsidR="00CA0D11" w:rsidRPr="00CF268E">
        <w:rPr>
          <w:rFonts w:ascii="Times" w:hAnsi="Times" w:cs="Times"/>
          <w:bCs/>
          <w:szCs w:val="24"/>
        </w:rPr>
        <w:t xml:space="preserve">. </w:t>
      </w:r>
    </w:p>
    <w:p w14:paraId="75C57DFE" w14:textId="6097B8C8" w:rsidR="00675595" w:rsidRPr="00CA0D11" w:rsidRDefault="00675595" w:rsidP="00675595">
      <w:pPr>
        <w:spacing w:before="240"/>
        <w:ind w:left="720"/>
        <w:jc w:val="both"/>
        <w:rPr>
          <w:rFonts w:ascii="Times" w:hAnsi="Times" w:cs="Times"/>
          <w:szCs w:val="24"/>
        </w:rPr>
      </w:pPr>
      <w:r w:rsidRPr="00CF268E">
        <w:rPr>
          <w:rFonts w:ascii="Times" w:hAnsi="Times" w:cs="Times"/>
          <w:b/>
          <w:bCs/>
          <w:szCs w:val="24"/>
        </w:rPr>
        <w:t>relationship protocol</w:t>
      </w:r>
      <w:r w:rsidR="00CA0D11" w:rsidRPr="00CF268E">
        <w:rPr>
          <w:rFonts w:ascii="Times" w:hAnsi="Times" w:cs="Times"/>
          <w:b/>
          <w:bCs/>
          <w:szCs w:val="24"/>
        </w:rPr>
        <w:t xml:space="preserve"> </w:t>
      </w:r>
      <w:r w:rsidR="00CA0D11" w:rsidRPr="00CF268E">
        <w:rPr>
          <w:rFonts w:ascii="Times" w:hAnsi="Times" w:cs="Times"/>
          <w:szCs w:val="24"/>
        </w:rPr>
        <w:t xml:space="preserve">means the protocol agreed at </w:t>
      </w:r>
      <w:r w:rsidR="006A3258">
        <w:rPr>
          <w:rFonts w:ascii="Times" w:hAnsi="Times" w:cs="Times"/>
          <w:szCs w:val="24"/>
        </w:rPr>
        <w:t xml:space="preserve">clause </w:t>
      </w:r>
      <w:r w:rsidR="00030F32" w:rsidRPr="00CF268E">
        <w:rPr>
          <w:rFonts w:ascii="Times" w:hAnsi="Times" w:cs="Times"/>
          <w:szCs w:val="24"/>
        </w:rPr>
        <w:t xml:space="preserve">4 </w:t>
      </w:r>
      <w:r w:rsidR="00CA0D11" w:rsidRPr="00CF268E">
        <w:rPr>
          <w:rFonts w:ascii="Times" w:hAnsi="Times" w:cs="Times"/>
          <w:szCs w:val="24"/>
        </w:rPr>
        <w:t>of t</w:t>
      </w:r>
      <w:r w:rsidR="006A3258">
        <w:rPr>
          <w:rFonts w:ascii="Times" w:hAnsi="Times" w:cs="Times"/>
          <w:szCs w:val="24"/>
        </w:rPr>
        <w:t>he process</w:t>
      </w:r>
      <w:r w:rsidR="00CA0D11" w:rsidRPr="00CF268E">
        <w:rPr>
          <w:rFonts w:ascii="Times" w:hAnsi="Times" w:cs="Times"/>
          <w:szCs w:val="24"/>
        </w:rPr>
        <w:t>.</w:t>
      </w:r>
      <w:r w:rsidR="00CA0D11">
        <w:rPr>
          <w:rFonts w:ascii="Times" w:hAnsi="Times" w:cs="Times"/>
          <w:szCs w:val="24"/>
        </w:rPr>
        <w:t xml:space="preserve"> </w:t>
      </w:r>
    </w:p>
    <w:p w14:paraId="13B64A85" w14:textId="17C86641" w:rsidR="00675595" w:rsidRDefault="00F91ED8" w:rsidP="00232478">
      <w:pPr>
        <w:tabs>
          <w:tab w:val="left" w:pos="4320"/>
        </w:tabs>
      </w:pPr>
      <w:r>
        <w:t xml:space="preserve"> </w:t>
      </w:r>
    </w:p>
    <w:sectPr w:rsidR="00675595" w:rsidSect="00F15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8E25" w14:textId="77777777" w:rsidR="00FE0CAB" w:rsidRDefault="00FE0CAB" w:rsidP="00F10CB2">
      <w:r>
        <w:separator/>
      </w:r>
    </w:p>
  </w:endnote>
  <w:endnote w:type="continuationSeparator" w:id="0">
    <w:p w14:paraId="0AC9F37B" w14:textId="77777777" w:rsidR="00FE0CAB" w:rsidRDefault="00FE0CAB" w:rsidP="00F10CB2">
      <w:r>
        <w:continuationSeparator/>
      </w:r>
    </w:p>
  </w:endnote>
  <w:endnote w:type="continuationNotice" w:id="1">
    <w:p w14:paraId="759296F7" w14:textId="77777777" w:rsidR="00FE0CAB" w:rsidRDefault="00FE0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C8EC" w14:textId="77777777" w:rsidR="008D60A0" w:rsidRDefault="008D6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6435" w14:textId="16D96C09" w:rsidR="00704DC3" w:rsidRPr="008D60A0" w:rsidRDefault="008D60A0" w:rsidP="008D60A0">
    <w:pPr>
      <w:pStyle w:val="Footer"/>
      <w:jc w:val="center"/>
      <w:rPr>
        <w:rFonts w:cs="Arial"/>
        <w:sz w:val="14"/>
      </w:rPr>
    </w:pPr>
    <w:r w:rsidRPr="008D60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323E" w14:textId="77777777" w:rsidR="008D60A0" w:rsidRDefault="008D6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6C54" w14:textId="77777777" w:rsidR="00FE0CAB" w:rsidRDefault="00FE0CAB" w:rsidP="00F10CB2">
      <w:r>
        <w:separator/>
      </w:r>
    </w:p>
  </w:footnote>
  <w:footnote w:type="continuationSeparator" w:id="0">
    <w:p w14:paraId="3B264ADB" w14:textId="77777777" w:rsidR="00FE0CAB" w:rsidRDefault="00FE0CAB" w:rsidP="00F10CB2">
      <w:r>
        <w:continuationSeparator/>
      </w:r>
    </w:p>
  </w:footnote>
  <w:footnote w:type="continuationNotice" w:id="1">
    <w:p w14:paraId="2BFB686C" w14:textId="77777777" w:rsidR="00FE0CAB" w:rsidRDefault="00FE0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FF22" w14:textId="77777777" w:rsidR="008D60A0" w:rsidRDefault="008D6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55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2FFE" w14:textId="77777777" w:rsidR="008D60A0" w:rsidRDefault="008D6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E20986"/>
    <w:multiLevelType w:val="hybridMultilevel"/>
    <w:tmpl w:val="F4F02BDA"/>
    <w:lvl w:ilvl="0" w:tplc="44F86300">
      <w:start w:val="1"/>
      <w:numFmt w:val="lowerRoman"/>
      <w:lvlText w:val="(%1)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9258DD"/>
    <w:multiLevelType w:val="hybridMultilevel"/>
    <w:tmpl w:val="C2F6D780"/>
    <w:lvl w:ilvl="0" w:tplc="90CC5E0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44006"/>
    <w:multiLevelType w:val="hybridMultilevel"/>
    <w:tmpl w:val="D4F2F98A"/>
    <w:lvl w:ilvl="0" w:tplc="AA4EEF7A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63F34">
      <w:start w:val="1"/>
      <w:numFmt w:val="decimal"/>
      <w:lvlText w:val="(%3)"/>
      <w:lvlJc w:val="left"/>
      <w:pPr>
        <w:ind w:left="1353" w:hanging="360"/>
      </w:pPr>
      <w:rPr>
        <w:rFonts w:ascii="Times" w:eastAsiaTheme="minorHAnsi" w:hAnsi="Times" w:cs="Times" w:hint="default"/>
        <w:b w:val="0"/>
        <w:bCs w:val="0"/>
        <w:sz w:val="24"/>
        <w:szCs w:val="24"/>
      </w:rPr>
    </w:lvl>
    <w:lvl w:ilvl="3" w:tplc="0C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55E9"/>
    <w:multiLevelType w:val="hybridMultilevel"/>
    <w:tmpl w:val="CECC14F2"/>
    <w:lvl w:ilvl="0" w:tplc="370C1598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306A"/>
    <w:multiLevelType w:val="hybridMultilevel"/>
    <w:tmpl w:val="49525144"/>
    <w:lvl w:ilvl="0" w:tplc="CB762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E3A6771"/>
    <w:multiLevelType w:val="hybridMultilevel"/>
    <w:tmpl w:val="B658C2F6"/>
    <w:lvl w:ilvl="0" w:tplc="FD0658FA">
      <w:start w:val="1"/>
      <w:numFmt w:val="decimal"/>
      <w:lvlText w:val="(%1)"/>
      <w:lvlJc w:val="left"/>
      <w:pPr>
        <w:ind w:left="720" w:hanging="360"/>
      </w:pPr>
      <w:rPr>
        <w:rFonts w:ascii="Times" w:eastAsiaTheme="minorHAnsi" w:hAnsi="Times" w:cs="Times"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3A01"/>
    <w:multiLevelType w:val="hybridMultilevel"/>
    <w:tmpl w:val="D43CB454"/>
    <w:lvl w:ilvl="0" w:tplc="88DE0EE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1A7D20"/>
    <w:multiLevelType w:val="hybridMultilevel"/>
    <w:tmpl w:val="1F8C7ED6"/>
    <w:lvl w:ilvl="0" w:tplc="74043510">
      <w:start w:val="1"/>
      <w:numFmt w:val="lowerLetter"/>
      <w:lvlText w:val="(%1)"/>
      <w:lvlJc w:val="left"/>
      <w:pPr>
        <w:ind w:left="502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9D3222"/>
    <w:multiLevelType w:val="hybridMultilevel"/>
    <w:tmpl w:val="37F62FE2"/>
    <w:lvl w:ilvl="0" w:tplc="7D7C80D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368"/>
    <w:multiLevelType w:val="hybridMultilevel"/>
    <w:tmpl w:val="B658C2F6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" w:eastAsiaTheme="minorHAnsi" w:hAnsi="Times" w:cs="Time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909DB"/>
    <w:multiLevelType w:val="hybridMultilevel"/>
    <w:tmpl w:val="5E10202E"/>
    <w:lvl w:ilvl="0" w:tplc="EC422D5E">
      <w:start w:val="1"/>
      <w:numFmt w:val="lowerLetter"/>
      <w:lvlText w:val="(%1)"/>
      <w:lvlJc w:val="left"/>
      <w:pPr>
        <w:ind w:left="502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2769910">
    <w:abstractNumId w:val="2"/>
  </w:num>
  <w:num w:numId="2" w16cid:durableId="660037173">
    <w:abstractNumId w:val="0"/>
  </w:num>
  <w:num w:numId="3" w16cid:durableId="945843720">
    <w:abstractNumId w:val="4"/>
  </w:num>
  <w:num w:numId="4" w16cid:durableId="612975389">
    <w:abstractNumId w:val="12"/>
  </w:num>
  <w:num w:numId="5" w16cid:durableId="1065374574">
    <w:abstractNumId w:val="19"/>
  </w:num>
  <w:num w:numId="6" w16cid:durableId="86462344">
    <w:abstractNumId w:val="1"/>
  </w:num>
  <w:num w:numId="7" w16cid:durableId="694964978">
    <w:abstractNumId w:val="10"/>
  </w:num>
  <w:num w:numId="8" w16cid:durableId="1805731061">
    <w:abstractNumId w:val="11"/>
  </w:num>
  <w:num w:numId="9" w16cid:durableId="997267108">
    <w:abstractNumId w:val="9"/>
  </w:num>
  <w:num w:numId="10" w16cid:durableId="1821343132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516695890">
    <w:abstractNumId w:val="18"/>
  </w:num>
  <w:num w:numId="12" w16cid:durableId="1692604493">
    <w:abstractNumId w:val="13"/>
  </w:num>
  <w:num w:numId="13" w16cid:durableId="19077152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7362590">
    <w:abstractNumId w:val="5"/>
  </w:num>
  <w:num w:numId="15" w16cid:durableId="1924604763">
    <w:abstractNumId w:val="7"/>
  </w:num>
  <w:num w:numId="16" w16cid:durableId="2022507004">
    <w:abstractNumId w:val="16"/>
  </w:num>
  <w:num w:numId="17" w16cid:durableId="239872819">
    <w:abstractNumId w:val="6"/>
  </w:num>
  <w:num w:numId="18" w16cid:durableId="210268670">
    <w:abstractNumId w:val="3"/>
  </w:num>
  <w:num w:numId="19" w16cid:durableId="1096748915">
    <w:abstractNumId w:val="13"/>
  </w:num>
  <w:num w:numId="20" w16cid:durableId="31880792">
    <w:abstractNumId w:val="17"/>
  </w:num>
  <w:num w:numId="21" w16cid:durableId="937980948">
    <w:abstractNumId w:val="8"/>
  </w:num>
  <w:num w:numId="22" w16cid:durableId="6771991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4A6E"/>
    <w:rsid w:val="00030F32"/>
    <w:rsid w:val="000A1A69"/>
    <w:rsid w:val="000C72F2"/>
    <w:rsid w:val="000C7EFB"/>
    <w:rsid w:val="00194AC7"/>
    <w:rsid w:val="001F2139"/>
    <w:rsid w:val="00232478"/>
    <w:rsid w:val="00296DC0"/>
    <w:rsid w:val="002E10BE"/>
    <w:rsid w:val="00344551"/>
    <w:rsid w:val="003678C7"/>
    <w:rsid w:val="003865F7"/>
    <w:rsid w:val="003B62FA"/>
    <w:rsid w:val="004F4BAA"/>
    <w:rsid w:val="0050590B"/>
    <w:rsid w:val="005271C8"/>
    <w:rsid w:val="00574E65"/>
    <w:rsid w:val="0057608F"/>
    <w:rsid w:val="005F716D"/>
    <w:rsid w:val="00614227"/>
    <w:rsid w:val="00627F0C"/>
    <w:rsid w:val="00630DE9"/>
    <w:rsid w:val="00667281"/>
    <w:rsid w:val="00675595"/>
    <w:rsid w:val="006A3258"/>
    <w:rsid w:val="00704DC3"/>
    <w:rsid w:val="0072003E"/>
    <w:rsid w:val="00740A0C"/>
    <w:rsid w:val="00782549"/>
    <w:rsid w:val="007D6BB9"/>
    <w:rsid w:val="008C7DD2"/>
    <w:rsid w:val="008D04CA"/>
    <w:rsid w:val="008D60A0"/>
    <w:rsid w:val="0091734E"/>
    <w:rsid w:val="0092093A"/>
    <w:rsid w:val="0092164A"/>
    <w:rsid w:val="009268DA"/>
    <w:rsid w:val="0093719A"/>
    <w:rsid w:val="009419E4"/>
    <w:rsid w:val="00A0585C"/>
    <w:rsid w:val="00A213AF"/>
    <w:rsid w:val="00A62EC2"/>
    <w:rsid w:val="00A90171"/>
    <w:rsid w:val="00AE5610"/>
    <w:rsid w:val="00B30B9A"/>
    <w:rsid w:val="00B441A7"/>
    <w:rsid w:val="00B72D8B"/>
    <w:rsid w:val="00BA52F5"/>
    <w:rsid w:val="00BB241F"/>
    <w:rsid w:val="00BC587B"/>
    <w:rsid w:val="00BE5298"/>
    <w:rsid w:val="00C41B1B"/>
    <w:rsid w:val="00CA0D11"/>
    <w:rsid w:val="00CD4E55"/>
    <w:rsid w:val="00CF268E"/>
    <w:rsid w:val="00D31DD9"/>
    <w:rsid w:val="00D47F13"/>
    <w:rsid w:val="00D61153"/>
    <w:rsid w:val="00D86F4F"/>
    <w:rsid w:val="00DB5477"/>
    <w:rsid w:val="00DD6C91"/>
    <w:rsid w:val="00DD76E7"/>
    <w:rsid w:val="00E078FE"/>
    <w:rsid w:val="00E556F2"/>
    <w:rsid w:val="00ED69A9"/>
    <w:rsid w:val="00F10CB2"/>
    <w:rsid w:val="00F14C52"/>
    <w:rsid w:val="00F15AC3"/>
    <w:rsid w:val="00F6208A"/>
    <w:rsid w:val="00F74FFB"/>
    <w:rsid w:val="00F91ED8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37EB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9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,Bullets"/>
    <w:basedOn w:val="Normal"/>
    <w:link w:val="ListParagraphChar"/>
    <w:uiPriority w:val="34"/>
    <w:qFormat/>
    <w:rsid w:val="00675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qFormat/>
    <w:locked/>
    <w:rsid w:val="0067559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1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1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139"/>
    <w:rPr>
      <w:b/>
      <w:bCs/>
      <w:lang w:eastAsia="en-US"/>
    </w:rPr>
  </w:style>
  <w:style w:type="paragraph" w:styleId="Revision">
    <w:name w:val="Revision"/>
    <w:hidden/>
    <w:uiPriority w:val="99"/>
    <w:semiHidden/>
    <w:rsid w:val="00BE5298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164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0" ma:contentTypeDescription="Create a new document." ma:contentTypeScope="" ma:versionID="d67d83bf316eafc89b9ec16bbede69e8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dbc40ede9d40ddd29a53357338778b59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1747-1F6B-4EF5-8A5E-A3A8431B7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CCE73-8335-4070-A456-15804396AF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80A31F-9162-4756-A21B-A1B7B57AD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3515</Characters>
  <Application>Microsoft Office Word</Application>
  <DocSecurity>0</DocSecurity>
  <Lines>92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2024-02-16T05:14:00Z</dcterms:created>
  <dcterms:modified xsi:type="dcterms:W3CDTF">2024-02-16T05:14:00Z</dcterms:modified>
</cp:coreProperties>
</file>