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1E24" w14:textId="77777777" w:rsidR="00E06482" w:rsidRPr="00F04606" w:rsidRDefault="00E06482" w:rsidP="00F04606">
      <w:pPr>
        <w:spacing w:before="120" w:after="0"/>
        <w:rPr>
          <w:rFonts w:ascii="Arial" w:eastAsia="Times New Roman" w:hAnsi="Arial" w:cs="Arial"/>
          <w:sz w:val="24"/>
          <w:szCs w:val="20"/>
        </w:rPr>
      </w:pPr>
      <w:bookmarkStart w:id="0" w:name="_Toc171340354"/>
      <w:bookmarkStart w:id="1" w:name="_Hlk140144189"/>
      <w:bookmarkStart w:id="2" w:name="_Hlk145582636"/>
      <w:r w:rsidRPr="00F04606">
        <w:rPr>
          <w:rFonts w:ascii="Arial" w:eastAsia="Times New Roman" w:hAnsi="Arial" w:cs="Arial"/>
          <w:sz w:val="24"/>
          <w:szCs w:val="20"/>
        </w:rPr>
        <w:t>Australian Capital Territory</w:t>
      </w:r>
    </w:p>
    <w:p w14:paraId="66FD04E2" w14:textId="18F69A59" w:rsidR="00E06482" w:rsidRPr="004455B3" w:rsidRDefault="00E06482" w:rsidP="00E06482">
      <w:pPr>
        <w:pStyle w:val="Billname"/>
        <w:spacing w:before="700"/>
      </w:pPr>
      <w:r>
        <w:t xml:space="preserve">Professional Engineers </w:t>
      </w:r>
      <w:r w:rsidR="00A015E6">
        <w:t>(Fire Safety Engineering)</w:t>
      </w:r>
      <w:r w:rsidR="00A015E6" w:rsidRPr="004455B3">
        <w:t xml:space="preserve"> </w:t>
      </w:r>
      <w:r w:rsidR="002A36DC">
        <w:t>Code of Practice</w:t>
      </w:r>
      <w:r w:rsidR="00C57DE3">
        <w:t xml:space="preserve"> </w:t>
      </w:r>
      <w:r w:rsidRPr="00070B0A">
        <w:t>202</w:t>
      </w:r>
      <w:r>
        <w:t>4</w:t>
      </w:r>
    </w:p>
    <w:p w14:paraId="13B14455" w14:textId="5E4A2605" w:rsidR="00E06482" w:rsidRPr="00F04606" w:rsidRDefault="00E06482" w:rsidP="00F04606">
      <w:pPr>
        <w:spacing w:before="340" w:after="0"/>
        <w:rPr>
          <w:rFonts w:ascii="Arial" w:eastAsia="Times New Roman" w:hAnsi="Arial" w:cs="Arial"/>
          <w:b/>
          <w:bCs/>
          <w:sz w:val="24"/>
          <w:szCs w:val="20"/>
        </w:rPr>
      </w:pPr>
      <w:r w:rsidRPr="00F04606">
        <w:rPr>
          <w:rFonts w:ascii="Arial" w:eastAsia="Times New Roman" w:hAnsi="Arial" w:cs="Arial"/>
          <w:b/>
          <w:bCs/>
          <w:sz w:val="24"/>
          <w:szCs w:val="20"/>
        </w:rPr>
        <w:t>Disallowable instrument DI2024–</w:t>
      </w:r>
      <w:r w:rsidR="00C06BB3">
        <w:rPr>
          <w:rFonts w:ascii="Arial" w:eastAsia="Times New Roman" w:hAnsi="Arial" w:cs="Arial"/>
          <w:b/>
          <w:bCs/>
          <w:sz w:val="24"/>
          <w:szCs w:val="20"/>
        </w:rPr>
        <w:t>280</w:t>
      </w:r>
    </w:p>
    <w:p w14:paraId="1297342B" w14:textId="77777777" w:rsidR="00E06482" w:rsidRPr="00A015E6" w:rsidRDefault="00E06482" w:rsidP="00F04606">
      <w:pPr>
        <w:pStyle w:val="madeunder"/>
        <w:overflowPunct/>
        <w:autoSpaceDE/>
        <w:autoSpaceDN/>
        <w:adjustRightInd/>
        <w:spacing w:before="300" w:after="0"/>
        <w:rPr>
          <w:szCs w:val="20"/>
        </w:rPr>
      </w:pPr>
      <w:r w:rsidRPr="00A015E6">
        <w:rPr>
          <w:szCs w:val="20"/>
        </w:rPr>
        <w:t>made under the</w:t>
      </w:r>
    </w:p>
    <w:p w14:paraId="4DB90D71" w14:textId="0A13A62B" w:rsidR="00E06482" w:rsidRPr="00F04606" w:rsidRDefault="00E06482" w:rsidP="00F04606">
      <w:pPr>
        <w:pStyle w:val="CoverActName"/>
        <w:overflowPunct/>
        <w:autoSpaceDE/>
        <w:autoSpaceDN/>
        <w:adjustRightInd/>
        <w:spacing w:before="320" w:after="0"/>
        <w:rPr>
          <w:bCs w:val="0"/>
          <w:sz w:val="20"/>
          <w:szCs w:val="20"/>
        </w:rPr>
      </w:pPr>
      <w:r w:rsidRPr="00A015E6">
        <w:rPr>
          <w:bCs w:val="0"/>
          <w:sz w:val="20"/>
          <w:szCs w:val="20"/>
        </w:rPr>
        <w:t xml:space="preserve">Professional Engineers Act 2023, s 85 (Codes of </w:t>
      </w:r>
      <w:r w:rsidR="002A36DC" w:rsidRPr="00A015E6">
        <w:rPr>
          <w:bCs w:val="0"/>
          <w:sz w:val="20"/>
          <w:szCs w:val="20"/>
        </w:rPr>
        <w:t>p</w:t>
      </w:r>
      <w:r w:rsidRPr="00A015E6">
        <w:rPr>
          <w:bCs w:val="0"/>
          <w:sz w:val="20"/>
          <w:szCs w:val="20"/>
        </w:rPr>
        <w:t>ractice)</w:t>
      </w:r>
    </w:p>
    <w:p w14:paraId="4F458E41" w14:textId="77777777" w:rsidR="00E06482" w:rsidRPr="004455B3" w:rsidRDefault="00E06482" w:rsidP="00E06482">
      <w:pPr>
        <w:pStyle w:val="N-line3"/>
        <w:pBdr>
          <w:bottom w:val="none" w:sz="0" w:space="0" w:color="auto"/>
        </w:pBdr>
        <w:spacing w:before="60"/>
      </w:pPr>
    </w:p>
    <w:p w14:paraId="3A6F2429" w14:textId="77777777" w:rsidR="00E06482" w:rsidRPr="004455B3" w:rsidRDefault="00E06482" w:rsidP="00E06482">
      <w:pPr>
        <w:pStyle w:val="N-line3"/>
        <w:pBdr>
          <w:top w:val="single" w:sz="12" w:space="1" w:color="auto"/>
          <w:bottom w:val="none" w:sz="0" w:space="0" w:color="auto"/>
        </w:pBdr>
      </w:pPr>
    </w:p>
    <w:p w14:paraId="54CB1CD9" w14:textId="77777777" w:rsidR="00E06482" w:rsidRPr="004455B3" w:rsidRDefault="00E06482" w:rsidP="00E06482">
      <w:pPr>
        <w:pStyle w:val="CoverActName"/>
        <w:numPr>
          <w:ilvl w:val="0"/>
          <w:numId w:val="21"/>
        </w:numPr>
        <w:spacing w:before="60"/>
        <w:jc w:val="left"/>
        <w:rPr>
          <w:bCs w:val="0"/>
        </w:rPr>
      </w:pPr>
      <w:r w:rsidRPr="004455B3">
        <w:rPr>
          <w:bCs w:val="0"/>
        </w:rPr>
        <w:t>Name of instrument</w:t>
      </w:r>
    </w:p>
    <w:p w14:paraId="0F1E9683" w14:textId="0080B796" w:rsidR="00E06482" w:rsidRPr="00070B0A" w:rsidRDefault="00E06482" w:rsidP="00E06482">
      <w:pPr>
        <w:pStyle w:val="CoverActName"/>
        <w:tabs>
          <w:tab w:val="clear" w:pos="2600"/>
          <w:tab w:val="left" w:pos="720"/>
        </w:tabs>
        <w:spacing w:before="140" w:after="0"/>
        <w:ind w:left="720"/>
        <w:jc w:val="left"/>
        <w:rPr>
          <w:rFonts w:ascii="Times New Roman" w:hAnsi="Times New Roman" w:cs="Times New Roman"/>
          <w:b w:val="0"/>
          <w:bCs w:val="0"/>
          <w:iCs/>
        </w:rPr>
      </w:pPr>
      <w:r w:rsidRPr="004455B3">
        <w:rPr>
          <w:rFonts w:ascii="Times New Roman" w:hAnsi="Times New Roman" w:cs="Times New Roman"/>
          <w:b w:val="0"/>
          <w:bCs w:val="0"/>
        </w:rPr>
        <w:t xml:space="preserve">This instrument is the </w:t>
      </w:r>
      <w:r>
        <w:rPr>
          <w:rFonts w:ascii="Times New Roman" w:hAnsi="Times New Roman" w:cs="Times New Roman"/>
          <w:b w:val="0"/>
          <w:bCs w:val="0"/>
          <w:i/>
        </w:rPr>
        <w:t xml:space="preserve">Professional Engineers </w:t>
      </w:r>
      <w:r w:rsidR="00A015E6">
        <w:rPr>
          <w:rFonts w:ascii="Times New Roman" w:hAnsi="Times New Roman" w:cs="Times New Roman"/>
          <w:b w:val="0"/>
          <w:bCs w:val="0"/>
          <w:i/>
        </w:rPr>
        <w:t xml:space="preserve">(Fire Safety Engineering) </w:t>
      </w:r>
      <w:r w:rsidR="002A36DC">
        <w:rPr>
          <w:rFonts w:ascii="Times New Roman" w:hAnsi="Times New Roman" w:cs="Times New Roman"/>
          <w:b w:val="0"/>
          <w:bCs w:val="0"/>
          <w:i/>
        </w:rPr>
        <w:t>Code of Practice</w:t>
      </w:r>
      <w:r w:rsidR="00C57DE3">
        <w:rPr>
          <w:rFonts w:ascii="Times New Roman" w:hAnsi="Times New Roman" w:cs="Times New Roman"/>
          <w:b w:val="0"/>
          <w:bCs w:val="0"/>
          <w:i/>
        </w:rPr>
        <w:t xml:space="preserve"> </w:t>
      </w:r>
      <w:r w:rsidRPr="00070B0A">
        <w:rPr>
          <w:rFonts w:ascii="Times New Roman" w:hAnsi="Times New Roman" w:cs="Times New Roman"/>
          <w:b w:val="0"/>
          <w:bCs w:val="0"/>
          <w:i/>
        </w:rPr>
        <w:t>202</w:t>
      </w:r>
      <w:r>
        <w:rPr>
          <w:rFonts w:ascii="Times New Roman" w:hAnsi="Times New Roman" w:cs="Times New Roman"/>
          <w:b w:val="0"/>
          <w:bCs w:val="0"/>
          <w:i/>
        </w:rPr>
        <w:t>4</w:t>
      </w:r>
      <w:r>
        <w:rPr>
          <w:rFonts w:ascii="Times New Roman" w:hAnsi="Times New Roman" w:cs="Times New Roman"/>
          <w:b w:val="0"/>
          <w:bCs w:val="0"/>
          <w:iCs/>
        </w:rPr>
        <w:t>.</w:t>
      </w:r>
    </w:p>
    <w:p w14:paraId="2380E5BA" w14:textId="77777777" w:rsidR="00E06482" w:rsidRPr="004455B3" w:rsidRDefault="00E06482" w:rsidP="00E06482">
      <w:pPr>
        <w:pStyle w:val="CoverActName"/>
        <w:numPr>
          <w:ilvl w:val="0"/>
          <w:numId w:val="21"/>
        </w:numPr>
        <w:spacing w:before="300" w:after="0"/>
        <w:jc w:val="left"/>
        <w:rPr>
          <w:bCs w:val="0"/>
        </w:rPr>
      </w:pPr>
      <w:r w:rsidRPr="004455B3">
        <w:rPr>
          <w:bCs w:val="0"/>
        </w:rPr>
        <w:t>Commencement</w:t>
      </w:r>
    </w:p>
    <w:p w14:paraId="22F9C4A6" w14:textId="77777777" w:rsidR="00E06482" w:rsidRPr="004455B3" w:rsidRDefault="00E06482" w:rsidP="00E06482">
      <w:pPr>
        <w:pStyle w:val="CoverActName"/>
        <w:tabs>
          <w:tab w:val="clear" w:pos="2600"/>
          <w:tab w:val="left" w:pos="720"/>
        </w:tabs>
        <w:spacing w:before="140" w:after="0"/>
        <w:ind w:left="720"/>
        <w:jc w:val="left"/>
        <w:rPr>
          <w:rFonts w:ascii="Times New Roman" w:hAnsi="Times New Roman" w:cs="Times New Roman"/>
          <w:b w:val="0"/>
          <w:bCs w:val="0"/>
        </w:rPr>
      </w:pPr>
      <w:r w:rsidRPr="004455B3">
        <w:rPr>
          <w:rFonts w:ascii="Times New Roman" w:hAnsi="Times New Roman" w:cs="Times New Roman"/>
          <w:b w:val="0"/>
          <w:bCs w:val="0"/>
        </w:rPr>
        <w:t xml:space="preserve">This instrument </w:t>
      </w:r>
      <w:r w:rsidRPr="00663923">
        <w:rPr>
          <w:rFonts w:ascii="Times New Roman" w:hAnsi="Times New Roman" w:cs="Times New Roman"/>
          <w:b w:val="0"/>
          <w:bCs w:val="0"/>
        </w:rPr>
        <w:t>commences</w:t>
      </w:r>
      <w:r>
        <w:rPr>
          <w:rFonts w:ascii="Times New Roman" w:hAnsi="Times New Roman" w:cs="Times New Roman"/>
          <w:b w:val="0"/>
          <w:bCs w:val="0"/>
        </w:rPr>
        <w:t xml:space="preserve"> on 6 March 2025.</w:t>
      </w:r>
    </w:p>
    <w:p w14:paraId="62F9D0FF" w14:textId="49D0FA88" w:rsidR="00E06482" w:rsidRPr="00B8246F" w:rsidRDefault="00A015E6" w:rsidP="00E06482">
      <w:pPr>
        <w:pStyle w:val="CoverActName"/>
        <w:numPr>
          <w:ilvl w:val="0"/>
          <w:numId w:val="21"/>
        </w:numPr>
        <w:spacing w:before="300" w:after="0"/>
        <w:jc w:val="left"/>
        <w:rPr>
          <w:bCs w:val="0"/>
        </w:rPr>
      </w:pPr>
      <w:r>
        <w:rPr>
          <w:bCs w:val="0"/>
        </w:rPr>
        <w:t>Code of practice</w:t>
      </w:r>
    </w:p>
    <w:p w14:paraId="24D3A56C" w14:textId="378AFF9D" w:rsidR="00E06482" w:rsidRDefault="00E06482" w:rsidP="00E06482">
      <w:pPr>
        <w:pStyle w:val="CoverActName"/>
        <w:tabs>
          <w:tab w:val="clear" w:pos="2600"/>
          <w:tab w:val="left" w:pos="720"/>
        </w:tabs>
        <w:spacing w:before="140" w:after="0"/>
        <w:ind w:left="720"/>
        <w:jc w:val="left"/>
        <w:rPr>
          <w:rFonts w:ascii="Times New Roman" w:hAnsi="Times New Roman" w:cs="Times New Roman"/>
          <w:b w:val="0"/>
          <w:bCs w:val="0"/>
        </w:rPr>
      </w:pPr>
      <w:r w:rsidRPr="00775F7E">
        <w:rPr>
          <w:rFonts w:ascii="Times New Roman" w:hAnsi="Times New Roman" w:cs="Times New Roman"/>
          <w:b w:val="0"/>
          <w:bCs w:val="0"/>
        </w:rPr>
        <w:t xml:space="preserve">I </w:t>
      </w:r>
      <w:r>
        <w:rPr>
          <w:rFonts w:ascii="Times New Roman" w:hAnsi="Times New Roman" w:cs="Times New Roman"/>
          <w:b w:val="0"/>
          <w:bCs w:val="0"/>
        </w:rPr>
        <w:t xml:space="preserve">approve the </w:t>
      </w:r>
      <w:r w:rsidR="00A015E6">
        <w:rPr>
          <w:rFonts w:ascii="Times New Roman" w:hAnsi="Times New Roman" w:cs="Times New Roman"/>
          <w:b w:val="0"/>
          <w:bCs w:val="0"/>
        </w:rPr>
        <w:t>c</w:t>
      </w:r>
      <w:r>
        <w:rPr>
          <w:rFonts w:ascii="Times New Roman" w:hAnsi="Times New Roman" w:cs="Times New Roman"/>
          <w:b w:val="0"/>
          <w:bCs w:val="0"/>
        </w:rPr>
        <w:t xml:space="preserve">ode of </w:t>
      </w:r>
      <w:r w:rsidR="00834AC0">
        <w:rPr>
          <w:rFonts w:ascii="Times New Roman" w:hAnsi="Times New Roman" w:cs="Times New Roman"/>
          <w:b w:val="0"/>
          <w:bCs w:val="0"/>
        </w:rPr>
        <w:t>p</w:t>
      </w:r>
      <w:r>
        <w:rPr>
          <w:rFonts w:ascii="Times New Roman" w:hAnsi="Times New Roman" w:cs="Times New Roman"/>
          <w:b w:val="0"/>
          <w:bCs w:val="0"/>
        </w:rPr>
        <w:t>ractice for professional engineers</w:t>
      </w:r>
      <w:r w:rsidR="00153A2F">
        <w:rPr>
          <w:rFonts w:ascii="Times New Roman" w:hAnsi="Times New Roman" w:cs="Times New Roman"/>
          <w:b w:val="0"/>
          <w:bCs w:val="0"/>
        </w:rPr>
        <w:t xml:space="preserve"> providing professional engineering services in the area of </w:t>
      </w:r>
      <w:r w:rsidR="000A01E5">
        <w:rPr>
          <w:rFonts w:ascii="Times New Roman" w:hAnsi="Times New Roman" w:cs="Times New Roman"/>
          <w:b w:val="0"/>
          <w:bCs w:val="0"/>
        </w:rPr>
        <w:t>f</w:t>
      </w:r>
      <w:r w:rsidR="00153A2F">
        <w:rPr>
          <w:rFonts w:ascii="Times New Roman" w:hAnsi="Times New Roman" w:cs="Times New Roman"/>
          <w:b w:val="0"/>
          <w:bCs w:val="0"/>
        </w:rPr>
        <w:t xml:space="preserve">ire </w:t>
      </w:r>
      <w:r w:rsidR="000A01E5">
        <w:rPr>
          <w:rFonts w:ascii="Times New Roman" w:hAnsi="Times New Roman" w:cs="Times New Roman"/>
          <w:b w:val="0"/>
          <w:bCs w:val="0"/>
        </w:rPr>
        <w:t>s</w:t>
      </w:r>
      <w:r w:rsidR="00153A2F">
        <w:rPr>
          <w:rFonts w:ascii="Times New Roman" w:hAnsi="Times New Roman" w:cs="Times New Roman"/>
          <w:b w:val="0"/>
          <w:bCs w:val="0"/>
        </w:rPr>
        <w:t xml:space="preserve">afety </w:t>
      </w:r>
      <w:r w:rsidR="000A01E5">
        <w:rPr>
          <w:rFonts w:ascii="Times New Roman" w:hAnsi="Times New Roman" w:cs="Times New Roman"/>
          <w:b w:val="0"/>
          <w:bCs w:val="0"/>
        </w:rPr>
        <w:t>e</w:t>
      </w:r>
      <w:r w:rsidR="00153A2F">
        <w:rPr>
          <w:rFonts w:ascii="Times New Roman" w:hAnsi="Times New Roman" w:cs="Times New Roman"/>
          <w:b w:val="0"/>
          <w:bCs w:val="0"/>
        </w:rPr>
        <w:t>ngineering</w:t>
      </w:r>
      <w:r w:rsidR="00A015E6">
        <w:rPr>
          <w:rFonts w:ascii="Times New Roman" w:hAnsi="Times New Roman" w:cs="Times New Roman"/>
          <w:b w:val="0"/>
          <w:bCs w:val="0"/>
        </w:rPr>
        <w:t xml:space="preserve"> in schedule 1</w:t>
      </w:r>
      <w:r>
        <w:rPr>
          <w:rFonts w:ascii="Times New Roman" w:hAnsi="Times New Roman" w:cs="Times New Roman"/>
          <w:b w:val="0"/>
          <w:bCs w:val="0"/>
        </w:rPr>
        <w:t>.</w:t>
      </w:r>
    </w:p>
    <w:p w14:paraId="052316D4" w14:textId="1DFAD43E" w:rsidR="00834AC0" w:rsidRPr="00B8246F" w:rsidRDefault="00834AC0" w:rsidP="00834AC0">
      <w:pPr>
        <w:pStyle w:val="CoverActName"/>
        <w:numPr>
          <w:ilvl w:val="0"/>
          <w:numId w:val="21"/>
        </w:numPr>
        <w:spacing w:before="300" w:after="0"/>
        <w:jc w:val="left"/>
        <w:rPr>
          <w:bCs w:val="0"/>
        </w:rPr>
      </w:pPr>
      <w:r w:rsidRPr="00B8246F">
        <w:rPr>
          <w:bCs w:val="0"/>
        </w:rPr>
        <w:t>D</w:t>
      </w:r>
      <w:r>
        <w:rPr>
          <w:bCs w:val="0"/>
        </w:rPr>
        <w:t>isapplication</w:t>
      </w:r>
    </w:p>
    <w:p w14:paraId="0220847B" w14:textId="77777777" w:rsidR="00834AC0" w:rsidRDefault="00834AC0" w:rsidP="00834AC0">
      <w:pPr>
        <w:pStyle w:val="CoverActName"/>
        <w:tabs>
          <w:tab w:val="clear" w:pos="2600"/>
          <w:tab w:val="left" w:pos="720"/>
        </w:tabs>
        <w:spacing w:before="140" w:after="0"/>
        <w:ind w:left="720"/>
        <w:jc w:val="left"/>
        <w:rPr>
          <w:rFonts w:ascii="Times New Roman" w:hAnsi="Times New Roman" w:cs="Times New Roman"/>
          <w:b w:val="0"/>
          <w:bCs w:val="0"/>
        </w:rPr>
      </w:pPr>
      <w:r>
        <w:rPr>
          <w:rFonts w:ascii="Times New Roman" w:hAnsi="Times New Roman" w:cs="Times New Roman"/>
          <w:b w:val="0"/>
          <w:bCs w:val="0"/>
        </w:rPr>
        <w:t xml:space="preserve">The </w:t>
      </w:r>
      <w:r w:rsidRPr="00834AC0">
        <w:rPr>
          <w:rFonts w:ascii="Times New Roman" w:hAnsi="Times New Roman" w:cs="Times New Roman"/>
          <w:b w:val="0"/>
          <w:bCs w:val="0"/>
          <w:i/>
          <w:iCs/>
        </w:rPr>
        <w:t>Legislation Act 2001</w:t>
      </w:r>
      <w:r>
        <w:rPr>
          <w:rFonts w:ascii="Times New Roman" w:hAnsi="Times New Roman" w:cs="Times New Roman"/>
          <w:b w:val="0"/>
          <w:bCs w:val="0"/>
        </w:rPr>
        <w:t>, section 47 (5) does not apply to the following documents as in force on the day this instrument commences and applied by this instrument:</w:t>
      </w:r>
    </w:p>
    <w:p w14:paraId="65126DC1" w14:textId="1E2BAABE" w:rsidR="00834AC0" w:rsidRPr="00834AC0" w:rsidRDefault="00834AC0" w:rsidP="00834AC0">
      <w:pPr>
        <w:pStyle w:val="CoverActName"/>
        <w:numPr>
          <w:ilvl w:val="0"/>
          <w:numId w:val="23"/>
        </w:numPr>
        <w:tabs>
          <w:tab w:val="clear" w:pos="2600"/>
          <w:tab w:val="left" w:pos="720"/>
        </w:tabs>
        <w:spacing w:before="140" w:after="0"/>
        <w:jc w:val="left"/>
        <w:rPr>
          <w:rFonts w:ascii="Times New Roman" w:hAnsi="Times New Roman" w:cs="Times New Roman"/>
          <w:b w:val="0"/>
          <w:bCs w:val="0"/>
        </w:rPr>
      </w:pPr>
      <w:r w:rsidRPr="00834AC0">
        <w:rPr>
          <w:rFonts w:ascii="Times New Roman" w:hAnsi="Times New Roman" w:cs="Times New Roman"/>
          <w:b w:val="0"/>
          <w:bCs w:val="0"/>
        </w:rPr>
        <w:t xml:space="preserve">Australian Fire Engineering Guidelines </w:t>
      </w:r>
      <w:r>
        <w:rPr>
          <w:rFonts w:ascii="Times New Roman" w:hAnsi="Times New Roman" w:cs="Times New Roman"/>
          <w:b w:val="0"/>
          <w:bCs w:val="0"/>
        </w:rPr>
        <w:t>(AFEG);</w:t>
      </w:r>
    </w:p>
    <w:p w14:paraId="2B46E37F" w14:textId="37AF8F1F" w:rsidR="00834AC0" w:rsidRDefault="00834AC0" w:rsidP="00834AC0">
      <w:pPr>
        <w:pStyle w:val="CoverActName"/>
        <w:numPr>
          <w:ilvl w:val="0"/>
          <w:numId w:val="23"/>
        </w:numPr>
        <w:tabs>
          <w:tab w:val="clear" w:pos="2600"/>
          <w:tab w:val="left" w:pos="720"/>
        </w:tabs>
        <w:spacing w:before="140" w:after="0"/>
        <w:jc w:val="left"/>
        <w:rPr>
          <w:rFonts w:ascii="Times New Roman" w:hAnsi="Times New Roman" w:cs="Times New Roman"/>
          <w:b w:val="0"/>
          <w:bCs w:val="0"/>
        </w:rPr>
      </w:pPr>
      <w:r>
        <w:rPr>
          <w:rFonts w:ascii="Times New Roman" w:hAnsi="Times New Roman" w:cs="Times New Roman"/>
          <w:b w:val="0"/>
          <w:bCs w:val="0"/>
        </w:rPr>
        <w:t>National Construction Code (NCC)</w:t>
      </w:r>
    </w:p>
    <w:p w14:paraId="186225DC" w14:textId="5155F6F1" w:rsidR="00834AC0" w:rsidRDefault="00834AC0" w:rsidP="00834AC0">
      <w:pPr>
        <w:pStyle w:val="anote"/>
        <w:shd w:val="clear" w:color="auto" w:fill="FFFFFF"/>
        <w:spacing w:before="140" w:beforeAutospacing="0" w:after="140" w:afterAutospacing="0"/>
        <w:ind w:left="720"/>
        <w:jc w:val="both"/>
        <w:rPr>
          <w:color w:val="000000"/>
          <w:sz w:val="20"/>
          <w:szCs w:val="20"/>
        </w:rPr>
      </w:pPr>
      <w:r>
        <w:rPr>
          <w:rStyle w:val="charitals"/>
          <w:i/>
          <w:iCs/>
          <w:color w:val="000000"/>
          <w:sz w:val="20"/>
          <w:szCs w:val="20"/>
        </w:rPr>
        <w:t>Note</w:t>
      </w:r>
      <w:r>
        <w:rPr>
          <w:color w:val="000000"/>
          <w:sz w:val="20"/>
          <w:szCs w:val="20"/>
        </w:rPr>
        <w:t> </w:t>
      </w:r>
      <w:r>
        <w:rPr>
          <w:color w:val="000000"/>
          <w:sz w:val="20"/>
          <w:szCs w:val="20"/>
        </w:rPr>
        <w:tab/>
        <w:t>The documents incorporated by this instrument do not need to be notified under the</w:t>
      </w:r>
      <w:r w:rsidR="00F04606">
        <w:rPr>
          <w:color w:val="000000"/>
          <w:sz w:val="20"/>
          <w:szCs w:val="20"/>
        </w:rPr>
        <w:tab/>
      </w:r>
      <w:r>
        <w:rPr>
          <w:color w:val="000000"/>
          <w:sz w:val="20"/>
          <w:szCs w:val="20"/>
        </w:rPr>
        <w:t>Legislation Act because s 47 (5) does not apply (see Legislation Act, s 47 (7)).</w:t>
      </w:r>
    </w:p>
    <w:p w14:paraId="6372BFD4" w14:textId="4E23F9EF" w:rsidR="00834AC0" w:rsidRDefault="00834AC0" w:rsidP="00834AC0">
      <w:pPr>
        <w:pStyle w:val="anote"/>
        <w:shd w:val="clear" w:color="auto" w:fill="FFFFFF"/>
        <w:spacing w:before="140" w:beforeAutospacing="0" w:after="140" w:afterAutospacing="0"/>
        <w:ind w:left="1080" w:firstLine="360"/>
        <w:jc w:val="both"/>
        <w:rPr>
          <w:color w:val="000000"/>
          <w:sz w:val="20"/>
          <w:szCs w:val="20"/>
          <w:shd w:val="clear" w:color="auto" w:fill="FFFFFF"/>
        </w:rPr>
      </w:pPr>
      <w:r>
        <w:rPr>
          <w:color w:val="000000"/>
          <w:sz w:val="20"/>
          <w:szCs w:val="20"/>
          <w:shd w:val="clear" w:color="auto" w:fill="FFFFFF"/>
        </w:rPr>
        <w:t xml:space="preserve">The AFEG are available </w:t>
      </w:r>
      <w:r w:rsidR="009D7D23">
        <w:rPr>
          <w:color w:val="000000"/>
          <w:sz w:val="20"/>
          <w:szCs w:val="20"/>
          <w:shd w:val="clear" w:color="auto" w:fill="FFFFFF"/>
        </w:rPr>
        <w:t xml:space="preserve">directly </w:t>
      </w:r>
      <w:r>
        <w:rPr>
          <w:color w:val="000000"/>
          <w:sz w:val="20"/>
          <w:szCs w:val="20"/>
          <w:shd w:val="clear" w:color="auto" w:fill="FFFFFF"/>
        </w:rPr>
        <w:t xml:space="preserve">from </w:t>
      </w:r>
      <w:hyperlink r:id="rId8" w:history="1">
        <w:r w:rsidRPr="00707EC2">
          <w:rPr>
            <w:rStyle w:val="Hyperlink"/>
            <w:sz w:val="20"/>
            <w:szCs w:val="20"/>
            <w:shd w:val="clear" w:color="auto" w:fill="FFFFFF"/>
          </w:rPr>
          <w:t>ncc.abcb.gov.au</w:t>
        </w:r>
      </w:hyperlink>
      <w:r w:rsidR="009D7D23">
        <w:rPr>
          <w:color w:val="000000"/>
          <w:sz w:val="20"/>
          <w:szCs w:val="20"/>
          <w:shd w:val="clear" w:color="auto" w:fill="FFFFFF"/>
        </w:rPr>
        <w:t xml:space="preserve"> or you can access this link from</w:t>
      </w:r>
      <w:r w:rsidR="009D7D23">
        <w:rPr>
          <w:color w:val="000000"/>
          <w:sz w:val="20"/>
          <w:szCs w:val="20"/>
          <w:shd w:val="clear" w:color="auto" w:fill="FFFFFF"/>
        </w:rPr>
        <w:tab/>
        <w:t>www.planning.act.gov.au</w:t>
      </w:r>
      <w:r>
        <w:rPr>
          <w:color w:val="000000"/>
          <w:sz w:val="20"/>
          <w:szCs w:val="20"/>
          <w:shd w:val="clear" w:color="auto" w:fill="FFFFFF"/>
        </w:rPr>
        <w:t>.</w:t>
      </w:r>
    </w:p>
    <w:p w14:paraId="39E95B5E" w14:textId="65ADF29D" w:rsidR="00E06482" w:rsidRDefault="00834AC0" w:rsidP="00F04606">
      <w:pPr>
        <w:pStyle w:val="anote"/>
        <w:shd w:val="clear" w:color="auto" w:fill="FFFFFF"/>
        <w:spacing w:before="140" w:beforeAutospacing="0" w:after="140" w:afterAutospacing="0"/>
        <w:ind w:left="1080" w:firstLine="360"/>
        <w:jc w:val="both"/>
      </w:pPr>
      <w:r>
        <w:rPr>
          <w:color w:val="000000"/>
          <w:sz w:val="20"/>
          <w:szCs w:val="20"/>
          <w:shd w:val="clear" w:color="auto" w:fill="FFFFFF"/>
        </w:rPr>
        <w:t xml:space="preserve">The NCC is available </w:t>
      </w:r>
      <w:r w:rsidR="009D7D23">
        <w:rPr>
          <w:color w:val="000000"/>
          <w:sz w:val="20"/>
          <w:szCs w:val="20"/>
          <w:shd w:val="clear" w:color="auto" w:fill="FFFFFF"/>
        </w:rPr>
        <w:t xml:space="preserve">directly </w:t>
      </w:r>
      <w:r>
        <w:rPr>
          <w:color w:val="000000"/>
          <w:sz w:val="20"/>
          <w:szCs w:val="20"/>
          <w:shd w:val="clear" w:color="auto" w:fill="FFFFFF"/>
        </w:rPr>
        <w:t xml:space="preserve">from </w:t>
      </w:r>
      <w:hyperlink r:id="rId9" w:history="1">
        <w:r w:rsidR="009D7D23" w:rsidRPr="00297D80">
          <w:rPr>
            <w:rStyle w:val="Hyperlink"/>
            <w:sz w:val="20"/>
            <w:szCs w:val="20"/>
            <w:shd w:val="clear" w:color="auto" w:fill="FFFFFF"/>
          </w:rPr>
          <w:t>www.abcb.gov.au</w:t>
        </w:r>
      </w:hyperlink>
      <w:r w:rsidR="009D7D23">
        <w:rPr>
          <w:color w:val="000000"/>
          <w:sz w:val="20"/>
          <w:szCs w:val="20"/>
          <w:shd w:val="clear" w:color="auto" w:fill="FFFFFF"/>
        </w:rPr>
        <w:t xml:space="preserve"> or you can access this link from</w:t>
      </w:r>
      <w:r w:rsidR="009D7D23">
        <w:rPr>
          <w:color w:val="000000"/>
          <w:sz w:val="20"/>
          <w:szCs w:val="20"/>
          <w:shd w:val="clear" w:color="auto" w:fill="FFFFFF"/>
        </w:rPr>
        <w:tab/>
      </w:r>
      <w:hyperlink r:id="rId10" w:history="1">
        <w:r w:rsidR="009D7D23" w:rsidRPr="00297D80">
          <w:rPr>
            <w:rStyle w:val="Hyperlink"/>
            <w:sz w:val="20"/>
            <w:szCs w:val="20"/>
            <w:shd w:val="clear" w:color="auto" w:fill="FFFFFF"/>
          </w:rPr>
          <w:t>www.planning.act.gov.au</w:t>
        </w:r>
      </w:hyperlink>
      <w:r>
        <w:rPr>
          <w:color w:val="000000"/>
          <w:sz w:val="20"/>
          <w:szCs w:val="20"/>
          <w:shd w:val="clear" w:color="auto" w:fill="FFFFFF"/>
        </w:rPr>
        <w:t>.</w:t>
      </w:r>
    </w:p>
    <w:p w14:paraId="1A2B9E14" w14:textId="28E0D3A8" w:rsidR="00E06482" w:rsidRPr="00ED1714" w:rsidRDefault="00E06482" w:rsidP="00ED1714">
      <w:pPr>
        <w:spacing w:before="720"/>
        <w:rPr>
          <w:rFonts w:ascii="Times New Roman" w:hAnsi="Times New Roman" w:cs="Times New Roman"/>
          <w:sz w:val="24"/>
          <w:szCs w:val="24"/>
        </w:rPr>
      </w:pPr>
      <w:r w:rsidRPr="002A6B0D">
        <w:rPr>
          <w:rFonts w:ascii="Times New Roman" w:hAnsi="Times New Roman" w:cs="Times New Roman"/>
          <w:sz w:val="24"/>
          <w:szCs w:val="24"/>
        </w:rPr>
        <w:t>Rebecca Vassarotti MLA</w:t>
      </w:r>
      <w:r>
        <w:rPr>
          <w:rFonts w:ascii="Times New Roman" w:hAnsi="Times New Roman" w:cs="Times New Roman"/>
          <w:sz w:val="24"/>
          <w:szCs w:val="24"/>
        </w:rPr>
        <w:br/>
      </w:r>
      <w:r w:rsidRPr="002A6B0D">
        <w:rPr>
          <w:rFonts w:ascii="Times New Roman" w:hAnsi="Times New Roman" w:cs="Times New Roman"/>
          <w:sz w:val="24"/>
          <w:szCs w:val="24"/>
        </w:rPr>
        <w:t xml:space="preserve">Minister for Sustainable Building and Construction </w:t>
      </w:r>
      <w:r>
        <w:rPr>
          <w:rFonts w:ascii="Times New Roman" w:hAnsi="Times New Roman" w:cs="Times New Roman"/>
          <w:sz w:val="24"/>
          <w:szCs w:val="24"/>
        </w:rPr>
        <w:br/>
      </w:r>
      <w:r w:rsidR="00E17942">
        <w:rPr>
          <w:rFonts w:ascii="Times New Roman" w:hAnsi="Times New Roman" w:cs="Times New Roman"/>
          <w:sz w:val="24"/>
          <w:szCs w:val="24"/>
        </w:rPr>
        <w:t xml:space="preserve">5 </w:t>
      </w:r>
      <w:r>
        <w:rPr>
          <w:rFonts w:ascii="Times New Roman" w:hAnsi="Times New Roman" w:cs="Times New Roman"/>
          <w:sz w:val="24"/>
          <w:szCs w:val="24"/>
        </w:rPr>
        <w:t>September 2024</w:t>
      </w:r>
    </w:p>
    <w:p w14:paraId="57706252" w14:textId="77777777" w:rsidR="006829BC" w:rsidRDefault="006829BC" w:rsidP="006829BC">
      <w:pPr>
        <w:spacing w:after="160" w:line="259" w:lineRule="auto"/>
        <w:jc w:val="center"/>
        <w:rPr>
          <w:rFonts w:cstheme="minorHAnsi"/>
          <w:b/>
          <w:bCs/>
          <w:noProof/>
        </w:rPr>
      </w:pPr>
      <w:r>
        <w:rPr>
          <w:rFonts w:cstheme="minorHAnsi"/>
          <w:b/>
          <w:bCs/>
          <w:noProof/>
          <w:sz w:val="32"/>
          <w:szCs w:val="32"/>
        </w:rPr>
        <w:lastRenderedPageBreak/>
        <w:t>Schedule 1</w:t>
      </w:r>
      <w:r>
        <w:rPr>
          <w:rFonts w:cstheme="minorHAnsi"/>
          <w:b/>
          <w:bCs/>
          <w:noProof/>
          <w:sz w:val="32"/>
          <w:szCs w:val="32"/>
        </w:rPr>
        <w:br/>
      </w:r>
      <w:r w:rsidRPr="00340664">
        <w:rPr>
          <w:rFonts w:cstheme="minorHAnsi"/>
          <w:b/>
          <w:bCs/>
          <w:noProof/>
        </w:rPr>
        <w:t>(see section 3)</w:t>
      </w:r>
    </w:p>
    <w:p w14:paraId="21B7C92E" w14:textId="77777777" w:rsidR="00153A2F" w:rsidRDefault="00153A2F" w:rsidP="006829BC">
      <w:pPr>
        <w:spacing w:after="160" w:line="259" w:lineRule="auto"/>
        <w:jc w:val="center"/>
        <w:rPr>
          <w:rFonts w:cstheme="minorHAnsi"/>
          <w:b/>
          <w:bCs/>
          <w:noProof/>
          <w:sz w:val="32"/>
          <w:szCs w:val="32"/>
        </w:rPr>
      </w:pPr>
    </w:p>
    <w:p w14:paraId="0D78CE1E" w14:textId="454C636D" w:rsidR="006829BC" w:rsidRPr="00B50739" w:rsidRDefault="006829BC" w:rsidP="006829BC">
      <w:pPr>
        <w:spacing w:after="160" w:line="259" w:lineRule="auto"/>
        <w:jc w:val="center"/>
        <w:rPr>
          <w:rFonts w:cstheme="minorHAnsi"/>
          <w:b/>
          <w:bCs/>
          <w:noProof/>
          <w:sz w:val="32"/>
          <w:szCs w:val="32"/>
        </w:rPr>
      </w:pPr>
      <w:r w:rsidRPr="00B50739">
        <w:rPr>
          <w:rFonts w:cstheme="minorHAnsi"/>
          <w:b/>
          <w:bCs/>
          <w:noProof/>
          <w:sz w:val="32"/>
          <w:szCs w:val="32"/>
        </w:rPr>
        <w:t xml:space="preserve">Code of </w:t>
      </w:r>
      <w:r w:rsidR="00834AC0">
        <w:rPr>
          <w:rFonts w:cstheme="minorHAnsi"/>
          <w:b/>
          <w:bCs/>
          <w:noProof/>
          <w:sz w:val="32"/>
          <w:szCs w:val="32"/>
        </w:rPr>
        <w:t>p</w:t>
      </w:r>
      <w:r>
        <w:rPr>
          <w:rFonts w:cstheme="minorHAnsi"/>
          <w:b/>
          <w:bCs/>
          <w:noProof/>
          <w:sz w:val="32"/>
          <w:szCs w:val="32"/>
        </w:rPr>
        <w:t>ractice for</w:t>
      </w:r>
      <w:r w:rsidR="00153A2F">
        <w:rPr>
          <w:rFonts w:cstheme="minorHAnsi"/>
          <w:b/>
          <w:bCs/>
          <w:noProof/>
          <w:sz w:val="32"/>
          <w:szCs w:val="32"/>
        </w:rPr>
        <w:t xml:space="preserve"> </w:t>
      </w:r>
      <w:r w:rsidR="00834AC0">
        <w:rPr>
          <w:rFonts w:cstheme="minorHAnsi"/>
          <w:b/>
          <w:bCs/>
          <w:noProof/>
          <w:sz w:val="32"/>
          <w:szCs w:val="32"/>
        </w:rPr>
        <w:t>f</w:t>
      </w:r>
      <w:r w:rsidR="00153A2F">
        <w:rPr>
          <w:rFonts w:cstheme="minorHAnsi"/>
          <w:b/>
          <w:bCs/>
          <w:noProof/>
          <w:sz w:val="32"/>
          <w:szCs w:val="32"/>
        </w:rPr>
        <w:t xml:space="preserve">ire </w:t>
      </w:r>
      <w:r w:rsidR="00BE60EA">
        <w:rPr>
          <w:rFonts w:cstheme="minorHAnsi"/>
          <w:b/>
          <w:bCs/>
          <w:noProof/>
          <w:sz w:val="32"/>
          <w:szCs w:val="32"/>
        </w:rPr>
        <w:t>s</w:t>
      </w:r>
      <w:r w:rsidR="00153A2F">
        <w:rPr>
          <w:rFonts w:cstheme="minorHAnsi"/>
          <w:b/>
          <w:bCs/>
          <w:noProof/>
          <w:sz w:val="32"/>
          <w:szCs w:val="32"/>
        </w:rPr>
        <w:t xml:space="preserve">afety </w:t>
      </w:r>
      <w:r w:rsidR="00BE60EA">
        <w:rPr>
          <w:rFonts w:cstheme="minorHAnsi"/>
          <w:b/>
          <w:bCs/>
          <w:noProof/>
          <w:sz w:val="32"/>
          <w:szCs w:val="32"/>
        </w:rPr>
        <w:t>e</w:t>
      </w:r>
      <w:r w:rsidR="00153A2F">
        <w:rPr>
          <w:rFonts w:cstheme="minorHAnsi"/>
          <w:b/>
          <w:bCs/>
          <w:noProof/>
          <w:sz w:val="32"/>
          <w:szCs w:val="32"/>
        </w:rPr>
        <w:t>ngineering</w:t>
      </w:r>
      <w:r>
        <w:rPr>
          <w:rFonts w:cstheme="minorHAnsi"/>
          <w:b/>
          <w:bCs/>
          <w:noProof/>
          <w:sz w:val="32"/>
          <w:szCs w:val="32"/>
        </w:rPr>
        <w:t xml:space="preserve"> </w:t>
      </w:r>
    </w:p>
    <w:p w14:paraId="1C367607" w14:textId="30F0D939" w:rsidR="00A054F3" w:rsidRDefault="00A054F3" w:rsidP="00A054F3">
      <w:pPr>
        <w:pStyle w:val="Heading1"/>
        <w:numPr>
          <w:ilvl w:val="0"/>
          <w:numId w:val="0"/>
        </w:numPr>
        <w:rPr>
          <w:b w:val="0"/>
          <w:bCs/>
          <w:sz w:val="26"/>
          <w:szCs w:val="26"/>
        </w:rPr>
      </w:pPr>
      <w:r>
        <w:rPr>
          <w:sz w:val="26"/>
          <w:szCs w:val="26"/>
        </w:rPr>
        <w:t>Introduction</w:t>
      </w:r>
      <w:bookmarkEnd w:id="0"/>
      <w:r>
        <w:rPr>
          <w:bCs/>
          <w:sz w:val="26"/>
          <w:szCs w:val="26"/>
        </w:rPr>
        <w:t xml:space="preserve"> </w:t>
      </w:r>
    </w:p>
    <w:p w14:paraId="705AA163" w14:textId="7CC152AB" w:rsidR="00A054F3" w:rsidRPr="00D653CF" w:rsidRDefault="00A054F3" w:rsidP="00EF78FA">
      <w:pPr>
        <w:spacing w:before="120" w:line="360" w:lineRule="auto"/>
      </w:pPr>
      <w:r w:rsidRPr="00D653CF">
        <w:t xml:space="preserve">This Code of Practice for Professional Engineers </w:t>
      </w:r>
      <w:r w:rsidR="00BE60EA">
        <w:t xml:space="preserve">providing professional engineering services in the area of fire safety engineering </w:t>
      </w:r>
      <w:r w:rsidRPr="00D653CF">
        <w:t>(Code) is made under section 85</w:t>
      </w:r>
      <w:r>
        <w:t xml:space="preserve"> (1) (b)</w:t>
      </w:r>
      <w:r w:rsidRPr="00D653CF">
        <w:t xml:space="preserve"> of the </w:t>
      </w:r>
      <w:r w:rsidRPr="00EF78FA">
        <w:rPr>
          <w:i/>
          <w:iCs/>
        </w:rPr>
        <w:t>Professional Engineers Act 2023</w:t>
      </w:r>
      <w:r w:rsidRPr="00EF78FA">
        <w:t xml:space="preserve"> </w:t>
      </w:r>
      <w:r w:rsidRPr="00D653CF">
        <w:t xml:space="preserve">(Professional Engineers Act). </w:t>
      </w:r>
    </w:p>
    <w:p w14:paraId="08B71986" w14:textId="7CB7DCA1" w:rsidR="00A054F3" w:rsidRDefault="00A054F3" w:rsidP="00EF78FA">
      <w:pPr>
        <w:spacing w:before="120" w:line="360" w:lineRule="auto"/>
      </w:pPr>
      <w:r w:rsidRPr="00D653CF">
        <w:t xml:space="preserve">Professional engineers </w:t>
      </w:r>
      <w:r>
        <w:t xml:space="preserve">providing professional engineering services in fire safety engineering </w:t>
      </w:r>
      <w:r w:rsidR="00EF78FA">
        <w:t xml:space="preserve">(fire safety engineers) </w:t>
      </w:r>
      <w:r>
        <w:t>must comply with this Code in addition to any general Code of Practice applicable to professional engineers.</w:t>
      </w:r>
    </w:p>
    <w:p w14:paraId="5311E80D" w14:textId="7C5F8ED0" w:rsidR="00A054F3" w:rsidRDefault="00A054F3" w:rsidP="00EF78FA">
      <w:pPr>
        <w:spacing w:before="120" w:line="360" w:lineRule="auto"/>
      </w:pPr>
      <w:r>
        <w:t>Compliance with any Code issued under section 85 of the Professional Engineers Act is required for a professional engineer to</w:t>
      </w:r>
      <w:r w:rsidRPr="00D653CF">
        <w:t xml:space="preserve"> meet their obligations under section 27 of the Professional Engineers Act. </w:t>
      </w:r>
    </w:p>
    <w:p w14:paraId="5FEE51AB" w14:textId="7A8B9CA2" w:rsidR="00A054F3" w:rsidRPr="00D653CF" w:rsidRDefault="00A054F3" w:rsidP="00EF78FA">
      <w:pPr>
        <w:spacing w:before="120" w:line="360" w:lineRule="auto"/>
      </w:pPr>
      <w:r>
        <w:t>F</w:t>
      </w:r>
      <w:r w:rsidRPr="00D653CF">
        <w:t xml:space="preserve">ailure to comply with this Code is both a ground for disciplinary </w:t>
      </w:r>
      <w:r>
        <w:t>action</w:t>
      </w:r>
      <w:r w:rsidRPr="00D653CF">
        <w:t xml:space="preserve"> and an offence (sections 36 and 61 of the Professional Engineers Act). </w:t>
      </w:r>
    </w:p>
    <w:p w14:paraId="54BFECF4" w14:textId="77777777" w:rsidR="00A054F3" w:rsidRDefault="00A054F3" w:rsidP="00A054F3">
      <w:pPr>
        <w:pStyle w:val="Heading1"/>
        <w:numPr>
          <w:ilvl w:val="0"/>
          <w:numId w:val="0"/>
        </w:numPr>
        <w:rPr>
          <w:b w:val="0"/>
          <w:bCs/>
          <w:sz w:val="26"/>
          <w:szCs w:val="26"/>
        </w:rPr>
      </w:pPr>
      <w:bookmarkStart w:id="3" w:name="_Toc171340355"/>
      <w:r>
        <w:rPr>
          <w:sz w:val="26"/>
          <w:szCs w:val="26"/>
        </w:rPr>
        <w:t>Purpose of this Code</w:t>
      </w:r>
      <w:bookmarkEnd w:id="3"/>
      <w:r>
        <w:rPr>
          <w:sz w:val="26"/>
          <w:szCs w:val="26"/>
        </w:rPr>
        <w:t xml:space="preserve"> </w:t>
      </w:r>
    </w:p>
    <w:p w14:paraId="61F232B1" w14:textId="159B973E" w:rsidR="00A054F3" w:rsidRDefault="00A054F3" w:rsidP="00EF78FA">
      <w:pPr>
        <w:spacing w:before="120" w:line="360" w:lineRule="auto"/>
      </w:pPr>
      <w:r>
        <w:t>The purpose of this Code is to set standards for professional engineers providing fire safety engineering services. This supports the objects of the Professional Engineers Act to uphold standards of practice and maintain public confidence in the standard of services provided by professional engineers in the ACT. It also supports the recommendations of the National Building Confidence Report and is based on the model Code of conduct for Fire Safety Engineers developed by the Australian Building Codes Board (ABCB) in response to the National Building Confidence Report.</w:t>
      </w:r>
    </w:p>
    <w:p w14:paraId="238F9947" w14:textId="77777777" w:rsidR="00A054F3" w:rsidRDefault="00A054F3" w:rsidP="00A054F3">
      <w:pPr>
        <w:pStyle w:val="Heading1"/>
        <w:numPr>
          <w:ilvl w:val="0"/>
          <w:numId w:val="0"/>
        </w:numPr>
        <w:rPr>
          <w:b w:val="0"/>
          <w:bCs/>
          <w:sz w:val="26"/>
          <w:szCs w:val="26"/>
        </w:rPr>
      </w:pPr>
      <w:bookmarkStart w:id="4" w:name="_Toc171340356"/>
      <w:r>
        <w:rPr>
          <w:sz w:val="26"/>
          <w:szCs w:val="26"/>
        </w:rPr>
        <w:t>Application of this Code</w:t>
      </w:r>
      <w:bookmarkEnd w:id="4"/>
      <w:r>
        <w:rPr>
          <w:sz w:val="26"/>
          <w:szCs w:val="26"/>
        </w:rPr>
        <w:t xml:space="preserve"> </w:t>
      </w:r>
    </w:p>
    <w:p w14:paraId="1B2A69A5" w14:textId="4E67EAC2" w:rsidR="00342075" w:rsidRPr="00342075" w:rsidRDefault="00A054F3" w:rsidP="00342075">
      <w:pPr>
        <w:spacing w:before="120" w:line="360" w:lineRule="auto"/>
        <w:rPr>
          <w:szCs w:val="24"/>
          <w:lang w:eastAsia="en-AU"/>
        </w:rPr>
      </w:pPr>
      <w:r w:rsidRPr="00342075">
        <w:rPr>
          <w:szCs w:val="24"/>
          <w:lang w:eastAsia="en-AU"/>
        </w:rPr>
        <w:t xml:space="preserve">This Code sets out additional professional conduct standards for fire safety engineers. </w:t>
      </w:r>
      <w:r w:rsidR="00342075" w:rsidRPr="00342075">
        <w:rPr>
          <w:szCs w:val="24"/>
          <w:lang w:eastAsia="en-AU"/>
        </w:rPr>
        <w:t xml:space="preserve">Fire safety engineers hold a </w:t>
      </w:r>
      <w:r w:rsidR="008C73BA">
        <w:rPr>
          <w:szCs w:val="24"/>
          <w:lang w:eastAsia="en-AU"/>
        </w:rPr>
        <w:t xml:space="preserve">special </w:t>
      </w:r>
      <w:r w:rsidR="00342075" w:rsidRPr="00342075">
        <w:rPr>
          <w:szCs w:val="24"/>
          <w:lang w:eastAsia="en-AU"/>
        </w:rPr>
        <w:t>position of trust</w:t>
      </w:r>
      <w:r w:rsidR="008C73BA">
        <w:rPr>
          <w:szCs w:val="24"/>
          <w:lang w:eastAsia="en-AU"/>
        </w:rPr>
        <w:t xml:space="preserve"> giving their important role in protecting health and safety</w:t>
      </w:r>
      <w:r w:rsidR="00342075" w:rsidRPr="00342075">
        <w:rPr>
          <w:szCs w:val="24"/>
          <w:lang w:eastAsia="en-AU"/>
        </w:rPr>
        <w:t xml:space="preserve">. </w:t>
      </w:r>
    </w:p>
    <w:p w14:paraId="5A8282A0" w14:textId="77777777" w:rsidR="00A054F3" w:rsidRDefault="00A054F3" w:rsidP="00EF78FA">
      <w:pPr>
        <w:spacing w:before="120" w:line="360" w:lineRule="auto"/>
        <w:rPr>
          <w:szCs w:val="24"/>
          <w:lang w:eastAsia="en-AU"/>
        </w:rPr>
      </w:pPr>
      <w:r>
        <w:rPr>
          <w:szCs w:val="24"/>
          <w:lang w:eastAsia="en-AU"/>
        </w:rPr>
        <w:lastRenderedPageBreak/>
        <w:t xml:space="preserve">The provisions of this Code apply to the extent reasonably practicable in relation to professional engineering services in progress at the time this Code commenced. </w:t>
      </w:r>
    </w:p>
    <w:p w14:paraId="5BDA2A6F" w14:textId="2A3D49B2" w:rsidR="00A054F3" w:rsidRDefault="00A054F3" w:rsidP="00A054F3">
      <w:pPr>
        <w:pStyle w:val="Heading1"/>
        <w:numPr>
          <w:ilvl w:val="0"/>
          <w:numId w:val="0"/>
        </w:numPr>
        <w:rPr>
          <w:sz w:val="26"/>
          <w:szCs w:val="26"/>
        </w:rPr>
      </w:pPr>
      <w:bookmarkStart w:id="5" w:name="_Toc171340357"/>
      <w:r>
        <w:rPr>
          <w:sz w:val="26"/>
          <w:szCs w:val="26"/>
        </w:rPr>
        <w:t xml:space="preserve">Dictionary </w:t>
      </w:r>
      <w:bookmarkEnd w:id="5"/>
    </w:p>
    <w:p w14:paraId="5B9ADD42" w14:textId="3417CA15" w:rsidR="00A054F3" w:rsidRDefault="00A054F3" w:rsidP="00EF78FA">
      <w:pPr>
        <w:widowControl w:val="0"/>
        <w:spacing w:before="120" w:line="360" w:lineRule="auto"/>
        <w:rPr>
          <w:rFonts w:cstheme="minorHAnsi"/>
        </w:rPr>
      </w:pPr>
      <w:r>
        <w:rPr>
          <w:rFonts w:cstheme="minorHAnsi"/>
        </w:rPr>
        <w:t>A term used in this Code has the same meaning as the term has in the Professional Engineers Act</w:t>
      </w:r>
      <w:r w:rsidR="00EF78FA">
        <w:rPr>
          <w:rFonts w:cstheme="minorHAnsi"/>
        </w:rPr>
        <w:t>.</w:t>
      </w:r>
    </w:p>
    <w:p w14:paraId="5F270D42" w14:textId="77777777" w:rsidR="00A054F3" w:rsidRDefault="00A054F3" w:rsidP="00EF78FA">
      <w:pPr>
        <w:widowControl w:val="0"/>
        <w:spacing w:before="120" w:line="360" w:lineRule="auto"/>
        <w:rPr>
          <w:rFonts w:cstheme="minorHAnsi"/>
        </w:rPr>
      </w:pPr>
      <w:r>
        <w:rPr>
          <w:rFonts w:cstheme="minorHAnsi"/>
        </w:rPr>
        <w:t xml:space="preserve">In this Code – </w:t>
      </w:r>
    </w:p>
    <w:p w14:paraId="78348679" w14:textId="77777777" w:rsidR="00A054F3" w:rsidRDefault="00A054F3" w:rsidP="00EF78FA">
      <w:pPr>
        <w:widowControl w:val="0"/>
        <w:spacing w:before="120" w:line="360" w:lineRule="auto"/>
        <w:rPr>
          <w:i/>
          <w:iCs/>
        </w:rPr>
      </w:pPr>
      <w:r>
        <w:rPr>
          <w:b/>
          <w:bCs/>
        </w:rPr>
        <w:t xml:space="preserve">Professional Engineers Act </w:t>
      </w:r>
      <w:r w:rsidRPr="00D773D7">
        <w:t>means the</w:t>
      </w:r>
      <w:r>
        <w:rPr>
          <w:i/>
          <w:iCs/>
        </w:rPr>
        <w:t xml:space="preserve"> </w:t>
      </w:r>
      <w:r w:rsidRPr="00D773D7">
        <w:rPr>
          <w:i/>
          <w:iCs/>
        </w:rPr>
        <w:t>Professional Engineers Act 2023</w:t>
      </w:r>
      <w:r>
        <w:rPr>
          <w:i/>
          <w:iCs/>
        </w:rPr>
        <w:t>.</w:t>
      </w:r>
    </w:p>
    <w:bookmarkEnd w:id="1"/>
    <w:p w14:paraId="4BC14FCA" w14:textId="77777777" w:rsidR="00A054F3" w:rsidRDefault="00A054F3" w:rsidP="00EF78FA">
      <w:pPr>
        <w:spacing w:before="120" w:line="360" w:lineRule="auto"/>
      </w:pPr>
      <w:r>
        <w:rPr>
          <w:b/>
          <w:bCs/>
        </w:rPr>
        <w:t>f</w:t>
      </w:r>
      <w:r w:rsidRPr="00D653CF">
        <w:rPr>
          <w:b/>
          <w:bCs/>
        </w:rPr>
        <w:t>ire safety engineer</w:t>
      </w:r>
      <w:r>
        <w:t xml:space="preserve"> means </w:t>
      </w:r>
      <w:r>
        <w:rPr>
          <w:rFonts w:cstheme="minorHAnsi"/>
        </w:rPr>
        <w:t xml:space="preserve">an individual registered under the </w:t>
      </w:r>
      <w:r w:rsidRPr="00D15CEA">
        <w:rPr>
          <w:rFonts w:cstheme="minorHAnsi"/>
        </w:rPr>
        <w:t xml:space="preserve">Professional Engineers Act </w:t>
      </w:r>
      <w:r>
        <w:rPr>
          <w:rFonts w:cstheme="minorHAnsi"/>
        </w:rPr>
        <w:t xml:space="preserve">to carry out professional engineering services in the area of fire safety engineering.   </w:t>
      </w:r>
    </w:p>
    <w:p w14:paraId="521EC5A2" w14:textId="46E906A8" w:rsidR="00A054F3" w:rsidRDefault="00A054F3" w:rsidP="00EF78FA">
      <w:pPr>
        <w:spacing w:before="120" w:line="360" w:lineRule="auto"/>
      </w:pPr>
      <w:r>
        <w:rPr>
          <w:b/>
          <w:bCs/>
        </w:rPr>
        <w:t>f</w:t>
      </w:r>
      <w:r w:rsidRPr="00D653CF">
        <w:rPr>
          <w:b/>
          <w:bCs/>
        </w:rPr>
        <w:t>ire safety engineering services</w:t>
      </w:r>
      <w:r>
        <w:t xml:space="preserve"> means the scope of work outlined in the </w:t>
      </w:r>
      <w:r w:rsidRPr="001E6998">
        <w:rPr>
          <w:i/>
          <w:iCs/>
        </w:rPr>
        <w:t>Professional Engineers (Scope of Area of Engineering) Guideline</w:t>
      </w:r>
      <w:r>
        <w:t xml:space="preserve"> (Notifiable Instrument) as </w:t>
      </w:r>
      <w:r w:rsidR="00D921B0">
        <w:t xml:space="preserve">in force </w:t>
      </w:r>
      <w:r>
        <w:t>from time to time.</w:t>
      </w:r>
    </w:p>
    <w:p w14:paraId="2167C37E" w14:textId="0FB04D21" w:rsidR="00A054F3" w:rsidRDefault="00A054F3" w:rsidP="00A054F3">
      <w:pPr>
        <w:pStyle w:val="Heading1"/>
        <w:numPr>
          <w:ilvl w:val="0"/>
          <w:numId w:val="0"/>
        </w:numPr>
        <w:rPr>
          <w:sz w:val="26"/>
          <w:szCs w:val="26"/>
        </w:rPr>
      </w:pPr>
      <w:bookmarkStart w:id="6" w:name="_Toc171340385"/>
      <w:bookmarkStart w:id="7" w:name="_Toc171340386"/>
      <w:r>
        <w:rPr>
          <w:sz w:val="26"/>
          <w:szCs w:val="26"/>
        </w:rPr>
        <w:t>Professional conduct obligation</w:t>
      </w:r>
      <w:r w:rsidR="00EF78FA">
        <w:rPr>
          <w:sz w:val="26"/>
          <w:szCs w:val="26"/>
        </w:rPr>
        <w:t>s</w:t>
      </w:r>
      <w:r>
        <w:rPr>
          <w:sz w:val="26"/>
          <w:szCs w:val="26"/>
        </w:rPr>
        <w:t xml:space="preserve"> for fire safety engineers</w:t>
      </w:r>
      <w:bookmarkEnd w:id="6"/>
      <w:r>
        <w:rPr>
          <w:sz w:val="26"/>
          <w:szCs w:val="26"/>
        </w:rPr>
        <w:t xml:space="preserve">  </w:t>
      </w:r>
    </w:p>
    <w:bookmarkEnd w:id="7"/>
    <w:p w14:paraId="333A312E" w14:textId="5A2D759E" w:rsidR="00A054F3" w:rsidRPr="00EF78FA" w:rsidRDefault="00A054F3" w:rsidP="00153A2F">
      <w:pPr>
        <w:pStyle w:val="ListNumber"/>
        <w:numPr>
          <w:ilvl w:val="0"/>
          <w:numId w:val="0"/>
        </w:numPr>
        <w:spacing w:before="120" w:line="360" w:lineRule="auto"/>
        <w:contextualSpacing w:val="0"/>
      </w:pPr>
      <w:r w:rsidRPr="00EF78FA">
        <w:t xml:space="preserve">When providing fire safety engineering services, the fire safety engineer must have due regard to good practice fire safety </w:t>
      </w:r>
      <w:r w:rsidR="00EF78FA" w:rsidRPr="00EF78FA">
        <w:t>systems</w:t>
      </w:r>
      <w:r w:rsidRPr="00EF78FA">
        <w:t xml:space="preserve"> which includes consideration of the following:</w:t>
      </w:r>
    </w:p>
    <w:p w14:paraId="5A7D7F09" w14:textId="77777777" w:rsidR="00A054F3" w:rsidRPr="00732C65" w:rsidRDefault="00A054F3" w:rsidP="00A054F3">
      <w:pPr>
        <w:pStyle w:val="ListParagraph"/>
        <w:numPr>
          <w:ilvl w:val="0"/>
          <w:numId w:val="5"/>
        </w:numPr>
        <w:spacing w:before="120" w:after="200" w:line="360" w:lineRule="auto"/>
        <w:contextualSpacing w:val="0"/>
        <w:rPr>
          <w:rFonts w:ascii="Calibri" w:hAnsi="Calibri" w:cs="Calibri"/>
        </w:rPr>
      </w:pPr>
      <w:r>
        <w:t>the Australian Fire Engineering Guidelines (AFEG);</w:t>
      </w:r>
    </w:p>
    <w:p w14:paraId="1B7F677F" w14:textId="64249090" w:rsidR="00A054F3" w:rsidRPr="00732C65" w:rsidRDefault="00A054F3" w:rsidP="00A054F3">
      <w:pPr>
        <w:pStyle w:val="ListParagraph"/>
        <w:numPr>
          <w:ilvl w:val="0"/>
          <w:numId w:val="5"/>
        </w:numPr>
        <w:spacing w:before="120" w:after="200" w:line="360" w:lineRule="auto"/>
        <w:contextualSpacing w:val="0"/>
        <w:rPr>
          <w:rFonts w:ascii="Calibri" w:hAnsi="Calibri" w:cs="Calibri"/>
        </w:rPr>
      </w:pPr>
      <w:r>
        <w:t>holistic fire safety</w:t>
      </w:r>
      <w:r w:rsidR="00EF78FA">
        <w:t xml:space="preserve"> strategies</w:t>
      </w:r>
      <w:r>
        <w:t>;</w:t>
      </w:r>
    </w:p>
    <w:p w14:paraId="01B223D8" w14:textId="77777777" w:rsidR="00A054F3" w:rsidRPr="00732C65" w:rsidRDefault="00A054F3" w:rsidP="00A054F3">
      <w:pPr>
        <w:pStyle w:val="ListParagraph"/>
        <w:numPr>
          <w:ilvl w:val="0"/>
          <w:numId w:val="5"/>
        </w:numPr>
        <w:spacing w:before="120" w:after="200" w:line="360" w:lineRule="auto"/>
        <w:contextualSpacing w:val="0"/>
        <w:rPr>
          <w:rFonts w:ascii="Calibri" w:hAnsi="Calibri" w:cs="Calibri"/>
        </w:rPr>
      </w:pPr>
      <w:r>
        <w:t>identifying and examining potential hazards including the potential for arson;</w:t>
      </w:r>
    </w:p>
    <w:p w14:paraId="2A15CB7E" w14:textId="77777777" w:rsidR="00A054F3" w:rsidRPr="00732C65" w:rsidRDefault="00A054F3" w:rsidP="00A054F3">
      <w:pPr>
        <w:pStyle w:val="ListParagraph"/>
        <w:numPr>
          <w:ilvl w:val="0"/>
          <w:numId w:val="5"/>
        </w:numPr>
        <w:spacing w:before="120" w:after="200" w:line="360" w:lineRule="auto"/>
        <w:contextualSpacing w:val="0"/>
        <w:rPr>
          <w:rFonts w:ascii="Calibri" w:hAnsi="Calibri" w:cs="Calibri"/>
        </w:rPr>
      </w:pPr>
      <w:r>
        <w:t>common and known behaviours of building occupants and users;</w:t>
      </w:r>
    </w:p>
    <w:p w14:paraId="212C7932" w14:textId="77777777" w:rsidR="00A054F3" w:rsidRPr="00732C65" w:rsidRDefault="00A054F3" w:rsidP="00A054F3">
      <w:pPr>
        <w:pStyle w:val="ListParagraph"/>
        <w:numPr>
          <w:ilvl w:val="0"/>
          <w:numId w:val="5"/>
        </w:numPr>
        <w:spacing w:before="120" w:after="200" w:line="360" w:lineRule="auto"/>
        <w:contextualSpacing w:val="0"/>
        <w:rPr>
          <w:rFonts w:ascii="Calibri" w:hAnsi="Calibri" w:cs="Calibri"/>
        </w:rPr>
      </w:pPr>
      <w:r>
        <w:t>egress by persons with a disability or vulnerable occupants and having regard to necessary evacuation management procedures for these occupants;</w:t>
      </w:r>
    </w:p>
    <w:p w14:paraId="4232242B" w14:textId="77777777" w:rsidR="00A054F3" w:rsidRPr="00547ED2" w:rsidRDefault="00A054F3" w:rsidP="00A054F3">
      <w:pPr>
        <w:pStyle w:val="ListParagraph"/>
        <w:numPr>
          <w:ilvl w:val="0"/>
          <w:numId w:val="5"/>
        </w:numPr>
        <w:spacing w:before="120" w:after="200" w:line="360" w:lineRule="auto"/>
        <w:contextualSpacing w:val="0"/>
        <w:rPr>
          <w:rFonts w:ascii="Calibri" w:hAnsi="Calibri" w:cs="Calibri"/>
        </w:rPr>
      </w:pPr>
      <w:r>
        <w:t>the building design objectives of the client such as asset protection, resilience, environmental protection and sustainability which may require fire engineering designs that go beyond the minimum fire safety requirements of the NCC.</w:t>
      </w:r>
    </w:p>
    <w:p w14:paraId="1999A7E1" w14:textId="2E7A4233" w:rsidR="007C7853" w:rsidRDefault="00A054F3" w:rsidP="00294C9D">
      <w:pPr>
        <w:pStyle w:val="ListNumber"/>
        <w:numPr>
          <w:ilvl w:val="0"/>
          <w:numId w:val="0"/>
        </w:numPr>
        <w:spacing w:before="120" w:line="360" w:lineRule="auto"/>
        <w:contextualSpacing w:val="0"/>
      </w:pPr>
      <w:r>
        <w:t>A fire safety engineer must engage respectfully and collaboratively with fire authorities and should as far as practicable, ensure that triggers for statutory consultation with fire authorities are not avoided through restrictive interpretations.</w:t>
      </w:r>
      <w:bookmarkEnd w:id="2"/>
      <w:r w:rsidR="007C7853">
        <w:br w:type="page"/>
      </w:r>
    </w:p>
    <w:p w14:paraId="235ABF6B" w14:textId="6AA0102E" w:rsidR="00EF78FA" w:rsidRDefault="00A054F3" w:rsidP="00153A2F">
      <w:pPr>
        <w:pStyle w:val="ListNumber"/>
        <w:numPr>
          <w:ilvl w:val="0"/>
          <w:numId w:val="0"/>
        </w:numPr>
        <w:spacing w:before="120" w:line="360" w:lineRule="auto"/>
        <w:contextualSpacing w:val="0"/>
      </w:pPr>
      <w:r>
        <w:lastRenderedPageBreak/>
        <w:t>A fire safety engineer is obligated to report activities they become aware of while performing fire safety engineering services where they hold a reasonable suspicion of the activity being unlawful or creating an immediate or imminent risk to health and safety.</w:t>
      </w:r>
    </w:p>
    <w:p w14:paraId="16F6E76F" w14:textId="191952EF" w:rsidR="00EF78FA" w:rsidRPr="00EF78FA" w:rsidRDefault="00A054F3" w:rsidP="00EF78FA">
      <w:pPr>
        <w:pStyle w:val="ListNumber"/>
        <w:numPr>
          <w:ilvl w:val="0"/>
          <w:numId w:val="0"/>
        </w:numPr>
        <w:spacing w:before="120" w:line="360" w:lineRule="auto"/>
        <w:ind w:left="360"/>
        <w:contextualSpacing w:val="0"/>
        <w:rPr>
          <w:sz w:val="20"/>
          <w:szCs w:val="20"/>
        </w:rPr>
      </w:pPr>
      <w:r w:rsidRPr="00EF78FA">
        <w:rPr>
          <w:sz w:val="20"/>
          <w:szCs w:val="20"/>
        </w:rPr>
        <w:t>For example</w:t>
      </w:r>
      <w:r w:rsidR="00EF78FA" w:rsidRPr="00EF78FA">
        <w:rPr>
          <w:sz w:val="20"/>
          <w:szCs w:val="20"/>
        </w:rPr>
        <w:t>:</w:t>
      </w:r>
    </w:p>
    <w:p w14:paraId="0496136A" w14:textId="13379A52" w:rsidR="00A054F3" w:rsidRPr="00EF78FA" w:rsidRDefault="00EF78FA" w:rsidP="00EF78FA">
      <w:pPr>
        <w:pStyle w:val="ListNumber"/>
        <w:numPr>
          <w:ilvl w:val="0"/>
          <w:numId w:val="0"/>
        </w:numPr>
        <w:spacing w:before="120" w:line="360" w:lineRule="auto"/>
        <w:ind w:left="360"/>
        <w:contextualSpacing w:val="0"/>
        <w:rPr>
          <w:sz w:val="20"/>
          <w:szCs w:val="20"/>
        </w:rPr>
      </w:pPr>
      <w:r w:rsidRPr="00EF78FA">
        <w:rPr>
          <w:sz w:val="20"/>
          <w:szCs w:val="20"/>
        </w:rPr>
        <w:t>D</w:t>
      </w:r>
      <w:r w:rsidR="00A054F3" w:rsidRPr="00EF78FA">
        <w:rPr>
          <w:sz w:val="20"/>
          <w:szCs w:val="20"/>
        </w:rPr>
        <w:t>uring an inspection of an existing apartment building that is 6 years old, a fire safety engineer becomes aware that the owner ha</w:t>
      </w:r>
      <w:r>
        <w:rPr>
          <w:sz w:val="20"/>
          <w:szCs w:val="20"/>
        </w:rPr>
        <w:t>s</w:t>
      </w:r>
      <w:r w:rsidR="00A054F3" w:rsidRPr="00EF78FA">
        <w:rPr>
          <w:sz w:val="20"/>
          <w:szCs w:val="20"/>
        </w:rPr>
        <w:t xml:space="preserve"> decommissioned part of a required fire sprinkler system. If the owner is unwilling to recommission the required sprinkler system, the fire safety engineer must report the matter to the relevant government authority with jurisdiction over the regulation of maintenance of essential fire safety systems and equipment.</w:t>
      </w:r>
    </w:p>
    <w:p w14:paraId="0DD272A5" w14:textId="43EDA59C" w:rsidR="00A054F3" w:rsidRDefault="00A054F3" w:rsidP="00153A2F">
      <w:pPr>
        <w:pStyle w:val="ListNumber"/>
        <w:numPr>
          <w:ilvl w:val="0"/>
          <w:numId w:val="0"/>
        </w:numPr>
        <w:spacing w:before="120" w:line="360" w:lineRule="auto"/>
        <w:contextualSpacing w:val="0"/>
      </w:pPr>
      <w:r>
        <w:t>Fire safety engineers need to carefully consider fire prevention measures as part of the development of a fire safety strategy and only base the fire safety strategy on assumptions about fire prevention which can reasonably be expected to be maintained.</w:t>
      </w:r>
    </w:p>
    <w:p w14:paraId="4E70DCB6" w14:textId="73FE6D9F" w:rsidR="00A054F3" w:rsidRDefault="00EF78FA" w:rsidP="00153A2F">
      <w:pPr>
        <w:pStyle w:val="ListNumber"/>
        <w:numPr>
          <w:ilvl w:val="0"/>
          <w:numId w:val="0"/>
        </w:numPr>
        <w:spacing w:before="120" w:line="360" w:lineRule="auto"/>
        <w:contextualSpacing w:val="0"/>
      </w:pPr>
      <w:r>
        <w:t>Where applicable, a</w:t>
      </w:r>
      <w:r w:rsidR="00A054F3">
        <w:t xml:space="preserve"> fire safety engineer should take into consideration egress for persons with a disability, or vulnerable occupants, having regard to the prevalence of people affected by these conditions in the community and their use of the </w:t>
      </w:r>
      <w:r>
        <w:t>infrastructure or building</w:t>
      </w:r>
      <w:r w:rsidR="00A054F3">
        <w:t>. They should also take into account evacuation management procedures that may be required for these types of vulnerable occupants.</w:t>
      </w:r>
    </w:p>
    <w:p w14:paraId="293726AE" w14:textId="01A8AA5B" w:rsidR="00EF78FA" w:rsidRDefault="00EF78FA" w:rsidP="00EF78FA">
      <w:pPr>
        <w:pStyle w:val="ListNumber"/>
        <w:numPr>
          <w:ilvl w:val="0"/>
          <w:numId w:val="0"/>
        </w:numPr>
        <w:rPr>
          <w:rFonts w:eastAsiaTheme="majorEastAsia" w:cstheme="minorHAnsi"/>
          <w:b/>
          <w:sz w:val="26"/>
          <w:szCs w:val="26"/>
        </w:rPr>
      </w:pPr>
      <w:r w:rsidRPr="00EF78FA">
        <w:rPr>
          <w:rFonts w:eastAsiaTheme="majorEastAsia" w:cstheme="minorHAnsi"/>
          <w:b/>
          <w:sz w:val="26"/>
          <w:szCs w:val="26"/>
        </w:rPr>
        <w:t>Professional conduct obligations for fire safety engineers working in the building and construction industry</w:t>
      </w:r>
    </w:p>
    <w:p w14:paraId="21FB5EEE" w14:textId="77777777" w:rsidR="00EF78FA" w:rsidRPr="00EF78FA" w:rsidRDefault="00EF78FA" w:rsidP="00EF78FA">
      <w:pPr>
        <w:pStyle w:val="ListNumber"/>
        <w:numPr>
          <w:ilvl w:val="0"/>
          <w:numId w:val="0"/>
        </w:numPr>
        <w:rPr>
          <w:rFonts w:eastAsiaTheme="majorEastAsia" w:cstheme="minorHAnsi"/>
          <w:b/>
          <w:sz w:val="26"/>
          <w:szCs w:val="26"/>
        </w:rPr>
      </w:pPr>
    </w:p>
    <w:p w14:paraId="7576C8A9" w14:textId="0CE2E8B9" w:rsidR="00EF78FA" w:rsidRDefault="00EF78FA" w:rsidP="00153A2F">
      <w:pPr>
        <w:pStyle w:val="ListNumber"/>
        <w:numPr>
          <w:ilvl w:val="0"/>
          <w:numId w:val="0"/>
        </w:numPr>
        <w:spacing w:before="120" w:line="360" w:lineRule="auto"/>
        <w:contextualSpacing w:val="0"/>
      </w:pPr>
      <w:r>
        <w:t>Fire Safety Engineers apply specialist knowledge to ensure that the fire safety Performance Requirements of the NCC are met. This is intended to result in buildings that achieve an adequate level of fire safety for occupants, facilitate the operations of emergency services personnel and prevent the spread of fire to other buildings.</w:t>
      </w:r>
    </w:p>
    <w:p w14:paraId="68FCF2E7" w14:textId="77777777" w:rsidR="00EF78FA" w:rsidRDefault="00EF78FA" w:rsidP="00153A2F">
      <w:pPr>
        <w:pStyle w:val="ListNumber"/>
        <w:numPr>
          <w:ilvl w:val="0"/>
          <w:numId w:val="0"/>
        </w:numPr>
        <w:spacing w:before="120" w:line="360" w:lineRule="auto"/>
        <w:contextualSpacing w:val="0"/>
      </w:pPr>
      <w:r>
        <w:t>The general objectives of the NCC performance requirements relating to fire safety are to:</w:t>
      </w:r>
    </w:p>
    <w:p w14:paraId="4AFF7D55" w14:textId="77777777" w:rsidR="00EF78FA" w:rsidRDefault="00EF78FA" w:rsidP="00342075">
      <w:pPr>
        <w:pStyle w:val="ListParagraph"/>
        <w:numPr>
          <w:ilvl w:val="0"/>
          <w:numId w:val="20"/>
        </w:numPr>
        <w:spacing w:before="120" w:after="200" w:line="360" w:lineRule="auto"/>
        <w:contextualSpacing w:val="0"/>
      </w:pPr>
      <w:r>
        <w:t>Protect building occupants</w:t>
      </w:r>
    </w:p>
    <w:p w14:paraId="4677F18E" w14:textId="77777777" w:rsidR="00EF78FA" w:rsidRDefault="00EF78FA" w:rsidP="00342075">
      <w:pPr>
        <w:pStyle w:val="ListParagraph"/>
        <w:numPr>
          <w:ilvl w:val="0"/>
          <w:numId w:val="20"/>
        </w:numPr>
        <w:spacing w:before="120" w:after="200" w:line="360" w:lineRule="auto"/>
        <w:contextualSpacing w:val="0"/>
      </w:pPr>
      <w:r>
        <w:t>Facilitate the activities of emergency services personnel</w:t>
      </w:r>
    </w:p>
    <w:p w14:paraId="027ABFF6" w14:textId="77777777" w:rsidR="00EF78FA" w:rsidRDefault="00EF78FA" w:rsidP="00342075">
      <w:pPr>
        <w:pStyle w:val="ListParagraph"/>
        <w:numPr>
          <w:ilvl w:val="0"/>
          <w:numId w:val="20"/>
        </w:numPr>
        <w:spacing w:before="120" w:after="200" w:line="360" w:lineRule="auto"/>
        <w:contextualSpacing w:val="0"/>
      </w:pPr>
      <w:r>
        <w:t>Protect other buildings from being affected by fire in the building</w:t>
      </w:r>
    </w:p>
    <w:p w14:paraId="3A22FF02" w14:textId="5272372D" w:rsidR="00EF78FA" w:rsidRDefault="00EF78FA" w:rsidP="00153A2F">
      <w:pPr>
        <w:pStyle w:val="ListNumber"/>
        <w:numPr>
          <w:ilvl w:val="0"/>
          <w:numId w:val="0"/>
        </w:numPr>
        <w:spacing w:before="120" w:line="360" w:lineRule="auto"/>
        <w:contextualSpacing w:val="0"/>
      </w:pPr>
      <w:r>
        <w:t xml:space="preserve">Fire Safety Engineers </w:t>
      </w:r>
      <w:r w:rsidR="001208DC">
        <w:t>may need to</w:t>
      </w:r>
      <w:r>
        <w:t xml:space="preserve"> recommend against the use of a deemed-to-satisfy solution or a Performance Solution that is equivalent to a deemed-to-satisfy solution on the basis that it will not achieve an adequate level of safety even though it is deemed compliant. </w:t>
      </w:r>
      <w:r w:rsidR="00682DF4">
        <w:lastRenderedPageBreak/>
        <w:t>Such recommendations may be appropriate where the proposed use of Performance Solutions gives rise to a need for additional active fire safety systems.</w:t>
      </w:r>
    </w:p>
    <w:p w14:paraId="6B9DC3DF" w14:textId="77777777" w:rsidR="00EF78FA" w:rsidRPr="00EF78FA" w:rsidRDefault="00EF78FA" w:rsidP="00EF78FA">
      <w:pPr>
        <w:pStyle w:val="ListNumber"/>
        <w:numPr>
          <w:ilvl w:val="0"/>
          <w:numId w:val="0"/>
        </w:numPr>
        <w:spacing w:before="120" w:line="360" w:lineRule="auto"/>
        <w:ind w:left="360"/>
        <w:contextualSpacing w:val="0"/>
        <w:rPr>
          <w:sz w:val="20"/>
          <w:szCs w:val="20"/>
        </w:rPr>
      </w:pPr>
      <w:r w:rsidRPr="00EF78FA">
        <w:rPr>
          <w:sz w:val="20"/>
          <w:szCs w:val="20"/>
        </w:rPr>
        <w:t xml:space="preserve">For example: </w:t>
      </w:r>
    </w:p>
    <w:p w14:paraId="1E70322F" w14:textId="7C741223" w:rsidR="00EF78FA" w:rsidRPr="00EF78FA" w:rsidRDefault="00EF78FA" w:rsidP="00EF78FA">
      <w:pPr>
        <w:pStyle w:val="ListNumber"/>
        <w:numPr>
          <w:ilvl w:val="0"/>
          <w:numId w:val="0"/>
        </w:numPr>
        <w:spacing w:before="120" w:line="360" w:lineRule="auto"/>
        <w:ind w:left="360"/>
        <w:contextualSpacing w:val="0"/>
        <w:rPr>
          <w:sz w:val="20"/>
          <w:szCs w:val="20"/>
        </w:rPr>
      </w:pPr>
      <w:r w:rsidRPr="00EF78FA">
        <w:rPr>
          <w:sz w:val="20"/>
          <w:szCs w:val="20"/>
        </w:rPr>
        <w:t xml:space="preserve">A fire safety engineer may recommend the installation of a fire sprinkler system in a </w:t>
      </w:r>
      <w:r w:rsidR="00155AD2" w:rsidRPr="00EF78FA">
        <w:rPr>
          <w:sz w:val="20"/>
          <w:szCs w:val="20"/>
        </w:rPr>
        <w:t>3-storey</w:t>
      </w:r>
      <w:r w:rsidRPr="00EF78FA">
        <w:rPr>
          <w:sz w:val="20"/>
          <w:szCs w:val="20"/>
        </w:rPr>
        <w:t xml:space="preserve"> residential building because of the life safety benefits even though not required by the NCC’s deemed to satisfy provisions.</w:t>
      </w:r>
    </w:p>
    <w:p w14:paraId="60DFDE5A" w14:textId="48A2BD07" w:rsidR="00EF78FA" w:rsidRDefault="00EF78FA" w:rsidP="00153A2F">
      <w:pPr>
        <w:pStyle w:val="ListNumber"/>
        <w:numPr>
          <w:ilvl w:val="0"/>
          <w:numId w:val="0"/>
        </w:numPr>
        <w:spacing w:before="120" w:line="360" w:lineRule="auto"/>
        <w:contextualSpacing w:val="0"/>
      </w:pPr>
      <w:r>
        <w:t>Fire safety engineers need to consider the impact of Performance Solutions on whole of life costs to ensure an appropriate balance between the cost of construction and the post construction cost to owners.</w:t>
      </w:r>
    </w:p>
    <w:sectPr w:rsidR="00EF78FA" w:rsidSect="00F04606">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9C84" w14:textId="77777777" w:rsidR="00284BD6" w:rsidRDefault="00284BD6" w:rsidP="00A054F3">
      <w:pPr>
        <w:spacing w:after="0"/>
      </w:pPr>
      <w:r>
        <w:separator/>
      </w:r>
    </w:p>
  </w:endnote>
  <w:endnote w:type="continuationSeparator" w:id="0">
    <w:p w14:paraId="0E8B7CF2" w14:textId="77777777" w:rsidR="00284BD6" w:rsidRDefault="00284BD6" w:rsidP="00A054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1AB7" w14:textId="77777777" w:rsidR="00F56A74" w:rsidRDefault="00F5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301A" w14:textId="3613A2E1" w:rsidR="00EF78FA" w:rsidRDefault="00EF78FA">
    <w:pPr>
      <w:pStyle w:val="Footer"/>
      <w:jc w:val="center"/>
    </w:pPr>
  </w:p>
  <w:p w14:paraId="48363E92" w14:textId="1C090391" w:rsidR="00EF78FA" w:rsidRPr="00F56A74" w:rsidRDefault="00F56A74" w:rsidP="00F56A74">
    <w:pPr>
      <w:pStyle w:val="Footer"/>
      <w:tabs>
        <w:tab w:val="clear" w:pos="4513"/>
        <w:tab w:val="clear" w:pos="9026"/>
        <w:tab w:val="left" w:pos="4050"/>
      </w:tabs>
      <w:jc w:val="center"/>
      <w:rPr>
        <w:rFonts w:ascii="Arial" w:hAnsi="Arial" w:cs="Arial"/>
        <w:sz w:val="14"/>
      </w:rPr>
    </w:pPr>
    <w:r w:rsidRPr="00F56A7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7512" w14:textId="77777777" w:rsidR="00F56A74" w:rsidRDefault="00F5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7F95" w14:textId="77777777" w:rsidR="00284BD6" w:rsidRDefault="00284BD6" w:rsidP="00A054F3">
      <w:pPr>
        <w:spacing w:after="0"/>
      </w:pPr>
      <w:r>
        <w:separator/>
      </w:r>
    </w:p>
  </w:footnote>
  <w:footnote w:type="continuationSeparator" w:id="0">
    <w:p w14:paraId="071C1718" w14:textId="77777777" w:rsidR="00284BD6" w:rsidRDefault="00284BD6" w:rsidP="00A054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36CB" w14:textId="44CD07B0" w:rsidR="00B66FAA" w:rsidRDefault="00F56A74">
    <w:pPr>
      <w:pStyle w:val="Header"/>
    </w:pPr>
    <w:r>
      <w:rPr>
        <w:noProof/>
      </w:rPr>
      <w:pict w14:anchorId="0778E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71485" o:spid="_x0000_s1026" type="#_x0000_t136" style="position:absolute;margin-left:0;margin-top:0;width:530.25pt;height:106.05pt;rotation:315;z-index:-251655168;mso-position-horizontal:center;mso-position-horizontal-relative:margin;mso-position-vertical:center;mso-position-vertical-relative:margin" o:allowincell="f" fillcolor="silver" stroked="f">
          <v:fill opacity=".5"/>
          <v:textpath style="font-family:&quot;Calibri&quot;;font-size:1pt" string="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0BF" w14:textId="77777777" w:rsidR="00F56A74" w:rsidRDefault="00F5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6684" w14:textId="36B77B27" w:rsidR="00B66FAA" w:rsidRDefault="00F56A74">
    <w:pPr>
      <w:pStyle w:val="Header"/>
    </w:pPr>
    <w:r>
      <w:rPr>
        <w:noProof/>
      </w:rPr>
      <w:pict w14:anchorId="6E3D0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371484" o:spid="_x0000_s1025" type="#_x0000_t136" style="position:absolute;margin-left:0;margin-top:0;width:530.25pt;height:106.05pt;rotation:315;z-index:-251657216;mso-position-horizontal:center;mso-position-horizontal-relative:margin;mso-position-vertical:center;mso-position-vertical-relative:margin" o:allowincell="f" fillcolor="silver" stroked="f">
          <v:fill opacity=".5"/>
          <v:textpath style="font-family:&quot;Calibri&quot;;font-size:1pt" string="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C4CBF0"/>
    <w:lvl w:ilvl="0">
      <w:start w:val="1"/>
      <w:numFmt w:val="decimal"/>
      <w:pStyle w:val="ListNumber"/>
      <w:lvlText w:val="%1."/>
      <w:lvlJc w:val="left"/>
      <w:pPr>
        <w:tabs>
          <w:tab w:val="num" w:pos="360"/>
        </w:tabs>
        <w:ind w:left="360" w:hanging="360"/>
      </w:pPr>
    </w:lvl>
  </w:abstractNum>
  <w:abstractNum w:abstractNumId="1" w15:restartNumberingAfterBreak="0">
    <w:nsid w:val="12C37714"/>
    <w:multiLevelType w:val="hybridMultilevel"/>
    <w:tmpl w:val="02501770"/>
    <w:lvl w:ilvl="0" w:tplc="97422C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6F7613D"/>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013C02"/>
    <w:multiLevelType w:val="hybridMultilevel"/>
    <w:tmpl w:val="8E4EA8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1282FA7"/>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DA3C6D"/>
    <w:multiLevelType w:val="hybridMultilevel"/>
    <w:tmpl w:val="5044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741019"/>
    <w:multiLevelType w:val="hybridMultilevel"/>
    <w:tmpl w:val="91C6F764"/>
    <w:lvl w:ilvl="0" w:tplc="085E7C22">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E2926EC"/>
    <w:multiLevelType w:val="multilevel"/>
    <w:tmpl w:val="0FA24096"/>
    <w:lvl w:ilvl="0">
      <w:start w:val="1"/>
      <w:numFmt w:val="decimal"/>
      <w:pStyle w:val="Heading1"/>
      <w:lvlText w:val="%1."/>
      <w:lvlJc w:val="left"/>
      <w:pPr>
        <w:ind w:left="720" w:hanging="360"/>
      </w:pPr>
      <w:rPr>
        <w:i w:val="0"/>
        <w:iCs w:val="0"/>
      </w:rPr>
    </w:lvl>
    <w:lvl w:ilvl="1">
      <w:start w:val="1"/>
      <w:numFmt w:val="decimal"/>
      <w:pStyle w:val="Heading2"/>
      <w:isLg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3833AF0"/>
    <w:multiLevelType w:val="hybridMultilevel"/>
    <w:tmpl w:val="22404BC6"/>
    <w:lvl w:ilvl="0" w:tplc="7884C09A">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B901CAE"/>
    <w:multiLevelType w:val="hybridMultilevel"/>
    <w:tmpl w:val="118C650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59022686">
    <w:abstractNumId w:val="7"/>
  </w:num>
  <w:num w:numId="2" w16cid:durableId="971059274">
    <w:abstractNumId w:val="8"/>
  </w:num>
  <w:num w:numId="3" w16cid:durableId="469784693">
    <w:abstractNumId w:val="0"/>
  </w:num>
  <w:num w:numId="4" w16cid:durableId="704405604">
    <w:abstractNumId w:val="0"/>
    <w:lvlOverride w:ilvl="0">
      <w:startOverride w:val="1"/>
    </w:lvlOverride>
  </w:num>
  <w:num w:numId="5" w16cid:durableId="1635483212">
    <w:abstractNumId w:val="5"/>
  </w:num>
  <w:num w:numId="6" w16cid:durableId="1496335924">
    <w:abstractNumId w:val="2"/>
  </w:num>
  <w:num w:numId="7" w16cid:durableId="446779753">
    <w:abstractNumId w:val="7"/>
  </w:num>
  <w:num w:numId="8" w16cid:durableId="875119978">
    <w:abstractNumId w:val="0"/>
  </w:num>
  <w:num w:numId="9" w16cid:durableId="20473136">
    <w:abstractNumId w:val="0"/>
  </w:num>
  <w:num w:numId="10" w16cid:durableId="2045714960">
    <w:abstractNumId w:val="0"/>
  </w:num>
  <w:num w:numId="11" w16cid:durableId="1027022521">
    <w:abstractNumId w:val="0"/>
  </w:num>
  <w:num w:numId="12" w16cid:durableId="1642348718">
    <w:abstractNumId w:val="0"/>
  </w:num>
  <w:num w:numId="13" w16cid:durableId="488982270">
    <w:abstractNumId w:val="3"/>
  </w:num>
  <w:num w:numId="14" w16cid:durableId="87164556">
    <w:abstractNumId w:val="0"/>
  </w:num>
  <w:num w:numId="15" w16cid:durableId="948660390">
    <w:abstractNumId w:val="9"/>
  </w:num>
  <w:num w:numId="16" w16cid:durableId="652026533">
    <w:abstractNumId w:val="0"/>
  </w:num>
  <w:num w:numId="17" w16cid:durableId="1197547161">
    <w:abstractNumId w:val="0"/>
  </w:num>
  <w:num w:numId="18" w16cid:durableId="232472818">
    <w:abstractNumId w:val="0"/>
  </w:num>
  <w:num w:numId="19" w16cid:durableId="472337268">
    <w:abstractNumId w:val="8"/>
  </w:num>
  <w:num w:numId="20" w16cid:durableId="1239634283">
    <w:abstractNumId w:val="4"/>
  </w:num>
  <w:num w:numId="21" w16cid:durableId="1662540693">
    <w:abstractNumId w:val="6"/>
  </w:num>
  <w:num w:numId="22" w16cid:durableId="610941691">
    <w:abstractNumId w:val="0"/>
  </w:num>
  <w:num w:numId="23" w16cid:durableId="171037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F3"/>
    <w:rsid w:val="0007795C"/>
    <w:rsid w:val="000A01E5"/>
    <w:rsid w:val="000A098B"/>
    <w:rsid w:val="00113D16"/>
    <w:rsid w:val="001208DC"/>
    <w:rsid w:val="00153A2F"/>
    <w:rsid w:val="00155AD2"/>
    <w:rsid w:val="00156599"/>
    <w:rsid w:val="001D0F66"/>
    <w:rsid w:val="00284BD6"/>
    <w:rsid w:val="00294C9D"/>
    <w:rsid w:val="002A36DC"/>
    <w:rsid w:val="00342075"/>
    <w:rsid w:val="00430C80"/>
    <w:rsid w:val="005E69DC"/>
    <w:rsid w:val="00656B4B"/>
    <w:rsid w:val="006829BC"/>
    <w:rsid w:val="00682DF4"/>
    <w:rsid w:val="00707EC2"/>
    <w:rsid w:val="00792DDF"/>
    <w:rsid w:val="007C7853"/>
    <w:rsid w:val="007D4623"/>
    <w:rsid w:val="00834AC0"/>
    <w:rsid w:val="00840139"/>
    <w:rsid w:val="008C73BA"/>
    <w:rsid w:val="009177D1"/>
    <w:rsid w:val="009D7D23"/>
    <w:rsid w:val="00A015E6"/>
    <w:rsid w:val="00A054F3"/>
    <w:rsid w:val="00AC5720"/>
    <w:rsid w:val="00AC6EBE"/>
    <w:rsid w:val="00B66FAA"/>
    <w:rsid w:val="00B952ED"/>
    <w:rsid w:val="00BE60EA"/>
    <w:rsid w:val="00C06BB3"/>
    <w:rsid w:val="00C57DE3"/>
    <w:rsid w:val="00C72C9A"/>
    <w:rsid w:val="00D60B58"/>
    <w:rsid w:val="00D921B0"/>
    <w:rsid w:val="00E06482"/>
    <w:rsid w:val="00E17942"/>
    <w:rsid w:val="00ED1714"/>
    <w:rsid w:val="00EF78FA"/>
    <w:rsid w:val="00F04606"/>
    <w:rsid w:val="00F56A74"/>
    <w:rsid w:val="00F87DE8"/>
    <w:rsid w:val="00FB7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C9E6E"/>
  <w15:chartTrackingRefBased/>
  <w15:docId w15:val="{503E8866-C7B5-4320-8653-733384F1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F3"/>
    <w:pPr>
      <w:spacing w:after="200" w:line="240" w:lineRule="auto"/>
    </w:pPr>
    <w:rPr>
      <w:kern w:val="0"/>
      <w14:ligatures w14:val="none"/>
    </w:rPr>
  </w:style>
  <w:style w:type="paragraph" w:styleId="Heading1">
    <w:name w:val="heading 1"/>
    <w:basedOn w:val="Normal"/>
    <w:next w:val="Normal"/>
    <w:link w:val="Heading1Char"/>
    <w:uiPriority w:val="9"/>
    <w:qFormat/>
    <w:rsid w:val="00A054F3"/>
    <w:pPr>
      <w:keepNext/>
      <w:keepLines/>
      <w:numPr>
        <w:numId w:val="1"/>
      </w:numPr>
      <w:spacing w:before="240" w:line="259" w:lineRule="auto"/>
      <w:jc w:val="both"/>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A054F3"/>
    <w:pPr>
      <w:keepNext/>
      <w:keepLines/>
      <w:numPr>
        <w:ilvl w:val="1"/>
        <w:numId w:val="1"/>
      </w:numPr>
      <w:spacing w:before="240" w:after="120" w:line="259" w:lineRule="auto"/>
      <w:jc w:val="both"/>
      <w:outlineLvl w:val="1"/>
    </w:pPr>
    <w:rPr>
      <w:rFonts w:eastAsiaTheme="majorEastAsia" w:cstheme="minorHAns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F3"/>
    <w:rPr>
      <w:rFonts w:eastAsiaTheme="majorEastAsia" w:cstheme="minorHAnsi"/>
      <w:b/>
      <w:kern w:val="0"/>
      <w:szCs w:val="32"/>
      <w14:ligatures w14:val="none"/>
    </w:rPr>
  </w:style>
  <w:style w:type="character" w:customStyle="1" w:styleId="Heading2Char">
    <w:name w:val="Heading 2 Char"/>
    <w:basedOn w:val="DefaultParagraphFont"/>
    <w:link w:val="Heading2"/>
    <w:uiPriority w:val="9"/>
    <w:rsid w:val="00A054F3"/>
    <w:rPr>
      <w:rFonts w:eastAsiaTheme="majorEastAsia" w:cstheme="minorHAnsi"/>
      <w:b/>
      <w:kern w:val="0"/>
      <w:sz w:val="28"/>
      <w:szCs w:val="26"/>
      <w14:ligatures w14:val="none"/>
    </w:rPr>
  </w:style>
  <w:style w:type="paragraph" w:styleId="ListParagraph">
    <w:name w:val="List Paragraph"/>
    <w:basedOn w:val="Normal"/>
    <w:link w:val="ListParagraphChar"/>
    <w:uiPriority w:val="34"/>
    <w:qFormat/>
    <w:rsid w:val="00A054F3"/>
    <w:pPr>
      <w:numPr>
        <w:numId w:val="2"/>
      </w:numPr>
      <w:spacing w:after="160" w:line="259" w:lineRule="auto"/>
      <w:contextualSpacing/>
    </w:pPr>
  </w:style>
  <w:style w:type="character" w:customStyle="1" w:styleId="ListParagraphChar">
    <w:name w:val="List Paragraph Char"/>
    <w:basedOn w:val="DefaultParagraphFont"/>
    <w:link w:val="ListParagraph"/>
    <w:uiPriority w:val="34"/>
    <w:rsid w:val="00A054F3"/>
    <w:rPr>
      <w:kern w:val="0"/>
      <w14:ligatures w14:val="none"/>
    </w:rPr>
  </w:style>
  <w:style w:type="character" w:styleId="CommentReference">
    <w:name w:val="annotation reference"/>
    <w:basedOn w:val="DefaultParagraphFont"/>
    <w:uiPriority w:val="99"/>
    <w:rsid w:val="00A054F3"/>
    <w:rPr>
      <w:sz w:val="16"/>
      <w:szCs w:val="16"/>
    </w:rPr>
  </w:style>
  <w:style w:type="paragraph" w:styleId="CommentText">
    <w:name w:val="annotation text"/>
    <w:basedOn w:val="Normal"/>
    <w:link w:val="CommentTextChar"/>
    <w:uiPriority w:val="99"/>
    <w:rsid w:val="00A054F3"/>
    <w:pPr>
      <w:spacing w:before="60" w:after="6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A054F3"/>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A054F3"/>
    <w:pPr>
      <w:tabs>
        <w:tab w:val="center" w:pos="4513"/>
        <w:tab w:val="right" w:pos="9026"/>
      </w:tabs>
      <w:spacing w:after="0"/>
    </w:pPr>
  </w:style>
  <w:style w:type="character" w:customStyle="1" w:styleId="FooterChar">
    <w:name w:val="Footer Char"/>
    <w:basedOn w:val="DefaultParagraphFont"/>
    <w:link w:val="Footer"/>
    <w:uiPriority w:val="99"/>
    <w:rsid w:val="00A054F3"/>
    <w:rPr>
      <w:kern w:val="0"/>
      <w14:ligatures w14:val="none"/>
    </w:rPr>
  </w:style>
  <w:style w:type="paragraph" w:styleId="ListNumber">
    <w:name w:val="List Number"/>
    <w:basedOn w:val="Normal"/>
    <w:uiPriority w:val="99"/>
    <w:unhideWhenUsed/>
    <w:rsid w:val="00A054F3"/>
    <w:pPr>
      <w:numPr>
        <w:numId w:val="3"/>
      </w:numPr>
      <w:contextualSpacing/>
    </w:pPr>
  </w:style>
  <w:style w:type="paragraph" w:styleId="Header">
    <w:name w:val="header"/>
    <w:basedOn w:val="Normal"/>
    <w:link w:val="HeaderChar"/>
    <w:uiPriority w:val="99"/>
    <w:unhideWhenUsed/>
    <w:rsid w:val="00A054F3"/>
    <w:pPr>
      <w:tabs>
        <w:tab w:val="center" w:pos="4513"/>
        <w:tab w:val="right" w:pos="9026"/>
      </w:tabs>
      <w:spacing w:after="0"/>
    </w:pPr>
  </w:style>
  <w:style w:type="character" w:customStyle="1" w:styleId="HeaderChar">
    <w:name w:val="Header Char"/>
    <w:basedOn w:val="DefaultParagraphFont"/>
    <w:link w:val="Header"/>
    <w:uiPriority w:val="99"/>
    <w:rsid w:val="00A054F3"/>
    <w:rPr>
      <w:kern w:val="0"/>
      <w14:ligatures w14:val="none"/>
    </w:rPr>
  </w:style>
  <w:style w:type="paragraph" w:styleId="CommentSubject">
    <w:name w:val="annotation subject"/>
    <w:basedOn w:val="CommentText"/>
    <w:next w:val="CommentText"/>
    <w:link w:val="CommentSubjectChar"/>
    <w:uiPriority w:val="99"/>
    <w:semiHidden/>
    <w:unhideWhenUsed/>
    <w:rsid w:val="00AC5720"/>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720"/>
    <w:rPr>
      <w:rFonts w:ascii="Arial" w:eastAsia="Times New Roman" w:hAnsi="Arial" w:cs="Times New Roman"/>
      <w:b/>
      <w:bCs/>
      <w:kern w:val="0"/>
      <w:sz w:val="20"/>
      <w:szCs w:val="20"/>
      <w14:ligatures w14:val="none"/>
    </w:rPr>
  </w:style>
  <w:style w:type="paragraph" w:customStyle="1" w:styleId="Billname">
    <w:name w:val="Billname"/>
    <w:basedOn w:val="Normal"/>
    <w:uiPriority w:val="99"/>
    <w:rsid w:val="00E06482"/>
    <w:pPr>
      <w:tabs>
        <w:tab w:val="left" w:pos="2400"/>
        <w:tab w:val="left" w:pos="2880"/>
      </w:tabs>
      <w:overflowPunct w:val="0"/>
      <w:autoSpaceDE w:val="0"/>
      <w:autoSpaceDN w:val="0"/>
      <w:adjustRightInd w:val="0"/>
      <w:spacing w:before="1220" w:after="100"/>
    </w:pPr>
    <w:rPr>
      <w:rFonts w:ascii="Arial" w:eastAsia="Times New Roman" w:hAnsi="Arial" w:cs="Arial"/>
      <w:b/>
      <w:bCs/>
      <w:sz w:val="40"/>
      <w:szCs w:val="40"/>
    </w:rPr>
  </w:style>
  <w:style w:type="paragraph" w:customStyle="1" w:styleId="N-line3">
    <w:name w:val="N-line3"/>
    <w:basedOn w:val="Normal"/>
    <w:next w:val="Normal"/>
    <w:uiPriority w:val="99"/>
    <w:rsid w:val="00E06482"/>
    <w:pPr>
      <w:pBdr>
        <w:bottom w:val="single" w:sz="12" w:space="1" w:color="auto"/>
      </w:pBdr>
      <w:overflowPunct w:val="0"/>
      <w:autoSpaceDE w:val="0"/>
      <w:autoSpaceDN w:val="0"/>
      <w:adjustRightInd w:val="0"/>
      <w:spacing w:after="0"/>
      <w:jc w:val="both"/>
    </w:pPr>
    <w:rPr>
      <w:rFonts w:ascii="Times New Roman" w:eastAsia="Times New Roman" w:hAnsi="Times New Roman" w:cs="Times New Roman"/>
      <w:sz w:val="24"/>
      <w:szCs w:val="24"/>
    </w:rPr>
  </w:style>
  <w:style w:type="paragraph" w:customStyle="1" w:styleId="madeunder">
    <w:name w:val="made under"/>
    <w:basedOn w:val="Normal"/>
    <w:rsid w:val="00E06482"/>
    <w:pPr>
      <w:overflowPunct w:val="0"/>
      <w:autoSpaceDE w:val="0"/>
      <w:autoSpaceDN w:val="0"/>
      <w:adjustRightInd w:val="0"/>
      <w:spacing w:before="180" w:after="60"/>
      <w:jc w:val="both"/>
    </w:pPr>
    <w:rPr>
      <w:rFonts w:ascii="Times New Roman" w:eastAsia="Times New Roman" w:hAnsi="Times New Roman" w:cs="Times New Roman"/>
      <w:sz w:val="24"/>
      <w:szCs w:val="24"/>
    </w:rPr>
  </w:style>
  <w:style w:type="paragraph" w:customStyle="1" w:styleId="CoverActName">
    <w:name w:val="CoverActName"/>
    <w:basedOn w:val="Normal"/>
    <w:rsid w:val="00E06482"/>
    <w:pPr>
      <w:tabs>
        <w:tab w:val="left" w:pos="2600"/>
      </w:tabs>
      <w:overflowPunct w:val="0"/>
      <w:autoSpaceDE w:val="0"/>
      <w:autoSpaceDN w:val="0"/>
      <w:adjustRightInd w:val="0"/>
      <w:spacing w:before="200" w:after="60"/>
      <w:jc w:val="both"/>
    </w:pPr>
    <w:rPr>
      <w:rFonts w:ascii="Arial" w:eastAsia="Times New Roman" w:hAnsi="Arial" w:cs="Arial"/>
      <w:b/>
      <w:bCs/>
      <w:sz w:val="24"/>
      <w:szCs w:val="24"/>
    </w:rPr>
  </w:style>
  <w:style w:type="paragraph" w:customStyle="1" w:styleId="anote">
    <w:name w:val="anote"/>
    <w:basedOn w:val="Normal"/>
    <w:rsid w:val="00834AC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itals">
    <w:name w:val="charitals"/>
    <w:basedOn w:val="DefaultParagraphFont"/>
    <w:rsid w:val="00834AC0"/>
  </w:style>
  <w:style w:type="character" w:customStyle="1" w:styleId="Hyperlink1">
    <w:name w:val="Hyperlink1"/>
    <w:basedOn w:val="DefaultParagraphFont"/>
    <w:rsid w:val="00834AC0"/>
  </w:style>
  <w:style w:type="paragraph" w:styleId="Revision">
    <w:name w:val="Revision"/>
    <w:hidden/>
    <w:uiPriority w:val="99"/>
    <w:semiHidden/>
    <w:rsid w:val="00A015E6"/>
    <w:pPr>
      <w:spacing w:after="0" w:line="240" w:lineRule="auto"/>
    </w:pPr>
    <w:rPr>
      <w:kern w:val="0"/>
      <w14:ligatures w14:val="none"/>
    </w:rPr>
  </w:style>
  <w:style w:type="character" w:styleId="Hyperlink">
    <w:name w:val="Hyperlink"/>
    <w:basedOn w:val="DefaultParagraphFont"/>
    <w:uiPriority w:val="99"/>
    <w:unhideWhenUsed/>
    <w:rsid w:val="009D7D23"/>
    <w:rPr>
      <w:color w:val="0563C1" w:themeColor="hyperlink"/>
      <w:u w:val="single"/>
    </w:rPr>
  </w:style>
  <w:style w:type="character" w:styleId="UnresolvedMention">
    <w:name w:val="Unresolved Mention"/>
    <w:basedOn w:val="DefaultParagraphFont"/>
    <w:uiPriority w:val="99"/>
    <w:semiHidden/>
    <w:unhideWhenUsed/>
    <w:rsid w:val="009D7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8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ODCS\AppData\Local\Temp\ncc.abcb.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lanning.act.gov.au/projects-priorities/building-regulatory-system/national" TargetMode="External"/><Relationship Id="rId4" Type="http://schemas.openxmlformats.org/officeDocument/2006/relationships/settings" Target="settings.xml"/><Relationship Id="rId9" Type="http://schemas.openxmlformats.org/officeDocument/2006/relationships/hyperlink" Target="http://www.abcb.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A47873959</value>
    </field>
    <field name="Objective-Title">
      <value order="0">Attach F - Disallowable instrument - Professional Engineers  (Fire Safety Engineering) Code of Practice 2024</value>
    </field>
    <field name="Objective-Description">
      <value order="0"/>
    </field>
    <field name="Objective-CreationStamp">
      <value order="0">2024-08-20T06:43:27Z</value>
    </field>
    <field name="Objective-IsApproved">
      <value order="0">false</value>
    </field>
    <field name="Objective-IsPublished">
      <value order="0">true</value>
    </field>
    <field name="Objective-DatePublished">
      <value order="0">2024-08-29T02:24:35Z</value>
    </field>
    <field name="Objective-ModificationStamp">
      <value order="0">2024-08-29T02:24:35Z</value>
    </field>
    <field name="Objective-Owner">
      <value order="0">Alison Kemp</value>
    </field>
    <field name="Objective-Path">
      <value order="0">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alue>
    </field>
    <field name="Objective-Parent">
      <value order="0">24/85559 Ministerial- Information Brief - VASSAROTTI - Professional Engineers Registration Scheme - Implementation instruments</value>
    </field>
    <field name="Objective-State">
      <value order="0">Published</value>
    </field>
    <field name="Objective-VersionId">
      <value order="0">vA60476364</value>
    </field>
    <field name="Objective-Version">
      <value order="0">10.0</value>
    </field>
    <field name="Objective-VersionNumber">
      <value order="0">13</value>
    </field>
    <field name="Objective-VersionComment">
      <value order="0"/>
    </field>
    <field name="Objective-FileNumber">
      <value order="0">1-2024/85559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6628</Characters>
  <Application>Microsoft Office Word</Application>
  <DocSecurity>0</DocSecurity>
  <Lines>127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Alison</dc:creator>
  <cp:keywords/>
  <dc:description/>
  <cp:lastModifiedBy>PCODCS</cp:lastModifiedBy>
  <cp:revision>4</cp:revision>
  <dcterms:created xsi:type="dcterms:W3CDTF">2024-09-05T05:35:00Z</dcterms:created>
  <dcterms:modified xsi:type="dcterms:W3CDTF">2024-09-05T05:35:00Z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2024-07-11T05:42:14Z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76cb36ff-6861-40da-9fef-6c95ada7c4af</vt:lpwstr>
  </property>
  <property fmtid="{D5CDD505-2E9C-101B-9397-08002B2CF9AE}" pid="8" name="MSIP_Label_69af8531-eb46-4968-8cb3-105d2f5ea87e_ContentBits">
    <vt:lpwstr>0</vt:lpwstr>
  </property>
  <property fmtid="{D5CDD505-2E9C-101B-9397-08002B2CF9AE}" pid="9" name="Objective-Id">
    <vt:lpwstr>A47873959</vt:lpwstr>
  </property>
  <property fmtid="{D5CDD505-2E9C-101B-9397-08002B2CF9AE}" pid="10" name="Objective-Title">
    <vt:lpwstr>Attach F - Disallowable instrument - Professional Engineers  (Fire Safety Engineering) Code of Practice 2024</vt:lpwstr>
  </property>
  <property fmtid="{D5CDD505-2E9C-101B-9397-08002B2CF9AE}" pid="11" name="Objective-Description">
    <vt:lpwstr/>
  </property>
  <property fmtid="{D5CDD505-2E9C-101B-9397-08002B2CF9AE}" pid="12" name="Objective-CreationStamp">
    <vt:filetime>2024-08-20T06:43:27Z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2024-08-29T02:24:35Z</vt:filetime>
  </property>
  <property fmtid="{D5CDD505-2E9C-101B-9397-08002B2CF9AE}" pid="16" name="Objective-ModificationStamp">
    <vt:filetime>2024-08-29T02:24:35Z</vt:filetime>
  </property>
  <property fmtid="{D5CDD505-2E9C-101B-9397-08002B2CF9AE}" pid="17" name="Objective-Owner">
    <vt:lpwstr>Alison Kemp</vt:lpwstr>
  </property>
  <property fmtid="{D5CDD505-2E9C-101B-9397-08002B2CF9AE}" pid="18" name="Objective-Path">
    <vt:lpwstr>Whole of ACT Government:EPSDD - Environment Planning and Sustainable Development Directorate:07. Ministerial, Cabinet and Government Relations:06. Ministerials:2024 - Ministerials Briefs and Correspondence:Planning and Urban Policy:COMPLETED:24/85559 Ministerial- Information Brief - VASSAROTTI - Professional Engineers Registration Scheme - Implementation instruments:</vt:lpwstr>
  </property>
  <property fmtid="{D5CDD505-2E9C-101B-9397-08002B2CF9AE}" pid="19" name="Objective-Parent">
    <vt:lpwstr>24/85559 Ministerial- Information Brief - VASSAROTTI - Professional Engineers Registration Scheme - Implementation instruments</vt:lpwstr>
  </property>
  <property fmtid="{D5CDD505-2E9C-101B-9397-08002B2CF9AE}" pid="20" name="Objective-State">
    <vt:lpwstr>Published</vt:lpwstr>
  </property>
  <property fmtid="{D5CDD505-2E9C-101B-9397-08002B2CF9AE}" pid="21" name="Objective-VersionId">
    <vt:lpwstr>vA60476364</vt:lpwstr>
  </property>
  <property fmtid="{D5CDD505-2E9C-101B-9397-08002B2CF9AE}" pid="22" name="Objective-Version">
    <vt:lpwstr>10.0</vt:lpwstr>
  </property>
  <property fmtid="{D5CDD505-2E9C-101B-9397-08002B2CF9AE}" pid="23" name="Objective-VersionNumber">
    <vt:r8>13</vt:r8>
  </property>
  <property fmtid="{D5CDD505-2E9C-101B-9397-08002B2CF9AE}" pid="24" name="Objective-VersionComment">
    <vt:lpwstr/>
  </property>
  <property fmtid="{D5CDD505-2E9C-101B-9397-08002B2CF9AE}" pid="25" name="Objective-FileNumber">
    <vt:lpwstr>1-2024/85559</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ies>
</file>