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DE83" w14:textId="77777777" w:rsidR="001850C4" w:rsidRPr="001850C4" w:rsidRDefault="001850C4" w:rsidP="001850C4">
      <w:pPr>
        <w:spacing w:before="120"/>
        <w:rPr>
          <w:rFonts w:eastAsia="Times New Roman"/>
          <w:szCs w:val="20"/>
        </w:rPr>
      </w:pPr>
      <w:bookmarkStart w:id="0" w:name="_Toc44738651"/>
      <w:r w:rsidRPr="001850C4">
        <w:rPr>
          <w:rFonts w:eastAsia="Times New Roman"/>
          <w:szCs w:val="20"/>
        </w:rPr>
        <w:t>Australian Capital Territory</w:t>
      </w:r>
    </w:p>
    <w:p w14:paraId="426D00FC" w14:textId="2597E09E" w:rsidR="001850C4" w:rsidRPr="001850C4" w:rsidRDefault="001850C4" w:rsidP="000D4C6B">
      <w:pPr>
        <w:tabs>
          <w:tab w:val="left" w:pos="2400"/>
          <w:tab w:val="left" w:pos="2880"/>
        </w:tabs>
        <w:spacing w:before="700" w:after="100"/>
        <w:rPr>
          <w:rFonts w:eastAsia="Times New Roman" w:cs="Times New Roman"/>
          <w:b/>
          <w:sz w:val="40"/>
          <w:szCs w:val="20"/>
        </w:rPr>
      </w:pPr>
      <w:r w:rsidRPr="001850C4">
        <w:rPr>
          <w:rFonts w:eastAsia="Times New Roman" w:cs="Times New Roman"/>
          <w:b/>
          <w:sz w:val="40"/>
          <w:szCs w:val="20"/>
        </w:rPr>
        <w:t>Unit Titles (Manag</w:t>
      </w:r>
      <w:r w:rsidR="002940BA">
        <w:rPr>
          <w:rFonts w:eastAsia="Times New Roman" w:cs="Times New Roman"/>
          <w:b/>
          <w:sz w:val="40"/>
          <w:szCs w:val="20"/>
        </w:rPr>
        <w:t xml:space="preserve">ement) (Fees) Determination </w:t>
      </w:r>
      <w:r w:rsidR="00E954E1">
        <w:rPr>
          <w:rFonts w:eastAsia="Times New Roman" w:cs="Times New Roman"/>
          <w:b/>
          <w:sz w:val="40"/>
          <w:szCs w:val="20"/>
        </w:rPr>
        <w:t>202</w:t>
      </w:r>
      <w:r w:rsidR="009E30F6">
        <w:rPr>
          <w:rFonts w:eastAsia="Times New Roman" w:cs="Times New Roman"/>
          <w:b/>
          <w:sz w:val="40"/>
          <w:szCs w:val="20"/>
        </w:rPr>
        <w:t>4</w:t>
      </w:r>
      <w:r w:rsidR="00F34DFC">
        <w:rPr>
          <w:rFonts w:eastAsia="Times New Roman" w:cs="Times New Roman"/>
          <w:b/>
          <w:sz w:val="40"/>
          <w:szCs w:val="20"/>
        </w:rPr>
        <w:t xml:space="preserve"> </w:t>
      </w:r>
      <w:r w:rsidR="0031006A">
        <w:rPr>
          <w:rFonts w:eastAsia="Times New Roman" w:cs="Times New Roman"/>
          <w:b/>
          <w:sz w:val="40"/>
          <w:szCs w:val="20"/>
        </w:rPr>
        <w:t>(</w:t>
      </w:r>
      <w:r w:rsidR="00F34DFC">
        <w:rPr>
          <w:rFonts w:eastAsia="Times New Roman" w:cs="Times New Roman"/>
          <w:b/>
          <w:sz w:val="40"/>
          <w:szCs w:val="20"/>
        </w:rPr>
        <w:t>No 2</w:t>
      </w:r>
      <w:r w:rsidR="0031006A">
        <w:rPr>
          <w:rFonts w:eastAsia="Times New Roman" w:cs="Times New Roman"/>
          <w:b/>
          <w:sz w:val="40"/>
          <w:szCs w:val="20"/>
        </w:rPr>
        <w:t>)</w:t>
      </w:r>
    </w:p>
    <w:p w14:paraId="6ACBA2A1" w14:textId="52D9E5BF" w:rsidR="001850C4" w:rsidRPr="001850C4" w:rsidRDefault="001850C4" w:rsidP="00AA7220">
      <w:pPr>
        <w:spacing w:before="340"/>
        <w:rPr>
          <w:rFonts w:eastAsia="Times New Roman"/>
          <w:b/>
          <w:bCs/>
          <w:szCs w:val="20"/>
          <w:vertAlign w:val="superscript"/>
        </w:rPr>
      </w:pPr>
      <w:r w:rsidRPr="001850C4">
        <w:rPr>
          <w:rFonts w:eastAsia="Times New Roman"/>
          <w:b/>
          <w:bCs/>
          <w:szCs w:val="20"/>
        </w:rPr>
        <w:t xml:space="preserve">Disallowable instrument </w:t>
      </w:r>
      <w:r w:rsidR="00E954E1" w:rsidRPr="00A737E1">
        <w:rPr>
          <w:rFonts w:eastAsia="Times New Roman"/>
          <w:b/>
          <w:bCs/>
          <w:szCs w:val="20"/>
        </w:rPr>
        <w:t>DI</w:t>
      </w:r>
      <w:r w:rsidR="00B24D8D">
        <w:rPr>
          <w:rFonts w:eastAsia="Times New Roman"/>
          <w:b/>
          <w:bCs/>
          <w:szCs w:val="20"/>
        </w:rPr>
        <w:t>202</w:t>
      </w:r>
      <w:r w:rsidR="009E30F6">
        <w:rPr>
          <w:rFonts w:eastAsia="Times New Roman"/>
          <w:b/>
          <w:bCs/>
          <w:szCs w:val="20"/>
        </w:rPr>
        <w:t>4</w:t>
      </w:r>
      <w:r w:rsidR="00175EDC">
        <w:rPr>
          <w:rFonts w:eastAsia="Times New Roman"/>
          <w:b/>
          <w:bCs/>
          <w:szCs w:val="20"/>
        </w:rPr>
        <w:t>-</w:t>
      </w:r>
      <w:r w:rsidR="00BB1AD0">
        <w:rPr>
          <w:rFonts w:eastAsia="Times New Roman"/>
          <w:b/>
          <w:bCs/>
          <w:szCs w:val="20"/>
        </w:rPr>
        <w:t>315</w:t>
      </w:r>
    </w:p>
    <w:p w14:paraId="212AE796" w14:textId="3D18A179" w:rsidR="001850C4" w:rsidRPr="001850C4" w:rsidRDefault="001850C4" w:rsidP="00AA7220">
      <w:pPr>
        <w:spacing w:before="300"/>
        <w:rPr>
          <w:rFonts w:ascii="Times New Roman" w:hAnsi="Times New Roman" w:cs="Times New Roman"/>
          <w:szCs w:val="20"/>
        </w:rPr>
      </w:pPr>
      <w:r w:rsidRPr="001850C4">
        <w:rPr>
          <w:rFonts w:ascii="Times New Roman" w:hAnsi="Times New Roman" w:cs="Times New Roman"/>
          <w:szCs w:val="20"/>
        </w:rPr>
        <w:t>made under the</w:t>
      </w:r>
    </w:p>
    <w:p w14:paraId="06032AF4" w14:textId="512E845D" w:rsidR="001850C4" w:rsidRPr="001850C4" w:rsidRDefault="001850C4" w:rsidP="00AA7220">
      <w:pPr>
        <w:tabs>
          <w:tab w:val="left" w:pos="2600"/>
        </w:tabs>
        <w:spacing w:before="320"/>
        <w:rPr>
          <w:rFonts w:eastAsia="Times New Roman" w:cs="Times New Roman"/>
          <w:b/>
          <w:szCs w:val="20"/>
        </w:rPr>
      </w:pPr>
      <w:r w:rsidRPr="001850C4">
        <w:rPr>
          <w:rFonts w:eastAsia="Times New Roman"/>
          <w:b/>
          <w:sz w:val="20"/>
          <w:szCs w:val="20"/>
        </w:rPr>
        <w:t>Unit Titles (Management) Act 2011, s</w:t>
      </w:r>
      <w:r w:rsidR="000D4C6B">
        <w:rPr>
          <w:rFonts w:eastAsia="Times New Roman"/>
          <w:b/>
          <w:sz w:val="20"/>
          <w:szCs w:val="20"/>
        </w:rPr>
        <w:t xml:space="preserve"> </w:t>
      </w:r>
      <w:r w:rsidRPr="001850C4">
        <w:rPr>
          <w:rFonts w:eastAsia="Times New Roman"/>
          <w:b/>
          <w:sz w:val="20"/>
          <w:szCs w:val="20"/>
        </w:rPr>
        <w:t>119 (Unit title certificate</w:t>
      </w:r>
      <w:r w:rsidR="00DA6D3D">
        <w:rPr>
          <w:rFonts w:eastAsia="Times New Roman"/>
          <w:b/>
          <w:sz w:val="20"/>
          <w:szCs w:val="20"/>
        </w:rPr>
        <w:t>s</w:t>
      </w:r>
      <w:r w:rsidRPr="001850C4">
        <w:rPr>
          <w:rFonts w:eastAsia="Times New Roman"/>
          <w:b/>
          <w:sz w:val="20"/>
          <w:szCs w:val="20"/>
        </w:rPr>
        <w:t>)</w:t>
      </w:r>
      <w:r w:rsidR="00DA6D3D">
        <w:rPr>
          <w:rFonts w:eastAsia="Times New Roman"/>
          <w:b/>
          <w:sz w:val="20"/>
          <w:szCs w:val="20"/>
        </w:rPr>
        <w:t xml:space="preserve"> and s 120A (A</w:t>
      </w:r>
      <w:r w:rsidR="00DA6D3D" w:rsidRPr="001850C4">
        <w:rPr>
          <w:rFonts w:eastAsia="Times New Roman"/>
          <w:b/>
          <w:sz w:val="20"/>
          <w:szCs w:val="20"/>
        </w:rPr>
        <w:t>ccess to owners corporation records</w:t>
      </w:r>
      <w:r w:rsidR="00DA6D3D">
        <w:rPr>
          <w:rFonts w:eastAsia="Times New Roman"/>
          <w:b/>
          <w:sz w:val="20"/>
          <w:szCs w:val="20"/>
        </w:rPr>
        <w:t>)</w:t>
      </w:r>
    </w:p>
    <w:p w14:paraId="429394BA" w14:textId="77777777" w:rsidR="001850C4" w:rsidRPr="001850C4" w:rsidRDefault="001850C4" w:rsidP="00AA7220">
      <w:pPr>
        <w:spacing w:before="60"/>
        <w:jc w:val="both"/>
        <w:rPr>
          <w:rFonts w:ascii="Times New Roman" w:hAnsi="Times New Roman" w:cs="Times New Roman"/>
          <w:szCs w:val="20"/>
        </w:rPr>
      </w:pPr>
    </w:p>
    <w:p w14:paraId="32BD855A" w14:textId="77777777" w:rsidR="001850C4" w:rsidRPr="001850C4" w:rsidRDefault="001850C4" w:rsidP="001850C4">
      <w:pPr>
        <w:pBdr>
          <w:top w:val="single" w:sz="12" w:space="1" w:color="auto"/>
        </w:pBdr>
        <w:jc w:val="both"/>
        <w:rPr>
          <w:rFonts w:ascii="Times New Roman" w:hAnsi="Times New Roman" w:cs="Times New Roman"/>
          <w:szCs w:val="20"/>
        </w:rPr>
      </w:pPr>
    </w:p>
    <w:p w14:paraId="2BB1A91C" w14:textId="77777777" w:rsidR="001850C4" w:rsidRPr="001850C4" w:rsidRDefault="001850C4" w:rsidP="001850C4">
      <w:pPr>
        <w:spacing w:before="60" w:after="60"/>
        <w:ind w:left="720" w:hanging="720"/>
        <w:rPr>
          <w:rFonts w:eastAsia="Times New Roman"/>
          <w:b/>
          <w:bCs/>
          <w:szCs w:val="20"/>
        </w:rPr>
      </w:pPr>
      <w:r w:rsidRPr="001850C4">
        <w:rPr>
          <w:rFonts w:eastAsia="Times New Roman"/>
          <w:b/>
          <w:bCs/>
          <w:szCs w:val="20"/>
        </w:rPr>
        <w:t>1</w:t>
      </w:r>
      <w:r w:rsidRPr="001850C4">
        <w:rPr>
          <w:rFonts w:eastAsia="Times New Roman"/>
          <w:b/>
          <w:bCs/>
          <w:szCs w:val="20"/>
        </w:rPr>
        <w:tab/>
        <w:t>Name of instrument</w:t>
      </w:r>
    </w:p>
    <w:p w14:paraId="59B161B9" w14:textId="2485E90E" w:rsidR="001850C4" w:rsidRPr="00F341C8" w:rsidRDefault="001850C4" w:rsidP="00AA7220">
      <w:pPr>
        <w:spacing w:before="140" w:after="60"/>
        <w:ind w:left="720"/>
        <w:rPr>
          <w:rFonts w:ascii="Times New Roman" w:hAnsi="Times New Roman" w:cs="Times New Roman"/>
          <w:szCs w:val="20"/>
        </w:rPr>
      </w:pPr>
      <w:r w:rsidRPr="001850C4">
        <w:rPr>
          <w:rFonts w:ascii="Times New Roman" w:hAnsi="Times New Roman" w:cs="Times New Roman"/>
          <w:szCs w:val="20"/>
        </w:rPr>
        <w:t xml:space="preserve">This instrument is the </w:t>
      </w:r>
      <w:r w:rsidRPr="001850C4">
        <w:rPr>
          <w:rFonts w:ascii="Times New Roman" w:hAnsi="Times New Roman" w:cs="Times New Roman"/>
          <w:i/>
          <w:szCs w:val="20"/>
        </w:rPr>
        <w:t>Unit Titles (Management) (Fees</w:t>
      </w:r>
      <w:r w:rsidRPr="00F341C8">
        <w:rPr>
          <w:rFonts w:ascii="Times New Roman" w:hAnsi="Times New Roman" w:cs="Times New Roman"/>
          <w:i/>
          <w:szCs w:val="20"/>
        </w:rPr>
        <w:t xml:space="preserve">) Determination </w:t>
      </w:r>
      <w:r w:rsidR="00E954E1" w:rsidRPr="00F341C8">
        <w:rPr>
          <w:rFonts w:ascii="Times New Roman" w:hAnsi="Times New Roman" w:cs="Times New Roman"/>
          <w:i/>
          <w:szCs w:val="20"/>
        </w:rPr>
        <w:t>20</w:t>
      </w:r>
      <w:r w:rsidR="00E954E1">
        <w:rPr>
          <w:rFonts w:ascii="Times New Roman" w:hAnsi="Times New Roman" w:cs="Times New Roman"/>
          <w:i/>
          <w:szCs w:val="20"/>
        </w:rPr>
        <w:t>2</w:t>
      </w:r>
      <w:r w:rsidR="009E30F6">
        <w:rPr>
          <w:rFonts w:ascii="Times New Roman" w:hAnsi="Times New Roman" w:cs="Times New Roman"/>
          <w:i/>
          <w:szCs w:val="20"/>
        </w:rPr>
        <w:t>4</w:t>
      </w:r>
      <w:r w:rsidR="00F34DFC">
        <w:rPr>
          <w:rFonts w:ascii="Times New Roman" w:hAnsi="Times New Roman" w:cs="Times New Roman"/>
          <w:i/>
          <w:szCs w:val="20"/>
        </w:rPr>
        <w:t xml:space="preserve"> </w:t>
      </w:r>
      <w:r w:rsidR="0031006A">
        <w:rPr>
          <w:rFonts w:ascii="Times New Roman" w:hAnsi="Times New Roman" w:cs="Times New Roman"/>
          <w:i/>
          <w:szCs w:val="20"/>
        </w:rPr>
        <w:t>(</w:t>
      </w:r>
      <w:r w:rsidR="00F34DFC">
        <w:rPr>
          <w:rFonts w:ascii="Times New Roman" w:hAnsi="Times New Roman" w:cs="Times New Roman"/>
          <w:i/>
          <w:szCs w:val="20"/>
        </w:rPr>
        <w:t>No 2</w:t>
      </w:r>
      <w:r w:rsidR="0031006A">
        <w:rPr>
          <w:rFonts w:ascii="Times New Roman" w:hAnsi="Times New Roman" w:cs="Times New Roman"/>
          <w:i/>
          <w:szCs w:val="20"/>
        </w:rPr>
        <w:t>)</w:t>
      </w:r>
      <w:r w:rsidR="00B24D8D">
        <w:rPr>
          <w:rFonts w:ascii="Times New Roman" w:hAnsi="Times New Roman" w:cs="Times New Roman"/>
          <w:i/>
          <w:szCs w:val="20"/>
        </w:rPr>
        <w:t>.</w:t>
      </w:r>
    </w:p>
    <w:bookmarkEnd w:id="0"/>
    <w:p w14:paraId="04FEEC26"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2</w:t>
      </w:r>
      <w:r w:rsidRPr="00F341C8">
        <w:rPr>
          <w:rFonts w:eastAsia="Times New Roman"/>
          <w:b/>
          <w:bCs/>
          <w:szCs w:val="20"/>
        </w:rPr>
        <w:tab/>
        <w:t xml:space="preserve">Commencement </w:t>
      </w:r>
    </w:p>
    <w:p w14:paraId="42B61D89" w14:textId="4265AF9D" w:rsidR="001850C4" w:rsidRPr="00F341C8" w:rsidRDefault="00A942D6" w:rsidP="00AA7220">
      <w:pPr>
        <w:spacing w:before="140" w:after="60"/>
        <w:ind w:left="720"/>
        <w:rPr>
          <w:rFonts w:ascii="Times New Roman" w:hAnsi="Times New Roman" w:cs="Times New Roman"/>
          <w:szCs w:val="20"/>
        </w:rPr>
      </w:pPr>
      <w:r w:rsidRPr="00A942D6">
        <w:rPr>
          <w:rFonts w:ascii="Times New Roman" w:eastAsia="SimSun" w:hAnsi="Times New Roman" w:cs="Times New Roman"/>
          <w:bdr w:val="nil"/>
        </w:rPr>
        <w:t xml:space="preserve">This instrument commences </w:t>
      </w:r>
      <w:r w:rsidR="00D234F7">
        <w:rPr>
          <w:rFonts w:ascii="Times New Roman" w:eastAsia="SimSun" w:hAnsi="Times New Roman" w:cs="Times New Roman"/>
          <w:bdr w:val="nil"/>
        </w:rPr>
        <w:t xml:space="preserve">on </w:t>
      </w:r>
      <w:r w:rsidR="00461D4B">
        <w:rPr>
          <w:rFonts w:ascii="Times New Roman" w:eastAsia="SimSun" w:hAnsi="Times New Roman" w:cs="Times New Roman"/>
          <w:bdr w:val="nil"/>
        </w:rPr>
        <w:t>10</w:t>
      </w:r>
      <w:r w:rsidR="00D234F7">
        <w:rPr>
          <w:rFonts w:ascii="Times New Roman" w:eastAsia="SimSun" w:hAnsi="Times New Roman" w:cs="Times New Roman"/>
          <w:bdr w:val="nil"/>
        </w:rPr>
        <w:t xml:space="preserve"> December 2024</w:t>
      </w:r>
      <w:r>
        <w:rPr>
          <w:rFonts w:ascii="Times New Roman" w:eastAsia="SimSun" w:hAnsi="Times New Roman" w:cs="Times New Roman"/>
          <w:bdr w:val="nil"/>
        </w:rPr>
        <w:t>.</w:t>
      </w:r>
      <w:r w:rsidR="001850C4" w:rsidRPr="00F341C8">
        <w:rPr>
          <w:rFonts w:ascii="Times New Roman" w:hAnsi="Times New Roman" w:cs="Times New Roman"/>
          <w:szCs w:val="20"/>
        </w:rPr>
        <w:t xml:space="preserve"> </w:t>
      </w:r>
    </w:p>
    <w:p w14:paraId="5F97DF4B"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3</w:t>
      </w:r>
      <w:r w:rsidRPr="00F341C8">
        <w:rPr>
          <w:rFonts w:eastAsia="Times New Roman"/>
          <w:b/>
          <w:bCs/>
          <w:szCs w:val="20"/>
        </w:rPr>
        <w:tab/>
        <w:t>Determination of fees</w:t>
      </w:r>
    </w:p>
    <w:p w14:paraId="605E27DF" w14:textId="503F944D"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(1)</w:t>
      </w:r>
      <w:r w:rsidRPr="00F341C8">
        <w:rPr>
          <w:rFonts w:ascii="Times New Roman" w:hAnsi="Times New Roman" w:cs="Times New Roman"/>
          <w:szCs w:val="20"/>
        </w:rPr>
        <w:tab/>
        <w:t xml:space="preserve">The fee payable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the fee stated in the schedule, column </w:t>
      </w:r>
      <w:r w:rsidR="009E30F6">
        <w:rPr>
          <w:rFonts w:ascii="Times New Roman" w:hAnsi="Times New Roman" w:cs="Times New Roman"/>
          <w:szCs w:val="20"/>
        </w:rPr>
        <w:t>2</w:t>
      </w:r>
      <w:r w:rsidRPr="00F341C8">
        <w:rPr>
          <w:rFonts w:ascii="Times New Roman" w:hAnsi="Times New Roman" w:cs="Times New Roman"/>
          <w:szCs w:val="20"/>
        </w:rPr>
        <w:t xml:space="preserve"> for that matter.</w:t>
      </w:r>
    </w:p>
    <w:p w14:paraId="172C77DF" w14:textId="3DFFA183"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(2)</w:t>
      </w:r>
      <w:r w:rsidRPr="00F341C8">
        <w:rPr>
          <w:rFonts w:ascii="Times New Roman" w:hAnsi="Times New Roman" w:cs="Times New Roman"/>
          <w:szCs w:val="20"/>
        </w:rPr>
        <w:tab/>
        <w:t xml:space="preserve">The fee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payable by the person requesting the service.</w:t>
      </w:r>
    </w:p>
    <w:p w14:paraId="1FFF6208"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4</w:t>
      </w:r>
      <w:r w:rsidRPr="00F341C8">
        <w:rPr>
          <w:rFonts w:eastAsia="Times New Roman"/>
          <w:b/>
          <w:bCs/>
          <w:szCs w:val="20"/>
        </w:rPr>
        <w:tab/>
        <w:t>Payment of fees</w:t>
      </w:r>
    </w:p>
    <w:p w14:paraId="23609357" w14:textId="77777777"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The fee payable for a matter stated in an item in the schedule, column 2 is payable to the owners corporation.</w:t>
      </w:r>
    </w:p>
    <w:p w14:paraId="4B01408E"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5</w:t>
      </w:r>
      <w:r w:rsidRPr="00F341C8">
        <w:rPr>
          <w:rFonts w:eastAsia="Times New Roman"/>
          <w:b/>
          <w:bCs/>
          <w:szCs w:val="20"/>
        </w:rPr>
        <w:tab/>
        <w:t>Revocation</w:t>
      </w:r>
    </w:p>
    <w:p w14:paraId="0A165A29" w14:textId="714FEC74"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w:t>
      </w:r>
      <w:r w:rsidR="00B15FC0" w:rsidRPr="00F341C8">
        <w:rPr>
          <w:rFonts w:ascii="Times New Roman" w:hAnsi="Times New Roman" w:cs="Times New Roman"/>
          <w:szCs w:val="20"/>
        </w:rPr>
        <w:t xml:space="preserve">is instrument </w:t>
      </w:r>
      <w:r w:rsidR="00B15FC0" w:rsidRPr="006F476F">
        <w:rPr>
          <w:rFonts w:ascii="Times New Roman" w:hAnsi="Times New Roman" w:cs="Times New Roman"/>
          <w:szCs w:val="20"/>
        </w:rPr>
        <w:t xml:space="preserve">revokes </w:t>
      </w:r>
      <w:r w:rsidRPr="00F341C8">
        <w:rPr>
          <w:rFonts w:ascii="Times New Roman" w:hAnsi="Times New Roman" w:cs="Times New Roman"/>
          <w:szCs w:val="20"/>
        </w:rPr>
        <w:t xml:space="preserve">the </w:t>
      </w:r>
      <w:r w:rsidRPr="00F341C8">
        <w:rPr>
          <w:rFonts w:ascii="Times New Roman" w:hAnsi="Times New Roman" w:cs="Times New Roman"/>
          <w:i/>
          <w:szCs w:val="20"/>
        </w:rPr>
        <w:t>Unit Titles (Manag</w:t>
      </w:r>
      <w:r w:rsidR="002940BA">
        <w:rPr>
          <w:rFonts w:ascii="Times New Roman" w:hAnsi="Times New Roman" w:cs="Times New Roman"/>
          <w:i/>
          <w:szCs w:val="20"/>
        </w:rPr>
        <w:t>ement) (Fees) Determination 20</w:t>
      </w:r>
      <w:r w:rsidR="00B24D8D">
        <w:rPr>
          <w:rFonts w:ascii="Times New Roman" w:hAnsi="Times New Roman" w:cs="Times New Roman"/>
          <w:i/>
          <w:szCs w:val="20"/>
        </w:rPr>
        <w:t>2</w:t>
      </w:r>
      <w:r w:rsidR="00F34DFC">
        <w:rPr>
          <w:rFonts w:ascii="Times New Roman" w:hAnsi="Times New Roman" w:cs="Times New Roman"/>
          <w:i/>
          <w:szCs w:val="20"/>
        </w:rPr>
        <w:t>4</w:t>
      </w:r>
      <w:r w:rsidR="00A737E1">
        <w:rPr>
          <w:rFonts w:ascii="Times New Roman" w:hAnsi="Times New Roman" w:cs="Times New Roman"/>
          <w:i/>
          <w:szCs w:val="20"/>
        </w:rPr>
        <w:t xml:space="preserve"> </w:t>
      </w:r>
      <w:r w:rsidR="00A737E1">
        <w:rPr>
          <w:rFonts w:ascii="Times New Roman" w:hAnsi="Times New Roman" w:cs="Times New Roman"/>
          <w:szCs w:val="20"/>
        </w:rPr>
        <w:t>(</w:t>
      </w:r>
      <w:r w:rsidR="00D47191" w:rsidRPr="006F476F">
        <w:rPr>
          <w:rFonts w:ascii="Times New Roman" w:hAnsi="Times New Roman" w:cs="Times New Roman"/>
          <w:szCs w:val="20"/>
        </w:rPr>
        <w:t>DI20</w:t>
      </w:r>
      <w:r w:rsidR="00D47191">
        <w:rPr>
          <w:rFonts w:ascii="Times New Roman" w:hAnsi="Times New Roman" w:cs="Times New Roman"/>
          <w:szCs w:val="20"/>
        </w:rPr>
        <w:t>2</w:t>
      </w:r>
      <w:r w:rsidR="00F34DFC">
        <w:rPr>
          <w:rFonts w:ascii="Times New Roman" w:hAnsi="Times New Roman" w:cs="Times New Roman"/>
          <w:szCs w:val="20"/>
        </w:rPr>
        <w:t>4</w:t>
      </w:r>
      <w:r w:rsidR="00951C38">
        <w:rPr>
          <w:rFonts w:ascii="Times New Roman" w:hAnsi="Times New Roman" w:cs="Times New Roman"/>
          <w:szCs w:val="20"/>
        </w:rPr>
        <w:t>-</w:t>
      </w:r>
      <w:r w:rsidR="00F34DFC">
        <w:rPr>
          <w:rFonts w:ascii="Times New Roman" w:hAnsi="Times New Roman" w:cs="Times New Roman"/>
          <w:szCs w:val="20"/>
        </w:rPr>
        <w:t>217</w:t>
      </w:r>
      <w:r w:rsidR="00A737E1">
        <w:rPr>
          <w:rFonts w:ascii="Times New Roman" w:hAnsi="Times New Roman" w:cs="Times New Roman"/>
          <w:szCs w:val="20"/>
        </w:rPr>
        <w:t>)</w:t>
      </w:r>
      <w:r w:rsidRPr="00F341C8">
        <w:rPr>
          <w:rFonts w:ascii="Times New Roman" w:hAnsi="Times New Roman" w:cs="Times New Roman"/>
          <w:i/>
          <w:szCs w:val="20"/>
        </w:rPr>
        <w:t>.</w:t>
      </w:r>
    </w:p>
    <w:p w14:paraId="168D90D1" w14:textId="77777777" w:rsidR="001850C4" w:rsidRDefault="001850C4" w:rsidP="001850C4">
      <w:pPr>
        <w:tabs>
          <w:tab w:val="left" w:pos="4320"/>
        </w:tabs>
        <w:spacing w:before="480"/>
        <w:rPr>
          <w:rFonts w:ascii="Times New Roman" w:hAnsi="Times New Roman" w:cs="Times New Roman"/>
          <w:szCs w:val="20"/>
        </w:rPr>
      </w:pPr>
    </w:p>
    <w:p w14:paraId="5AF274A9" w14:textId="77777777" w:rsidR="005E721C" w:rsidRPr="00F341C8" w:rsidRDefault="005E721C" w:rsidP="001850C4">
      <w:pPr>
        <w:tabs>
          <w:tab w:val="left" w:pos="4320"/>
        </w:tabs>
        <w:spacing w:before="480"/>
        <w:rPr>
          <w:rFonts w:ascii="Times New Roman" w:hAnsi="Times New Roman" w:cs="Times New Roman"/>
          <w:szCs w:val="20"/>
        </w:rPr>
      </w:pPr>
    </w:p>
    <w:p w14:paraId="4FF96510" w14:textId="52238FA8" w:rsidR="001850C4" w:rsidRDefault="00F34DFC" w:rsidP="00190C2C">
      <w:pPr>
        <w:rPr>
          <w:rFonts w:ascii="Times New Roman" w:hAnsi="Times New Roman" w:cs="Times New Roman"/>
        </w:rPr>
      </w:pPr>
      <w:r>
        <w:rPr>
          <w:rFonts w:ascii="Times New Roman" w:hAnsi="Times New Roman" w:cs="Times New Roman"/>
        </w:rPr>
        <w:t>Tara Cheyne</w:t>
      </w:r>
      <w:r w:rsidR="00C80C9B" w:rsidRPr="00F341C8">
        <w:rPr>
          <w:rFonts w:ascii="Times New Roman" w:hAnsi="Times New Roman" w:cs="Times New Roman"/>
        </w:rPr>
        <w:t xml:space="preserve"> MLA</w:t>
      </w:r>
      <w:r w:rsidR="001850C4" w:rsidRPr="00F341C8">
        <w:rPr>
          <w:rFonts w:ascii="Times New Roman" w:hAnsi="Times New Roman" w:cs="Times New Roman"/>
        </w:rPr>
        <w:br/>
        <w:t>Attorney-General</w:t>
      </w:r>
    </w:p>
    <w:p w14:paraId="12E7338C" w14:textId="68BDB3AB" w:rsidR="00742C92" w:rsidRPr="00F341C8" w:rsidRDefault="00BB1AD0" w:rsidP="00190C2C">
      <w:pPr>
        <w:rPr>
          <w:rFonts w:ascii="Times New Roman" w:hAnsi="Times New Roman" w:cs="Times New Roman"/>
        </w:rPr>
      </w:pPr>
      <w:r>
        <w:rPr>
          <w:rFonts w:ascii="Times New Roman" w:hAnsi="Times New Roman" w:cs="Times New Roman"/>
        </w:rPr>
        <w:t>6</w:t>
      </w:r>
      <w:r w:rsidR="003C29E7">
        <w:rPr>
          <w:rFonts w:ascii="Times New Roman" w:hAnsi="Times New Roman" w:cs="Times New Roman"/>
        </w:rPr>
        <w:t xml:space="preserve"> </w:t>
      </w:r>
      <w:r w:rsidR="00F34DFC">
        <w:rPr>
          <w:rFonts w:ascii="Times New Roman" w:hAnsi="Times New Roman" w:cs="Times New Roman"/>
        </w:rPr>
        <w:t>December</w:t>
      </w:r>
      <w:r w:rsidR="00413C57">
        <w:rPr>
          <w:rFonts w:ascii="Times New Roman" w:hAnsi="Times New Roman" w:cs="Times New Roman"/>
        </w:rPr>
        <w:t xml:space="preserve"> 2</w:t>
      </w:r>
      <w:r w:rsidR="00951C38">
        <w:rPr>
          <w:rFonts w:ascii="Times New Roman" w:hAnsi="Times New Roman" w:cs="Times New Roman"/>
        </w:rPr>
        <w:t>02</w:t>
      </w:r>
      <w:r w:rsidR="003C29E7">
        <w:rPr>
          <w:rFonts w:ascii="Times New Roman" w:hAnsi="Times New Roman" w:cs="Times New Roman"/>
        </w:rPr>
        <w:t>4</w:t>
      </w:r>
    </w:p>
    <w:p w14:paraId="2DA6E710" w14:textId="77777777" w:rsidR="00190C2C" w:rsidRPr="00F341C8" w:rsidRDefault="00190C2C">
      <w:pPr>
        <w:rPr>
          <w:rFonts w:ascii="Times New Roman" w:hAnsi="Times New Roman" w:cs="Times New Roman"/>
        </w:rPr>
      </w:pPr>
    </w:p>
    <w:p w14:paraId="76FB18E4" w14:textId="71B84E47" w:rsidR="006E76D4" w:rsidRDefault="006E76D4">
      <w:pPr>
        <w:rPr>
          <w:rFonts w:ascii="Times New Roman" w:hAnsi="Times New Roman" w:cs="Times New Roman"/>
        </w:rPr>
        <w:sectPr w:rsidR="006E76D4" w:rsidSect="00A676F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567" w:gutter="0"/>
          <w:pgNumType w:start="1"/>
          <w:cols w:space="720"/>
          <w:docGrid w:linePitch="326"/>
        </w:sectPr>
      </w:pPr>
    </w:p>
    <w:tbl>
      <w:tblPr>
        <w:tblW w:w="11373" w:type="dxa"/>
        <w:tblInd w:w="-426" w:type="dxa"/>
        <w:tblLook w:val="04A0" w:firstRow="1" w:lastRow="0" w:firstColumn="1" w:lastColumn="0" w:noHBand="0" w:noVBand="1"/>
      </w:tblPr>
      <w:tblGrid>
        <w:gridCol w:w="10360"/>
        <w:gridCol w:w="1013"/>
      </w:tblGrid>
      <w:tr w:rsidR="00A46B25" w:rsidRPr="00A46B25" w14:paraId="60037B7D" w14:textId="77777777" w:rsidTr="00203E7F">
        <w:trPr>
          <w:trHeight w:val="375"/>
        </w:trPr>
        <w:tc>
          <w:tcPr>
            <w:tcW w:w="10360" w:type="dxa"/>
            <w:tcBorders>
              <w:top w:val="nil"/>
              <w:left w:val="nil"/>
              <w:bottom w:val="nil"/>
              <w:right w:val="nil"/>
            </w:tcBorders>
            <w:noWrap/>
            <w:hideMark/>
          </w:tcPr>
          <w:p w14:paraId="19F6D8FE" w14:textId="77777777" w:rsidR="00271DEE" w:rsidRDefault="00271DEE" w:rsidP="00B2765B">
            <w:pPr>
              <w:tabs>
                <w:tab w:val="left" w:pos="1096"/>
                <w:tab w:val="left" w:pos="2280"/>
                <w:tab w:val="left" w:pos="3860"/>
              </w:tabs>
              <w:ind w:right="-308"/>
              <w:jc w:val="center"/>
              <w:rPr>
                <w:b/>
                <w:bCs/>
              </w:rPr>
            </w:pPr>
            <w:r>
              <w:rPr>
                <w:b/>
                <w:bCs/>
              </w:rPr>
              <w:lastRenderedPageBreak/>
              <w:t>SCHEDULE</w:t>
            </w:r>
            <w:r>
              <w:t xml:space="preserve"> - </w:t>
            </w:r>
            <w:r>
              <w:rPr>
                <w:b/>
                <w:bCs/>
              </w:rPr>
              <w:t>FEES AND CHARGES TO BE PAID</w:t>
            </w:r>
          </w:p>
          <w:p w14:paraId="2DEF4CFC" w14:textId="77777777" w:rsidR="00271DEE" w:rsidRDefault="00271DEE" w:rsidP="00B2765B">
            <w:pPr>
              <w:tabs>
                <w:tab w:val="left" w:pos="1096"/>
                <w:tab w:val="left" w:pos="2280"/>
                <w:tab w:val="left" w:pos="3860"/>
              </w:tabs>
              <w:ind w:right="-308"/>
              <w:jc w:val="center"/>
              <w:rPr>
                <w:b/>
                <w:bCs/>
              </w:rPr>
            </w:pPr>
          </w:p>
          <w:tbl>
            <w:tblPr>
              <w:tblW w:w="10144" w:type="dxa"/>
              <w:tblLook w:val="04A0" w:firstRow="1" w:lastRow="0" w:firstColumn="1" w:lastColumn="0" w:noHBand="0" w:noVBand="1"/>
            </w:tblPr>
            <w:tblGrid>
              <w:gridCol w:w="880"/>
              <w:gridCol w:w="20"/>
              <w:gridCol w:w="6662"/>
              <w:gridCol w:w="72"/>
              <w:gridCol w:w="2318"/>
              <w:gridCol w:w="192"/>
            </w:tblGrid>
            <w:tr w:rsidR="00271DEE" w14:paraId="22645C49" w14:textId="77777777" w:rsidTr="009E30F6">
              <w:trPr>
                <w:tblHeader/>
              </w:trPr>
              <w:tc>
                <w:tcPr>
                  <w:tcW w:w="900" w:type="dxa"/>
                  <w:gridSpan w:val="2"/>
                  <w:tcBorders>
                    <w:top w:val="nil"/>
                    <w:left w:val="nil"/>
                    <w:bottom w:val="nil"/>
                    <w:right w:val="nil"/>
                  </w:tcBorders>
                </w:tcPr>
                <w:p w14:paraId="6D4A5979" w14:textId="197B6FB2" w:rsidR="00271DEE" w:rsidRPr="00182510" w:rsidRDefault="00271DEE" w:rsidP="00B2765B">
                  <w:pPr>
                    <w:widowControl w:val="0"/>
                    <w:tabs>
                      <w:tab w:val="left" w:pos="1063"/>
                      <w:tab w:val="left" w:pos="1096"/>
                    </w:tabs>
                    <w:spacing w:before="60" w:after="60" w:line="276" w:lineRule="auto"/>
                    <w:rPr>
                      <w:b/>
                      <w:snapToGrid w:val="0"/>
                      <w:color w:val="000000"/>
                    </w:rPr>
                  </w:pPr>
                </w:p>
              </w:tc>
              <w:tc>
                <w:tcPr>
                  <w:tcW w:w="6662" w:type="dxa"/>
                  <w:tcBorders>
                    <w:top w:val="nil"/>
                    <w:left w:val="nil"/>
                    <w:bottom w:val="nil"/>
                    <w:right w:val="nil"/>
                  </w:tcBorders>
                  <w:hideMark/>
                </w:tcPr>
                <w:p w14:paraId="585774FC" w14:textId="735300EB" w:rsidR="00271DEE" w:rsidRPr="00182510" w:rsidRDefault="00271DEE" w:rsidP="00B2765B">
                  <w:pPr>
                    <w:widowControl w:val="0"/>
                    <w:tabs>
                      <w:tab w:val="left" w:pos="1063"/>
                      <w:tab w:val="left" w:pos="1096"/>
                    </w:tabs>
                    <w:spacing w:before="60" w:after="60" w:line="276" w:lineRule="auto"/>
                    <w:rPr>
                      <w:b/>
                      <w:snapToGrid w:val="0"/>
                      <w:color w:val="000000"/>
                      <w:sz w:val="14"/>
                    </w:rPr>
                  </w:pPr>
                  <w:r w:rsidRPr="00182510">
                    <w:rPr>
                      <w:b/>
                      <w:snapToGrid w:val="0"/>
                      <w:color w:val="000000"/>
                      <w:sz w:val="14"/>
                    </w:rPr>
                    <w:t xml:space="preserve">Column </w:t>
                  </w:r>
                  <w:r w:rsidR="009E30F6">
                    <w:rPr>
                      <w:b/>
                      <w:snapToGrid w:val="0"/>
                      <w:color w:val="000000"/>
                      <w:sz w:val="14"/>
                    </w:rPr>
                    <w:t>1</w:t>
                  </w:r>
                </w:p>
                <w:p w14:paraId="2E2FD578" w14:textId="77777777" w:rsidR="00271DEE" w:rsidRPr="00182510" w:rsidRDefault="00271DEE" w:rsidP="00B2765B">
                  <w:pPr>
                    <w:widowControl w:val="0"/>
                    <w:tabs>
                      <w:tab w:val="left" w:pos="1063"/>
                      <w:tab w:val="left" w:pos="1096"/>
                    </w:tabs>
                    <w:spacing w:before="60" w:after="60" w:line="276" w:lineRule="auto"/>
                    <w:rPr>
                      <w:b/>
                      <w:snapToGrid w:val="0"/>
                    </w:rPr>
                  </w:pPr>
                  <w:r w:rsidRPr="00182510">
                    <w:rPr>
                      <w:b/>
                      <w:snapToGrid w:val="0"/>
                      <w:color w:val="000000"/>
                    </w:rPr>
                    <w:t xml:space="preserve">Matter in respect of which fee or charge is payable </w:t>
                  </w:r>
                </w:p>
              </w:tc>
              <w:tc>
                <w:tcPr>
                  <w:tcW w:w="2582" w:type="dxa"/>
                  <w:gridSpan w:val="3"/>
                  <w:tcBorders>
                    <w:top w:val="nil"/>
                    <w:left w:val="nil"/>
                    <w:bottom w:val="nil"/>
                    <w:right w:val="nil"/>
                  </w:tcBorders>
                </w:tcPr>
                <w:p w14:paraId="7C1D21F9" w14:textId="4DC86E04" w:rsidR="00271DEE" w:rsidRPr="00182510" w:rsidRDefault="00271DEE" w:rsidP="00B2765B">
                  <w:pPr>
                    <w:widowControl w:val="0"/>
                    <w:tabs>
                      <w:tab w:val="left" w:pos="866"/>
                      <w:tab w:val="left" w:pos="1096"/>
                    </w:tabs>
                    <w:spacing w:before="60" w:after="60" w:line="276" w:lineRule="auto"/>
                    <w:rPr>
                      <w:b/>
                      <w:snapToGrid w:val="0"/>
                      <w:color w:val="000000"/>
                      <w:sz w:val="14"/>
                    </w:rPr>
                  </w:pPr>
                  <w:r w:rsidRPr="00182510">
                    <w:rPr>
                      <w:b/>
                      <w:snapToGrid w:val="0"/>
                      <w:color w:val="000000"/>
                      <w:sz w:val="14"/>
                    </w:rPr>
                    <w:t xml:space="preserve">Column </w:t>
                  </w:r>
                  <w:r w:rsidR="009E30F6">
                    <w:rPr>
                      <w:b/>
                      <w:snapToGrid w:val="0"/>
                      <w:color w:val="000000"/>
                      <w:sz w:val="14"/>
                    </w:rPr>
                    <w:t>2</w:t>
                  </w:r>
                </w:p>
                <w:p w14:paraId="04AD554E" w14:textId="77777777" w:rsidR="00271DEE" w:rsidRPr="00182510" w:rsidRDefault="00271DEE" w:rsidP="00B2765B">
                  <w:pPr>
                    <w:widowControl w:val="0"/>
                    <w:tabs>
                      <w:tab w:val="left" w:pos="866"/>
                      <w:tab w:val="left" w:pos="1096"/>
                    </w:tabs>
                    <w:spacing w:before="60" w:after="60" w:line="276" w:lineRule="auto"/>
                    <w:rPr>
                      <w:b/>
                      <w:snapToGrid w:val="0"/>
                      <w:color w:val="000000"/>
                    </w:rPr>
                  </w:pPr>
                  <w:r w:rsidRPr="00182510">
                    <w:rPr>
                      <w:b/>
                      <w:snapToGrid w:val="0"/>
                      <w:color w:val="000000"/>
                    </w:rPr>
                    <w:t>Amount Payable</w:t>
                  </w:r>
                </w:p>
                <w:p w14:paraId="08AE50F4" w14:textId="77777777" w:rsidR="00271DEE" w:rsidRPr="00182510" w:rsidRDefault="00271DEE" w:rsidP="00B2765B">
                  <w:pPr>
                    <w:widowControl w:val="0"/>
                    <w:tabs>
                      <w:tab w:val="left" w:pos="866"/>
                      <w:tab w:val="left" w:pos="1096"/>
                    </w:tabs>
                    <w:spacing w:before="60" w:after="60" w:line="276" w:lineRule="auto"/>
                    <w:rPr>
                      <w:snapToGrid w:val="0"/>
                    </w:rPr>
                  </w:pPr>
                </w:p>
              </w:tc>
            </w:tr>
            <w:tr w:rsidR="002A5A5A" w:rsidRPr="00182510" w14:paraId="4C42E7A1" w14:textId="77777777" w:rsidTr="009E30F6">
              <w:trPr>
                <w:gridAfter w:val="1"/>
                <w:wAfter w:w="192" w:type="dxa"/>
                <w:trHeight w:val="675"/>
              </w:trPr>
              <w:tc>
                <w:tcPr>
                  <w:tcW w:w="880" w:type="dxa"/>
                </w:tcPr>
                <w:p w14:paraId="7F352678" w14:textId="2F78B2FE"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bookmarkStart w:id="1" w:name="_Consumer_Credit__Administration_"/>
                  <w:bookmarkStart w:id="2" w:name="_Liquor_Act_1975"/>
                  <w:bookmarkEnd w:id="1"/>
                  <w:bookmarkEnd w:id="2"/>
                </w:p>
              </w:tc>
              <w:tc>
                <w:tcPr>
                  <w:tcW w:w="6754" w:type="dxa"/>
                  <w:gridSpan w:val="3"/>
                  <w:hideMark/>
                </w:tcPr>
                <w:p w14:paraId="3511D483" w14:textId="1B3E9ADA"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sidR="004D2A90">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certificate under section 119</w:t>
                  </w:r>
                  <w:r w:rsidR="004D2A90">
                    <w:rPr>
                      <w:rFonts w:ascii="Times New Roman" w:eastAsia="SimSun" w:hAnsi="Times New Roman" w:cs="Times New Roman"/>
                      <w:color w:val="000000"/>
                      <w:sz w:val="16"/>
                      <w:szCs w:val="16"/>
                      <w:lang w:val="en-US" w:eastAsia="zh-CN"/>
                    </w:rPr>
                    <w:t>(1)(a)</w:t>
                  </w:r>
                  <w:r w:rsidRPr="00182510">
                    <w:rPr>
                      <w:rFonts w:ascii="Times New Roman" w:eastAsia="SimSun" w:hAnsi="Times New Roman" w:cs="Times New Roman"/>
                      <w:color w:val="000000"/>
                      <w:sz w:val="16"/>
                      <w:szCs w:val="16"/>
                      <w:lang w:val="en-US" w:eastAsia="zh-CN"/>
                    </w:rPr>
                    <w:t>.</w:t>
                  </w:r>
                </w:p>
                <w:p w14:paraId="08127671"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25C11E7D" w14:textId="77777777" w:rsidR="00D23C0F" w:rsidRDefault="00D23C0F"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Note: </w:t>
                  </w:r>
                  <w:r>
                    <w:rPr>
                      <w:rFonts w:ascii="Times New Roman" w:eastAsia="SimSun" w:hAnsi="Times New Roman" w:cs="Times New Roman"/>
                      <w:i/>
                      <w:iCs/>
                      <w:color w:val="000080"/>
                      <w:sz w:val="16"/>
                      <w:szCs w:val="16"/>
                      <w:lang w:val="en-US" w:eastAsia="zh-CN"/>
                    </w:rPr>
                    <w:t>The Housing and Consumer Affairs Legislation Amendment Act 2024 amended the Unit Titles (Management) Act 2011. What was previously referred to as a unit title certificate is now referred to as a unit title sale certificate.</w:t>
                  </w:r>
                </w:p>
                <w:p w14:paraId="3EC79FAF" w14:textId="77777777" w:rsidR="00D23C0F" w:rsidRDefault="00D23C0F" w:rsidP="00B2765B">
                  <w:pPr>
                    <w:tabs>
                      <w:tab w:val="left" w:pos="1063"/>
                      <w:tab w:val="left" w:pos="1096"/>
                    </w:tabs>
                    <w:rPr>
                      <w:rFonts w:ascii="Times New Roman" w:eastAsia="SimSun" w:hAnsi="Times New Roman" w:cs="Times New Roman"/>
                      <w:i/>
                      <w:iCs/>
                      <w:color w:val="000080"/>
                      <w:sz w:val="16"/>
                      <w:szCs w:val="16"/>
                      <w:lang w:val="en-US" w:eastAsia="zh-CN"/>
                    </w:rPr>
                  </w:pPr>
                </w:p>
                <w:p w14:paraId="47568027" w14:textId="7CBB76C0"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w:t>
                  </w:r>
                  <w:r w:rsidR="00894F8E" w:rsidRPr="00182510">
                    <w:rPr>
                      <w:rFonts w:ascii="Times New Roman" w:eastAsia="SimSun" w:hAnsi="Times New Roman" w:cs="Times New Roman"/>
                      <w:i/>
                      <w:iCs/>
                      <w:color w:val="000080"/>
                      <w:sz w:val="16"/>
                      <w:szCs w:val="16"/>
                      <w:lang w:val="en-US" w:eastAsia="zh-CN"/>
                    </w:rPr>
                    <w:t xml:space="preserve"> Financial Year the fee was $</w:t>
                  </w:r>
                  <w:r w:rsidR="006B6461">
                    <w:rPr>
                      <w:rFonts w:ascii="Times New Roman" w:eastAsia="SimSun" w:hAnsi="Times New Roman" w:cs="Times New Roman"/>
                      <w:i/>
                      <w:iCs/>
                      <w:color w:val="000080"/>
                      <w:sz w:val="16"/>
                      <w:szCs w:val="16"/>
                      <w:lang w:val="en-US" w:eastAsia="zh-CN"/>
                    </w:rPr>
                    <w:t>3</w:t>
                  </w:r>
                  <w:r w:rsidR="00847761">
                    <w:rPr>
                      <w:rFonts w:ascii="Times New Roman" w:eastAsia="SimSun" w:hAnsi="Times New Roman" w:cs="Times New Roman"/>
                      <w:i/>
                      <w:iCs/>
                      <w:color w:val="000080"/>
                      <w:sz w:val="16"/>
                      <w:szCs w:val="16"/>
                      <w:lang w:val="en-US" w:eastAsia="zh-CN"/>
                    </w:rPr>
                    <w:t>20</w:t>
                  </w:r>
                  <w:r w:rsidR="006B6461">
                    <w:rPr>
                      <w:rFonts w:ascii="Times New Roman" w:eastAsia="SimSun" w:hAnsi="Times New Roman" w:cs="Times New Roman"/>
                      <w:i/>
                      <w:iCs/>
                      <w:color w:val="000080"/>
                      <w:sz w:val="16"/>
                      <w:szCs w:val="16"/>
                      <w:lang w:val="en-US" w:eastAsia="zh-CN"/>
                    </w:rPr>
                    <w:t>.00</w:t>
                  </w:r>
                  <w:r w:rsidR="001850C4" w:rsidRPr="00182510">
                    <w:rPr>
                      <w:rFonts w:ascii="Times New Roman" w:eastAsia="SimSun" w:hAnsi="Times New Roman" w:cs="Times New Roman"/>
                      <w:i/>
                      <w:iCs/>
                      <w:color w:val="000080"/>
                      <w:sz w:val="16"/>
                      <w:szCs w:val="16"/>
                      <w:lang w:val="en-US" w:eastAsia="zh-CN"/>
                    </w:rPr>
                    <w:t xml:space="preserve"> (including 10% GST).</w:t>
                  </w:r>
                </w:p>
                <w:p w14:paraId="5C7F2D5C"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p>
                <w:p w14:paraId="15FC106B" w14:textId="77777777" w:rsidR="00134EA8" w:rsidRPr="00182510" w:rsidRDefault="00134EA8" w:rsidP="00B2765B">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p>
                <w:p w14:paraId="020EA53A" w14:textId="77777777" w:rsidR="00134EA8" w:rsidRPr="00182510" w:rsidRDefault="00134EA8" w:rsidP="00B2765B">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 xml:space="preserve">requests to inspect owners corporation records to be set by disallowable instrument. </w:t>
                  </w:r>
                  <w:bookmarkStart w:id="3" w:name="_Hlk48124357"/>
                  <w:r w:rsidRPr="00182510">
                    <w:rPr>
                      <w:rFonts w:ascii="Times New Roman" w:hAnsi="Times New Roman" w:cs="Times New Roman"/>
                      <w:i/>
                      <w:iCs/>
                      <w:color w:val="000081"/>
                      <w:sz w:val="16"/>
                      <w:szCs w:val="16"/>
                      <w:lang w:eastAsia="en-AU"/>
                    </w:rPr>
                    <w:t>An owners</w:t>
                  </w:r>
                </w:p>
                <w:p w14:paraId="06E55912" w14:textId="77777777" w:rsidR="002A5A5A" w:rsidRPr="00182510" w:rsidRDefault="00134EA8" w:rsidP="00B2765B">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corporation may set any fee less than or equal to the maximum fee. </w:t>
                  </w:r>
                </w:p>
                <w:bookmarkEnd w:id="3"/>
                <w:p w14:paraId="2796C775"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5E6E9BA6" w14:textId="77777777" w:rsidR="002A5A5A" w:rsidRPr="00182510" w:rsidRDefault="002A5A5A"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06AA8F8F" w14:textId="77777777" w:rsidR="002A5A5A" w:rsidRPr="00182510" w:rsidRDefault="002A5A5A" w:rsidP="00B2765B">
                  <w:pPr>
                    <w:tabs>
                      <w:tab w:val="left" w:pos="1063"/>
                      <w:tab w:val="left" w:pos="1096"/>
                    </w:tabs>
                    <w:rPr>
                      <w:rFonts w:ascii="Times New Roman" w:eastAsia="SimSun" w:hAnsi="Times New Roman" w:cs="Times New Roman"/>
                      <w:color w:val="000000"/>
                      <w:sz w:val="16"/>
                      <w:szCs w:val="16"/>
                      <w:lang w:val="en-US" w:eastAsia="zh-CN"/>
                    </w:rPr>
                  </w:pPr>
                </w:p>
                <w:p w14:paraId="5852219C" w14:textId="7483A9F8" w:rsidR="002A5A5A" w:rsidRPr="00182510" w:rsidRDefault="00841C48"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61E05482" w14:textId="65AED6A9" w:rsidR="002A5A5A" w:rsidRPr="00182510" w:rsidRDefault="00AC5A5E" w:rsidP="00B2765B">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640771">
                    <w:rPr>
                      <w:rFonts w:ascii="Times New Roman" w:eastAsia="SimSun" w:hAnsi="Times New Roman" w:cs="Times New Roman"/>
                      <w:sz w:val="16"/>
                      <w:szCs w:val="16"/>
                      <w:lang w:val="en-US" w:eastAsia="zh-CN"/>
                    </w:rPr>
                    <w:t>3</w:t>
                  </w:r>
                  <w:r w:rsidR="00F34DFC">
                    <w:rPr>
                      <w:rFonts w:ascii="Times New Roman" w:eastAsia="SimSun" w:hAnsi="Times New Roman" w:cs="Times New Roman"/>
                      <w:sz w:val="16"/>
                      <w:szCs w:val="16"/>
                      <w:lang w:val="en-US" w:eastAsia="zh-CN"/>
                    </w:rPr>
                    <w:t>32</w:t>
                  </w:r>
                  <w:r w:rsidR="00640771">
                    <w:rPr>
                      <w:rFonts w:ascii="Times New Roman" w:eastAsia="SimSun" w:hAnsi="Times New Roman" w:cs="Times New Roman"/>
                      <w:sz w:val="16"/>
                      <w:szCs w:val="16"/>
                      <w:lang w:val="en-US" w:eastAsia="zh-CN"/>
                    </w:rPr>
                    <w:t>.00</w:t>
                  </w:r>
                  <w:r w:rsidR="002A5A5A" w:rsidRPr="00182510">
                    <w:rPr>
                      <w:rFonts w:ascii="Times New Roman" w:eastAsia="SimSun" w:hAnsi="Times New Roman" w:cs="Times New Roman"/>
                      <w:sz w:val="16"/>
                      <w:szCs w:val="16"/>
                      <w:lang w:val="en-US" w:eastAsia="zh-CN"/>
                    </w:rPr>
                    <w:t xml:space="preserve"> (including 10% GST)</w:t>
                  </w:r>
                </w:p>
                <w:p w14:paraId="7616DC36"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p w14:paraId="660AED6A" w14:textId="77777777" w:rsidR="002A5A5A" w:rsidRPr="00182510" w:rsidRDefault="002A5A5A" w:rsidP="00B2765B">
                  <w:pPr>
                    <w:tabs>
                      <w:tab w:val="left" w:pos="866"/>
                      <w:tab w:val="left" w:pos="1096"/>
                    </w:tabs>
                    <w:rPr>
                      <w:rFonts w:ascii="Times New Roman" w:eastAsia="SimSun" w:hAnsi="Times New Roman" w:cs="Times New Roman"/>
                      <w:sz w:val="16"/>
                      <w:szCs w:val="16"/>
                      <w:lang w:val="en-US" w:eastAsia="zh-CN"/>
                    </w:rPr>
                  </w:pPr>
                </w:p>
              </w:tc>
            </w:tr>
            <w:tr w:rsidR="00847761" w:rsidRPr="00182510" w14:paraId="6CFDD39B" w14:textId="77777777" w:rsidTr="009E30F6">
              <w:trPr>
                <w:gridAfter w:val="1"/>
                <w:wAfter w:w="192" w:type="dxa"/>
                <w:trHeight w:val="675"/>
              </w:trPr>
              <w:tc>
                <w:tcPr>
                  <w:tcW w:w="880" w:type="dxa"/>
                </w:tcPr>
                <w:p w14:paraId="1C15428B"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3"/>
                </w:tcPr>
                <w:p w14:paraId="529E2360"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update </w:t>
                  </w:r>
                  <w:r w:rsidRPr="00182510">
                    <w:rPr>
                      <w:rFonts w:ascii="Times New Roman" w:eastAsia="SimSun" w:hAnsi="Times New Roman" w:cs="Times New Roman"/>
                      <w:color w:val="000000"/>
                      <w:sz w:val="16"/>
                      <w:szCs w:val="16"/>
                      <w:lang w:val="en-US" w:eastAsia="zh-CN"/>
                    </w:rPr>
                    <w:t>certificate under section 119</w:t>
                  </w:r>
                  <w:r>
                    <w:rPr>
                      <w:rFonts w:ascii="Times New Roman" w:eastAsia="SimSun" w:hAnsi="Times New Roman" w:cs="Times New Roman"/>
                      <w:color w:val="000000"/>
                      <w:sz w:val="16"/>
                      <w:szCs w:val="16"/>
                      <w:lang w:val="en-US" w:eastAsia="zh-CN"/>
                    </w:rPr>
                    <w:t xml:space="preserve"> (1) (b)</w:t>
                  </w:r>
                  <w:r w:rsidRPr="00182510">
                    <w:rPr>
                      <w:rFonts w:ascii="Times New Roman" w:eastAsia="SimSun" w:hAnsi="Times New Roman" w:cs="Times New Roman"/>
                      <w:color w:val="000000"/>
                      <w:sz w:val="16"/>
                      <w:szCs w:val="16"/>
                      <w:lang w:val="en-US" w:eastAsia="zh-CN"/>
                    </w:rPr>
                    <w:t>.</w:t>
                  </w:r>
                </w:p>
                <w:p w14:paraId="17BFE914"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385D5784"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w:t>
                  </w:r>
                  <w:r>
                    <w:rPr>
                      <w:rFonts w:ascii="Times New Roman" w:eastAsia="SimSun" w:hAnsi="Times New Roman" w:cs="Times New Roman"/>
                      <w:i/>
                      <w:iCs/>
                      <w:color w:val="000080"/>
                      <w:sz w:val="16"/>
                      <w:szCs w:val="16"/>
                      <w:lang w:val="en-US" w:eastAsia="zh-CN"/>
                    </w:rPr>
                    <w:t xml:space="preserve">Note: The Housing and Consumer Affairs Legislation Amendment Act 2024 amended the Unit Titles (Management) Act 2011. What was previously referred to as a unit title update certificate is now referred to as a unit title sale update certificate. </w:t>
                  </w:r>
                </w:p>
                <w:p w14:paraId="6FF34615"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p>
                <w:p w14:paraId="62D47961"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Last Financial Year the fee was $159.00 (including 10% GST). </w:t>
                  </w:r>
                </w:p>
                <w:p w14:paraId="0C4171DB" w14:textId="77777777" w:rsidR="00847761" w:rsidRPr="00182510" w:rsidRDefault="00847761"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The Unit Titles (Management) Act 2011 provides for the maximum fee for unit title </w:t>
                  </w:r>
                  <w:r>
                    <w:rPr>
                      <w:rFonts w:ascii="Times New Roman" w:hAnsi="Times New Roman" w:cs="Times New Roman"/>
                      <w:i/>
                      <w:iCs/>
                      <w:color w:val="000081"/>
                      <w:sz w:val="16"/>
                      <w:szCs w:val="16"/>
                      <w:lang w:eastAsia="en-AU"/>
                    </w:rPr>
                    <w:t xml:space="preserve">update </w:t>
                  </w:r>
                  <w:r w:rsidRPr="00182510">
                    <w:rPr>
                      <w:rFonts w:ascii="Times New Roman" w:hAnsi="Times New Roman" w:cs="Times New Roman"/>
                      <w:i/>
                      <w:iCs/>
                      <w:color w:val="000081"/>
                      <w:sz w:val="16"/>
                      <w:szCs w:val="16"/>
                      <w:lang w:eastAsia="en-AU"/>
                    </w:rPr>
                    <w:t>certificates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45B99C73"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7CB3C2F6"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174B59BF" w14:textId="77777777" w:rsidR="00847761"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76A69B38" w14:textId="1E87964F"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2318" w:type="dxa"/>
                  <w:noWrap/>
                </w:tcPr>
                <w:p w14:paraId="40BEA9F6" w14:textId="77777777" w:rsidR="00847761" w:rsidRPr="00182510" w:rsidRDefault="00847761" w:rsidP="00847761">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165.00</w:t>
                  </w:r>
                  <w:r w:rsidRPr="00182510">
                    <w:rPr>
                      <w:rFonts w:ascii="Times New Roman" w:eastAsia="SimSun" w:hAnsi="Times New Roman" w:cs="Times New Roman"/>
                      <w:sz w:val="16"/>
                      <w:szCs w:val="16"/>
                      <w:lang w:val="en-US" w:eastAsia="zh-CN"/>
                    </w:rPr>
                    <w:t xml:space="preserve"> (including 10% GST)</w:t>
                  </w:r>
                </w:p>
                <w:p w14:paraId="709DB38B"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p>
              </w:tc>
            </w:tr>
            <w:tr w:rsidR="00847761" w:rsidRPr="00182510" w14:paraId="4EB6631F" w14:textId="77777777" w:rsidTr="009E30F6">
              <w:trPr>
                <w:gridAfter w:val="1"/>
                <w:wAfter w:w="192" w:type="dxa"/>
                <w:trHeight w:val="675"/>
              </w:trPr>
              <w:tc>
                <w:tcPr>
                  <w:tcW w:w="880" w:type="dxa"/>
                </w:tcPr>
                <w:p w14:paraId="3DBCE973" w14:textId="44777E02"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3"/>
                  <w:hideMark/>
                </w:tcPr>
                <w:p w14:paraId="5C7B7870"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rental</w:t>
                  </w:r>
                  <w:r w:rsidRPr="00182510">
                    <w:rPr>
                      <w:rFonts w:ascii="Times New Roman" w:eastAsia="SimSun" w:hAnsi="Times New Roman" w:cs="Times New Roman"/>
                      <w:color w:val="000000"/>
                      <w:sz w:val="16"/>
                      <w:szCs w:val="16"/>
                      <w:lang w:val="en-US" w:eastAsia="zh-CN"/>
                    </w:rPr>
                    <w:t xml:space="preserve"> certificate under section 119</w:t>
                  </w:r>
                  <w:r>
                    <w:rPr>
                      <w:rFonts w:ascii="Times New Roman" w:eastAsia="SimSun" w:hAnsi="Times New Roman" w:cs="Times New Roman"/>
                      <w:color w:val="000000"/>
                      <w:sz w:val="16"/>
                      <w:szCs w:val="16"/>
                      <w:lang w:val="en-US" w:eastAsia="zh-CN"/>
                    </w:rPr>
                    <w:t>(1)(c)</w:t>
                  </w:r>
                  <w:r w:rsidRPr="00182510">
                    <w:rPr>
                      <w:rFonts w:ascii="Times New Roman" w:eastAsia="SimSun" w:hAnsi="Times New Roman" w:cs="Times New Roman"/>
                      <w:color w:val="000000"/>
                      <w:sz w:val="16"/>
                      <w:szCs w:val="16"/>
                      <w:lang w:val="en-US" w:eastAsia="zh-CN"/>
                    </w:rPr>
                    <w:t>.</w:t>
                  </w:r>
                </w:p>
                <w:p w14:paraId="07C84BC4"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p>
                <w:p w14:paraId="65EC00CC" w14:textId="41394494" w:rsidR="00D23C0F" w:rsidRDefault="00D23C0F"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Note: </w:t>
                  </w:r>
                  <w:r>
                    <w:rPr>
                      <w:rFonts w:ascii="Times New Roman" w:eastAsia="SimSun" w:hAnsi="Times New Roman" w:cs="Times New Roman"/>
                      <w:i/>
                      <w:iCs/>
                      <w:color w:val="000080"/>
                      <w:sz w:val="16"/>
                      <w:szCs w:val="16"/>
                      <w:lang w:val="en-US" w:eastAsia="zh-CN"/>
                    </w:rPr>
                    <w:t xml:space="preserve">The Housing and Consumer Affairs Legislation Amendment Act 2024 amended the Unit Titles (Management) Act 2011. </w:t>
                  </w:r>
                  <w:r w:rsidR="000C7962">
                    <w:rPr>
                      <w:rFonts w:ascii="Times New Roman" w:eastAsia="SimSun" w:hAnsi="Times New Roman" w:cs="Times New Roman"/>
                      <w:i/>
                      <w:iCs/>
                      <w:color w:val="000080"/>
                      <w:sz w:val="16"/>
                      <w:szCs w:val="16"/>
                      <w:lang w:val="en-US" w:eastAsia="zh-CN"/>
                    </w:rPr>
                    <w:t>The unit title rental certificate fee is a new fee</w:t>
                  </w:r>
                  <w:r>
                    <w:rPr>
                      <w:rFonts w:ascii="Times New Roman" w:eastAsia="SimSun" w:hAnsi="Times New Roman" w:cs="Times New Roman"/>
                      <w:i/>
                      <w:iCs/>
                      <w:color w:val="000080"/>
                      <w:sz w:val="16"/>
                      <w:szCs w:val="16"/>
                      <w:lang w:val="en-US" w:eastAsia="zh-CN"/>
                    </w:rPr>
                    <w:t>.</w:t>
                  </w:r>
                </w:p>
                <w:p w14:paraId="30F3BA9E" w14:textId="77777777" w:rsidR="00D23C0F" w:rsidRDefault="00D23C0F" w:rsidP="00847761">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p>
                <w:p w14:paraId="2A0F40F9" w14:textId="29E77EAF" w:rsidR="00847761" w:rsidRPr="00182510" w:rsidRDefault="00847761" w:rsidP="00847761">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p>
                <w:p w14:paraId="263C4EB9" w14:textId="77777777" w:rsidR="00847761" w:rsidRPr="00182510" w:rsidRDefault="00847761" w:rsidP="00847761">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r w:rsidRPr="00182510">
                    <w:rPr>
                      <w:rFonts w:ascii="Times New Roman" w:hAnsi="Times New Roman" w:cs="Times New Roman"/>
                      <w:i/>
                      <w:iCs/>
                      <w:color w:val="000081"/>
                      <w:sz w:val="16"/>
                      <w:szCs w:val="16"/>
                      <w:lang w:eastAsia="en-AU"/>
                    </w:rPr>
                    <w:t>requests to inspect owners corporation records to be set by disallowable instrument. An owners</w:t>
                  </w:r>
                </w:p>
                <w:p w14:paraId="72A4E6DF" w14:textId="77777777" w:rsidR="00847761" w:rsidRPr="00182510" w:rsidRDefault="00847761"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corporation may set any fee less than or equal to the maximum fee. </w:t>
                  </w:r>
                </w:p>
                <w:p w14:paraId="3B39E6C8"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3757648B"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2EB8F2D4"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1EB9F55F" w14:textId="084869B0"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5D0B4107"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332.00</w:t>
                  </w:r>
                  <w:r w:rsidRPr="00182510">
                    <w:rPr>
                      <w:rFonts w:ascii="Times New Roman" w:eastAsia="SimSun" w:hAnsi="Times New Roman" w:cs="Times New Roman"/>
                      <w:sz w:val="16"/>
                      <w:szCs w:val="16"/>
                      <w:lang w:val="en-US" w:eastAsia="zh-CN"/>
                    </w:rPr>
                    <w:t xml:space="preserve"> (including 10% GST)</w:t>
                  </w:r>
                </w:p>
                <w:p w14:paraId="13CA9D4F"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p>
                <w:p w14:paraId="45B8698F"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p>
              </w:tc>
            </w:tr>
            <w:tr w:rsidR="004D2A90" w:rsidRPr="00182510" w14:paraId="147198B2" w14:textId="77777777" w:rsidTr="00B2765B">
              <w:trPr>
                <w:gridAfter w:val="1"/>
                <w:wAfter w:w="192" w:type="dxa"/>
                <w:trHeight w:val="375"/>
              </w:trPr>
              <w:tc>
                <w:tcPr>
                  <w:tcW w:w="9952" w:type="dxa"/>
                  <w:gridSpan w:val="5"/>
                  <w:hideMark/>
                </w:tcPr>
                <w:tbl>
                  <w:tblPr>
                    <w:tblW w:w="9736" w:type="dxa"/>
                    <w:tblLook w:val="04A0" w:firstRow="1" w:lastRow="0" w:firstColumn="1" w:lastColumn="0" w:noHBand="0" w:noVBand="1"/>
                  </w:tblPr>
                  <w:tblGrid>
                    <w:gridCol w:w="767"/>
                    <w:gridCol w:w="6701"/>
                    <w:gridCol w:w="2268"/>
                  </w:tblGrid>
                  <w:tr w:rsidR="00847761" w:rsidRPr="00182510" w14:paraId="2A9F51D3" w14:textId="77777777" w:rsidTr="009E30F6">
                    <w:trPr>
                      <w:trHeight w:val="675"/>
                    </w:trPr>
                    <w:tc>
                      <w:tcPr>
                        <w:tcW w:w="767" w:type="dxa"/>
                      </w:tcPr>
                      <w:p w14:paraId="460583BD" w14:textId="3729F45C"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6701" w:type="dxa"/>
                        <w:hideMark/>
                      </w:tcPr>
                      <w:p w14:paraId="4B9D2F30" w14:textId="4BC74C06"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if the person has also requested a unit title </w:t>
                        </w:r>
                        <w:r>
                          <w:rPr>
                            <w:rFonts w:ascii="Times New Roman" w:eastAsia="SimSun" w:hAnsi="Times New Roman" w:cs="Times New Roman"/>
                            <w:color w:val="000000"/>
                            <w:sz w:val="16"/>
                            <w:szCs w:val="16"/>
                            <w:lang w:val="en-US" w:eastAsia="zh-CN"/>
                          </w:rPr>
                          <w:t xml:space="preserve">sale </w:t>
                        </w:r>
                        <w:r w:rsidRPr="00182510">
                          <w:rPr>
                            <w:rFonts w:ascii="Times New Roman" w:eastAsia="SimSun" w:hAnsi="Times New Roman" w:cs="Times New Roman"/>
                            <w:color w:val="000000"/>
                            <w:sz w:val="16"/>
                            <w:szCs w:val="16"/>
                            <w:lang w:val="en-US" w:eastAsia="zh-CN"/>
                          </w:rPr>
                          <w:t>certificate.</w:t>
                        </w:r>
                      </w:p>
                      <w:p w14:paraId="682817FB"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652CE654"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Note: </w:t>
                        </w:r>
                        <w:r>
                          <w:rPr>
                            <w:rFonts w:ascii="Times New Roman" w:eastAsia="SimSun" w:hAnsi="Times New Roman" w:cs="Times New Roman"/>
                            <w:i/>
                            <w:iCs/>
                            <w:color w:val="000080"/>
                            <w:sz w:val="16"/>
                            <w:szCs w:val="16"/>
                            <w:lang w:val="en-US" w:eastAsia="zh-CN"/>
                          </w:rPr>
                          <w:t xml:space="preserve">The Housing and Consumer Affairs Legislation Amendment Act 2024 amended the Unit Titles (Management) Act 2011 to separate out the ability to request a unit title certificate from the more general ability to request owners corporation records. The ability to request a unit title certificate is contained in amended section 119. The ability to request owners corporation records (which was previously contained within section 119) is now found in new section 120A. </w:t>
                        </w:r>
                      </w:p>
                      <w:p w14:paraId="068CFECF" w14:textId="77777777" w:rsidR="00847761" w:rsidRPr="0013414E" w:rsidRDefault="00847761" w:rsidP="00847761">
                        <w:pPr>
                          <w:tabs>
                            <w:tab w:val="left" w:pos="1063"/>
                            <w:tab w:val="left" w:pos="1096"/>
                          </w:tabs>
                          <w:rPr>
                            <w:rFonts w:ascii="Times New Roman" w:eastAsia="SimSun" w:hAnsi="Times New Roman" w:cs="Times New Roman"/>
                            <w:color w:val="000080"/>
                            <w:sz w:val="16"/>
                            <w:szCs w:val="16"/>
                            <w:lang w:val="en-US" w:eastAsia="zh-CN"/>
                          </w:rPr>
                        </w:pPr>
                      </w:p>
                      <w:p w14:paraId="6A17F9F4"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the same.</w:t>
                        </w:r>
                      </w:p>
                      <w:p w14:paraId="34DCECAB"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1A702C99"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5C6BA034"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0BC9CDE6" w14:textId="27EDD4B1"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268" w:type="dxa"/>
                        <w:noWrap/>
                        <w:hideMark/>
                      </w:tcPr>
                      <w:p w14:paraId="6A05500F"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Nil</w:t>
                        </w:r>
                      </w:p>
                      <w:p w14:paraId="68DD2D68" w14:textId="77777777" w:rsidR="00847761" w:rsidRPr="00182510" w:rsidRDefault="00847761" w:rsidP="00847761">
                        <w:pPr>
                          <w:tabs>
                            <w:tab w:val="left" w:pos="866"/>
                            <w:tab w:val="left" w:pos="1096"/>
                          </w:tabs>
                          <w:rPr>
                            <w:rFonts w:ascii="Times New Roman" w:eastAsia="SimSun" w:hAnsi="Times New Roman" w:cs="Times New Roman"/>
                            <w:sz w:val="16"/>
                            <w:szCs w:val="16"/>
                            <w:lang w:val="en-US" w:eastAsia="zh-CN"/>
                          </w:rPr>
                        </w:pPr>
                      </w:p>
                      <w:p w14:paraId="7BE8BCC8" w14:textId="77777777" w:rsidR="00847761" w:rsidRPr="00182510" w:rsidRDefault="00847761" w:rsidP="00847761">
                        <w:pPr>
                          <w:tabs>
                            <w:tab w:val="left" w:pos="1063"/>
                            <w:tab w:val="left" w:pos="1096"/>
                          </w:tabs>
                          <w:rPr>
                            <w:rFonts w:ascii="Times New Roman" w:eastAsia="SimSun" w:hAnsi="Times New Roman" w:cs="Times New Roman"/>
                            <w:sz w:val="16"/>
                            <w:szCs w:val="16"/>
                            <w:lang w:val="en-US" w:eastAsia="zh-CN"/>
                          </w:rPr>
                        </w:pPr>
                      </w:p>
                    </w:tc>
                  </w:tr>
                  <w:tr w:rsidR="00847761" w:rsidRPr="00182510" w14:paraId="54A79490" w14:textId="77777777" w:rsidTr="00121D27">
                    <w:trPr>
                      <w:trHeight w:val="675"/>
                    </w:trPr>
                    <w:tc>
                      <w:tcPr>
                        <w:tcW w:w="767" w:type="dxa"/>
                      </w:tcPr>
                      <w:p w14:paraId="0A7F96FB" w14:textId="5F903AE5"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6701" w:type="dxa"/>
                      </w:tcPr>
                      <w:p w14:paraId="6D25B668"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but not requesting a unit title </w:t>
                        </w:r>
                        <w:r>
                          <w:rPr>
                            <w:rFonts w:ascii="Times New Roman" w:eastAsia="SimSun" w:hAnsi="Times New Roman" w:cs="Times New Roman"/>
                            <w:color w:val="000000"/>
                            <w:sz w:val="16"/>
                            <w:szCs w:val="16"/>
                            <w:lang w:val="en-US" w:eastAsia="zh-CN"/>
                          </w:rPr>
                          <w:t xml:space="preserve">sales </w:t>
                        </w:r>
                        <w:r w:rsidRPr="00182510">
                          <w:rPr>
                            <w:rFonts w:ascii="Times New Roman" w:eastAsia="SimSun" w:hAnsi="Times New Roman" w:cs="Times New Roman"/>
                            <w:color w:val="000000"/>
                            <w:sz w:val="16"/>
                            <w:szCs w:val="16"/>
                            <w:lang w:val="en-US" w:eastAsia="zh-CN"/>
                          </w:rPr>
                          <w:t>certificate.</w:t>
                        </w:r>
                      </w:p>
                      <w:p w14:paraId="5AD397A9"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026E0D2F"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Explanatory Note: </w:t>
                        </w:r>
                        <w:r>
                          <w:rPr>
                            <w:rFonts w:ascii="Times New Roman" w:eastAsia="SimSun" w:hAnsi="Times New Roman" w:cs="Times New Roman"/>
                            <w:i/>
                            <w:iCs/>
                            <w:color w:val="000080"/>
                            <w:sz w:val="16"/>
                            <w:szCs w:val="16"/>
                            <w:lang w:val="en-US" w:eastAsia="zh-CN"/>
                          </w:rPr>
                          <w:t>The Housing and Consumer Affairs Legislation Amendment Act 2024 amended the Unit Titles (Management) Act 2011 to separate out the ability to request a unit title certificate from the more general ability to request owners corporation records. The ability to request a unit title certificate is contained in amended section 119. The ability to request owners corporation records (which was previously contained within section 119) is now found in new section 120A.</w:t>
                        </w:r>
                      </w:p>
                      <w:p w14:paraId="52FC6EEF"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p>
                      <w:p w14:paraId="39389CC5"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w:t>
                        </w:r>
                        <w:r>
                          <w:rPr>
                            <w:rFonts w:ascii="Times New Roman" w:eastAsia="SimSun" w:hAnsi="Times New Roman" w:cs="Times New Roman"/>
                            <w:i/>
                            <w:iCs/>
                            <w:color w:val="000080"/>
                            <w:sz w:val="16"/>
                            <w:szCs w:val="16"/>
                            <w:lang w:val="en-US" w:eastAsia="zh-CN"/>
                          </w:rPr>
                          <w:t>121.00</w:t>
                        </w:r>
                        <w:r w:rsidRPr="00182510">
                          <w:rPr>
                            <w:rFonts w:ascii="Times New Roman" w:eastAsia="SimSun" w:hAnsi="Times New Roman" w:cs="Times New Roman"/>
                            <w:i/>
                            <w:iCs/>
                            <w:color w:val="000080"/>
                            <w:sz w:val="16"/>
                            <w:szCs w:val="16"/>
                            <w:lang w:val="en-US" w:eastAsia="zh-CN"/>
                          </w:rPr>
                          <w:t xml:space="preserve"> (including 10% GST).</w:t>
                        </w:r>
                      </w:p>
                      <w:p w14:paraId="4BE30928"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p>
                      <w:p w14:paraId="5FE32A55" w14:textId="77777777" w:rsidR="00847761" w:rsidRPr="00182510"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The Unit Titles (Management) Act 2011 provides for the maximum fee for unit title certificates and requests to inspect owners corporation records to be set by disallowable instrument. An owners corporation may set any fee less than or equal to the maximum fee.  </w:t>
                        </w:r>
                      </w:p>
                      <w:p w14:paraId="28DBE0D0" w14:textId="77777777"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p w14:paraId="164C4E8D" w14:textId="77777777" w:rsidR="00847761" w:rsidRDefault="00847761"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5BCFCEA8" w14:textId="4774F69D" w:rsidR="00847761" w:rsidRPr="00182510" w:rsidRDefault="00847761" w:rsidP="00847761">
                        <w:pPr>
                          <w:tabs>
                            <w:tab w:val="left" w:pos="1063"/>
                            <w:tab w:val="left" w:pos="1096"/>
                          </w:tabs>
                          <w:rPr>
                            <w:rFonts w:ascii="Times New Roman" w:eastAsia="SimSun" w:hAnsi="Times New Roman" w:cs="Times New Roman"/>
                            <w:color w:val="000000"/>
                            <w:sz w:val="16"/>
                            <w:szCs w:val="16"/>
                            <w:lang w:val="en-US" w:eastAsia="zh-CN"/>
                          </w:rPr>
                        </w:pPr>
                      </w:p>
                    </w:tc>
                    <w:tc>
                      <w:tcPr>
                        <w:tcW w:w="2268" w:type="dxa"/>
                        <w:noWrap/>
                      </w:tcPr>
                      <w:p w14:paraId="086E398A" w14:textId="77777777" w:rsidR="00847761" w:rsidRPr="00182510" w:rsidRDefault="00847761" w:rsidP="00847761">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Pr="00227CD7">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26</w:t>
                        </w:r>
                        <w:r w:rsidRPr="00227CD7">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07A20D19" w14:textId="77777777" w:rsidR="00847761" w:rsidRPr="00182510" w:rsidRDefault="00847761" w:rsidP="00847761">
                        <w:pPr>
                          <w:tabs>
                            <w:tab w:val="left" w:pos="1063"/>
                            <w:tab w:val="left" w:pos="1096"/>
                          </w:tabs>
                          <w:rPr>
                            <w:rFonts w:ascii="Times New Roman" w:eastAsia="SimSun" w:hAnsi="Times New Roman" w:cs="Times New Roman"/>
                            <w:sz w:val="16"/>
                            <w:szCs w:val="16"/>
                            <w:lang w:val="en-US" w:eastAsia="zh-CN"/>
                          </w:rPr>
                        </w:pPr>
                      </w:p>
                      <w:p w14:paraId="4E37FB11" w14:textId="711F1444" w:rsidR="00847761" w:rsidRPr="00182510" w:rsidRDefault="00847761" w:rsidP="00847761">
                        <w:pPr>
                          <w:tabs>
                            <w:tab w:val="left" w:pos="1063"/>
                            <w:tab w:val="left" w:pos="1096"/>
                          </w:tabs>
                          <w:rPr>
                            <w:rFonts w:ascii="Times New Roman" w:eastAsia="SimSun" w:hAnsi="Times New Roman" w:cs="Times New Roman"/>
                            <w:sz w:val="16"/>
                            <w:szCs w:val="16"/>
                            <w:lang w:val="en-US" w:eastAsia="zh-CN"/>
                          </w:rPr>
                        </w:pPr>
                      </w:p>
                    </w:tc>
                  </w:tr>
                </w:tbl>
                <w:p w14:paraId="3D12C739" w14:textId="77777777" w:rsidR="004D2A90" w:rsidRPr="00182510" w:rsidRDefault="004D2A90" w:rsidP="004D2A90">
                  <w:pPr>
                    <w:tabs>
                      <w:tab w:val="left" w:pos="1063"/>
                      <w:tab w:val="left" w:pos="1096"/>
                    </w:tabs>
                    <w:rPr>
                      <w:rFonts w:eastAsia="SimSun"/>
                      <w:b/>
                      <w:bCs/>
                      <w:i/>
                      <w:iCs/>
                      <w:color w:val="000080"/>
                      <w:sz w:val="28"/>
                      <w:szCs w:val="28"/>
                      <w:lang w:val="en-US" w:eastAsia="zh-CN"/>
                    </w:rPr>
                  </w:pPr>
                </w:p>
              </w:tc>
            </w:tr>
          </w:tbl>
          <w:p w14:paraId="64FBA6F9" w14:textId="77777777" w:rsidR="00A46B25" w:rsidRPr="007A417E" w:rsidRDefault="00A46B25" w:rsidP="00B2765B">
            <w:pPr>
              <w:tabs>
                <w:tab w:val="left" w:pos="1096"/>
                <w:tab w:val="left" w:pos="1750"/>
                <w:tab w:val="left" w:pos="1932"/>
              </w:tabs>
              <w:rPr>
                <w:bCs/>
                <w:iCs/>
                <w:color w:val="000080"/>
                <w:sz w:val="28"/>
                <w:szCs w:val="28"/>
                <w:lang w:eastAsia="en-AU"/>
              </w:rPr>
            </w:pPr>
          </w:p>
        </w:tc>
        <w:tc>
          <w:tcPr>
            <w:tcW w:w="1013" w:type="dxa"/>
            <w:tcBorders>
              <w:top w:val="nil"/>
              <w:left w:val="nil"/>
              <w:bottom w:val="nil"/>
              <w:right w:val="nil"/>
            </w:tcBorders>
            <w:noWrap/>
            <w:vAlign w:val="bottom"/>
            <w:hideMark/>
          </w:tcPr>
          <w:p w14:paraId="25419525" w14:textId="77777777" w:rsidR="00A46B25" w:rsidRPr="00A46B25" w:rsidRDefault="00A46B25" w:rsidP="00B2765B">
            <w:pPr>
              <w:tabs>
                <w:tab w:val="left" w:pos="1096"/>
              </w:tabs>
              <w:rPr>
                <w:rFonts w:ascii="Times New Roman" w:hAnsi="Times New Roman" w:cs="Times New Roman"/>
                <w:sz w:val="20"/>
                <w:szCs w:val="20"/>
                <w:lang w:eastAsia="en-AU"/>
              </w:rPr>
            </w:pPr>
          </w:p>
        </w:tc>
      </w:tr>
    </w:tbl>
    <w:p w14:paraId="00A55C75" w14:textId="77777777" w:rsidR="00FE0903" w:rsidRPr="00A676FD" w:rsidRDefault="00FE0903">
      <w:pPr>
        <w:rPr>
          <w:sz w:val="12"/>
          <w:szCs w:val="12"/>
        </w:rPr>
      </w:pPr>
    </w:p>
    <w:sectPr w:rsidR="00FE0903" w:rsidRPr="00A676FD" w:rsidSect="00A676FD">
      <w:headerReference w:type="default" r:id="rId14"/>
      <w:pgSz w:w="11907" w:h="16840" w:code="9"/>
      <w:pgMar w:top="284" w:right="1304" w:bottom="567" w:left="1304" w:header="227" w:footer="567"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F038" w14:textId="77777777" w:rsidR="00C64006" w:rsidRDefault="00C64006">
      <w:r>
        <w:separator/>
      </w:r>
    </w:p>
  </w:endnote>
  <w:endnote w:type="continuationSeparator" w:id="0">
    <w:p w14:paraId="771463D0" w14:textId="77777777" w:rsidR="00C64006" w:rsidRDefault="00C6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2255" w14:textId="77777777" w:rsidR="00DA688F" w:rsidRDefault="00DA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33D" w14:textId="24728FCD" w:rsidR="00A676FD" w:rsidRPr="00DA688F" w:rsidRDefault="00DA688F" w:rsidP="00DA688F">
    <w:pPr>
      <w:pStyle w:val="Footer"/>
      <w:jc w:val="center"/>
      <w:rPr>
        <w:sz w:val="14"/>
        <w:szCs w:val="16"/>
      </w:rPr>
    </w:pPr>
    <w:r w:rsidRPr="00DA688F">
      <w:rPr>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1AA9" w14:textId="77777777" w:rsidR="00DA688F" w:rsidRDefault="00DA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ABE6" w14:textId="77777777" w:rsidR="00C64006" w:rsidRDefault="00C64006">
      <w:r>
        <w:separator/>
      </w:r>
    </w:p>
  </w:footnote>
  <w:footnote w:type="continuationSeparator" w:id="0">
    <w:p w14:paraId="22FD8986" w14:textId="77777777" w:rsidR="00C64006" w:rsidRDefault="00C6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2BB0" w14:textId="77777777" w:rsidR="00DA688F" w:rsidRDefault="00DA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755F" w14:textId="77777777" w:rsidR="00DA688F" w:rsidRDefault="00DA6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2174" w14:textId="77777777" w:rsidR="00DA688F" w:rsidRDefault="00DA6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1F63" w14:textId="77777777" w:rsidR="000D4C6B" w:rsidRDefault="000D4C6B">
    <w:pPr>
      <w:tabs>
        <w:tab w:val="left" w:pos="2280"/>
        <w:tab w:val="left" w:pos="3860"/>
      </w:tabs>
      <w:ind w:right="-308"/>
      <w:rPr>
        <w:sz w:val="2"/>
        <w:szCs w:val="2"/>
      </w:rPr>
    </w:pPr>
  </w:p>
  <w:p w14:paraId="02AFC88C" w14:textId="77777777" w:rsidR="000D4C6B" w:rsidRDefault="000D4C6B">
    <w:pPr>
      <w:tabs>
        <w:tab w:val="left" w:pos="2280"/>
        <w:tab w:val="left" w:pos="3860"/>
      </w:tabs>
      <w:ind w:right="-308"/>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469136636">
    <w:abstractNumId w:val="22"/>
  </w:num>
  <w:num w:numId="2" w16cid:durableId="1939288168">
    <w:abstractNumId w:val="0"/>
  </w:num>
  <w:num w:numId="3" w16cid:durableId="48455732">
    <w:abstractNumId w:val="8"/>
  </w:num>
  <w:num w:numId="4" w16cid:durableId="766779299">
    <w:abstractNumId w:val="44"/>
  </w:num>
  <w:num w:numId="5" w16cid:durableId="1175071592">
    <w:abstractNumId w:val="23"/>
  </w:num>
  <w:num w:numId="6" w16cid:durableId="1931814253">
    <w:abstractNumId w:val="38"/>
  </w:num>
  <w:num w:numId="7" w16cid:durableId="736317970">
    <w:abstractNumId w:val="5"/>
  </w:num>
  <w:num w:numId="8" w16cid:durableId="96994585">
    <w:abstractNumId w:val="42"/>
  </w:num>
  <w:num w:numId="9" w16cid:durableId="1057587110">
    <w:abstractNumId w:val="2"/>
  </w:num>
  <w:num w:numId="10" w16cid:durableId="2070684432">
    <w:abstractNumId w:val="4"/>
  </w:num>
  <w:num w:numId="11" w16cid:durableId="1833523056">
    <w:abstractNumId w:val="39"/>
  </w:num>
  <w:num w:numId="12" w16cid:durableId="112557779">
    <w:abstractNumId w:val="1"/>
  </w:num>
  <w:num w:numId="13" w16cid:durableId="830171650">
    <w:abstractNumId w:val="40"/>
  </w:num>
  <w:num w:numId="14" w16cid:durableId="356464563">
    <w:abstractNumId w:val="45"/>
  </w:num>
  <w:num w:numId="15" w16cid:durableId="1746611171">
    <w:abstractNumId w:val="10"/>
  </w:num>
  <w:num w:numId="16" w16cid:durableId="1956861300">
    <w:abstractNumId w:val="11"/>
  </w:num>
  <w:num w:numId="17" w16cid:durableId="968971122">
    <w:abstractNumId w:val="14"/>
  </w:num>
  <w:num w:numId="18" w16cid:durableId="916475081">
    <w:abstractNumId w:val="41"/>
  </w:num>
  <w:num w:numId="19" w16cid:durableId="160510131">
    <w:abstractNumId w:val="32"/>
  </w:num>
  <w:num w:numId="20" w16cid:durableId="622004546">
    <w:abstractNumId w:val="20"/>
  </w:num>
  <w:num w:numId="21" w16cid:durableId="1540967645">
    <w:abstractNumId w:val="43"/>
  </w:num>
  <w:num w:numId="22" w16cid:durableId="1908764368">
    <w:abstractNumId w:val="7"/>
  </w:num>
  <w:num w:numId="23" w16cid:durableId="1579900316">
    <w:abstractNumId w:val="3"/>
  </w:num>
  <w:num w:numId="24" w16cid:durableId="1779254042">
    <w:abstractNumId w:val="33"/>
  </w:num>
  <w:num w:numId="25" w16cid:durableId="1270434738">
    <w:abstractNumId w:val="46"/>
  </w:num>
  <w:num w:numId="26" w16cid:durableId="1753501905">
    <w:abstractNumId w:val="30"/>
  </w:num>
  <w:num w:numId="27" w16cid:durableId="1914193254">
    <w:abstractNumId w:val="16"/>
  </w:num>
  <w:num w:numId="28" w16cid:durableId="1906181787">
    <w:abstractNumId w:val="48"/>
  </w:num>
  <w:num w:numId="29" w16cid:durableId="1880782298">
    <w:abstractNumId w:val="15"/>
  </w:num>
  <w:num w:numId="30" w16cid:durableId="1675108527">
    <w:abstractNumId w:val="24"/>
  </w:num>
  <w:num w:numId="31" w16cid:durableId="663897699">
    <w:abstractNumId w:val="12"/>
  </w:num>
  <w:num w:numId="32" w16cid:durableId="713427815">
    <w:abstractNumId w:val="34"/>
  </w:num>
  <w:num w:numId="33" w16cid:durableId="1303578179">
    <w:abstractNumId w:val="26"/>
  </w:num>
  <w:num w:numId="34" w16cid:durableId="269431387">
    <w:abstractNumId w:val="28"/>
  </w:num>
  <w:num w:numId="35" w16cid:durableId="404299595">
    <w:abstractNumId w:val="35"/>
  </w:num>
  <w:num w:numId="36" w16cid:durableId="305091635">
    <w:abstractNumId w:val="36"/>
  </w:num>
  <w:num w:numId="37" w16cid:durableId="578562380">
    <w:abstractNumId w:val="37"/>
  </w:num>
  <w:num w:numId="38" w16cid:durableId="2105572114">
    <w:abstractNumId w:val="19"/>
  </w:num>
  <w:num w:numId="39" w16cid:durableId="1971127020">
    <w:abstractNumId w:val="17"/>
  </w:num>
  <w:num w:numId="40" w16cid:durableId="1216159677">
    <w:abstractNumId w:val="21"/>
  </w:num>
  <w:num w:numId="41" w16cid:durableId="1652979105">
    <w:abstractNumId w:val="31"/>
  </w:num>
  <w:num w:numId="42" w16cid:durableId="751002754">
    <w:abstractNumId w:val="27"/>
  </w:num>
  <w:num w:numId="43" w16cid:durableId="1959137663">
    <w:abstractNumId w:val="18"/>
  </w:num>
  <w:num w:numId="44" w16cid:durableId="913203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0756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2160462">
    <w:abstractNumId w:val="29"/>
  </w:num>
  <w:num w:numId="47" w16cid:durableId="1184588220">
    <w:abstractNumId w:val="6"/>
  </w:num>
  <w:num w:numId="48" w16cid:durableId="440884893">
    <w:abstractNumId w:val="13"/>
  </w:num>
  <w:num w:numId="49" w16cid:durableId="6010387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35F3"/>
    <w:rsid w:val="00004B80"/>
    <w:rsid w:val="000055E6"/>
    <w:rsid w:val="000056F7"/>
    <w:rsid w:val="00007E8E"/>
    <w:rsid w:val="00011A69"/>
    <w:rsid w:val="00013653"/>
    <w:rsid w:val="00013721"/>
    <w:rsid w:val="000202F0"/>
    <w:rsid w:val="00020651"/>
    <w:rsid w:val="00020AA2"/>
    <w:rsid w:val="000250B0"/>
    <w:rsid w:val="00025FCD"/>
    <w:rsid w:val="00027DD8"/>
    <w:rsid w:val="00034237"/>
    <w:rsid w:val="00034E0E"/>
    <w:rsid w:val="00036624"/>
    <w:rsid w:val="00041876"/>
    <w:rsid w:val="00043EC5"/>
    <w:rsid w:val="0005173B"/>
    <w:rsid w:val="00051DE3"/>
    <w:rsid w:val="000610E8"/>
    <w:rsid w:val="000622A6"/>
    <w:rsid w:val="00062706"/>
    <w:rsid w:val="00063DE7"/>
    <w:rsid w:val="00070E94"/>
    <w:rsid w:val="00071BD4"/>
    <w:rsid w:val="00072C33"/>
    <w:rsid w:val="0007350E"/>
    <w:rsid w:val="000735DC"/>
    <w:rsid w:val="00073CBA"/>
    <w:rsid w:val="00081110"/>
    <w:rsid w:val="000820B3"/>
    <w:rsid w:val="00085731"/>
    <w:rsid w:val="0009054E"/>
    <w:rsid w:val="00091C8F"/>
    <w:rsid w:val="00092434"/>
    <w:rsid w:val="0009352C"/>
    <w:rsid w:val="00094244"/>
    <w:rsid w:val="00094D53"/>
    <w:rsid w:val="00095B9F"/>
    <w:rsid w:val="0009797F"/>
    <w:rsid w:val="000A24E2"/>
    <w:rsid w:val="000A39BF"/>
    <w:rsid w:val="000A53BD"/>
    <w:rsid w:val="000C2F11"/>
    <w:rsid w:val="000C35DE"/>
    <w:rsid w:val="000C3D1F"/>
    <w:rsid w:val="000C3EB9"/>
    <w:rsid w:val="000C6379"/>
    <w:rsid w:val="000C7962"/>
    <w:rsid w:val="000D1427"/>
    <w:rsid w:val="000D15DE"/>
    <w:rsid w:val="000D1EAF"/>
    <w:rsid w:val="000D3008"/>
    <w:rsid w:val="000D38F5"/>
    <w:rsid w:val="000D4C6B"/>
    <w:rsid w:val="000E1337"/>
    <w:rsid w:val="000E236B"/>
    <w:rsid w:val="000E246F"/>
    <w:rsid w:val="000E31AE"/>
    <w:rsid w:val="000E4DD1"/>
    <w:rsid w:val="000F07E0"/>
    <w:rsid w:val="000F1EE2"/>
    <w:rsid w:val="000F2035"/>
    <w:rsid w:val="000F4C2B"/>
    <w:rsid w:val="000F5A40"/>
    <w:rsid w:val="000F6553"/>
    <w:rsid w:val="000F65F5"/>
    <w:rsid w:val="000F68A4"/>
    <w:rsid w:val="00100B65"/>
    <w:rsid w:val="00104752"/>
    <w:rsid w:val="00105442"/>
    <w:rsid w:val="00107AE8"/>
    <w:rsid w:val="00107E48"/>
    <w:rsid w:val="00113511"/>
    <w:rsid w:val="001138EA"/>
    <w:rsid w:val="00114D0C"/>
    <w:rsid w:val="00117BD5"/>
    <w:rsid w:val="00121A21"/>
    <w:rsid w:val="00121D27"/>
    <w:rsid w:val="001221ED"/>
    <w:rsid w:val="00122D8A"/>
    <w:rsid w:val="00127C7B"/>
    <w:rsid w:val="00134EA8"/>
    <w:rsid w:val="00135E0A"/>
    <w:rsid w:val="001413E0"/>
    <w:rsid w:val="001426D2"/>
    <w:rsid w:val="001433E1"/>
    <w:rsid w:val="0014649C"/>
    <w:rsid w:val="001464BE"/>
    <w:rsid w:val="00147037"/>
    <w:rsid w:val="00150023"/>
    <w:rsid w:val="00151F66"/>
    <w:rsid w:val="0015309B"/>
    <w:rsid w:val="0015759A"/>
    <w:rsid w:val="0016087C"/>
    <w:rsid w:val="00161BDF"/>
    <w:rsid w:val="00162E8B"/>
    <w:rsid w:val="0016704B"/>
    <w:rsid w:val="00172D4D"/>
    <w:rsid w:val="00173A2A"/>
    <w:rsid w:val="00175CD7"/>
    <w:rsid w:val="00175EDC"/>
    <w:rsid w:val="00177765"/>
    <w:rsid w:val="00180F7C"/>
    <w:rsid w:val="00182510"/>
    <w:rsid w:val="001850C4"/>
    <w:rsid w:val="00185950"/>
    <w:rsid w:val="00185AB2"/>
    <w:rsid w:val="00185E74"/>
    <w:rsid w:val="00190C2C"/>
    <w:rsid w:val="00190D36"/>
    <w:rsid w:val="0019361F"/>
    <w:rsid w:val="00193C03"/>
    <w:rsid w:val="001971C4"/>
    <w:rsid w:val="001A311F"/>
    <w:rsid w:val="001B0752"/>
    <w:rsid w:val="001B0C90"/>
    <w:rsid w:val="001B0F94"/>
    <w:rsid w:val="001B23F6"/>
    <w:rsid w:val="001B3A32"/>
    <w:rsid w:val="001B4DA6"/>
    <w:rsid w:val="001B5214"/>
    <w:rsid w:val="001B666F"/>
    <w:rsid w:val="001C36F7"/>
    <w:rsid w:val="001D03CC"/>
    <w:rsid w:val="001D3C5D"/>
    <w:rsid w:val="001E0674"/>
    <w:rsid w:val="001E3CA7"/>
    <w:rsid w:val="001E64B3"/>
    <w:rsid w:val="001E6BF8"/>
    <w:rsid w:val="001F291C"/>
    <w:rsid w:val="001F5677"/>
    <w:rsid w:val="00203533"/>
    <w:rsid w:val="00203E7F"/>
    <w:rsid w:val="00204314"/>
    <w:rsid w:val="00207FF6"/>
    <w:rsid w:val="00211673"/>
    <w:rsid w:val="0021226D"/>
    <w:rsid w:val="00212A56"/>
    <w:rsid w:val="00217525"/>
    <w:rsid w:val="00220A55"/>
    <w:rsid w:val="00220F23"/>
    <w:rsid w:val="00227CD7"/>
    <w:rsid w:val="00232B32"/>
    <w:rsid w:val="002335BD"/>
    <w:rsid w:val="002340C8"/>
    <w:rsid w:val="002346D9"/>
    <w:rsid w:val="002375CB"/>
    <w:rsid w:val="00241941"/>
    <w:rsid w:val="0024230E"/>
    <w:rsid w:val="00244A98"/>
    <w:rsid w:val="00250014"/>
    <w:rsid w:val="00252340"/>
    <w:rsid w:val="00252FA2"/>
    <w:rsid w:val="00253EE6"/>
    <w:rsid w:val="00254834"/>
    <w:rsid w:val="00262FEE"/>
    <w:rsid w:val="00266B59"/>
    <w:rsid w:val="00270C03"/>
    <w:rsid w:val="00270FD5"/>
    <w:rsid w:val="00271DEE"/>
    <w:rsid w:val="00272252"/>
    <w:rsid w:val="002724FE"/>
    <w:rsid w:val="00274710"/>
    <w:rsid w:val="00277378"/>
    <w:rsid w:val="00277C5A"/>
    <w:rsid w:val="00282576"/>
    <w:rsid w:val="00282BDD"/>
    <w:rsid w:val="00283135"/>
    <w:rsid w:val="00285594"/>
    <w:rsid w:val="00286B2B"/>
    <w:rsid w:val="00290348"/>
    <w:rsid w:val="002940BA"/>
    <w:rsid w:val="00295338"/>
    <w:rsid w:val="002A16B2"/>
    <w:rsid w:val="002A5A5A"/>
    <w:rsid w:val="002A68C0"/>
    <w:rsid w:val="002A6B73"/>
    <w:rsid w:val="002A796A"/>
    <w:rsid w:val="002B5A6A"/>
    <w:rsid w:val="002C0299"/>
    <w:rsid w:val="002C1598"/>
    <w:rsid w:val="002C1AD4"/>
    <w:rsid w:val="002C290A"/>
    <w:rsid w:val="002C33F8"/>
    <w:rsid w:val="002C4BF2"/>
    <w:rsid w:val="002C5610"/>
    <w:rsid w:val="002C7106"/>
    <w:rsid w:val="002C7FB1"/>
    <w:rsid w:val="002C7FB5"/>
    <w:rsid w:val="002D2F93"/>
    <w:rsid w:val="002D3B0A"/>
    <w:rsid w:val="002E207B"/>
    <w:rsid w:val="002E2C30"/>
    <w:rsid w:val="002F787C"/>
    <w:rsid w:val="003004DC"/>
    <w:rsid w:val="00307F8D"/>
    <w:rsid w:val="00307FDD"/>
    <w:rsid w:val="0031006A"/>
    <w:rsid w:val="0031151C"/>
    <w:rsid w:val="0031291E"/>
    <w:rsid w:val="00315C01"/>
    <w:rsid w:val="00320C13"/>
    <w:rsid w:val="00322132"/>
    <w:rsid w:val="0032256F"/>
    <w:rsid w:val="00324033"/>
    <w:rsid w:val="0032684C"/>
    <w:rsid w:val="00330B4C"/>
    <w:rsid w:val="00337DA3"/>
    <w:rsid w:val="003459DC"/>
    <w:rsid w:val="00350032"/>
    <w:rsid w:val="00350C58"/>
    <w:rsid w:val="0035145F"/>
    <w:rsid w:val="00352F4E"/>
    <w:rsid w:val="00357403"/>
    <w:rsid w:val="00361399"/>
    <w:rsid w:val="0036223D"/>
    <w:rsid w:val="00363481"/>
    <w:rsid w:val="00365605"/>
    <w:rsid w:val="003656FA"/>
    <w:rsid w:val="0037000A"/>
    <w:rsid w:val="00374095"/>
    <w:rsid w:val="0037589C"/>
    <w:rsid w:val="00375927"/>
    <w:rsid w:val="00376BFC"/>
    <w:rsid w:val="00380695"/>
    <w:rsid w:val="003807D9"/>
    <w:rsid w:val="003817FB"/>
    <w:rsid w:val="003830F8"/>
    <w:rsid w:val="0038315F"/>
    <w:rsid w:val="0038380C"/>
    <w:rsid w:val="00384DFB"/>
    <w:rsid w:val="003851CC"/>
    <w:rsid w:val="0039084E"/>
    <w:rsid w:val="00390D87"/>
    <w:rsid w:val="00394344"/>
    <w:rsid w:val="0039443D"/>
    <w:rsid w:val="00396913"/>
    <w:rsid w:val="003A62A9"/>
    <w:rsid w:val="003B2471"/>
    <w:rsid w:val="003B3232"/>
    <w:rsid w:val="003B3670"/>
    <w:rsid w:val="003B6EEA"/>
    <w:rsid w:val="003B71C7"/>
    <w:rsid w:val="003C29E7"/>
    <w:rsid w:val="003C2F51"/>
    <w:rsid w:val="003C5009"/>
    <w:rsid w:val="003D3654"/>
    <w:rsid w:val="003D3F54"/>
    <w:rsid w:val="003D63DD"/>
    <w:rsid w:val="003D79EF"/>
    <w:rsid w:val="003D7DF7"/>
    <w:rsid w:val="003E104B"/>
    <w:rsid w:val="003E15AB"/>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2CDF"/>
    <w:rsid w:val="004135B2"/>
    <w:rsid w:val="00413C57"/>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61D4B"/>
    <w:rsid w:val="0047705E"/>
    <w:rsid w:val="00477FE2"/>
    <w:rsid w:val="004823C5"/>
    <w:rsid w:val="00486788"/>
    <w:rsid w:val="00487BEB"/>
    <w:rsid w:val="00494BAB"/>
    <w:rsid w:val="00495EAE"/>
    <w:rsid w:val="00497033"/>
    <w:rsid w:val="004A1180"/>
    <w:rsid w:val="004A27B8"/>
    <w:rsid w:val="004A5A7F"/>
    <w:rsid w:val="004B66AE"/>
    <w:rsid w:val="004C1FBD"/>
    <w:rsid w:val="004C2100"/>
    <w:rsid w:val="004C42FA"/>
    <w:rsid w:val="004C49DE"/>
    <w:rsid w:val="004C5AAA"/>
    <w:rsid w:val="004C6EF6"/>
    <w:rsid w:val="004D02DA"/>
    <w:rsid w:val="004D0FD4"/>
    <w:rsid w:val="004D2A83"/>
    <w:rsid w:val="004D2A90"/>
    <w:rsid w:val="004D3F36"/>
    <w:rsid w:val="004D5562"/>
    <w:rsid w:val="004E2617"/>
    <w:rsid w:val="004E3B94"/>
    <w:rsid w:val="004E4493"/>
    <w:rsid w:val="004E68FB"/>
    <w:rsid w:val="004E6B0F"/>
    <w:rsid w:val="004E77CF"/>
    <w:rsid w:val="004F0EE3"/>
    <w:rsid w:val="004F3022"/>
    <w:rsid w:val="00500F9D"/>
    <w:rsid w:val="00502593"/>
    <w:rsid w:val="00502A5D"/>
    <w:rsid w:val="00504825"/>
    <w:rsid w:val="00517D0E"/>
    <w:rsid w:val="00521BFE"/>
    <w:rsid w:val="005332DE"/>
    <w:rsid w:val="005335C1"/>
    <w:rsid w:val="00533DF2"/>
    <w:rsid w:val="00534EAF"/>
    <w:rsid w:val="00535AED"/>
    <w:rsid w:val="00541482"/>
    <w:rsid w:val="00541E70"/>
    <w:rsid w:val="00545502"/>
    <w:rsid w:val="00545F36"/>
    <w:rsid w:val="005479D6"/>
    <w:rsid w:val="005506E4"/>
    <w:rsid w:val="0055140F"/>
    <w:rsid w:val="0055324E"/>
    <w:rsid w:val="005532F5"/>
    <w:rsid w:val="00556299"/>
    <w:rsid w:val="005602B5"/>
    <w:rsid w:val="00563A9E"/>
    <w:rsid w:val="00565797"/>
    <w:rsid w:val="00566240"/>
    <w:rsid w:val="005669A1"/>
    <w:rsid w:val="00567A0D"/>
    <w:rsid w:val="0057489C"/>
    <w:rsid w:val="0057564F"/>
    <w:rsid w:val="005758A5"/>
    <w:rsid w:val="0057662E"/>
    <w:rsid w:val="00581B26"/>
    <w:rsid w:val="005832C5"/>
    <w:rsid w:val="0058702A"/>
    <w:rsid w:val="005912D1"/>
    <w:rsid w:val="00594233"/>
    <w:rsid w:val="0059567B"/>
    <w:rsid w:val="00597B02"/>
    <w:rsid w:val="005A18DE"/>
    <w:rsid w:val="005A23BE"/>
    <w:rsid w:val="005A2E64"/>
    <w:rsid w:val="005A57F2"/>
    <w:rsid w:val="005A6186"/>
    <w:rsid w:val="005A69A8"/>
    <w:rsid w:val="005B04BC"/>
    <w:rsid w:val="005B2DBA"/>
    <w:rsid w:val="005B5C7F"/>
    <w:rsid w:val="005C0A75"/>
    <w:rsid w:val="005C281E"/>
    <w:rsid w:val="005C2A14"/>
    <w:rsid w:val="005C35AE"/>
    <w:rsid w:val="005C3A7E"/>
    <w:rsid w:val="005C656A"/>
    <w:rsid w:val="005C780B"/>
    <w:rsid w:val="005D1766"/>
    <w:rsid w:val="005D4CBE"/>
    <w:rsid w:val="005D5A60"/>
    <w:rsid w:val="005E12C8"/>
    <w:rsid w:val="005E1E26"/>
    <w:rsid w:val="005E470A"/>
    <w:rsid w:val="005E6A3C"/>
    <w:rsid w:val="005E721C"/>
    <w:rsid w:val="005F121D"/>
    <w:rsid w:val="005F29D2"/>
    <w:rsid w:val="005F70DD"/>
    <w:rsid w:val="005F7FA8"/>
    <w:rsid w:val="00603D6F"/>
    <w:rsid w:val="0061013A"/>
    <w:rsid w:val="0061166B"/>
    <w:rsid w:val="00616005"/>
    <w:rsid w:val="00616AF0"/>
    <w:rsid w:val="00616FBF"/>
    <w:rsid w:val="006220A1"/>
    <w:rsid w:val="0062294C"/>
    <w:rsid w:val="00622C02"/>
    <w:rsid w:val="0062496B"/>
    <w:rsid w:val="0062783C"/>
    <w:rsid w:val="00627F8C"/>
    <w:rsid w:val="0063152E"/>
    <w:rsid w:val="0063251C"/>
    <w:rsid w:val="00633993"/>
    <w:rsid w:val="006339B4"/>
    <w:rsid w:val="00634931"/>
    <w:rsid w:val="00640771"/>
    <w:rsid w:val="0064212A"/>
    <w:rsid w:val="00642944"/>
    <w:rsid w:val="00643EAF"/>
    <w:rsid w:val="00644C3A"/>
    <w:rsid w:val="0065688A"/>
    <w:rsid w:val="006568F8"/>
    <w:rsid w:val="0065756C"/>
    <w:rsid w:val="00657CEF"/>
    <w:rsid w:val="00660A7E"/>
    <w:rsid w:val="00663D47"/>
    <w:rsid w:val="006640AD"/>
    <w:rsid w:val="00666389"/>
    <w:rsid w:val="0067061F"/>
    <w:rsid w:val="006707A6"/>
    <w:rsid w:val="00672189"/>
    <w:rsid w:val="00681F9D"/>
    <w:rsid w:val="00682049"/>
    <w:rsid w:val="0068739F"/>
    <w:rsid w:val="00693709"/>
    <w:rsid w:val="0069491E"/>
    <w:rsid w:val="006A0279"/>
    <w:rsid w:val="006A3028"/>
    <w:rsid w:val="006A3ECC"/>
    <w:rsid w:val="006A609C"/>
    <w:rsid w:val="006A61AB"/>
    <w:rsid w:val="006B18D7"/>
    <w:rsid w:val="006B6461"/>
    <w:rsid w:val="006B6498"/>
    <w:rsid w:val="006B7172"/>
    <w:rsid w:val="006C353D"/>
    <w:rsid w:val="006C5A40"/>
    <w:rsid w:val="006D107E"/>
    <w:rsid w:val="006D1DAE"/>
    <w:rsid w:val="006D74F4"/>
    <w:rsid w:val="006E1759"/>
    <w:rsid w:val="006E1F9D"/>
    <w:rsid w:val="006E2792"/>
    <w:rsid w:val="006E3D95"/>
    <w:rsid w:val="006E5D82"/>
    <w:rsid w:val="006E76D4"/>
    <w:rsid w:val="006E7BAF"/>
    <w:rsid w:val="006F013C"/>
    <w:rsid w:val="006F0721"/>
    <w:rsid w:val="006F1AFE"/>
    <w:rsid w:val="006F476F"/>
    <w:rsid w:val="006F5C72"/>
    <w:rsid w:val="006F7BB0"/>
    <w:rsid w:val="00701B0F"/>
    <w:rsid w:val="007034EC"/>
    <w:rsid w:val="007059C2"/>
    <w:rsid w:val="00714718"/>
    <w:rsid w:val="00715848"/>
    <w:rsid w:val="00717DBF"/>
    <w:rsid w:val="0072286D"/>
    <w:rsid w:val="007261FA"/>
    <w:rsid w:val="00727E0F"/>
    <w:rsid w:val="00733234"/>
    <w:rsid w:val="00735FDA"/>
    <w:rsid w:val="00742160"/>
    <w:rsid w:val="00742C92"/>
    <w:rsid w:val="00745B3A"/>
    <w:rsid w:val="00747174"/>
    <w:rsid w:val="00753986"/>
    <w:rsid w:val="0075450D"/>
    <w:rsid w:val="007611E7"/>
    <w:rsid w:val="00762225"/>
    <w:rsid w:val="00764902"/>
    <w:rsid w:val="0076637E"/>
    <w:rsid w:val="00770028"/>
    <w:rsid w:val="007707FD"/>
    <w:rsid w:val="0077087E"/>
    <w:rsid w:val="00772C02"/>
    <w:rsid w:val="007740FC"/>
    <w:rsid w:val="0077678D"/>
    <w:rsid w:val="0078756F"/>
    <w:rsid w:val="007910A1"/>
    <w:rsid w:val="00792422"/>
    <w:rsid w:val="0079244C"/>
    <w:rsid w:val="0079260D"/>
    <w:rsid w:val="007937EC"/>
    <w:rsid w:val="00795D2F"/>
    <w:rsid w:val="00797277"/>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54B6"/>
    <w:rsid w:val="007E3DC4"/>
    <w:rsid w:val="007E3F89"/>
    <w:rsid w:val="007E459C"/>
    <w:rsid w:val="007F1737"/>
    <w:rsid w:val="007F27B8"/>
    <w:rsid w:val="007F4EAA"/>
    <w:rsid w:val="007F5DDE"/>
    <w:rsid w:val="007F6928"/>
    <w:rsid w:val="00802583"/>
    <w:rsid w:val="00813A12"/>
    <w:rsid w:val="00822CA6"/>
    <w:rsid w:val="00823891"/>
    <w:rsid w:val="0082490C"/>
    <w:rsid w:val="0082515A"/>
    <w:rsid w:val="00830C6A"/>
    <w:rsid w:val="00831B2E"/>
    <w:rsid w:val="008323C5"/>
    <w:rsid w:val="00841C48"/>
    <w:rsid w:val="00846198"/>
    <w:rsid w:val="008467E9"/>
    <w:rsid w:val="00846E4E"/>
    <w:rsid w:val="00847761"/>
    <w:rsid w:val="00847E47"/>
    <w:rsid w:val="00851C38"/>
    <w:rsid w:val="008524E5"/>
    <w:rsid w:val="00853DF1"/>
    <w:rsid w:val="00853E83"/>
    <w:rsid w:val="0085549F"/>
    <w:rsid w:val="00856241"/>
    <w:rsid w:val="008631C0"/>
    <w:rsid w:val="008637EF"/>
    <w:rsid w:val="00864A73"/>
    <w:rsid w:val="00865868"/>
    <w:rsid w:val="008700C9"/>
    <w:rsid w:val="00870BFC"/>
    <w:rsid w:val="008741A6"/>
    <w:rsid w:val="008769FD"/>
    <w:rsid w:val="00877601"/>
    <w:rsid w:val="00877B4C"/>
    <w:rsid w:val="00877F4B"/>
    <w:rsid w:val="008859CD"/>
    <w:rsid w:val="00887740"/>
    <w:rsid w:val="0089019E"/>
    <w:rsid w:val="0089091C"/>
    <w:rsid w:val="00892DB4"/>
    <w:rsid w:val="008935BA"/>
    <w:rsid w:val="00894690"/>
    <w:rsid w:val="00894F8E"/>
    <w:rsid w:val="008A004A"/>
    <w:rsid w:val="008A05DE"/>
    <w:rsid w:val="008A0FD9"/>
    <w:rsid w:val="008B0C24"/>
    <w:rsid w:val="008B0D9B"/>
    <w:rsid w:val="008B32E4"/>
    <w:rsid w:val="008B6F3C"/>
    <w:rsid w:val="008C127B"/>
    <w:rsid w:val="008C19A2"/>
    <w:rsid w:val="008C1B2C"/>
    <w:rsid w:val="008C1D4B"/>
    <w:rsid w:val="008C4B06"/>
    <w:rsid w:val="008C6532"/>
    <w:rsid w:val="008D010B"/>
    <w:rsid w:val="008D11BB"/>
    <w:rsid w:val="008D240F"/>
    <w:rsid w:val="008E515E"/>
    <w:rsid w:val="008E53E0"/>
    <w:rsid w:val="008E6CC2"/>
    <w:rsid w:val="008F0DF5"/>
    <w:rsid w:val="008F1149"/>
    <w:rsid w:val="008F24B0"/>
    <w:rsid w:val="008F36C7"/>
    <w:rsid w:val="008F3D22"/>
    <w:rsid w:val="008F40FB"/>
    <w:rsid w:val="008F5888"/>
    <w:rsid w:val="008F63B9"/>
    <w:rsid w:val="009020F7"/>
    <w:rsid w:val="00905602"/>
    <w:rsid w:val="009066D6"/>
    <w:rsid w:val="00910A55"/>
    <w:rsid w:val="00912190"/>
    <w:rsid w:val="00917E23"/>
    <w:rsid w:val="009212D6"/>
    <w:rsid w:val="00921C16"/>
    <w:rsid w:val="00921EF4"/>
    <w:rsid w:val="00933909"/>
    <w:rsid w:val="00934334"/>
    <w:rsid w:val="00935665"/>
    <w:rsid w:val="00935CC8"/>
    <w:rsid w:val="00937083"/>
    <w:rsid w:val="0094269C"/>
    <w:rsid w:val="00951542"/>
    <w:rsid w:val="00951C38"/>
    <w:rsid w:val="00957838"/>
    <w:rsid w:val="00960900"/>
    <w:rsid w:val="00960A98"/>
    <w:rsid w:val="00964388"/>
    <w:rsid w:val="00965BE6"/>
    <w:rsid w:val="00967324"/>
    <w:rsid w:val="00971644"/>
    <w:rsid w:val="00971AC4"/>
    <w:rsid w:val="0097640E"/>
    <w:rsid w:val="0098023A"/>
    <w:rsid w:val="009808BC"/>
    <w:rsid w:val="00987035"/>
    <w:rsid w:val="009942D1"/>
    <w:rsid w:val="00995BBE"/>
    <w:rsid w:val="00997F96"/>
    <w:rsid w:val="009A0568"/>
    <w:rsid w:val="009A4360"/>
    <w:rsid w:val="009A5235"/>
    <w:rsid w:val="009A5DA3"/>
    <w:rsid w:val="009A6F8A"/>
    <w:rsid w:val="009B092E"/>
    <w:rsid w:val="009B51F0"/>
    <w:rsid w:val="009B64A3"/>
    <w:rsid w:val="009C056B"/>
    <w:rsid w:val="009C1283"/>
    <w:rsid w:val="009C12ED"/>
    <w:rsid w:val="009C6368"/>
    <w:rsid w:val="009D0E3A"/>
    <w:rsid w:val="009D1695"/>
    <w:rsid w:val="009D24B2"/>
    <w:rsid w:val="009D44BA"/>
    <w:rsid w:val="009D7537"/>
    <w:rsid w:val="009E091B"/>
    <w:rsid w:val="009E17F3"/>
    <w:rsid w:val="009E30F6"/>
    <w:rsid w:val="009E3315"/>
    <w:rsid w:val="009E3376"/>
    <w:rsid w:val="009F1892"/>
    <w:rsid w:val="009F2927"/>
    <w:rsid w:val="009F36B7"/>
    <w:rsid w:val="009F433F"/>
    <w:rsid w:val="009F68A8"/>
    <w:rsid w:val="00A01890"/>
    <w:rsid w:val="00A01B3F"/>
    <w:rsid w:val="00A022A7"/>
    <w:rsid w:val="00A046B6"/>
    <w:rsid w:val="00A046BA"/>
    <w:rsid w:val="00A118DB"/>
    <w:rsid w:val="00A123BB"/>
    <w:rsid w:val="00A15010"/>
    <w:rsid w:val="00A20807"/>
    <w:rsid w:val="00A21631"/>
    <w:rsid w:val="00A21C75"/>
    <w:rsid w:val="00A230F8"/>
    <w:rsid w:val="00A2347A"/>
    <w:rsid w:val="00A23B1D"/>
    <w:rsid w:val="00A31D43"/>
    <w:rsid w:val="00A32494"/>
    <w:rsid w:val="00A330ED"/>
    <w:rsid w:val="00A337A2"/>
    <w:rsid w:val="00A41080"/>
    <w:rsid w:val="00A4434B"/>
    <w:rsid w:val="00A45A90"/>
    <w:rsid w:val="00A46B25"/>
    <w:rsid w:val="00A51DC8"/>
    <w:rsid w:val="00A5221E"/>
    <w:rsid w:val="00A55605"/>
    <w:rsid w:val="00A60B01"/>
    <w:rsid w:val="00A6118D"/>
    <w:rsid w:val="00A62592"/>
    <w:rsid w:val="00A665BA"/>
    <w:rsid w:val="00A67156"/>
    <w:rsid w:val="00A676FD"/>
    <w:rsid w:val="00A6798D"/>
    <w:rsid w:val="00A701F7"/>
    <w:rsid w:val="00A737E1"/>
    <w:rsid w:val="00A74A91"/>
    <w:rsid w:val="00A77A05"/>
    <w:rsid w:val="00A871DF"/>
    <w:rsid w:val="00A917A6"/>
    <w:rsid w:val="00A91853"/>
    <w:rsid w:val="00A918AF"/>
    <w:rsid w:val="00A92667"/>
    <w:rsid w:val="00A92E89"/>
    <w:rsid w:val="00A942D6"/>
    <w:rsid w:val="00A96A8C"/>
    <w:rsid w:val="00AA0225"/>
    <w:rsid w:val="00AA1C61"/>
    <w:rsid w:val="00AA5494"/>
    <w:rsid w:val="00AA7220"/>
    <w:rsid w:val="00AB1BED"/>
    <w:rsid w:val="00AB26AD"/>
    <w:rsid w:val="00AB4F53"/>
    <w:rsid w:val="00AB732F"/>
    <w:rsid w:val="00AC5A5E"/>
    <w:rsid w:val="00AC60E1"/>
    <w:rsid w:val="00AC692D"/>
    <w:rsid w:val="00AD06C2"/>
    <w:rsid w:val="00AD32F1"/>
    <w:rsid w:val="00AD46A7"/>
    <w:rsid w:val="00AD669C"/>
    <w:rsid w:val="00AD7DE4"/>
    <w:rsid w:val="00AE2200"/>
    <w:rsid w:val="00AE3208"/>
    <w:rsid w:val="00AE45CF"/>
    <w:rsid w:val="00AE7DAE"/>
    <w:rsid w:val="00AF1018"/>
    <w:rsid w:val="00AF5286"/>
    <w:rsid w:val="00AF52D9"/>
    <w:rsid w:val="00B0208A"/>
    <w:rsid w:val="00B0232B"/>
    <w:rsid w:val="00B02DAE"/>
    <w:rsid w:val="00B10417"/>
    <w:rsid w:val="00B114E8"/>
    <w:rsid w:val="00B12340"/>
    <w:rsid w:val="00B15BAA"/>
    <w:rsid w:val="00B15FC0"/>
    <w:rsid w:val="00B202AC"/>
    <w:rsid w:val="00B2073B"/>
    <w:rsid w:val="00B20D30"/>
    <w:rsid w:val="00B21AB7"/>
    <w:rsid w:val="00B2431B"/>
    <w:rsid w:val="00B24D8D"/>
    <w:rsid w:val="00B26B94"/>
    <w:rsid w:val="00B2765B"/>
    <w:rsid w:val="00B27888"/>
    <w:rsid w:val="00B303E6"/>
    <w:rsid w:val="00B314EC"/>
    <w:rsid w:val="00B315CC"/>
    <w:rsid w:val="00B317F7"/>
    <w:rsid w:val="00B319A7"/>
    <w:rsid w:val="00B3216F"/>
    <w:rsid w:val="00B3222C"/>
    <w:rsid w:val="00B322D0"/>
    <w:rsid w:val="00B34C9F"/>
    <w:rsid w:val="00B36A19"/>
    <w:rsid w:val="00B40398"/>
    <w:rsid w:val="00B4075B"/>
    <w:rsid w:val="00B41D74"/>
    <w:rsid w:val="00B42645"/>
    <w:rsid w:val="00B42B17"/>
    <w:rsid w:val="00B4501B"/>
    <w:rsid w:val="00B5198B"/>
    <w:rsid w:val="00B51A77"/>
    <w:rsid w:val="00B549F2"/>
    <w:rsid w:val="00B603AF"/>
    <w:rsid w:val="00B61141"/>
    <w:rsid w:val="00B61272"/>
    <w:rsid w:val="00B7059B"/>
    <w:rsid w:val="00B71920"/>
    <w:rsid w:val="00B72A25"/>
    <w:rsid w:val="00B74E1A"/>
    <w:rsid w:val="00B75D36"/>
    <w:rsid w:val="00B82C08"/>
    <w:rsid w:val="00B83E3E"/>
    <w:rsid w:val="00B8509F"/>
    <w:rsid w:val="00B90799"/>
    <w:rsid w:val="00B93863"/>
    <w:rsid w:val="00B94FAE"/>
    <w:rsid w:val="00B952D1"/>
    <w:rsid w:val="00B958E3"/>
    <w:rsid w:val="00B95B71"/>
    <w:rsid w:val="00B96104"/>
    <w:rsid w:val="00B97FD4"/>
    <w:rsid w:val="00BA340E"/>
    <w:rsid w:val="00BA3A94"/>
    <w:rsid w:val="00BA6E70"/>
    <w:rsid w:val="00BB1AD0"/>
    <w:rsid w:val="00BB26B1"/>
    <w:rsid w:val="00BB42FC"/>
    <w:rsid w:val="00BB7F26"/>
    <w:rsid w:val="00BC27E8"/>
    <w:rsid w:val="00BC2D7B"/>
    <w:rsid w:val="00BC5284"/>
    <w:rsid w:val="00BD0B8F"/>
    <w:rsid w:val="00BD2F66"/>
    <w:rsid w:val="00BD4A08"/>
    <w:rsid w:val="00BD4FF9"/>
    <w:rsid w:val="00BD580A"/>
    <w:rsid w:val="00BD75F7"/>
    <w:rsid w:val="00BE091C"/>
    <w:rsid w:val="00BE17B2"/>
    <w:rsid w:val="00BE18FF"/>
    <w:rsid w:val="00BE25A3"/>
    <w:rsid w:val="00BE494B"/>
    <w:rsid w:val="00BE5C50"/>
    <w:rsid w:val="00BF04E3"/>
    <w:rsid w:val="00BF4480"/>
    <w:rsid w:val="00C06AE4"/>
    <w:rsid w:val="00C07C33"/>
    <w:rsid w:val="00C15FC9"/>
    <w:rsid w:val="00C16AC2"/>
    <w:rsid w:val="00C213CC"/>
    <w:rsid w:val="00C22C7C"/>
    <w:rsid w:val="00C23B15"/>
    <w:rsid w:val="00C245FD"/>
    <w:rsid w:val="00C24F5D"/>
    <w:rsid w:val="00C30007"/>
    <w:rsid w:val="00C37FD3"/>
    <w:rsid w:val="00C40050"/>
    <w:rsid w:val="00C40563"/>
    <w:rsid w:val="00C422E0"/>
    <w:rsid w:val="00C42756"/>
    <w:rsid w:val="00C46BB4"/>
    <w:rsid w:val="00C46F86"/>
    <w:rsid w:val="00C5077E"/>
    <w:rsid w:val="00C51B92"/>
    <w:rsid w:val="00C521F5"/>
    <w:rsid w:val="00C60909"/>
    <w:rsid w:val="00C64006"/>
    <w:rsid w:val="00C7007E"/>
    <w:rsid w:val="00C72759"/>
    <w:rsid w:val="00C73861"/>
    <w:rsid w:val="00C73F2A"/>
    <w:rsid w:val="00C7756B"/>
    <w:rsid w:val="00C80C9B"/>
    <w:rsid w:val="00C8107A"/>
    <w:rsid w:val="00C82A89"/>
    <w:rsid w:val="00C85D86"/>
    <w:rsid w:val="00C87758"/>
    <w:rsid w:val="00C9097A"/>
    <w:rsid w:val="00C92177"/>
    <w:rsid w:val="00C943A5"/>
    <w:rsid w:val="00C9565F"/>
    <w:rsid w:val="00C9649E"/>
    <w:rsid w:val="00CA10EC"/>
    <w:rsid w:val="00CA12BD"/>
    <w:rsid w:val="00CA1E5C"/>
    <w:rsid w:val="00CA3295"/>
    <w:rsid w:val="00CA53B3"/>
    <w:rsid w:val="00CA5A76"/>
    <w:rsid w:val="00CA6E64"/>
    <w:rsid w:val="00CA7986"/>
    <w:rsid w:val="00CB05D7"/>
    <w:rsid w:val="00CB1156"/>
    <w:rsid w:val="00CB7728"/>
    <w:rsid w:val="00CC2B3C"/>
    <w:rsid w:val="00CC2E51"/>
    <w:rsid w:val="00CC4494"/>
    <w:rsid w:val="00CC520D"/>
    <w:rsid w:val="00CC6AFE"/>
    <w:rsid w:val="00CC78A3"/>
    <w:rsid w:val="00CD25CE"/>
    <w:rsid w:val="00CD5461"/>
    <w:rsid w:val="00CD783C"/>
    <w:rsid w:val="00CE11A4"/>
    <w:rsid w:val="00CE186F"/>
    <w:rsid w:val="00CE2C2F"/>
    <w:rsid w:val="00CE5DAE"/>
    <w:rsid w:val="00CF0CB0"/>
    <w:rsid w:val="00CF1F25"/>
    <w:rsid w:val="00CF2381"/>
    <w:rsid w:val="00CF27D3"/>
    <w:rsid w:val="00CF738D"/>
    <w:rsid w:val="00D016C7"/>
    <w:rsid w:val="00D0277A"/>
    <w:rsid w:val="00D033A3"/>
    <w:rsid w:val="00D04784"/>
    <w:rsid w:val="00D05CFE"/>
    <w:rsid w:val="00D06F7C"/>
    <w:rsid w:val="00D12A1B"/>
    <w:rsid w:val="00D12F07"/>
    <w:rsid w:val="00D14E0E"/>
    <w:rsid w:val="00D225B7"/>
    <w:rsid w:val="00D22A12"/>
    <w:rsid w:val="00D234F7"/>
    <w:rsid w:val="00D23C0F"/>
    <w:rsid w:val="00D24CE0"/>
    <w:rsid w:val="00D27DC0"/>
    <w:rsid w:val="00D30850"/>
    <w:rsid w:val="00D31BB6"/>
    <w:rsid w:val="00D35D17"/>
    <w:rsid w:val="00D36584"/>
    <w:rsid w:val="00D36A50"/>
    <w:rsid w:val="00D400EC"/>
    <w:rsid w:val="00D41698"/>
    <w:rsid w:val="00D419FB"/>
    <w:rsid w:val="00D451F2"/>
    <w:rsid w:val="00D47191"/>
    <w:rsid w:val="00D54E49"/>
    <w:rsid w:val="00D56B34"/>
    <w:rsid w:val="00D62A84"/>
    <w:rsid w:val="00D700EA"/>
    <w:rsid w:val="00D71AA5"/>
    <w:rsid w:val="00D71AFB"/>
    <w:rsid w:val="00D73890"/>
    <w:rsid w:val="00D73D56"/>
    <w:rsid w:val="00D82A6D"/>
    <w:rsid w:val="00D8360B"/>
    <w:rsid w:val="00D84180"/>
    <w:rsid w:val="00D84F10"/>
    <w:rsid w:val="00D85CE4"/>
    <w:rsid w:val="00D929E1"/>
    <w:rsid w:val="00D956F7"/>
    <w:rsid w:val="00D9574C"/>
    <w:rsid w:val="00DA1F0C"/>
    <w:rsid w:val="00DA2195"/>
    <w:rsid w:val="00DA26CF"/>
    <w:rsid w:val="00DA5B22"/>
    <w:rsid w:val="00DA5F47"/>
    <w:rsid w:val="00DA688F"/>
    <w:rsid w:val="00DA6D3D"/>
    <w:rsid w:val="00DA7882"/>
    <w:rsid w:val="00DA7F51"/>
    <w:rsid w:val="00DB294A"/>
    <w:rsid w:val="00DB38BE"/>
    <w:rsid w:val="00DB3A3B"/>
    <w:rsid w:val="00DB430B"/>
    <w:rsid w:val="00DB4823"/>
    <w:rsid w:val="00DB4B29"/>
    <w:rsid w:val="00DB754E"/>
    <w:rsid w:val="00DC1844"/>
    <w:rsid w:val="00DC2527"/>
    <w:rsid w:val="00DC2C2D"/>
    <w:rsid w:val="00DD127A"/>
    <w:rsid w:val="00DD28E3"/>
    <w:rsid w:val="00DD664F"/>
    <w:rsid w:val="00DE08D5"/>
    <w:rsid w:val="00DE157C"/>
    <w:rsid w:val="00DE25F8"/>
    <w:rsid w:val="00DE2A8C"/>
    <w:rsid w:val="00DE3875"/>
    <w:rsid w:val="00DE5016"/>
    <w:rsid w:val="00DF47B0"/>
    <w:rsid w:val="00DF4F72"/>
    <w:rsid w:val="00DF6129"/>
    <w:rsid w:val="00DF6D38"/>
    <w:rsid w:val="00E0052C"/>
    <w:rsid w:val="00E037CE"/>
    <w:rsid w:val="00E03E17"/>
    <w:rsid w:val="00E050F3"/>
    <w:rsid w:val="00E061CA"/>
    <w:rsid w:val="00E06816"/>
    <w:rsid w:val="00E1089A"/>
    <w:rsid w:val="00E117A5"/>
    <w:rsid w:val="00E160D8"/>
    <w:rsid w:val="00E169D8"/>
    <w:rsid w:val="00E16A48"/>
    <w:rsid w:val="00E16C80"/>
    <w:rsid w:val="00E24175"/>
    <w:rsid w:val="00E27687"/>
    <w:rsid w:val="00E27C14"/>
    <w:rsid w:val="00E31CF4"/>
    <w:rsid w:val="00E362C3"/>
    <w:rsid w:val="00E371CC"/>
    <w:rsid w:val="00E40A34"/>
    <w:rsid w:val="00E43425"/>
    <w:rsid w:val="00E434CE"/>
    <w:rsid w:val="00E4508B"/>
    <w:rsid w:val="00E479A3"/>
    <w:rsid w:val="00E51942"/>
    <w:rsid w:val="00E53438"/>
    <w:rsid w:val="00E53780"/>
    <w:rsid w:val="00E569C9"/>
    <w:rsid w:val="00E56E0F"/>
    <w:rsid w:val="00E65BB6"/>
    <w:rsid w:val="00E65EC4"/>
    <w:rsid w:val="00E66D74"/>
    <w:rsid w:val="00E66E48"/>
    <w:rsid w:val="00E71014"/>
    <w:rsid w:val="00E71133"/>
    <w:rsid w:val="00E731D7"/>
    <w:rsid w:val="00E73497"/>
    <w:rsid w:val="00E7604C"/>
    <w:rsid w:val="00E850A1"/>
    <w:rsid w:val="00E8792C"/>
    <w:rsid w:val="00E92B11"/>
    <w:rsid w:val="00E94964"/>
    <w:rsid w:val="00E954E1"/>
    <w:rsid w:val="00E95788"/>
    <w:rsid w:val="00E9711C"/>
    <w:rsid w:val="00EA5DEF"/>
    <w:rsid w:val="00EA6BB1"/>
    <w:rsid w:val="00EB05BB"/>
    <w:rsid w:val="00EB22AF"/>
    <w:rsid w:val="00EB23CE"/>
    <w:rsid w:val="00EB2F99"/>
    <w:rsid w:val="00EB4082"/>
    <w:rsid w:val="00EB7130"/>
    <w:rsid w:val="00EC16EB"/>
    <w:rsid w:val="00EC2E7D"/>
    <w:rsid w:val="00EC3ECC"/>
    <w:rsid w:val="00ED022C"/>
    <w:rsid w:val="00ED1839"/>
    <w:rsid w:val="00ED5FA4"/>
    <w:rsid w:val="00ED6C70"/>
    <w:rsid w:val="00ED6F50"/>
    <w:rsid w:val="00ED7B71"/>
    <w:rsid w:val="00EE0B18"/>
    <w:rsid w:val="00EE0CC5"/>
    <w:rsid w:val="00EE1422"/>
    <w:rsid w:val="00EE1E15"/>
    <w:rsid w:val="00EE44B1"/>
    <w:rsid w:val="00EE5D8D"/>
    <w:rsid w:val="00EE5F23"/>
    <w:rsid w:val="00EE6C89"/>
    <w:rsid w:val="00EF7CA5"/>
    <w:rsid w:val="00F00ADE"/>
    <w:rsid w:val="00F11124"/>
    <w:rsid w:val="00F11D1A"/>
    <w:rsid w:val="00F122C9"/>
    <w:rsid w:val="00F127FD"/>
    <w:rsid w:val="00F12CBE"/>
    <w:rsid w:val="00F16856"/>
    <w:rsid w:val="00F20B0E"/>
    <w:rsid w:val="00F20C8F"/>
    <w:rsid w:val="00F21936"/>
    <w:rsid w:val="00F2209D"/>
    <w:rsid w:val="00F234E2"/>
    <w:rsid w:val="00F303F0"/>
    <w:rsid w:val="00F30939"/>
    <w:rsid w:val="00F30A5B"/>
    <w:rsid w:val="00F3393A"/>
    <w:rsid w:val="00F341C8"/>
    <w:rsid w:val="00F3475E"/>
    <w:rsid w:val="00F34DFC"/>
    <w:rsid w:val="00F366ED"/>
    <w:rsid w:val="00F36F86"/>
    <w:rsid w:val="00F37ADC"/>
    <w:rsid w:val="00F401D2"/>
    <w:rsid w:val="00F402B4"/>
    <w:rsid w:val="00F42608"/>
    <w:rsid w:val="00F440D5"/>
    <w:rsid w:val="00F448A2"/>
    <w:rsid w:val="00F51909"/>
    <w:rsid w:val="00F55E74"/>
    <w:rsid w:val="00F55F08"/>
    <w:rsid w:val="00F570AC"/>
    <w:rsid w:val="00F5724C"/>
    <w:rsid w:val="00F60629"/>
    <w:rsid w:val="00F649C0"/>
    <w:rsid w:val="00F65CA2"/>
    <w:rsid w:val="00F66EC0"/>
    <w:rsid w:val="00F67B48"/>
    <w:rsid w:val="00F70732"/>
    <w:rsid w:val="00F711F3"/>
    <w:rsid w:val="00F71DFF"/>
    <w:rsid w:val="00F7207C"/>
    <w:rsid w:val="00F72716"/>
    <w:rsid w:val="00F755AF"/>
    <w:rsid w:val="00F75BDB"/>
    <w:rsid w:val="00F77CC1"/>
    <w:rsid w:val="00F81F7E"/>
    <w:rsid w:val="00F81F99"/>
    <w:rsid w:val="00F855A3"/>
    <w:rsid w:val="00F860DE"/>
    <w:rsid w:val="00F90CED"/>
    <w:rsid w:val="00F90F0D"/>
    <w:rsid w:val="00F91FB3"/>
    <w:rsid w:val="00F978B3"/>
    <w:rsid w:val="00FA2D80"/>
    <w:rsid w:val="00FA4E76"/>
    <w:rsid w:val="00FB5A80"/>
    <w:rsid w:val="00FB625A"/>
    <w:rsid w:val="00FC031A"/>
    <w:rsid w:val="00FC739B"/>
    <w:rsid w:val="00FD18A7"/>
    <w:rsid w:val="00FD3619"/>
    <w:rsid w:val="00FD50DA"/>
    <w:rsid w:val="00FD56D8"/>
    <w:rsid w:val="00FD5E8A"/>
    <w:rsid w:val="00FE0903"/>
    <w:rsid w:val="00FE13A4"/>
    <w:rsid w:val="00FE1D9B"/>
    <w:rsid w:val="00FE34B9"/>
    <w:rsid w:val="00FE4B99"/>
    <w:rsid w:val="00FF17B3"/>
    <w:rsid w:val="00FF2E18"/>
    <w:rsid w:val="00FF3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FA9A"/>
  <w14:defaultImageDpi w14:val="0"/>
  <w15:docId w15:val="{B06771B2-0E01-41F1-931B-D6401A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2887">
      <w:marLeft w:val="0"/>
      <w:marRight w:val="0"/>
      <w:marTop w:val="0"/>
      <w:marBottom w:val="0"/>
      <w:divBdr>
        <w:top w:val="none" w:sz="0" w:space="0" w:color="auto"/>
        <w:left w:val="none" w:sz="0" w:space="0" w:color="auto"/>
        <w:bottom w:val="none" w:sz="0" w:space="0" w:color="auto"/>
        <w:right w:val="none" w:sz="0" w:space="0" w:color="auto"/>
      </w:divBdr>
    </w:div>
    <w:div w:id="825322888">
      <w:marLeft w:val="0"/>
      <w:marRight w:val="0"/>
      <w:marTop w:val="0"/>
      <w:marBottom w:val="0"/>
      <w:divBdr>
        <w:top w:val="none" w:sz="0" w:space="0" w:color="auto"/>
        <w:left w:val="none" w:sz="0" w:space="0" w:color="auto"/>
        <w:bottom w:val="none" w:sz="0" w:space="0" w:color="auto"/>
        <w:right w:val="none" w:sz="0" w:space="0" w:color="auto"/>
      </w:divBdr>
    </w:div>
    <w:div w:id="825322889">
      <w:marLeft w:val="0"/>
      <w:marRight w:val="0"/>
      <w:marTop w:val="0"/>
      <w:marBottom w:val="0"/>
      <w:divBdr>
        <w:top w:val="none" w:sz="0" w:space="0" w:color="auto"/>
        <w:left w:val="none" w:sz="0" w:space="0" w:color="auto"/>
        <w:bottom w:val="none" w:sz="0" w:space="0" w:color="auto"/>
        <w:right w:val="none" w:sz="0" w:space="0" w:color="auto"/>
      </w:divBdr>
    </w:div>
    <w:div w:id="825322890">
      <w:marLeft w:val="0"/>
      <w:marRight w:val="0"/>
      <w:marTop w:val="0"/>
      <w:marBottom w:val="0"/>
      <w:divBdr>
        <w:top w:val="none" w:sz="0" w:space="0" w:color="auto"/>
        <w:left w:val="none" w:sz="0" w:space="0" w:color="auto"/>
        <w:bottom w:val="none" w:sz="0" w:space="0" w:color="auto"/>
        <w:right w:val="none" w:sz="0" w:space="0" w:color="auto"/>
      </w:divBdr>
    </w:div>
    <w:div w:id="825322891">
      <w:marLeft w:val="0"/>
      <w:marRight w:val="0"/>
      <w:marTop w:val="0"/>
      <w:marBottom w:val="0"/>
      <w:divBdr>
        <w:top w:val="none" w:sz="0" w:space="0" w:color="auto"/>
        <w:left w:val="none" w:sz="0" w:space="0" w:color="auto"/>
        <w:bottom w:val="none" w:sz="0" w:space="0" w:color="auto"/>
        <w:right w:val="none" w:sz="0" w:space="0" w:color="auto"/>
      </w:divBdr>
    </w:div>
    <w:div w:id="825322892">
      <w:marLeft w:val="0"/>
      <w:marRight w:val="0"/>
      <w:marTop w:val="0"/>
      <w:marBottom w:val="0"/>
      <w:divBdr>
        <w:top w:val="none" w:sz="0" w:space="0" w:color="auto"/>
        <w:left w:val="none" w:sz="0" w:space="0" w:color="auto"/>
        <w:bottom w:val="none" w:sz="0" w:space="0" w:color="auto"/>
        <w:right w:val="none" w:sz="0" w:space="0" w:color="auto"/>
      </w:divBdr>
    </w:div>
    <w:div w:id="825322893">
      <w:marLeft w:val="0"/>
      <w:marRight w:val="0"/>
      <w:marTop w:val="0"/>
      <w:marBottom w:val="0"/>
      <w:divBdr>
        <w:top w:val="none" w:sz="0" w:space="0" w:color="auto"/>
        <w:left w:val="none" w:sz="0" w:space="0" w:color="auto"/>
        <w:bottom w:val="none" w:sz="0" w:space="0" w:color="auto"/>
        <w:right w:val="none" w:sz="0" w:space="0" w:color="auto"/>
      </w:divBdr>
    </w:div>
    <w:div w:id="825322894">
      <w:marLeft w:val="0"/>
      <w:marRight w:val="0"/>
      <w:marTop w:val="0"/>
      <w:marBottom w:val="0"/>
      <w:divBdr>
        <w:top w:val="none" w:sz="0" w:space="0" w:color="auto"/>
        <w:left w:val="none" w:sz="0" w:space="0" w:color="auto"/>
        <w:bottom w:val="none" w:sz="0" w:space="0" w:color="auto"/>
        <w:right w:val="none" w:sz="0" w:space="0" w:color="auto"/>
      </w:divBdr>
    </w:div>
    <w:div w:id="825322895">
      <w:marLeft w:val="0"/>
      <w:marRight w:val="0"/>
      <w:marTop w:val="0"/>
      <w:marBottom w:val="0"/>
      <w:divBdr>
        <w:top w:val="none" w:sz="0" w:space="0" w:color="auto"/>
        <w:left w:val="none" w:sz="0" w:space="0" w:color="auto"/>
        <w:bottom w:val="none" w:sz="0" w:space="0" w:color="auto"/>
        <w:right w:val="none" w:sz="0" w:space="0" w:color="auto"/>
      </w:divBdr>
    </w:div>
    <w:div w:id="825322896">
      <w:marLeft w:val="0"/>
      <w:marRight w:val="0"/>
      <w:marTop w:val="0"/>
      <w:marBottom w:val="0"/>
      <w:divBdr>
        <w:top w:val="none" w:sz="0" w:space="0" w:color="auto"/>
        <w:left w:val="none" w:sz="0" w:space="0" w:color="auto"/>
        <w:bottom w:val="none" w:sz="0" w:space="0" w:color="auto"/>
        <w:right w:val="none" w:sz="0" w:space="0" w:color="auto"/>
      </w:divBdr>
    </w:div>
    <w:div w:id="825322897">
      <w:marLeft w:val="0"/>
      <w:marRight w:val="0"/>
      <w:marTop w:val="0"/>
      <w:marBottom w:val="0"/>
      <w:divBdr>
        <w:top w:val="none" w:sz="0" w:space="0" w:color="auto"/>
        <w:left w:val="none" w:sz="0" w:space="0" w:color="auto"/>
        <w:bottom w:val="none" w:sz="0" w:space="0" w:color="auto"/>
        <w:right w:val="none" w:sz="0" w:space="0" w:color="auto"/>
      </w:divBdr>
    </w:div>
    <w:div w:id="825322898">
      <w:marLeft w:val="0"/>
      <w:marRight w:val="0"/>
      <w:marTop w:val="0"/>
      <w:marBottom w:val="0"/>
      <w:divBdr>
        <w:top w:val="none" w:sz="0" w:space="0" w:color="auto"/>
        <w:left w:val="none" w:sz="0" w:space="0" w:color="auto"/>
        <w:bottom w:val="none" w:sz="0" w:space="0" w:color="auto"/>
        <w:right w:val="none" w:sz="0" w:space="0" w:color="auto"/>
      </w:divBdr>
    </w:div>
    <w:div w:id="825322899">
      <w:marLeft w:val="0"/>
      <w:marRight w:val="0"/>
      <w:marTop w:val="0"/>
      <w:marBottom w:val="0"/>
      <w:divBdr>
        <w:top w:val="none" w:sz="0" w:space="0" w:color="auto"/>
        <w:left w:val="none" w:sz="0" w:space="0" w:color="auto"/>
        <w:bottom w:val="none" w:sz="0" w:space="0" w:color="auto"/>
        <w:right w:val="none" w:sz="0" w:space="0" w:color="auto"/>
      </w:divBdr>
    </w:div>
    <w:div w:id="825322900">
      <w:marLeft w:val="0"/>
      <w:marRight w:val="0"/>
      <w:marTop w:val="0"/>
      <w:marBottom w:val="0"/>
      <w:divBdr>
        <w:top w:val="none" w:sz="0" w:space="0" w:color="auto"/>
        <w:left w:val="none" w:sz="0" w:space="0" w:color="auto"/>
        <w:bottom w:val="none" w:sz="0" w:space="0" w:color="auto"/>
        <w:right w:val="none" w:sz="0" w:space="0" w:color="auto"/>
      </w:divBdr>
    </w:div>
    <w:div w:id="825322901">
      <w:marLeft w:val="0"/>
      <w:marRight w:val="0"/>
      <w:marTop w:val="0"/>
      <w:marBottom w:val="0"/>
      <w:divBdr>
        <w:top w:val="none" w:sz="0" w:space="0" w:color="auto"/>
        <w:left w:val="none" w:sz="0" w:space="0" w:color="auto"/>
        <w:bottom w:val="none" w:sz="0" w:space="0" w:color="auto"/>
        <w:right w:val="none" w:sz="0" w:space="0" w:color="auto"/>
      </w:divBdr>
    </w:div>
    <w:div w:id="825322902">
      <w:marLeft w:val="0"/>
      <w:marRight w:val="0"/>
      <w:marTop w:val="0"/>
      <w:marBottom w:val="0"/>
      <w:divBdr>
        <w:top w:val="none" w:sz="0" w:space="0" w:color="auto"/>
        <w:left w:val="none" w:sz="0" w:space="0" w:color="auto"/>
        <w:bottom w:val="none" w:sz="0" w:space="0" w:color="auto"/>
        <w:right w:val="none" w:sz="0" w:space="0" w:color="auto"/>
      </w:divBdr>
    </w:div>
    <w:div w:id="825322903">
      <w:marLeft w:val="0"/>
      <w:marRight w:val="0"/>
      <w:marTop w:val="0"/>
      <w:marBottom w:val="0"/>
      <w:divBdr>
        <w:top w:val="none" w:sz="0" w:space="0" w:color="auto"/>
        <w:left w:val="none" w:sz="0" w:space="0" w:color="auto"/>
        <w:bottom w:val="none" w:sz="0" w:space="0" w:color="auto"/>
        <w:right w:val="none" w:sz="0" w:space="0" w:color="auto"/>
      </w:divBdr>
    </w:div>
    <w:div w:id="825322904">
      <w:marLeft w:val="0"/>
      <w:marRight w:val="0"/>
      <w:marTop w:val="0"/>
      <w:marBottom w:val="0"/>
      <w:divBdr>
        <w:top w:val="none" w:sz="0" w:space="0" w:color="auto"/>
        <w:left w:val="none" w:sz="0" w:space="0" w:color="auto"/>
        <w:bottom w:val="none" w:sz="0" w:space="0" w:color="auto"/>
        <w:right w:val="none" w:sz="0" w:space="0" w:color="auto"/>
      </w:divBdr>
    </w:div>
    <w:div w:id="825322905">
      <w:marLeft w:val="0"/>
      <w:marRight w:val="0"/>
      <w:marTop w:val="0"/>
      <w:marBottom w:val="0"/>
      <w:divBdr>
        <w:top w:val="none" w:sz="0" w:space="0" w:color="auto"/>
        <w:left w:val="none" w:sz="0" w:space="0" w:color="auto"/>
        <w:bottom w:val="none" w:sz="0" w:space="0" w:color="auto"/>
        <w:right w:val="none" w:sz="0" w:space="0" w:color="auto"/>
      </w:divBdr>
    </w:div>
    <w:div w:id="825322906">
      <w:marLeft w:val="0"/>
      <w:marRight w:val="0"/>
      <w:marTop w:val="0"/>
      <w:marBottom w:val="0"/>
      <w:divBdr>
        <w:top w:val="none" w:sz="0" w:space="0" w:color="auto"/>
        <w:left w:val="none" w:sz="0" w:space="0" w:color="auto"/>
        <w:bottom w:val="none" w:sz="0" w:space="0" w:color="auto"/>
        <w:right w:val="none" w:sz="0" w:space="0" w:color="auto"/>
      </w:divBdr>
    </w:div>
    <w:div w:id="825322907">
      <w:marLeft w:val="0"/>
      <w:marRight w:val="0"/>
      <w:marTop w:val="0"/>
      <w:marBottom w:val="0"/>
      <w:divBdr>
        <w:top w:val="none" w:sz="0" w:space="0" w:color="auto"/>
        <w:left w:val="none" w:sz="0" w:space="0" w:color="auto"/>
        <w:bottom w:val="none" w:sz="0" w:space="0" w:color="auto"/>
        <w:right w:val="none" w:sz="0" w:space="0" w:color="auto"/>
      </w:divBdr>
    </w:div>
    <w:div w:id="825322908">
      <w:marLeft w:val="0"/>
      <w:marRight w:val="0"/>
      <w:marTop w:val="0"/>
      <w:marBottom w:val="0"/>
      <w:divBdr>
        <w:top w:val="none" w:sz="0" w:space="0" w:color="auto"/>
        <w:left w:val="none" w:sz="0" w:space="0" w:color="auto"/>
        <w:bottom w:val="none" w:sz="0" w:space="0" w:color="auto"/>
        <w:right w:val="none" w:sz="0" w:space="0" w:color="auto"/>
      </w:divBdr>
    </w:div>
    <w:div w:id="825322909">
      <w:marLeft w:val="0"/>
      <w:marRight w:val="0"/>
      <w:marTop w:val="0"/>
      <w:marBottom w:val="0"/>
      <w:divBdr>
        <w:top w:val="none" w:sz="0" w:space="0" w:color="auto"/>
        <w:left w:val="none" w:sz="0" w:space="0" w:color="auto"/>
        <w:bottom w:val="none" w:sz="0" w:space="0" w:color="auto"/>
        <w:right w:val="none" w:sz="0" w:space="0" w:color="auto"/>
      </w:divBdr>
    </w:div>
    <w:div w:id="825322910">
      <w:marLeft w:val="0"/>
      <w:marRight w:val="0"/>
      <w:marTop w:val="0"/>
      <w:marBottom w:val="0"/>
      <w:divBdr>
        <w:top w:val="none" w:sz="0" w:space="0" w:color="auto"/>
        <w:left w:val="none" w:sz="0" w:space="0" w:color="auto"/>
        <w:bottom w:val="none" w:sz="0" w:space="0" w:color="auto"/>
        <w:right w:val="none" w:sz="0" w:space="0" w:color="auto"/>
      </w:divBdr>
    </w:div>
    <w:div w:id="825322911">
      <w:marLeft w:val="0"/>
      <w:marRight w:val="0"/>
      <w:marTop w:val="0"/>
      <w:marBottom w:val="0"/>
      <w:divBdr>
        <w:top w:val="none" w:sz="0" w:space="0" w:color="auto"/>
        <w:left w:val="none" w:sz="0" w:space="0" w:color="auto"/>
        <w:bottom w:val="none" w:sz="0" w:space="0" w:color="auto"/>
        <w:right w:val="none" w:sz="0" w:space="0" w:color="auto"/>
      </w:divBdr>
    </w:div>
    <w:div w:id="825322912">
      <w:marLeft w:val="0"/>
      <w:marRight w:val="0"/>
      <w:marTop w:val="0"/>
      <w:marBottom w:val="0"/>
      <w:divBdr>
        <w:top w:val="none" w:sz="0" w:space="0" w:color="auto"/>
        <w:left w:val="none" w:sz="0" w:space="0" w:color="auto"/>
        <w:bottom w:val="none" w:sz="0" w:space="0" w:color="auto"/>
        <w:right w:val="none" w:sz="0" w:space="0" w:color="auto"/>
      </w:divBdr>
    </w:div>
    <w:div w:id="825322913">
      <w:marLeft w:val="0"/>
      <w:marRight w:val="0"/>
      <w:marTop w:val="0"/>
      <w:marBottom w:val="0"/>
      <w:divBdr>
        <w:top w:val="none" w:sz="0" w:space="0" w:color="auto"/>
        <w:left w:val="none" w:sz="0" w:space="0" w:color="auto"/>
        <w:bottom w:val="none" w:sz="0" w:space="0" w:color="auto"/>
        <w:right w:val="none" w:sz="0" w:space="0" w:color="auto"/>
      </w:divBdr>
    </w:div>
    <w:div w:id="825322914">
      <w:marLeft w:val="0"/>
      <w:marRight w:val="0"/>
      <w:marTop w:val="0"/>
      <w:marBottom w:val="0"/>
      <w:divBdr>
        <w:top w:val="none" w:sz="0" w:space="0" w:color="auto"/>
        <w:left w:val="none" w:sz="0" w:space="0" w:color="auto"/>
        <w:bottom w:val="none" w:sz="0" w:space="0" w:color="auto"/>
        <w:right w:val="none" w:sz="0" w:space="0" w:color="auto"/>
      </w:divBdr>
    </w:div>
    <w:div w:id="825322915">
      <w:marLeft w:val="0"/>
      <w:marRight w:val="0"/>
      <w:marTop w:val="0"/>
      <w:marBottom w:val="0"/>
      <w:divBdr>
        <w:top w:val="none" w:sz="0" w:space="0" w:color="auto"/>
        <w:left w:val="none" w:sz="0" w:space="0" w:color="auto"/>
        <w:bottom w:val="none" w:sz="0" w:space="0" w:color="auto"/>
        <w:right w:val="none" w:sz="0" w:space="0" w:color="auto"/>
      </w:divBdr>
    </w:div>
    <w:div w:id="825322916">
      <w:marLeft w:val="0"/>
      <w:marRight w:val="0"/>
      <w:marTop w:val="0"/>
      <w:marBottom w:val="0"/>
      <w:divBdr>
        <w:top w:val="none" w:sz="0" w:space="0" w:color="auto"/>
        <w:left w:val="none" w:sz="0" w:space="0" w:color="auto"/>
        <w:bottom w:val="none" w:sz="0" w:space="0" w:color="auto"/>
        <w:right w:val="none" w:sz="0" w:space="0" w:color="auto"/>
      </w:divBdr>
    </w:div>
    <w:div w:id="825322917">
      <w:marLeft w:val="0"/>
      <w:marRight w:val="0"/>
      <w:marTop w:val="0"/>
      <w:marBottom w:val="0"/>
      <w:divBdr>
        <w:top w:val="none" w:sz="0" w:space="0" w:color="auto"/>
        <w:left w:val="none" w:sz="0" w:space="0" w:color="auto"/>
        <w:bottom w:val="none" w:sz="0" w:space="0" w:color="auto"/>
        <w:right w:val="none" w:sz="0" w:space="0" w:color="auto"/>
      </w:divBdr>
    </w:div>
    <w:div w:id="825322918">
      <w:marLeft w:val="0"/>
      <w:marRight w:val="0"/>
      <w:marTop w:val="0"/>
      <w:marBottom w:val="0"/>
      <w:divBdr>
        <w:top w:val="none" w:sz="0" w:space="0" w:color="auto"/>
        <w:left w:val="none" w:sz="0" w:space="0" w:color="auto"/>
        <w:bottom w:val="none" w:sz="0" w:space="0" w:color="auto"/>
        <w:right w:val="none" w:sz="0" w:space="0" w:color="auto"/>
      </w:divBdr>
    </w:div>
    <w:div w:id="825322919">
      <w:marLeft w:val="0"/>
      <w:marRight w:val="0"/>
      <w:marTop w:val="0"/>
      <w:marBottom w:val="0"/>
      <w:divBdr>
        <w:top w:val="none" w:sz="0" w:space="0" w:color="auto"/>
        <w:left w:val="none" w:sz="0" w:space="0" w:color="auto"/>
        <w:bottom w:val="none" w:sz="0" w:space="0" w:color="auto"/>
        <w:right w:val="none" w:sz="0" w:space="0" w:color="auto"/>
      </w:divBdr>
    </w:div>
    <w:div w:id="825322920">
      <w:marLeft w:val="0"/>
      <w:marRight w:val="0"/>
      <w:marTop w:val="0"/>
      <w:marBottom w:val="0"/>
      <w:divBdr>
        <w:top w:val="none" w:sz="0" w:space="0" w:color="auto"/>
        <w:left w:val="none" w:sz="0" w:space="0" w:color="auto"/>
        <w:bottom w:val="none" w:sz="0" w:space="0" w:color="auto"/>
        <w:right w:val="none" w:sz="0" w:space="0" w:color="auto"/>
      </w:divBdr>
    </w:div>
    <w:div w:id="825322921">
      <w:marLeft w:val="0"/>
      <w:marRight w:val="0"/>
      <w:marTop w:val="0"/>
      <w:marBottom w:val="0"/>
      <w:divBdr>
        <w:top w:val="none" w:sz="0" w:space="0" w:color="auto"/>
        <w:left w:val="none" w:sz="0" w:space="0" w:color="auto"/>
        <w:bottom w:val="none" w:sz="0" w:space="0" w:color="auto"/>
        <w:right w:val="none" w:sz="0" w:space="0" w:color="auto"/>
      </w:divBdr>
    </w:div>
    <w:div w:id="825322922">
      <w:marLeft w:val="0"/>
      <w:marRight w:val="0"/>
      <w:marTop w:val="0"/>
      <w:marBottom w:val="0"/>
      <w:divBdr>
        <w:top w:val="none" w:sz="0" w:space="0" w:color="auto"/>
        <w:left w:val="none" w:sz="0" w:space="0" w:color="auto"/>
        <w:bottom w:val="none" w:sz="0" w:space="0" w:color="auto"/>
        <w:right w:val="none" w:sz="0" w:space="0" w:color="auto"/>
      </w:divBdr>
    </w:div>
    <w:div w:id="825322923">
      <w:marLeft w:val="0"/>
      <w:marRight w:val="0"/>
      <w:marTop w:val="0"/>
      <w:marBottom w:val="0"/>
      <w:divBdr>
        <w:top w:val="none" w:sz="0" w:space="0" w:color="auto"/>
        <w:left w:val="none" w:sz="0" w:space="0" w:color="auto"/>
        <w:bottom w:val="none" w:sz="0" w:space="0" w:color="auto"/>
        <w:right w:val="none" w:sz="0" w:space="0" w:color="auto"/>
      </w:divBdr>
    </w:div>
    <w:div w:id="825322924">
      <w:marLeft w:val="0"/>
      <w:marRight w:val="0"/>
      <w:marTop w:val="0"/>
      <w:marBottom w:val="0"/>
      <w:divBdr>
        <w:top w:val="none" w:sz="0" w:space="0" w:color="auto"/>
        <w:left w:val="none" w:sz="0" w:space="0" w:color="auto"/>
        <w:bottom w:val="none" w:sz="0" w:space="0" w:color="auto"/>
        <w:right w:val="none" w:sz="0" w:space="0" w:color="auto"/>
      </w:divBdr>
    </w:div>
    <w:div w:id="825322925">
      <w:marLeft w:val="0"/>
      <w:marRight w:val="0"/>
      <w:marTop w:val="0"/>
      <w:marBottom w:val="0"/>
      <w:divBdr>
        <w:top w:val="none" w:sz="0" w:space="0" w:color="auto"/>
        <w:left w:val="none" w:sz="0" w:space="0" w:color="auto"/>
        <w:bottom w:val="none" w:sz="0" w:space="0" w:color="auto"/>
        <w:right w:val="none" w:sz="0" w:space="0" w:color="auto"/>
      </w:divBdr>
    </w:div>
    <w:div w:id="82532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748F5-E57A-493F-B22C-A5FA8C63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4186</Characters>
  <Application>Microsoft Office Word</Application>
  <DocSecurity>0</DocSecurity>
  <Lines>136</Lines>
  <Paragraphs>55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2016-06-15T01:35:00Z</cp:lastPrinted>
  <dcterms:created xsi:type="dcterms:W3CDTF">2024-12-06T01:59:00Z</dcterms:created>
  <dcterms:modified xsi:type="dcterms:W3CDTF">2024-12-06T01:59:00Z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A27639876</vt:lpwstr>
  </property>
  <property fmtid="{D5CDD505-2E9C-101B-9397-08002B2CF9AE}" pid="4" name="Objective-Title">
    <vt:lpwstr>Att A - Unit Titles (Management) (Fees) Determination 2021</vt:lpwstr>
  </property>
  <property fmtid="{D5CDD505-2E9C-101B-9397-08002B2CF9AE}" pid="5" name="Objective-Comment">
    <vt:lpwstr/>
  </property>
  <property fmtid="{D5CDD505-2E9C-101B-9397-08002B2CF9AE}" pid="6" name="Objective-CreationStamp">
    <vt:filetime>2020-12-08T03:59:07Z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2021-05-14T04:53:08Z</vt:filetime>
  </property>
  <property fmtid="{D5CDD505-2E9C-101B-9397-08002B2CF9AE}" pid="10" name="Objective-ModificationStamp">
    <vt:filetime>2021-05-14T05:30:37Z</vt:filetime>
  </property>
  <property fmtid="{D5CDD505-2E9C-101B-9397-08002B2CF9AE}" pid="11" name="Objective-Owner">
    <vt:lpwstr>Amy Kingham</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Building:12. December:20/95315 Ministerial Information Brief - Attorney General - Unit Titles Fee Determination.:</vt:lpwstr>
  </property>
  <property fmtid="{D5CDD505-2E9C-101B-9397-08002B2CF9AE}" pid="13" name="Objective-Parent">
    <vt:lpwstr>20/95315 Ministerial Information Brief - Attorney General - Unit Titles Fee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1-2020/95315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2024-04-19T04:47:10Z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7d807146-4341-4994-b441-f33181e51aa8</vt:lpwstr>
  </property>
  <property fmtid="{D5CDD505-2E9C-101B-9397-08002B2CF9AE}" pid="49" name="MSIP_Label_69af8531-eb46-4968-8cb3-105d2f5ea87e_ContentBits">
    <vt:lpwstr>0</vt:lpwstr>
  </property>
  <property fmtid="{D5CDD505-2E9C-101B-9397-08002B2CF9AE}" pid="50" name="DMSID">
    <vt:lpwstr>13478326</vt:lpwstr>
  </property>
  <property fmtid="{D5CDD505-2E9C-101B-9397-08002B2CF9AE}" pid="51" name="CHECKEDOUTFROMJMS">
    <vt:lpwstr/>
  </property>
  <property fmtid="{D5CDD505-2E9C-101B-9397-08002B2CF9AE}" pid="52" name="JMSREQUIREDCHECKIN">
    <vt:lpwstr/>
  </property>
</Properties>
</file>