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51FF" w14:textId="77777777" w:rsidR="00EB20FF" w:rsidRDefault="00EB20FF" w:rsidP="000252AB">
      <w:pPr>
        <w:widowControl/>
        <w:autoSpaceDE/>
        <w:autoSpaceDN/>
        <w:spacing w:before="120"/>
        <w:rPr>
          <w:rFonts w:eastAsia="Times New Roman"/>
          <w:sz w:val="24"/>
          <w:szCs w:val="20"/>
          <w:lang w:val="en-AU"/>
        </w:rPr>
      </w:pPr>
      <w:bookmarkStart w:id="0" w:name="THE_BAR_ASSOCIATION_OF_QUEENSLAND_PROFES"/>
      <w:bookmarkStart w:id="1" w:name="_Toc44738651"/>
      <w:bookmarkEnd w:id="0"/>
      <w:r>
        <w:rPr>
          <w:rFonts w:eastAsia="Times New Roman"/>
          <w:sz w:val="24"/>
          <w:szCs w:val="20"/>
          <w:lang w:val="en-AU"/>
        </w:rPr>
        <w:t>Australian Capital Territory</w:t>
      </w:r>
    </w:p>
    <w:p w14:paraId="42CC66B3" w14:textId="43066F64" w:rsidR="00EB20FF" w:rsidRPr="000252AB" w:rsidRDefault="00EB20FF" w:rsidP="000252AB">
      <w:pPr>
        <w:pStyle w:val="Billname"/>
        <w:spacing w:before="700"/>
      </w:pPr>
      <w:bookmarkStart w:id="2" w:name="_Hlk175311176"/>
      <w:r>
        <w:t xml:space="preserve">Civil Law (Wrongs) </w:t>
      </w:r>
      <w:bookmarkStart w:id="3" w:name="_Hlk180055819"/>
      <w:r>
        <w:t xml:space="preserve">The Australian Computer Society Incorporated Professional Standards Scheme 2024 </w:t>
      </w:r>
      <w:bookmarkEnd w:id="3"/>
    </w:p>
    <w:bookmarkEnd w:id="2"/>
    <w:p w14:paraId="368CAA4F" w14:textId="2D863D07" w:rsidR="00EB20FF" w:rsidRDefault="00EB20FF" w:rsidP="000252AB">
      <w:pPr>
        <w:widowControl/>
        <w:autoSpaceDE/>
        <w:autoSpaceDN/>
        <w:spacing w:before="340"/>
        <w:rPr>
          <w:rFonts w:eastAsia="Times New Roman"/>
          <w:b/>
          <w:bCs/>
          <w:sz w:val="24"/>
          <w:szCs w:val="20"/>
          <w:lang w:val="en-AU"/>
        </w:rPr>
      </w:pPr>
      <w:r>
        <w:rPr>
          <w:rFonts w:eastAsia="Times New Roman"/>
          <w:b/>
          <w:bCs/>
          <w:sz w:val="24"/>
          <w:szCs w:val="20"/>
          <w:lang w:val="en-AU"/>
        </w:rPr>
        <w:t>Disallowable instrument DI</w:t>
      </w:r>
      <w:r w:rsidRPr="000252AB">
        <w:rPr>
          <w:rFonts w:eastAsia="Times New Roman"/>
          <w:b/>
          <w:bCs/>
          <w:sz w:val="24"/>
          <w:szCs w:val="20"/>
          <w:lang w:val="en-AU"/>
        </w:rPr>
        <w:t>2024</w:t>
      </w:r>
      <w:r>
        <w:rPr>
          <w:rFonts w:eastAsia="Times New Roman"/>
          <w:b/>
          <w:bCs/>
          <w:sz w:val="24"/>
          <w:szCs w:val="20"/>
          <w:lang w:val="en-AU"/>
        </w:rPr>
        <w:t>–</w:t>
      </w:r>
      <w:r w:rsidR="009D6A91">
        <w:rPr>
          <w:rFonts w:eastAsia="Times New Roman"/>
          <w:b/>
          <w:bCs/>
          <w:sz w:val="24"/>
          <w:szCs w:val="20"/>
          <w:lang w:val="en-AU"/>
        </w:rPr>
        <w:t>322</w:t>
      </w:r>
    </w:p>
    <w:p w14:paraId="4D6E64E7" w14:textId="77777777" w:rsidR="00EB20FF" w:rsidRDefault="00EB20FF" w:rsidP="000252AB">
      <w:pPr>
        <w:pStyle w:val="madeunder"/>
        <w:spacing w:before="300" w:after="0"/>
      </w:pPr>
      <w:r>
        <w:t xml:space="preserve">made under the  </w:t>
      </w:r>
    </w:p>
    <w:p w14:paraId="1F21C158" w14:textId="77777777" w:rsidR="00EB20FF" w:rsidRPr="000252AB" w:rsidRDefault="00EB20FF" w:rsidP="000252AB">
      <w:pPr>
        <w:pStyle w:val="CoverActName"/>
        <w:spacing w:before="320" w:after="0"/>
        <w:jc w:val="left"/>
        <w:rPr>
          <w:rFonts w:cs="Arial"/>
          <w:sz w:val="20"/>
        </w:rPr>
      </w:pPr>
      <w:r w:rsidRPr="000252AB">
        <w:rPr>
          <w:rFonts w:cs="Arial"/>
          <w:sz w:val="20"/>
        </w:rPr>
        <w:t>Civil Law (Wrongs) Act 2002, Schedule 4, section 4.10 (Schemes are subject to disallowance)</w:t>
      </w:r>
    </w:p>
    <w:p w14:paraId="1CB8ADA0" w14:textId="77777777" w:rsidR="000252AB" w:rsidRDefault="000252AB" w:rsidP="000252AB">
      <w:pPr>
        <w:pStyle w:val="N-line3"/>
        <w:pBdr>
          <w:bottom w:val="none" w:sz="0" w:space="0" w:color="auto"/>
        </w:pBdr>
        <w:spacing w:before="60"/>
      </w:pPr>
    </w:p>
    <w:p w14:paraId="73E99941" w14:textId="77777777" w:rsidR="000252AB" w:rsidRDefault="000252AB" w:rsidP="000252AB">
      <w:pPr>
        <w:pStyle w:val="N-line3"/>
        <w:pBdr>
          <w:top w:val="single" w:sz="12" w:space="1" w:color="auto"/>
          <w:bottom w:val="none" w:sz="0" w:space="0" w:color="auto"/>
        </w:pBdr>
      </w:pPr>
    </w:p>
    <w:p w14:paraId="177C3A5B" w14:textId="77777777" w:rsidR="00EB20FF" w:rsidRDefault="00EB20FF" w:rsidP="000252AB">
      <w:pPr>
        <w:widowControl/>
        <w:autoSpaceDE/>
        <w:autoSpaceDN/>
        <w:spacing w:before="60" w:after="60"/>
        <w:ind w:left="720" w:hanging="720"/>
        <w:rPr>
          <w:rFonts w:eastAsia="Times New Roman"/>
          <w:b/>
          <w:bCs/>
          <w:sz w:val="24"/>
          <w:szCs w:val="20"/>
          <w:lang w:val="en-AU"/>
        </w:rPr>
      </w:pPr>
      <w:r>
        <w:rPr>
          <w:rFonts w:eastAsia="Times New Roman"/>
          <w:b/>
          <w:bCs/>
          <w:sz w:val="24"/>
          <w:szCs w:val="20"/>
          <w:lang w:val="en-AU"/>
        </w:rPr>
        <w:t>1</w:t>
      </w:r>
      <w:r>
        <w:rPr>
          <w:rFonts w:eastAsia="Times New Roman"/>
          <w:b/>
          <w:bCs/>
          <w:sz w:val="24"/>
          <w:szCs w:val="20"/>
          <w:lang w:val="en-AU"/>
        </w:rPr>
        <w:tab/>
        <w:t>Name of instrument</w:t>
      </w:r>
    </w:p>
    <w:p w14:paraId="13D78589" w14:textId="6B3F2328" w:rsidR="00EB20FF" w:rsidRPr="00753F5F" w:rsidRDefault="00EB20FF" w:rsidP="00EB20FF">
      <w:pPr>
        <w:widowControl/>
        <w:autoSpaceDE/>
        <w:spacing w:before="140"/>
        <w:ind w:left="720"/>
        <w:rPr>
          <w:rFonts w:ascii="Times New Roman" w:eastAsia="Times New Roman" w:hAnsi="Times New Roman" w:cs="Times New Roman"/>
          <w:b/>
          <w:i/>
          <w:iCs/>
          <w:sz w:val="24"/>
          <w:szCs w:val="20"/>
          <w:lang w:val="en-AU"/>
        </w:rPr>
      </w:pPr>
      <w:r>
        <w:rPr>
          <w:rFonts w:ascii="Times New Roman" w:eastAsia="Times New Roman" w:hAnsi="Times New Roman" w:cs="Times New Roman"/>
          <w:sz w:val="24"/>
          <w:szCs w:val="20"/>
          <w:lang w:val="en-AU"/>
        </w:rPr>
        <w:t xml:space="preserve">This instrument is the </w:t>
      </w:r>
      <w:r w:rsidRPr="00753F5F">
        <w:rPr>
          <w:rFonts w:ascii="Times New Roman" w:eastAsia="Times New Roman" w:hAnsi="Times New Roman" w:cs="Times New Roman"/>
          <w:bCs/>
          <w:i/>
          <w:iCs/>
          <w:sz w:val="24"/>
          <w:szCs w:val="20"/>
          <w:lang w:val="en-AU"/>
        </w:rPr>
        <w:t xml:space="preserve">Civil Law (Wrongs) </w:t>
      </w:r>
      <w:r w:rsidRPr="00EB20FF">
        <w:rPr>
          <w:rFonts w:ascii="Times New Roman" w:eastAsia="Times New Roman" w:hAnsi="Times New Roman" w:cs="Times New Roman"/>
          <w:i/>
          <w:iCs/>
          <w:sz w:val="24"/>
          <w:szCs w:val="20"/>
          <w:lang w:val="en-AU"/>
        </w:rPr>
        <w:t>The Australian Computer Society Incorporated Professional Standards Scheme 2024</w:t>
      </w:r>
      <w:r>
        <w:rPr>
          <w:rFonts w:ascii="Times New Roman" w:eastAsia="Times New Roman" w:hAnsi="Times New Roman" w:cs="Times New Roman"/>
          <w:i/>
          <w:iCs/>
          <w:sz w:val="24"/>
          <w:szCs w:val="20"/>
          <w:lang w:val="en-AU"/>
        </w:rPr>
        <w:t xml:space="preserve">. </w:t>
      </w:r>
    </w:p>
    <w:p w14:paraId="4E2A8F64" w14:textId="77777777" w:rsidR="00EB20FF" w:rsidRDefault="00EB20FF" w:rsidP="000252AB">
      <w:pPr>
        <w:widowControl/>
        <w:autoSpaceDE/>
        <w:autoSpaceDN/>
        <w:spacing w:before="300"/>
        <w:ind w:left="720" w:hanging="720"/>
        <w:rPr>
          <w:rFonts w:eastAsia="Times New Roman"/>
          <w:b/>
          <w:bCs/>
          <w:sz w:val="24"/>
          <w:szCs w:val="20"/>
          <w:lang w:val="en-AU"/>
        </w:rPr>
      </w:pPr>
      <w:r>
        <w:rPr>
          <w:rFonts w:eastAsia="Times New Roman"/>
          <w:b/>
          <w:bCs/>
          <w:sz w:val="24"/>
          <w:szCs w:val="20"/>
          <w:lang w:val="en-AU"/>
        </w:rPr>
        <w:t>2</w:t>
      </w:r>
      <w:r>
        <w:rPr>
          <w:rFonts w:eastAsia="Times New Roman"/>
          <w:b/>
          <w:bCs/>
          <w:sz w:val="24"/>
          <w:szCs w:val="20"/>
          <w:lang w:val="en-AU"/>
        </w:rPr>
        <w:tab/>
        <w:t xml:space="preserve">Commencement </w:t>
      </w:r>
    </w:p>
    <w:p w14:paraId="51CBD920" w14:textId="24DEB967" w:rsidR="00EB20FF" w:rsidRDefault="00EB20FF" w:rsidP="00EB20FF">
      <w:pPr>
        <w:widowControl/>
        <w:autoSpaceDE/>
        <w:spacing w:before="140"/>
        <w:ind w:left="720"/>
        <w:rPr>
          <w:rFonts w:ascii="Times New Roman" w:eastAsia="Times New Roman" w:hAnsi="Times New Roman" w:cs="Times New Roman"/>
          <w:sz w:val="24"/>
          <w:szCs w:val="20"/>
          <w:lang w:val="en-AU"/>
        </w:rPr>
      </w:pPr>
      <w:r>
        <w:rPr>
          <w:rFonts w:ascii="Times New Roman" w:eastAsia="Times New Roman" w:hAnsi="Times New Roman" w:cs="Times New Roman"/>
          <w:sz w:val="24"/>
          <w:szCs w:val="20"/>
          <w:lang w:val="en-AU"/>
        </w:rPr>
        <w:t>This instrument commences on 1 January 2025.</w:t>
      </w:r>
    </w:p>
    <w:p w14:paraId="14558CC0" w14:textId="77777777" w:rsidR="00EB20FF" w:rsidRDefault="00EB20FF" w:rsidP="000252AB">
      <w:pPr>
        <w:widowControl/>
        <w:autoSpaceDE/>
        <w:autoSpaceDN/>
        <w:spacing w:before="300"/>
        <w:ind w:left="720" w:hanging="720"/>
        <w:rPr>
          <w:rFonts w:eastAsia="Times New Roman"/>
          <w:b/>
          <w:bCs/>
          <w:sz w:val="24"/>
          <w:szCs w:val="20"/>
          <w:lang w:val="en-AU"/>
        </w:rPr>
      </w:pPr>
      <w:r>
        <w:rPr>
          <w:rFonts w:eastAsia="Times New Roman"/>
          <w:b/>
          <w:bCs/>
          <w:sz w:val="24"/>
          <w:szCs w:val="20"/>
          <w:lang w:val="en-AU"/>
        </w:rPr>
        <w:t>3</w:t>
      </w:r>
      <w:r>
        <w:rPr>
          <w:rFonts w:eastAsia="Times New Roman"/>
          <w:b/>
          <w:bCs/>
          <w:sz w:val="24"/>
          <w:szCs w:val="20"/>
          <w:lang w:val="en-AU"/>
        </w:rPr>
        <w:tab/>
        <w:t>Notice</w:t>
      </w:r>
    </w:p>
    <w:p w14:paraId="31055959" w14:textId="46150F60" w:rsidR="00EB20FF" w:rsidRDefault="00EB20FF" w:rsidP="000252AB">
      <w:pPr>
        <w:widowControl/>
        <w:numPr>
          <w:ilvl w:val="0"/>
          <w:numId w:val="6"/>
        </w:numPr>
        <w:autoSpaceDE/>
        <w:autoSpaceDN/>
        <w:spacing w:before="140"/>
        <w:ind w:right="-113" w:hanging="720"/>
        <w:rPr>
          <w:rFonts w:ascii="Times New Roman" w:eastAsia="Times New Roman" w:hAnsi="Times New Roman" w:cs="Times New Roman"/>
          <w:sz w:val="24"/>
          <w:szCs w:val="20"/>
          <w:lang w:val="en-AU"/>
        </w:rPr>
      </w:pPr>
      <w:r w:rsidRPr="000252AB">
        <w:rPr>
          <w:rFonts w:ascii="Times New Roman" w:eastAsia="Times New Roman" w:hAnsi="Times New Roman" w:cs="Times New Roman"/>
          <w:spacing w:val="-2"/>
          <w:sz w:val="24"/>
          <w:szCs w:val="20"/>
          <w:lang w:val="en-AU"/>
        </w:rPr>
        <w:t>I give notice of the Professional Standards Council’s approval of the attached</w:t>
      </w:r>
      <w:r w:rsidR="00630F0D" w:rsidRPr="000252AB">
        <w:rPr>
          <w:rFonts w:ascii="Times New Roman" w:eastAsia="Times New Roman" w:hAnsi="Times New Roman" w:cs="Times New Roman"/>
          <w:spacing w:val="-2"/>
          <w:sz w:val="24"/>
          <w:szCs w:val="20"/>
          <w:lang w:val="en-AU"/>
        </w:rPr>
        <w:t>,</w:t>
      </w:r>
      <w:r>
        <w:rPr>
          <w:rFonts w:ascii="Times New Roman" w:eastAsia="Times New Roman" w:hAnsi="Times New Roman" w:cs="Times New Roman"/>
          <w:sz w:val="24"/>
          <w:szCs w:val="20"/>
          <w:lang w:val="en-AU"/>
        </w:rPr>
        <w:t xml:space="preserve"> </w:t>
      </w:r>
      <w:r w:rsidRPr="000252AB">
        <w:rPr>
          <w:rFonts w:ascii="Times New Roman" w:eastAsia="Times New Roman" w:hAnsi="Times New Roman" w:cs="Times New Roman"/>
          <w:spacing w:val="-2"/>
          <w:sz w:val="24"/>
          <w:szCs w:val="20"/>
          <w:lang w:val="en-AU"/>
        </w:rPr>
        <w:t>The Australian Computer Society Incorporated Professional Standards Scheme.</w:t>
      </w:r>
      <w:r>
        <w:rPr>
          <w:rFonts w:ascii="Times New Roman" w:eastAsia="Times New Roman" w:hAnsi="Times New Roman" w:cs="Times New Roman"/>
          <w:sz w:val="24"/>
          <w:szCs w:val="20"/>
          <w:lang w:val="en-AU"/>
        </w:rPr>
        <w:t xml:space="preserve"> </w:t>
      </w:r>
    </w:p>
    <w:p w14:paraId="35417CA1" w14:textId="52F34712" w:rsidR="00EB20FF" w:rsidRDefault="00EB20FF" w:rsidP="00EB20FF">
      <w:pPr>
        <w:widowControl/>
        <w:numPr>
          <w:ilvl w:val="0"/>
          <w:numId w:val="6"/>
        </w:numPr>
        <w:autoSpaceDE/>
        <w:autoSpaceDN/>
        <w:spacing w:before="140"/>
        <w:ind w:hanging="720"/>
        <w:rPr>
          <w:rFonts w:ascii="Times New Roman" w:eastAsia="Times New Roman" w:hAnsi="Times New Roman" w:cs="Times New Roman"/>
          <w:sz w:val="24"/>
          <w:szCs w:val="20"/>
          <w:lang w:val="en-AU"/>
        </w:rPr>
      </w:pPr>
      <w:r>
        <w:rPr>
          <w:rFonts w:ascii="Times New Roman" w:eastAsia="Times New Roman" w:hAnsi="Times New Roman" w:cs="Times New Roman"/>
          <w:sz w:val="24"/>
          <w:szCs w:val="20"/>
          <w:lang w:val="en-AU"/>
        </w:rPr>
        <w:t>The Scheme is in force until 31 December 2029.</w:t>
      </w:r>
    </w:p>
    <w:p w14:paraId="2C570967" w14:textId="77777777" w:rsidR="00EB20FF" w:rsidRDefault="00EB20FF" w:rsidP="00EB20FF">
      <w:pPr>
        <w:widowControl/>
        <w:autoSpaceDE/>
        <w:spacing w:before="300"/>
        <w:rPr>
          <w:rFonts w:ascii="Times New Roman" w:eastAsia="Times New Roman" w:hAnsi="Times New Roman" w:cs="Times New Roman"/>
          <w:sz w:val="24"/>
          <w:szCs w:val="20"/>
          <w:lang w:val="en-AU"/>
        </w:rPr>
      </w:pPr>
    </w:p>
    <w:p w14:paraId="221070E3" w14:textId="6C21A9A9" w:rsidR="00EB20FF" w:rsidRDefault="000A146F" w:rsidP="00EB20FF">
      <w:pPr>
        <w:widowControl/>
        <w:tabs>
          <w:tab w:val="left" w:pos="4320"/>
        </w:tabs>
        <w:autoSpaceDE/>
        <w:spacing w:before="720"/>
        <w:rPr>
          <w:rFonts w:ascii="Times New Roman" w:eastAsia="Times New Roman" w:hAnsi="Times New Roman" w:cs="Times New Roman"/>
          <w:sz w:val="24"/>
          <w:szCs w:val="20"/>
          <w:lang w:val="en-AU"/>
        </w:rPr>
      </w:pPr>
      <w:r>
        <w:rPr>
          <w:rFonts w:ascii="Times New Roman" w:eastAsia="Times New Roman" w:hAnsi="Times New Roman" w:cs="Times New Roman"/>
          <w:sz w:val="24"/>
          <w:szCs w:val="20"/>
          <w:lang w:val="en-AU"/>
        </w:rPr>
        <w:t>Marisa Paterson</w:t>
      </w:r>
      <w:r w:rsidR="00635F1A">
        <w:rPr>
          <w:rFonts w:ascii="Times New Roman" w:eastAsia="Times New Roman" w:hAnsi="Times New Roman" w:cs="Times New Roman"/>
          <w:sz w:val="24"/>
          <w:szCs w:val="20"/>
          <w:lang w:val="en-AU"/>
        </w:rPr>
        <w:t xml:space="preserve"> MLA</w:t>
      </w:r>
    </w:p>
    <w:p w14:paraId="6BC77E57" w14:textId="6C9868A0" w:rsidR="00EB20FF" w:rsidRDefault="000A146F" w:rsidP="00EB20FF">
      <w:pPr>
        <w:widowControl/>
        <w:tabs>
          <w:tab w:val="left" w:pos="4320"/>
        </w:tabs>
        <w:autoSpaceDE/>
        <w:rPr>
          <w:rFonts w:ascii="Times New Roman" w:eastAsia="Times New Roman" w:hAnsi="Times New Roman" w:cs="Times New Roman"/>
          <w:sz w:val="24"/>
          <w:szCs w:val="20"/>
          <w:lang w:val="en-AU"/>
        </w:rPr>
      </w:pPr>
      <w:r>
        <w:rPr>
          <w:rFonts w:ascii="Times New Roman" w:eastAsia="Times New Roman" w:hAnsi="Times New Roman" w:cs="Times New Roman"/>
          <w:sz w:val="24"/>
          <w:szCs w:val="20"/>
          <w:lang w:val="en-AU"/>
        </w:rPr>
        <w:t xml:space="preserve">Acting </w:t>
      </w:r>
      <w:r w:rsidR="00EB20FF">
        <w:rPr>
          <w:rFonts w:ascii="Times New Roman" w:eastAsia="Times New Roman" w:hAnsi="Times New Roman" w:cs="Times New Roman"/>
          <w:sz w:val="24"/>
          <w:szCs w:val="20"/>
          <w:lang w:val="en-AU"/>
        </w:rPr>
        <w:t>Attorney-General</w:t>
      </w:r>
    </w:p>
    <w:bookmarkEnd w:id="1"/>
    <w:p w14:paraId="5F46D38D" w14:textId="79A00FA7" w:rsidR="00EB20FF" w:rsidRDefault="009D6A91" w:rsidP="00EB20FF">
      <w:pPr>
        <w:widowControl/>
        <w:tabs>
          <w:tab w:val="left" w:pos="4320"/>
        </w:tabs>
        <w:autoSpaceDE/>
        <w:rPr>
          <w:rFonts w:ascii="Times New Roman" w:eastAsia="Times New Roman" w:hAnsi="Times New Roman" w:cs="Times New Roman"/>
          <w:sz w:val="24"/>
          <w:szCs w:val="20"/>
          <w:lang w:val="en-AU"/>
        </w:rPr>
      </w:pPr>
      <w:r>
        <w:rPr>
          <w:rFonts w:ascii="Times New Roman" w:eastAsia="Times New Roman" w:hAnsi="Times New Roman" w:cs="Times New Roman"/>
          <w:sz w:val="24"/>
          <w:szCs w:val="20"/>
          <w:lang w:val="en-AU"/>
        </w:rPr>
        <w:t xml:space="preserve">19 </w:t>
      </w:r>
      <w:r w:rsidR="006A7504">
        <w:rPr>
          <w:rFonts w:ascii="Times New Roman" w:eastAsia="Times New Roman" w:hAnsi="Times New Roman" w:cs="Times New Roman"/>
          <w:sz w:val="24"/>
          <w:szCs w:val="20"/>
          <w:lang w:val="en-AU"/>
        </w:rPr>
        <w:t xml:space="preserve">December </w:t>
      </w:r>
      <w:r w:rsidR="00635F1A">
        <w:rPr>
          <w:rFonts w:ascii="Times New Roman" w:eastAsia="Times New Roman" w:hAnsi="Times New Roman" w:cs="Times New Roman"/>
          <w:sz w:val="24"/>
          <w:szCs w:val="20"/>
          <w:lang w:val="en-AU"/>
        </w:rPr>
        <w:t>2024</w:t>
      </w:r>
    </w:p>
    <w:p w14:paraId="3B2EC37B" w14:textId="77777777" w:rsidR="00EB20FF" w:rsidRDefault="00EB20FF" w:rsidP="00EB20FF">
      <w:pPr>
        <w:widowControl/>
        <w:tabs>
          <w:tab w:val="left" w:pos="4320"/>
        </w:tabs>
        <w:autoSpaceDE/>
        <w:rPr>
          <w:rFonts w:ascii="Times New Roman" w:eastAsia="Times New Roman" w:hAnsi="Times New Roman" w:cs="Times New Roman"/>
          <w:sz w:val="24"/>
          <w:szCs w:val="20"/>
          <w:lang w:val="en-AU"/>
        </w:rPr>
      </w:pPr>
    </w:p>
    <w:p w14:paraId="516094A4" w14:textId="77777777" w:rsidR="000252AB" w:rsidRDefault="000252AB" w:rsidP="00EB20FF">
      <w:pPr>
        <w:widowControl/>
        <w:tabs>
          <w:tab w:val="left" w:pos="4320"/>
        </w:tabs>
        <w:autoSpaceDE/>
        <w:rPr>
          <w:rFonts w:ascii="Times New Roman" w:eastAsia="Times New Roman" w:hAnsi="Times New Roman" w:cs="Times New Roman"/>
          <w:sz w:val="24"/>
          <w:szCs w:val="20"/>
          <w:lang w:val="en-AU"/>
        </w:rPr>
        <w:sectPr w:rsidR="000252AB" w:rsidSect="000252AB">
          <w:headerReference w:type="even" r:id="rId7"/>
          <w:headerReference w:type="default" r:id="rId8"/>
          <w:footerReference w:type="even" r:id="rId9"/>
          <w:footerReference w:type="default" r:id="rId10"/>
          <w:headerReference w:type="first" r:id="rId11"/>
          <w:footerReference w:type="first" r:id="rId12"/>
          <w:type w:val="continuous"/>
          <w:pgSz w:w="11910" w:h="16840" w:code="9"/>
          <w:pgMar w:top="1440" w:right="1531" w:bottom="1440" w:left="1531" w:header="720" w:footer="720" w:gutter="0"/>
          <w:pgNumType w:start="1"/>
          <w:cols w:space="720"/>
        </w:sectPr>
      </w:pPr>
    </w:p>
    <w:p w14:paraId="1852D623" w14:textId="769B0CA7" w:rsidR="0057052F" w:rsidRDefault="00EB20FF" w:rsidP="000252AB">
      <w:pPr>
        <w:spacing w:before="240"/>
        <w:ind w:left="759" w:right="767"/>
        <w:jc w:val="center"/>
      </w:pPr>
      <w:r>
        <w:rPr>
          <w:i/>
        </w:rPr>
        <w:lastRenderedPageBreak/>
        <w:t>Professional</w:t>
      </w:r>
      <w:r>
        <w:rPr>
          <w:i/>
          <w:spacing w:val="-6"/>
        </w:rPr>
        <w:t xml:space="preserve"> </w:t>
      </w:r>
      <w:r>
        <w:rPr>
          <w:i/>
        </w:rPr>
        <w:t>Standards</w:t>
      </w:r>
      <w:r>
        <w:rPr>
          <w:i/>
          <w:spacing w:val="-6"/>
        </w:rPr>
        <w:t xml:space="preserve"> </w:t>
      </w:r>
      <w:r>
        <w:rPr>
          <w:i/>
        </w:rPr>
        <w:t>Act</w:t>
      </w:r>
      <w:r>
        <w:rPr>
          <w:i/>
          <w:spacing w:val="-5"/>
        </w:rPr>
        <w:t xml:space="preserve"> </w:t>
      </w:r>
      <w:r>
        <w:rPr>
          <w:i/>
        </w:rPr>
        <w:t>1994</w:t>
      </w:r>
      <w:r>
        <w:rPr>
          <w:i/>
          <w:spacing w:val="-8"/>
        </w:rPr>
        <w:t xml:space="preserve"> </w:t>
      </w:r>
      <w:r>
        <w:rPr>
          <w:spacing w:val="-4"/>
        </w:rPr>
        <w:t>(NSW)</w:t>
      </w:r>
    </w:p>
    <w:p w14:paraId="050BBF4C" w14:textId="77777777" w:rsidR="0057052F" w:rsidRDefault="00EB20FF" w:rsidP="000252AB">
      <w:pPr>
        <w:pStyle w:val="Heading1"/>
        <w:spacing w:before="240" w:line="237" w:lineRule="auto"/>
        <w:ind w:left="759" w:right="767"/>
        <w:jc w:val="center"/>
      </w:pPr>
      <w:r>
        <w:t>THE</w:t>
      </w:r>
      <w:r>
        <w:rPr>
          <w:spacing w:val="-11"/>
        </w:rPr>
        <w:t xml:space="preserve"> </w:t>
      </w:r>
      <w:r>
        <w:t>AUSTRALIAN</w:t>
      </w:r>
      <w:r>
        <w:rPr>
          <w:spacing w:val="-7"/>
        </w:rPr>
        <w:t xml:space="preserve"> </w:t>
      </w:r>
      <w:r>
        <w:t>COMPUTER</w:t>
      </w:r>
      <w:r>
        <w:rPr>
          <w:spacing w:val="-7"/>
        </w:rPr>
        <w:t xml:space="preserve"> </w:t>
      </w:r>
      <w:r>
        <w:t>SOCIETY</w:t>
      </w:r>
      <w:r>
        <w:rPr>
          <w:spacing w:val="-11"/>
        </w:rPr>
        <w:t xml:space="preserve"> </w:t>
      </w:r>
      <w:r>
        <w:t>INCORPORATED PROFESSIONAL STANDARDS SCHEME</w:t>
      </w:r>
    </w:p>
    <w:p w14:paraId="2870DB6F" w14:textId="77777777" w:rsidR="0057052F" w:rsidRDefault="00EB20FF" w:rsidP="000252AB">
      <w:pPr>
        <w:spacing w:before="240"/>
        <w:ind w:left="112"/>
        <w:rPr>
          <w:b/>
        </w:rPr>
      </w:pPr>
      <w:r>
        <w:rPr>
          <w:b/>
          <w:spacing w:val="-2"/>
        </w:rPr>
        <w:t>PREAMBLE</w:t>
      </w:r>
    </w:p>
    <w:p w14:paraId="4B204B94" w14:textId="77777777" w:rsidR="0057052F" w:rsidRDefault="00EB20FF" w:rsidP="000252AB">
      <w:pPr>
        <w:pStyle w:val="ListParagraph"/>
        <w:numPr>
          <w:ilvl w:val="0"/>
          <w:numId w:val="5"/>
        </w:numPr>
        <w:tabs>
          <w:tab w:val="left" w:pos="830"/>
          <w:tab w:val="left" w:pos="832"/>
        </w:tabs>
        <w:spacing w:before="240"/>
        <w:ind w:right="118"/>
        <w:jc w:val="both"/>
      </w:pPr>
      <w:r>
        <w:t>The</w:t>
      </w:r>
      <w:r>
        <w:rPr>
          <w:spacing w:val="-12"/>
        </w:rPr>
        <w:t xml:space="preserve"> </w:t>
      </w:r>
      <w:r>
        <w:t>ACS</w:t>
      </w:r>
      <w:r>
        <w:rPr>
          <w:spacing w:val="-16"/>
        </w:rPr>
        <w:t xml:space="preserve"> </w:t>
      </w:r>
      <w:r>
        <w:t>is</w:t>
      </w:r>
      <w:r>
        <w:rPr>
          <w:spacing w:val="-12"/>
        </w:rPr>
        <w:t xml:space="preserve"> </w:t>
      </w:r>
      <w:r>
        <w:t>an</w:t>
      </w:r>
      <w:r>
        <w:rPr>
          <w:spacing w:val="-16"/>
        </w:rPr>
        <w:t xml:space="preserve"> </w:t>
      </w:r>
      <w:r>
        <w:t>incorporated</w:t>
      </w:r>
      <w:r>
        <w:rPr>
          <w:spacing w:val="-15"/>
        </w:rPr>
        <w:t xml:space="preserve"> </w:t>
      </w:r>
      <w:r>
        <w:t>association</w:t>
      </w:r>
      <w:r>
        <w:rPr>
          <w:spacing w:val="-15"/>
        </w:rPr>
        <w:t xml:space="preserve"> </w:t>
      </w:r>
      <w:r>
        <w:t>constituted</w:t>
      </w:r>
      <w:r>
        <w:rPr>
          <w:spacing w:val="-14"/>
        </w:rPr>
        <w:t xml:space="preserve"> </w:t>
      </w:r>
      <w:r>
        <w:t>under</w:t>
      </w:r>
      <w:r>
        <w:rPr>
          <w:spacing w:val="-15"/>
        </w:rPr>
        <w:t xml:space="preserve"> </w:t>
      </w:r>
      <w:r>
        <w:t>the</w:t>
      </w:r>
      <w:r>
        <w:rPr>
          <w:spacing w:val="-15"/>
        </w:rPr>
        <w:t xml:space="preserve"> </w:t>
      </w:r>
      <w:r>
        <w:rPr>
          <w:i/>
        </w:rPr>
        <w:t>Incorporated</w:t>
      </w:r>
      <w:r>
        <w:rPr>
          <w:i/>
          <w:spacing w:val="-16"/>
        </w:rPr>
        <w:t xml:space="preserve"> </w:t>
      </w:r>
      <w:r>
        <w:rPr>
          <w:i/>
        </w:rPr>
        <w:t xml:space="preserve">Association Act 1991 </w:t>
      </w:r>
      <w:r>
        <w:t>(ACT) and is an occupational association for the purposes of the Act.</w:t>
      </w:r>
    </w:p>
    <w:p w14:paraId="728D5AE2" w14:textId="77777777" w:rsidR="0057052F" w:rsidRDefault="00EB20FF" w:rsidP="000252AB">
      <w:pPr>
        <w:pStyle w:val="ListParagraph"/>
        <w:numPr>
          <w:ilvl w:val="0"/>
          <w:numId w:val="5"/>
        </w:numPr>
        <w:tabs>
          <w:tab w:val="left" w:pos="830"/>
          <w:tab w:val="left" w:pos="832"/>
        </w:tabs>
        <w:spacing w:before="240"/>
        <w:ind w:right="121"/>
        <w:jc w:val="both"/>
      </w:pPr>
      <w:r>
        <w:t>The Scheme is prepared by the ACS for the purpose of limiting Occupational Liability to the extent to which such liability may be limited under the Act.</w:t>
      </w:r>
    </w:p>
    <w:p w14:paraId="33E48657" w14:textId="77777777" w:rsidR="0057052F" w:rsidRDefault="00EB20FF" w:rsidP="000252AB">
      <w:pPr>
        <w:pStyle w:val="ListParagraph"/>
        <w:numPr>
          <w:ilvl w:val="0"/>
          <w:numId w:val="5"/>
        </w:numPr>
        <w:tabs>
          <w:tab w:val="left" w:pos="831"/>
        </w:tabs>
        <w:spacing w:before="240"/>
        <w:ind w:left="831" w:hanging="359"/>
      </w:pPr>
      <w:r>
        <w:t>The</w:t>
      </w:r>
      <w:r>
        <w:rPr>
          <w:spacing w:val="-4"/>
        </w:rPr>
        <w:t xml:space="preserve"> </w:t>
      </w:r>
      <w:r>
        <w:t>Scheme</w:t>
      </w:r>
      <w:r>
        <w:rPr>
          <w:spacing w:val="-6"/>
        </w:rPr>
        <w:t xml:space="preserve"> </w:t>
      </w:r>
      <w:r>
        <w:t>applies</w:t>
      </w:r>
      <w:r>
        <w:rPr>
          <w:spacing w:val="-4"/>
        </w:rPr>
        <w:t xml:space="preserve"> </w:t>
      </w:r>
      <w:r>
        <w:t>to</w:t>
      </w:r>
      <w:r>
        <w:rPr>
          <w:spacing w:val="-5"/>
        </w:rPr>
        <w:t xml:space="preserve"> </w:t>
      </w:r>
      <w:r>
        <w:t>all</w:t>
      </w:r>
      <w:r>
        <w:rPr>
          <w:spacing w:val="-4"/>
        </w:rPr>
        <w:t xml:space="preserve"> </w:t>
      </w:r>
      <w:r>
        <w:t>Participating</w:t>
      </w:r>
      <w:r>
        <w:rPr>
          <w:spacing w:val="-4"/>
        </w:rPr>
        <w:t xml:space="preserve"> </w:t>
      </w:r>
      <w:r>
        <w:t>Members</w:t>
      </w:r>
      <w:r>
        <w:rPr>
          <w:spacing w:val="-5"/>
        </w:rPr>
        <w:t xml:space="preserve"> </w:t>
      </w:r>
      <w:r>
        <w:t>of</w:t>
      </w:r>
      <w:r>
        <w:rPr>
          <w:spacing w:val="-6"/>
        </w:rPr>
        <w:t xml:space="preserve"> </w:t>
      </w:r>
      <w:r>
        <w:t>the</w:t>
      </w:r>
      <w:r>
        <w:rPr>
          <w:spacing w:val="-3"/>
        </w:rPr>
        <w:t xml:space="preserve"> </w:t>
      </w:r>
      <w:r>
        <w:rPr>
          <w:spacing w:val="-4"/>
        </w:rPr>
        <w:t>ACS.</w:t>
      </w:r>
    </w:p>
    <w:p w14:paraId="38762C66" w14:textId="77777777" w:rsidR="0057052F" w:rsidRDefault="00EB20FF" w:rsidP="000252AB">
      <w:pPr>
        <w:pStyle w:val="ListParagraph"/>
        <w:numPr>
          <w:ilvl w:val="0"/>
          <w:numId w:val="5"/>
        </w:numPr>
        <w:tabs>
          <w:tab w:val="left" w:pos="830"/>
        </w:tabs>
        <w:spacing w:before="240"/>
        <w:ind w:left="830" w:right="117" w:hanging="358"/>
        <w:jc w:val="both"/>
      </w:pPr>
      <w:r>
        <w:t xml:space="preserve">The Scheme will have force in Australian Capital Territory, New South Wales, the Northern Territory, Queensland, South Australia, Tasmania, Victoria and Western Australia. To the extent that the Scheme applies to limit liability in jurisdictions other than New South Wales, it is subject to the applicable Professional Standards </w:t>
      </w:r>
      <w:r>
        <w:rPr>
          <w:spacing w:val="-2"/>
        </w:rPr>
        <w:t>Legislation.</w:t>
      </w:r>
    </w:p>
    <w:p w14:paraId="289225F0" w14:textId="77777777" w:rsidR="0057052F" w:rsidRDefault="00EB20FF" w:rsidP="000252AB">
      <w:pPr>
        <w:pStyle w:val="ListParagraph"/>
        <w:numPr>
          <w:ilvl w:val="0"/>
          <w:numId w:val="5"/>
        </w:numPr>
        <w:tabs>
          <w:tab w:val="left" w:pos="828"/>
          <w:tab w:val="left" w:pos="830"/>
        </w:tabs>
        <w:spacing w:before="240"/>
        <w:ind w:left="830" w:right="118"/>
        <w:jc w:val="both"/>
      </w:pPr>
      <w:r>
        <w:t>The ACS has furnished the Council with a detailed list of the risk management strategies,</w:t>
      </w:r>
      <w:r>
        <w:rPr>
          <w:spacing w:val="-16"/>
        </w:rPr>
        <w:t xml:space="preserve"> </w:t>
      </w:r>
      <w:r>
        <w:t>currently</w:t>
      </w:r>
      <w:r>
        <w:rPr>
          <w:spacing w:val="-15"/>
        </w:rPr>
        <w:t xml:space="preserve"> </w:t>
      </w:r>
      <w:r>
        <w:t>in</w:t>
      </w:r>
      <w:r>
        <w:rPr>
          <w:spacing w:val="-15"/>
        </w:rPr>
        <w:t xml:space="preserve"> </w:t>
      </w:r>
      <w:r>
        <w:t>place</w:t>
      </w:r>
      <w:r>
        <w:rPr>
          <w:spacing w:val="-16"/>
        </w:rPr>
        <w:t xml:space="preserve"> </w:t>
      </w:r>
      <w:r>
        <w:t>and</w:t>
      </w:r>
      <w:r>
        <w:rPr>
          <w:spacing w:val="-15"/>
        </w:rPr>
        <w:t xml:space="preserve"> </w:t>
      </w:r>
      <w:r>
        <w:t>intended</w:t>
      </w:r>
      <w:r>
        <w:rPr>
          <w:spacing w:val="-15"/>
        </w:rPr>
        <w:t xml:space="preserve"> </w:t>
      </w:r>
      <w:r>
        <w:t>to</w:t>
      </w:r>
      <w:r>
        <w:rPr>
          <w:spacing w:val="-15"/>
        </w:rPr>
        <w:t xml:space="preserve"> </w:t>
      </w:r>
      <w:r>
        <w:t>be</w:t>
      </w:r>
      <w:r>
        <w:rPr>
          <w:spacing w:val="-16"/>
        </w:rPr>
        <w:t xml:space="preserve"> </w:t>
      </w:r>
      <w:r>
        <w:t>implemented,</w:t>
      </w:r>
      <w:r>
        <w:rPr>
          <w:spacing w:val="-15"/>
        </w:rPr>
        <w:t xml:space="preserve"> </w:t>
      </w:r>
      <w:r>
        <w:t>in</w:t>
      </w:r>
      <w:r>
        <w:rPr>
          <w:spacing w:val="-15"/>
        </w:rPr>
        <w:t xml:space="preserve"> </w:t>
      </w:r>
      <w:r>
        <w:t>respect</w:t>
      </w:r>
      <w:r>
        <w:rPr>
          <w:spacing w:val="-16"/>
        </w:rPr>
        <w:t xml:space="preserve"> </w:t>
      </w:r>
      <w:r>
        <w:t>of</w:t>
      </w:r>
      <w:r>
        <w:rPr>
          <w:spacing w:val="-15"/>
        </w:rPr>
        <w:t xml:space="preserve"> </w:t>
      </w:r>
      <w:r>
        <w:t>its</w:t>
      </w:r>
      <w:r>
        <w:rPr>
          <w:spacing w:val="-15"/>
        </w:rPr>
        <w:t xml:space="preserve"> </w:t>
      </w:r>
      <w:r>
        <w:t>Members and the means by which those strategies are intended to be implemented.</w:t>
      </w:r>
    </w:p>
    <w:p w14:paraId="1513C166" w14:textId="77777777" w:rsidR="0057052F" w:rsidRDefault="00EB20FF" w:rsidP="000252AB">
      <w:pPr>
        <w:pStyle w:val="ListParagraph"/>
        <w:numPr>
          <w:ilvl w:val="0"/>
          <w:numId w:val="5"/>
        </w:numPr>
        <w:tabs>
          <w:tab w:val="left" w:pos="828"/>
          <w:tab w:val="left" w:pos="830"/>
        </w:tabs>
        <w:spacing w:before="240"/>
        <w:ind w:left="830" w:right="117"/>
        <w:jc w:val="both"/>
      </w:pPr>
      <w:r>
        <w:t>The ACS has furnished the Council with details of its Insurance Standards and Insurance Arrangement claims monitoring process. The ACS will not amend the Insurance</w:t>
      </w:r>
      <w:r>
        <w:rPr>
          <w:spacing w:val="-12"/>
        </w:rPr>
        <w:t xml:space="preserve"> </w:t>
      </w:r>
      <w:r>
        <w:t>Standards</w:t>
      </w:r>
      <w:r>
        <w:rPr>
          <w:spacing w:val="-8"/>
        </w:rPr>
        <w:t xml:space="preserve"> </w:t>
      </w:r>
      <w:r>
        <w:t>while</w:t>
      </w:r>
      <w:r>
        <w:rPr>
          <w:spacing w:val="-12"/>
        </w:rPr>
        <w:t xml:space="preserve"> </w:t>
      </w:r>
      <w:r>
        <w:t>the</w:t>
      </w:r>
      <w:r>
        <w:rPr>
          <w:spacing w:val="-12"/>
        </w:rPr>
        <w:t xml:space="preserve"> </w:t>
      </w:r>
      <w:r>
        <w:t>Scheme</w:t>
      </w:r>
      <w:r>
        <w:rPr>
          <w:spacing w:val="-10"/>
        </w:rPr>
        <w:t xml:space="preserve"> </w:t>
      </w:r>
      <w:r>
        <w:t>is</w:t>
      </w:r>
      <w:r>
        <w:rPr>
          <w:spacing w:val="-11"/>
        </w:rPr>
        <w:t xml:space="preserve"> </w:t>
      </w:r>
      <w:r>
        <w:t>in</w:t>
      </w:r>
      <w:r>
        <w:rPr>
          <w:spacing w:val="-12"/>
        </w:rPr>
        <w:t xml:space="preserve"> </w:t>
      </w:r>
      <w:r>
        <w:t>force</w:t>
      </w:r>
      <w:r>
        <w:rPr>
          <w:spacing w:val="-14"/>
        </w:rPr>
        <w:t xml:space="preserve"> </w:t>
      </w:r>
      <w:r>
        <w:t>without</w:t>
      </w:r>
      <w:r>
        <w:rPr>
          <w:spacing w:val="-10"/>
        </w:rPr>
        <w:t xml:space="preserve"> </w:t>
      </w:r>
      <w:r>
        <w:t>prior</w:t>
      </w:r>
      <w:r>
        <w:rPr>
          <w:spacing w:val="-9"/>
        </w:rPr>
        <w:t xml:space="preserve"> </w:t>
      </w:r>
      <w:r>
        <w:t>approval</w:t>
      </w:r>
      <w:r>
        <w:rPr>
          <w:spacing w:val="-11"/>
        </w:rPr>
        <w:t xml:space="preserve"> </w:t>
      </w:r>
      <w:r>
        <w:t>of</w:t>
      </w:r>
      <w:r>
        <w:rPr>
          <w:spacing w:val="-10"/>
        </w:rPr>
        <w:t xml:space="preserve"> </w:t>
      </w:r>
      <w:r>
        <w:t>the</w:t>
      </w:r>
      <w:r>
        <w:rPr>
          <w:spacing w:val="-10"/>
        </w:rPr>
        <w:t xml:space="preserve"> </w:t>
      </w:r>
      <w:r>
        <w:t>Council.</w:t>
      </w:r>
    </w:p>
    <w:p w14:paraId="31EF3122" w14:textId="77777777" w:rsidR="0057052F" w:rsidRDefault="00EB20FF" w:rsidP="000252AB">
      <w:pPr>
        <w:pStyle w:val="ListParagraph"/>
        <w:numPr>
          <w:ilvl w:val="0"/>
          <w:numId w:val="5"/>
        </w:numPr>
        <w:tabs>
          <w:tab w:val="left" w:pos="830"/>
        </w:tabs>
        <w:spacing w:before="240"/>
        <w:ind w:left="830" w:right="118"/>
        <w:jc w:val="both"/>
      </w:pPr>
      <w:r>
        <w:t>The ACS has advised its Participating Members that they must have the</w:t>
      </w:r>
      <w:r>
        <w:rPr>
          <w:spacing w:val="-1"/>
        </w:rPr>
        <w:t xml:space="preserve"> </w:t>
      </w:r>
      <w:r>
        <w:t>benefit of an Insurance</w:t>
      </w:r>
      <w:r>
        <w:rPr>
          <w:spacing w:val="-16"/>
        </w:rPr>
        <w:t xml:space="preserve"> </w:t>
      </w:r>
      <w:r>
        <w:t>Arrangement</w:t>
      </w:r>
      <w:r>
        <w:rPr>
          <w:spacing w:val="-10"/>
        </w:rPr>
        <w:t xml:space="preserve"> </w:t>
      </w:r>
      <w:r>
        <w:t>that</w:t>
      </w:r>
      <w:r>
        <w:rPr>
          <w:spacing w:val="-11"/>
        </w:rPr>
        <w:t xml:space="preserve"> </w:t>
      </w:r>
      <w:r>
        <w:t>complies</w:t>
      </w:r>
      <w:r>
        <w:rPr>
          <w:spacing w:val="-14"/>
        </w:rPr>
        <w:t xml:space="preserve"> </w:t>
      </w:r>
      <w:r>
        <w:t>with</w:t>
      </w:r>
      <w:r>
        <w:rPr>
          <w:spacing w:val="-15"/>
        </w:rPr>
        <w:t xml:space="preserve"> </w:t>
      </w:r>
      <w:r>
        <w:t>the</w:t>
      </w:r>
      <w:r>
        <w:rPr>
          <w:spacing w:val="-16"/>
        </w:rPr>
        <w:t xml:space="preserve"> </w:t>
      </w:r>
      <w:r>
        <w:t>ACS’</w:t>
      </w:r>
      <w:r>
        <w:rPr>
          <w:spacing w:val="-9"/>
        </w:rPr>
        <w:t xml:space="preserve"> </w:t>
      </w:r>
      <w:r>
        <w:t>Insurance</w:t>
      </w:r>
      <w:r>
        <w:rPr>
          <w:spacing w:val="-15"/>
        </w:rPr>
        <w:t xml:space="preserve"> </w:t>
      </w:r>
      <w:r>
        <w:t>Standards</w:t>
      </w:r>
      <w:r>
        <w:rPr>
          <w:spacing w:val="-14"/>
        </w:rPr>
        <w:t xml:space="preserve"> </w:t>
      </w:r>
      <w:r>
        <w:t>and</w:t>
      </w:r>
      <w:r>
        <w:rPr>
          <w:spacing w:val="-13"/>
        </w:rPr>
        <w:t xml:space="preserve"> </w:t>
      </w:r>
      <w:r>
        <w:t>that</w:t>
      </w:r>
      <w:r>
        <w:rPr>
          <w:spacing w:val="-13"/>
        </w:rPr>
        <w:t xml:space="preserve"> </w:t>
      </w:r>
      <w:r>
        <w:t>they remain</w:t>
      </w:r>
      <w:r>
        <w:rPr>
          <w:spacing w:val="-13"/>
        </w:rPr>
        <w:t xml:space="preserve"> </w:t>
      </w:r>
      <w:r>
        <w:t>liable</w:t>
      </w:r>
      <w:r>
        <w:rPr>
          <w:spacing w:val="-12"/>
        </w:rPr>
        <w:t xml:space="preserve"> </w:t>
      </w:r>
      <w:r>
        <w:t>for</w:t>
      </w:r>
      <w:r>
        <w:rPr>
          <w:spacing w:val="-12"/>
        </w:rPr>
        <w:t xml:space="preserve"> </w:t>
      </w:r>
      <w:r>
        <w:t>the</w:t>
      </w:r>
      <w:r>
        <w:rPr>
          <w:spacing w:val="-13"/>
        </w:rPr>
        <w:t xml:space="preserve"> </w:t>
      </w:r>
      <w:r>
        <w:t>amount</w:t>
      </w:r>
      <w:r>
        <w:rPr>
          <w:spacing w:val="-12"/>
        </w:rPr>
        <w:t xml:space="preserve"> </w:t>
      </w:r>
      <w:r>
        <w:t>of</w:t>
      </w:r>
      <w:r>
        <w:rPr>
          <w:spacing w:val="-12"/>
        </w:rPr>
        <w:t xml:space="preserve"> </w:t>
      </w:r>
      <w:r>
        <w:t>any</w:t>
      </w:r>
      <w:r>
        <w:rPr>
          <w:spacing w:val="-14"/>
        </w:rPr>
        <w:t xml:space="preserve"> </w:t>
      </w:r>
      <w:r>
        <w:t>difference</w:t>
      </w:r>
      <w:r>
        <w:rPr>
          <w:spacing w:val="-12"/>
        </w:rPr>
        <w:t xml:space="preserve"> </w:t>
      </w:r>
      <w:r>
        <w:t>between</w:t>
      </w:r>
      <w:r>
        <w:rPr>
          <w:spacing w:val="-12"/>
        </w:rPr>
        <w:t xml:space="preserve"> </w:t>
      </w:r>
      <w:r>
        <w:t>the</w:t>
      </w:r>
      <w:r>
        <w:rPr>
          <w:spacing w:val="-12"/>
        </w:rPr>
        <w:t xml:space="preserve"> </w:t>
      </w:r>
      <w:r>
        <w:t>amount</w:t>
      </w:r>
      <w:r>
        <w:rPr>
          <w:spacing w:val="-12"/>
        </w:rPr>
        <w:t xml:space="preserve"> </w:t>
      </w:r>
      <w:r>
        <w:t>payable</w:t>
      </w:r>
      <w:r>
        <w:rPr>
          <w:spacing w:val="-12"/>
        </w:rPr>
        <w:t xml:space="preserve"> </w:t>
      </w:r>
      <w:r>
        <w:t>to</w:t>
      </w:r>
      <w:r>
        <w:rPr>
          <w:spacing w:val="-15"/>
        </w:rPr>
        <w:t xml:space="preserve"> </w:t>
      </w:r>
      <w:r>
        <w:t>a</w:t>
      </w:r>
      <w:r>
        <w:rPr>
          <w:spacing w:val="-12"/>
        </w:rPr>
        <w:t xml:space="preserve"> </w:t>
      </w:r>
      <w:r>
        <w:t>plaintiff under the policy and the Monetary Ceiling</w:t>
      </w:r>
      <w:r>
        <w:rPr>
          <w:color w:val="FF0000"/>
        </w:rPr>
        <w:t>.</w:t>
      </w:r>
    </w:p>
    <w:p w14:paraId="75854C36" w14:textId="77777777" w:rsidR="0057052F" w:rsidRDefault="00EB20FF" w:rsidP="000252AB">
      <w:pPr>
        <w:pStyle w:val="ListParagraph"/>
        <w:numPr>
          <w:ilvl w:val="0"/>
          <w:numId w:val="5"/>
        </w:numPr>
        <w:tabs>
          <w:tab w:val="left" w:pos="830"/>
        </w:tabs>
        <w:spacing w:before="240" w:line="237" w:lineRule="auto"/>
        <w:ind w:left="830" w:right="124"/>
        <w:jc w:val="both"/>
      </w:pPr>
      <w:r>
        <w:t>The</w:t>
      </w:r>
      <w:r>
        <w:rPr>
          <w:spacing w:val="-4"/>
        </w:rPr>
        <w:t xml:space="preserve"> </w:t>
      </w:r>
      <w:r>
        <w:t>ACS</w:t>
      </w:r>
      <w:r>
        <w:rPr>
          <w:spacing w:val="-7"/>
        </w:rPr>
        <w:t xml:space="preserve"> </w:t>
      </w:r>
      <w:r>
        <w:t>has</w:t>
      </w:r>
      <w:r>
        <w:rPr>
          <w:spacing w:val="-3"/>
        </w:rPr>
        <w:t xml:space="preserve"> </w:t>
      </w:r>
      <w:r>
        <w:t>furnished</w:t>
      </w:r>
      <w:r>
        <w:rPr>
          <w:spacing w:val="-9"/>
        </w:rPr>
        <w:t xml:space="preserve"> </w:t>
      </w:r>
      <w:r>
        <w:t>the</w:t>
      </w:r>
      <w:r>
        <w:rPr>
          <w:spacing w:val="-4"/>
        </w:rPr>
        <w:t xml:space="preserve"> </w:t>
      </w:r>
      <w:r>
        <w:t>Council</w:t>
      </w:r>
      <w:r>
        <w:rPr>
          <w:spacing w:val="-5"/>
        </w:rPr>
        <w:t xml:space="preserve"> </w:t>
      </w:r>
      <w:r>
        <w:t>with</w:t>
      </w:r>
      <w:r>
        <w:rPr>
          <w:spacing w:val="-4"/>
        </w:rPr>
        <w:t xml:space="preserve"> </w:t>
      </w:r>
      <w:r>
        <w:t>details</w:t>
      </w:r>
      <w:r>
        <w:rPr>
          <w:spacing w:val="-5"/>
        </w:rPr>
        <w:t xml:space="preserve"> </w:t>
      </w:r>
      <w:r>
        <w:t>of</w:t>
      </w:r>
      <w:r>
        <w:rPr>
          <w:spacing w:val="-5"/>
        </w:rPr>
        <w:t xml:space="preserve"> </w:t>
      </w:r>
      <w:r>
        <w:t>its</w:t>
      </w:r>
      <w:r>
        <w:rPr>
          <w:spacing w:val="-3"/>
        </w:rPr>
        <w:t xml:space="preserve"> </w:t>
      </w:r>
      <w:r>
        <w:t>complaints</w:t>
      </w:r>
      <w:r>
        <w:rPr>
          <w:spacing w:val="-5"/>
        </w:rPr>
        <w:t xml:space="preserve"> </w:t>
      </w:r>
      <w:r>
        <w:t>system</w:t>
      </w:r>
      <w:r>
        <w:rPr>
          <w:spacing w:val="-6"/>
        </w:rPr>
        <w:t xml:space="preserve"> </w:t>
      </w:r>
      <w:r>
        <w:t>and</w:t>
      </w:r>
      <w:r>
        <w:rPr>
          <w:spacing w:val="-6"/>
        </w:rPr>
        <w:t xml:space="preserve"> </w:t>
      </w:r>
      <w:r>
        <w:t xml:space="preserve">discipline </w:t>
      </w:r>
      <w:r>
        <w:rPr>
          <w:spacing w:val="-2"/>
        </w:rPr>
        <w:t>system.</w:t>
      </w:r>
    </w:p>
    <w:p w14:paraId="74B6E009" w14:textId="77777777" w:rsidR="0057052F" w:rsidRDefault="00EB20FF" w:rsidP="000252AB">
      <w:pPr>
        <w:pStyle w:val="ListParagraph"/>
        <w:numPr>
          <w:ilvl w:val="0"/>
          <w:numId w:val="5"/>
        </w:numPr>
        <w:tabs>
          <w:tab w:val="left" w:pos="830"/>
        </w:tabs>
        <w:spacing w:before="240"/>
        <w:ind w:left="830" w:right="117"/>
        <w:jc w:val="both"/>
      </w:pPr>
      <w:r>
        <w:t>The ACS and the Participating</w:t>
      </w:r>
      <w:r>
        <w:rPr>
          <w:spacing w:val="-1"/>
        </w:rPr>
        <w:t xml:space="preserve"> </w:t>
      </w:r>
      <w:r>
        <w:t>Members have undertaken</w:t>
      </w:r>
      <w:r>
        <w:rPr>
          <w:spacing w:val="-1"/>
        </w:rPr>
        <w:t xml:space="preserve"> </w:t>
      </w:r>
      <w:r>
        <w:t>to comply with all reporting obligations associated with the Scheme, in furtherance of the statutory objects of improvement of the occupational standards of its Members, and protection of the consumers of the Members’ services.</w:t>
      </w:r>
    </w:p>
    <w:p w14:paraId="5561E138" w14:textId="77777777" w:rsidR="0057052F" w:rsidRDefault="00EB20FF" w:rsidP="000252AB">
      <w:pPr>
        <w:pStyle w:val="ListParagraph"/>
        <w:numPr>
          <w:ilvl w:val="0"/>
          <w:numId w:val="5"/>
        </w:numPr>
        <w:tabs>
          <w:tab w:val="left" w:pos="832"/>
        </w:tabs>
        <w:spacing w:before="240"/>
        <w:ind w:right="119"/>
        <w:jc w:val="both"/>
      </w:pPr>
      <w:r>
        <w:t xml:space="preserve">The ACS has undertaken to remit all fees payable under the </w:t>
      </w:r>
      <w:r>
        <w:rPr>
          <w:i/>
        </w:rPr>
        <w:t xml:space="preserve">Professional Standards Regulation 2019 </w:t>
      </w:r>
      <w:r>
        <w:t>(NSW) to the Council as and when these become due.</w:t>
      </w:r>
    </w:p>
    <w:p w14:paraId="48B9006C" w14:textId="13408916" w:rsidR="0057052F" w:rsidRDefault="00EB20FF" w:rsidP="000252AB">
      <w:pPr>
        <w:pStyle w:val="ListParagraph"/>
        <w:numPr>
          <w:ilvl w:val="0"/>
          <w:numId w:val="5"/>
        </w:numPr>
        <w:tabs>
          <w:tab w:val="left" w:pos="830"/>
        </w:tabs>
        <w:spacing w:before="240" w:line="252" w:lineRule="exact"/>
        <w:ind w:hanging="358"/>
      </w:pPr>
      <w:r>
        <w:t>The</w:t>
      </w:r>
      <w:r w:rsidRPr="000252AB">
        <w:rPr>
          <w:spacing w:val="-10"/>
        </w:rPr>
        <w:t xml:space="preserve"> </w:t>
      </w:r>
      <w:r>
        <w:t>Scheme</w:t>
      </w:r>
      <w:r w:rsidRPr="000252AB">
        <w:rPr>
          <w:spacing w:val="-13"/>
        </w:rPr>
        <w:t xml:space="preserve"> </w:t>
      </w:r>
      <w:r>
        <w:t>is</w:t>
      </w:r>
      <w:r w:rsidRPr="000252AB">
        <w:rPr>
          <w:spacing w:val="-12"/>
        </w:rPr>
        <w:t xml:space="preserve"> </w:t>
      </w:r>
      <w:r>
        <w:t>intended</w:t>
      </w:r>
      <w:r w:rsidRPr="000252AB">
        <w:rPr>
          <w:spacing w:val="-16"/>
        </w:rPr>
        <w:t xml:space="preserve"> </w:t>
      </w:r>
      <w:r>
        <w:t>to</w:t>
      </w:r>
      <w:r w:rsidRPr="000252AB">
        <w:rPr>
          <w:spacing w:val="-11"/>
        </w:rPr>
        <w:t xml:space="preserve"> </w:t>
      </w:r>
      <w:r>
        <w:t>commence</w:t>
      </w:r>
      <w:r w:rsidRPr="000252AB">
        <w:rPr>
          <w:spacing w:val="-11"/>
        </w:rPr>
        <w:t xml:space="preserve"> </w:t>
      </w:r>
      <w:r>
        <w:t>on</w:t>
      </w:r>
      <w:r w:rsidRPr="000252AB">
        <w:rPr>
          <w:spacing w:val="-13"/>
        </w:rPr>
        <w:t xml:space="preserve"> </w:t>
      </w:r>
      <w:r>
        <w:t>1st</w:t>
      </w:r>
      <w:r w:rsidRPr="000252AB">
        <w:rPr>
          <w:spacing w:val="-10"/>
        </w:rPr>
        <w:t xml:space="preserve"> </w:t>
      </w:r>
      <w:r>
        <w:t>January</w:t>
      </w:r>
      <w:r w:rsidRPr="000252AB">
        <w:rPr>
          <w:spacing w:val="-12"/>
        </w:rPr>
        <w:t xml:space="preserve"> </w:t>
      </w:r>
      <w:r>
        <w:t>2025</w:t>
      </w:r>
      <w:r w:rsidRPr="000252AB">
        <w:rPr>
          <w:spacing w:val="-10"/>
        </w:rPr>
        <w:t xml:space="preserve"> </w:t>
      </w:r>
      <w:r>
        <w:t>and</w:t>
      </w:r>
      <w:r w:rsidRPr="000252AB">
        <w:rPr>
          <w:spacing w:val="-15"/>
        </w:rPr>
        <w:t xml:space="preserve"> </w:t>
      </w:r>
      <w:r>
        <w:t>remain</w:t>
      </w:r>
      <w:r w:rsidRPr="000252AB">
        <w:rPr>
          <w:spacing w:val="-13"/>
        </w:rPr>
        <w:t xml:space="preserve"> </w:t>
      </w:r>
      <w:r>
        <w:t>in</w:t>
      </w:r>
      <w:r w:rsidRPr="000252AB">
        <w:rPr>
          <w:spacing w:val="-13"/>
        </w:rPr>
        <w:t xml:space="preserve"> </w:t>
      </w:r>
      <w:r>
        <w:t>force</w:t>
      </w:r>
      <w:r w:rsidRPr="000252AB">
        <w:rPr>
          <w:spacing w:val="-15"/>
        </w:rPr>
        <w:t xml:space="preserve"> </w:t>
      </w:r>
      <w:r>
        <w:t>for</w:t>
      </w:r>
      <w:r w:rsidRPr="000252AB">
        <w:rPr>
          <w:spacing w:val="-12"/>
        </w:rPr>
        <w:t xml:space="preserve"> </w:t>
      </w:r>
      <w:r w:rsidRPr="000252AB">
        <w:rPr>
          <w:spacing w:val="-4"/>
        </w:rPr>
        <w:t>five</w:t>
      </w:r>
      <w:r w:rsidR="000252AB" w:rsidRPr="000252AB">
        <w:rPr>
          <w:spacing w:val="-4"/>
        </w:rPr>
        <w:t xml:space="preserve"> </w:t>
      </w:r>
      <w:r>
        <w:t>(5) years from its commencement unless, prior to</w:t>
      </w:r>
      <w:r w:rsidRPr="000252AB">
        <w:rPr>
          <w:spacing w:val="-3"/>
        </w:rPr>
        <w:t xml:space="preserve"> </w:t>
      </w:r>
      <w:r>
        <w:t>that</w:t>
      </w:r>
      <w:r w:rsidRPr="000252AB">
        <w:rPr>
          <w:spacing w:val="-1"/>
        </w:rPr>
        <w:t xml:space="preserve"> </w:t>
      </w:r>
      <w:r>
        <w:t>time, it is</w:t>
      </w:r>
      <w:r w:rsidRPr="000252AB">
        <w:rPr>
          <w:spacing w:val="-2"/>
        </w:rPr>
        <w:t xml:space="preserve"> </w:t>
      </w:r>
      <w:r>
        <w:t>revoked,</w:t>
      </w:r>
      <w:r w:rsidRPr="000252AB">
        <w:rPr>
          <w:spacing w:val="-1"/>
        </w:rPr>
        <w:t xml:space="preserve"> </w:t>
      </w:r>
      <w:r>
        <w:t>its operation ceases, or it is extended.</w:t>
      </w:r>
    </w:p>
    <w:p w14:paraId="7235CF71" w14:textId="77777777" w:rsidR="0057052F" w:rsidRDefault="00EB20FF" w:rsidP="000252AB">
      <w:pPr>
        <w:pStyle w:val="ListParagraph"/>
        <w:numPr>
          <w:ilvl w:val="0"/>
          <w:numId w:val="5"/>
        </w:numPr>
        <w:tabs>
          <w:tab w:val="left" w:pos="830"/>
          <w:tab w:val="left" w:pos="832"/>
        </w:tabs>
        <w:spacing w:before="240"/>
        <w:ind w:right="116"/>
        <w:jc w:val="both"/>
      </w:pPr>
      <w:r>
        <w:t>Sections</w:t>
      </w:r>
      <w:r>
        <w:rPr>
          <w:spacing w:val="-13"/>
        </w:rPr>
        <w:t xml:space="preserve"> </w:t>
      </w:r>
      <w:r>
        <w:t>12GNA(2)</w:t>
      </w:r>
      <w:r>
        <w:rPr>
          <w:spacing w:val="-16"/>
        </w:rPr>
        <w:t xml:space="preserve"> </w:t>
      </w:r>
      <w:r>
        <w:t>of</w:t>
      </w:r>
      <w:r>
        <w:rPr>
          <w:spacing w:val="-12"/>
        </w:rPr>
        <w:t xml:space="preserve"> </w:t>
      </w:r>
      <w:r>
        <w:t>the</w:t>
      </w:r>
      <w:r>
        <w:rPr>
          <w:spacing w:val="-11"/>
        </w:rPr>
        <w:t xml:space="preserve"> </w:t>
      </w:r>
      <w:r>
        <w:rPr>
          <w:i/>
        </w:rPr>
        <w:t>Australian</w:t>
      </w:r>
      <w:r>
        <w:rPr>
          <w:i/>
          <w:spacing w:val="-13"/>
        </w:rPr>
        <w:t xml:space="preserve"> </w:t>
      </w:r>
      <w:r>
        <w:rPr>
          <w:i/>
        </w:rPr>
        <w:t>Securities</w:t>
      </w:r>
      <w:r>
        <w:rPr>
          <w:i/>
          <w:spacing w:val="-12"/>
        </w:rPr>
        <w:t xml:space="preserve"> </w:t>
      </w:r>
      <w:r>
        <w:rPr>
          <w:i/>
        </w:rPr>
        <w:t>and</w:t>
      </w:r>
      <w:r>
        <w:rPr>
          <w:i/>
          <w:spacing w:val="-13"/>
        </w:rPr>
        <w:t xml:space="preserve"> </w:t>
      </w:r>
      <w:r>
        <w:rPr>
          <w:i/>
        </w:rPr>
        <w:t>Investments</w:t>
      </w:r>
      <w:r>
        <w:rPr>
          <w:i/>
          <w:spacing w:val="-14"/>
        </w:rPr>
        <w:t xml:space="preserve"> </w:t>
      </w:r>
      <w:r>
        <w:rPr>
          <w:i/>
        </w:rPr>
        <w:t>Commission</w:t>
      </w:r>
      <w:r>
        <w:rPr>
          <w:i/>
          <w:spacing w:val="-13"/>
        </w:rPr>
        <w:t xml:space="preserve"> </w:t>
      </w:r>
      <w:r>
        <w:rPr>
          <w:i/>
        </w:rPr>
        <w:t>Act</w:t>
      </w:r>
      <w:r>
        <w:rPr>
          <w:i/>
          <w:spacing w:val="-13"/>
        </w:rPr>
        <w:t xml:space="preserve"> </w:t>
      </w:r>
      <w:r>
        <w:rPr>
          <w:i/>
        </w:rPr>
        <w:t xml:space="preserve">2001 </w:t>
      </w:r>
      <w:r>
        <w:t xml:space="preserve">(Cth), 137(2) of the </w:t>
      </w:r>
      <w:r>
        <w:rPr>
          <w:i/>
        </w:rPr>
        <w:t xml:space="preserve">Competition and Consumer Act 2010 </w:t>
      </w:r>
      <w:r>
        <w:t xml:space="preserve">(Cth), and 1044B(2) of the </w:t>
      </w:r>
      <w:r>
        <w:rPr>
          <w:i/>
        </w:rPr>
        <w:t>Corporations</w:t>
      </w:r>
      <w:r>
        <w:rPr>
          <w:i/>
          <w:spacing w:val="-6"/>
        </w:rPr>
        <w:t xml:space="preserve"> </w:t>
      </w:r>
      <w:r>
        <w:rPr>
          <w:i/>
        </w:rPr>
        <w:t>Act</w:t>
      </w:r>
      <w:r>
        <w:rPr>
          <w:i/>
          <w:spacing w:val="-3"/>
        </w:rPr>
        <w:t xml:space="preserve"> </w:t>
      </w:r>
      <w:r>
        <w:rPr>
          <w:i/>
        </w:rPr>
        <w:t>2001</w:t>
      </w:r>
      <w:r>
        <w:rPr>
          <w:i/>
          <w:spacing w:val="-8"/>
        </w:rPr>
        <w:t xml:space="preserve"> </w:t>
      </w:r>
      <w:r>
        <w:t>(Cth)</w:t>
      </w:r>
      <w:r>
        <w:rPr>
          <w:spacing w:val="-4"/>
        </w:rPr>
        <w:t xml:space="preserve"> </w:t>
      </w:r>
      <w:r>
        <w:t>provide</w:t>
      </w:r>
      <w:r>
        <w:rPr>
          <w:spacing w:val="-7"/>
        </w:rPr>
        <w:t xml:space="preserve"> </w:t>
      </w:r>
      <w:r>
        <w:t>for</w:t>
      </w:r>
      <w:r>
        <w:rPr>
          <w:spacing w:val="-4"/>
        </w:rPr>
        <w:t xml:space="preserve"> </w:t>
      </w:r>
      <w:r>
        <w:t>limited</w:t>
      </w:r>
      <w:r>
        <w:rPr>
          <w:spacing w:val="-7"/>
        </w:rPr>
        <w:t xml:space="preserve"> </w:t>
      </w:r>
      <w:r>
        <w:t>liability</w:t>
      </w:r>
      <w:r>
        <w:rPr>
          <w:spacing w:val="-6"/>
        </w:rPr>
        <w:t xml:space="preserve"> </w:t>
      </w:r>
      <w:r>
        <w:t>where</w:t>
      </w:r>
      <w:r>
        <w:rPr>
          <w:spacing w:val="-5"/>
        </w:rPr>
        <w:t xml:space="preserve"> </w:t>
      </w:r>
      <w:r>
        <w:t>a</w:t>
      </w:r>
      <w:r>
        <w:rPr>
          <w:spacing w:val="-7"/>
        </w:rPr>
        <w:t xml:space="preserve"> </w:t>
      </w:r>
      <w:r>
        <w:t>professional</w:t>
      </w:r>
      <w:r>
        <w:rPr>
          <w:spacing w:val="-6"/>
        </w:rPr>
        <w:t xml:space="preserve"> </w:t>
      </w:r>
      <w:r>
        <w:t>standards scheme is prescribed in the relevant regulation.</w:t>
      </w:r>
    </w:p>
    <w:p w14:paraId="09BE7D58" w14:textId="0FF5F81E" w:rsidR="0057052F" w:rsidRDefault="00EB20FF" w:rsidP="000252AB">
      <w:pPr>
        <w:pStyle w:val="Heading1"/>
        <w:spacing w:before="240"/>
      </w:pPr>
      <w:r>
        <w:lastRenderedPageBreak/>
        <w:t>THE</w:t>
      </w:r>
      <w:r>
        <w:rPr>
          <w:spacing w:val="-2"/>
        </w:rPr>
        <w:t xml:space="preserve"> SCHEME</w:t>
      </w:r>
    </w:p>
    <w:p w14:paraId="571642D3" w14:textId="77777777" w:rsidR="0057052F" w:rsidRDefault="00EB20FF" w:rsidP="000252AB">
      <w:pPr>
        <w:pStyle w:val="Heading2"/>
        <w:numPr>
          <w:ilvl w:val="0"/>
          <w:numId w:val="4"/>
        </w:numPr>
        <w:tabs>
          <w:tab w:val="left" w:pos="832"/>
        </w:tabs>
        <w:spacing w:before="280"/>
        <w:ind w:left="833"/>
      </w:pPr>
      <w:r>
        <w:t>Occupational</w:t>
      </w:r>
      <w:r>
        <w:rPr>
          <w:spacing w:val="-10"/>
        </w:rPr>
        <w:t xml:space="preserve"> </w:t>
      </w:r>
      <w:r>
        <w:rPr>
          <w:spacing w:val="-2"/>
        </w:rPr>
        <w:t>association</w:t>
      </w:r>
    </w:p>
    <w:p w14:paraId="0C0E902B" w14:textId="77777777" w:rsidR="0057052F" w:rsidRDefault="00EB20FF" w:rsidP="000252AB">
      <w:pPr>
        <w:pStyle w:val="ListParagraph"/>
        <w:numPr>
          <w:ilvl w:val="1"/>
          <w:numId w:val="4"/>
        </w:numPr>
        <w:tabs>
          <w:tab w:val="left" w:pos="832"/>
        </w:tabs>
        <w:spacing w:before="240"/>
        <w:ind w:left="833"/>
      </w:pPr>
      <w:r>
        <w:t>The Scheme is a scheme under the Act prepared by the ACS whose national office</w:t>
      </w:r>
      <w:r>
        <w:rPr>
          <w:spacing w:val="40"/>
        </w:rPr>
        <w:t xml:space="preserve"> </w:t>
      </w:r>
      <w:r>
        <w:t>address is:</w:t>
      </w:r>
    </w:p>
    <w:p w14:paraId="6EA14481" w14:textId="43AE790A" w:rsidR="0057052F" w:rsidRDefault="00EB20FF" w:rsidP="000252AB">
      <w:pPr>
        <w:pStyle w:val="BodyText"/>
        <w:spacing w:before="240"/>
        <w:ind w:left="1548"/>
      </w:pPr>
      <w:r>
        <w:t>Tower</w:t>
      </w:r>
      <w:r>
        <w:rPr>
          <w:spacing w:val="-12"/>
        </w:rPr>
        <w:t xml:space="preserve"> </w:t>
      </w:r>
      <w:r>
        <w:t>One,</w:t>
      </w:r>
      <w:r>
        <w:rPr>
          <w:spacing w:val="-12"/>
        </w:rPr>
        <w:t xml:space="preserve"> </w:t>
      </w:r>
      <w:r>
        <w:t>International</w:t>
      </w:r>
      <w:r>
        <w:rPr>
          <w:spacing w:val="-12"/>
        </w:rPr>
        <w:t xml:space="preserve"> </w:t>
      </w:r>
      <w:r>
        <w:t>Towers</w:t>
      </w:r>
      <w:r w:rsidR="000252AB">
        <w:br/>
      </w:r>
      <w:r>
        <w:t>100 Barangaroo Ave</w:t>
      </w:r>
      <w:r w:rsidR="000252AB">
        <w:br/>
      </w:r>
      <w:r>
        <w:t>Sydney,</w:t>
      </w:r>
      <w:r>
        <w:rPr>
          <w:spacing w:val="-5"/>
        </w:rPr>
        <w:t xml:space="preserve"> </w:t>
      </w:r>
      <w:r>
        <w:t>NSW</w:t>
      </w:r>
      <w:r>
        <w:rPr>
          <w:spacing w:val="-4"/>
        </w:rPr>
        <w:t xml:space="preserve"> 2000</w:t>
      </w:r>
    </w:p>
    <w:p w14:paraId="67BD9FAF" w14:textId="77777777" w:rsidR="0057052F" w:rsidRDefault="00EB20FF" w:rsidP="000252AB">
      <w:pPr>
        <w:pStyle w:val="Heading2"/>
        <w:numPr>
          <w:ilvl w:val="0"/>
          <w:numId w:val="4"/>
        </w:numPr>
        <w:tabs>
          <w:tab w:val="left" w:pos="832"/>
        </w:tabs>
        <w:spacing w:before="280"/>
        <w:ind w:left="833"/>
      </w:pPr>
      <w:r>
        <w:t>Persons</w:t>
      </w:r>
      <w:r>
        <w:rPr>
          <w:spacing w:val="-3"/>
        </w:rPr>
        <w:t xml:space="preserve"> </w:t>
      </w:r>
      <w:r>
        <w:t>to</w:t>
      </w:r>
      <w:r>
        <w:rPr>
          <w:spacing w:val="-5"/>
        </w:rPr>
        <w:t xml:space="preserve"> </w:t>
      </w:r>
      <w:r>
        <w:t>Whom</w:t>
      </w:r>
      <w:r>
        <w:rPr>
          <w:spacing w:val="-6"/>
        </w:rPr>
        <w:t xml:space="preserve"> </w:t>
      </w:r>
      <w:r>
        <w:t>the</w:t>
      </w:r>
      <w:r>
        <w:rPr>
          <w:spacing w:val="-6"/>
        </w:rPr>
        <w:t xml:space="preserve"> </w:t>
      </w:r>
      <w:r>
        <w:t>Scheme</w:t>
      </w:r>
      <w:r>
        <w:rPr>
          <w:spacing w:val="-4"/>
        </w:rPr>
        <w:t xml:space="preserve"> </w:t>
      </w:r>
      <w:r>
        <w:rPr>
          <w:spacing w:val="-2"/>
        </w:rPr>
        <w:t>Applies</w:t>
      </w:r>
    </w:p>
    <w:p w14:paraId="5DD1D3B7" w14:textId="77777777" w:rsidR="0057052F" w:rsidRDefault="00EB20FF" w:rsidP="000252AB">
      <w:pPr>
        <w:pStyle w:val="ListParagraph"/>
        <w:numPr>
          <w:ilvl w:val="1"/>
          <w:numId w:val="4"/>
        </w:numPr>
        <w:tabs>
          <w:tab w:val="left" w:pos="832"/>
        </w:tabs>
        <w:spacing w:before="260"/>
      </w:pPr>
      <w:r>
        <w:t>The</w:t>
      </w:r>
      <w:r>
        <w:rPr>
          <w:spacing w:val="-5"/>
        </w:rPr>
        <w:t xml:space="preserve"> </w:t>
      </w:r>
      <w:r>
        <w:t>Scheme</w:t>
      </w:r>
      <w:r>
        <w:rPr>
          <w:spacing w:val="-6"/>
        </w:rPr>
        <w:t xml:space="preserve"> </w:t>
      </w:r>
      <w:r>
        <w:t>applies</w:t>
      </w:r>
      <w:r>
        <w:rPr>
          <w:spacing w:val="-5"/>
        </w:rPr>
        <w:t xml:space="preserve"> to:</w:t>
      </w:r>
    </w:p>
    <w:p w14:paraId="733F6D79" w14:textId="77777777" w:rsidR="0057052F" w:rsidRDefault="00EB20FF" w:rsidP="000252AB">
      <w:pPr>
        <w:pStyle w:val="ListParagraph"/>
        <w:numPr>
          <w:ilvl w:val="2"/>
          <w:numId w:val="4"/>
        </w:numPr>
        <w:tabs>
          <w:tab w:val="left" w:pos="1553"/>
        </w:tabs>
        <w:spacing w:before="260"/>
        <w:ind w:hanging="733"/>
      </w:pPr>
      <w:r>
        <w:t>all</w:t>
      </w:r>
      <w:r>
        <w:rPr>
          <w:spacing w:val="-8"/>
        </w:rPr>
        <w:t xml:space="preserve"> </w:t>
      </w:r>
      <w:r>
        <w:t>Participating</w:t>
      </w:r>
      <w:r>
        <w:rPr>
          <w:spacing w:val="-8"/>
        </w:rPr>
        <w:t xml:space="preserve"> </w:t>
      </w:r>
      <w:r>
        <w:t>Members;</w:t>
      </w:r>
      <w:r>
        <w:rPr>
          <w:spacing w:val="-6"/>
        </w:rPr>
        <w:t xml:space="preserve"> </w:t>
      </w:r>
      <w:r>
        <w:rPr>
          <w:spacing w:val="-5"/>
        </w:rPr>
        <w:t>and</w:t>
      </w:r>
    </w:p>
    <w:p w14:paraId="38C7D93A" w14:textId="77777777" w:rsidR="0057052F" w:rsidRDefault="00EB20FF" w:rsidP="000252AB">
      <w:pPr>
        <w:pStyle w:val="ListParagraph"/>
        <w:numPr>
          <w:ilvl w:val="2"/>
          <w:numId w:val="4"/>
        </w:numPr>
        <w:tabs>
          <w:tab w:val="left" w:pos="1531"/>
        </w:tabs>
        <w:spacing w:before="260" w:line="238" w:lineRule="auto"/>
        <w:ind w:left="1531" w:hanging="709"/>
      </w:pPr>
      <w:r>
        <w:t>persons</w:t>
      </w:r>
      <w:r>
        <w:rPr>
          <w:spacing w:val="-8"/>
        </w:rPr>
        <w:t xml:space="preserve"> </w:t>
      </w:r>
      <w:r>
        <w:t>to</w:t>
      </w:r>
      <w:r>
        <w:rPr>
          <w:spacing w:val="-5"/>
        </w:rPr>
        <w:t xml:space="preserve"> </w:t>
      </w:r>
      <w:r>
        <w:t>whom</w:t>
      </w:r>
      <w:r>
        <w:rPr>
          <w:spacing w:val="-9"/>
        </w:rPr>
        <w:t xml:space="preserve"> </w:t>
      </w:r>
      <w:r>
        <w:t>the</w:t>
      </w:r>
      <w:r>
        <w:rPr>
          <w:spacing w:val="-10"/>
        </w:rPr>
        <w:t xml:space="preserve"> </w:t>
      </w:r>
      <w:r>
        <w:t>Scheme</w:t>
      </w:r>
      <w:r>
        <w:rPr>
          <w:spacing w:val="-5"/>
        </w:rPr>
        <w:t xml:space="preserve"> </w:t>
      </w:r>
      <w:r>
        <w:t>applies</w:t>
      </w:r>
      <w:r>
        <w:rPr>
          <w:spacing w:val="-6"/>
        </w:rPr>
        <w:t xml:space="preserve"> </w:t>
      </w:r>
      <w:r>
        <w:t>pursuant</w:t>
      </w:r>
      <w:r>
        <w:rPr>
          <w:spacing w:val="-8"/>
        </w:rPr>
        <w:t xml:space="preserve"> </w:t>
      </w:r>
      <w:r>
        <w:t>to</w:t>
      </w:r>
      <w:r>
        <w:rPr>
          <w:spacing w:val="-8"/>
        </w:rPr>
        <w:t xml:space="preserve"> </w:t>
      </w:r>
      <w:r>
        <w:t>sections</w:t>
      </w:r>
      <w:r>
        <w:rPr>
          <w:spacing w:val="-8"/>
        </w:rPr>
        <w:t xml:space="preserve"> </w:t>
      </w:r>
      <w:r>
        <w:t>18,</w:t>
      </w:r>
      <w:r>
        <w:rPr>
          <w:spacing w:val="-8"/>
        </w:rPr>
        <w:t xml:space="preserve"> </w:t>
      </w:r>
      <w:r>
        <w:t>19,</w:t>
      </w:r>
      <w:r>
        <w:rPr>
          <w:spacing w:val="-8"/>
        </w:rPr>
        <w:t xml:space="preserve"> </w:t>
      </w:r>
      <w:r>
        <w:t>or</w:t>
      </w:r>
      <w:r>
        <w:rPr>
          <w:spacing w:val="-11"/>
        </w:rPr>
        <w:t xml:space="preserve"> </w:t>
      </w:r>
      <w:r>
        <w:t>20</w:t>
      </w:r>
      <w:r>
        <w:rPr>
          <w:spacing w:val="-8"/>
        </w:rPr>
        <w:t xml:space="preserve"> </w:t>
      </w:r>
      <w:r>
        <w:t>of</w:t>
      </w:r>
      <w:r>
        <w:rPr>
          <w:spacing w:val="-8"/>
        </w:rPr>
        <w:t xml:space="preserve"> </w:t>
      </w:r>
      <w:r>
        <w:t xml:space="preserve">the </w:t>
      </w:r>
      <w:r>
        <w:rPr>
          <w:spacing w:val="-4"/>
        </w:rPr>
        <w:t>Act.</w:t>
      </w:r>
    </w:p>
    <w:p w14:paraId="2ACB68C2" w14:textId="77777777" w:rsidR="0057052F" w:rsidRDefault="00EB20FF" w:rsidP="000252AB">
      <w:pPr>
        <w:pStyle w:val="ListParagraph"/>
        <w:numPr>
          <w:ilvl w:val="1"/>
          <w:numId w:val="4"/>
        </w:numPr>
        <w:tabs>
          <w:tab w:val="left" w:pos="832"/>
        </w:tabs>
        <w:spacing w:before="260"/>
      </w:pPr>
      <w:r>
        <w:t>The</w:t>
      </w:r>
      <w:r>
        <w:rPr>
          <w:spacing w:val="-5"/>
        </w:rPr>
        <w:t xml:space="preserve"> </w:t>
      </w:r>
      <w:r>
        <w:t>Scheme</w:t>
      </w:r>
      <w:r>
        <w:rPr>
          <w:spacing w:val="-10"/>
        </w:rPr>
        <w:t xml:space="preserve"> </w:t>
      </w:r>
      <w:r>
        <w:t>also</w:t>
      </w:r>
      <w:r>
        <w:rPr>
          <w:spacing w:val="-5"/>
        </w:rPr>
        <w:t xml:space="preserve"> </w:t>
      </w:r>
      <w:r>
        <w:t>applies</w:t>
      </w:r>
      <w:r>
        <w:rPr>
          <w:spacing w:val="-8"/>
        </w:rPr>
        <w:t xml:space="preserve"> </w:t>
      </w:r>
      <w:r>
        <w:t>to</w:t>
      </w:r>
      <w:r>
        <w:rPr>
          <w:spacing w:val="-8"/>
        </w:rPr>
        <w:t xml:space="preserve"> </w:t>
      </w:r>
      <w:r>
        <w:t>all</w:t>
      </w:r>
      <w:r>
        <w:rPr>
          <w:spacing w:val="-7"/>
        </w:rPr>
        <w:t xml:space="preserve"> </w:t>
      </w:r>
      <w:r>
        <w:t>persons</w:t>
      </w:r>
      <w:r>
        <w:rPr>
          <w:spacing w:val="-6"/>
        </w:rPr>
        <w:t xml:space="preserve"> </w:t>
      </w:r>
      <w:r>
        <w:t>who</w:t>
      </w:r>
      <w:r>
        <w:rPr>
          <w:spacing w:val="-8"/>
        </w:rPr>
        <w:t xml:space="preserve"> </w:t>
      </w:r>
      <w:r>
        <w:t>were</w:t>
      </w:r>
      <w:r>
        <w:rPr>
          <w:spacing w:val="-12"/>
        </w:rPr>
        <w:t xml:space="preserve"> </w:t>
      </w:r>
      <w:r>
        <w:t>Participating</w:t>
      </w:r>
      <w:r>
        <w:rPr>
          <w:spacing w:val="-10"/>
        </w:rPr>
        <w:t xml:space="preserve"> </w:t>
      </w:r>
      <w:r>
        <w:t>Members</w:t>
      </w:r>
      <w:r>
        <w:rPr>
          <w:spacing w:val="-8"/>
        </w:rPr>
        <w:t xml:space="preserve"> </w:t>
      </w:r>
      <w:r>
        <w:t>at</w:t>
      </w:r>
      <w:r>
        <w:rPr>
          <w:spacing w:val="-8"/>
        </w:rPr>
        <w:t xml:space="preserve"> </w:t>
      </w:r>
      <w:r>
        <w:t>the</w:t>
      </w:r>
      <w:r>
        <w:rPr>
          <w:spacing w:val="-10"/>
        </w:rPr>
        <w:t xml:space="preserve"> </w:t>
      </w:r>
      <w:r>
        <w:t>time</w:t>
      </w:r>
      <w:r>
        <w:rPr>
          <w:spacing w:val="-8"/>
        </w:rPr>
        <w:t xml:space="preserve"> </w:t>
      </w:r>
      <w:r>
        <w:t>of any act or omission giving rise to Occupational Liability.</w:t>
      </w:r>
    </w:p>
    <w:p w14:paraId="0EDE445A" w14:textId="77777777" w:rsidR="0057052F" w:rsidRDefault="00EB20FF" w:rsidP="000252AB">
      <w:pPr>
        <w:pStyle w:val="ListParagraph"/>
        <w:numPr>
          <w:ilvl w:val="1"/>
          <w:numId w:val="4"/>
        </w:numPr>
        <w:tabs>
          <w:tab w:val="left" w:pos="829"/>
          <w:tab w:val="left" w:pos="832"/>
        </w:tabs>
        <w:spacing w:before="260"/>
        <w:ind w:right="116"/>
      </w:pPr>
      <w:r>
        <w:t>The ACS may, on application by a person</w:t>
      </w:r>
      <w:r>
        <w:rPr>
          <w:spacing w:val="-2"/>
        </w:rPr>
        <w:t xml:space="preserve"> </w:t>
      </w:r>
      <w:r>
        <w:t>to whom the Scheme</w:t>
      </w:r>
      <w:r>
        <w:rPr>
          <w:spacing w:val="-2"/>
        </w:rPr>
        <w:t xml:space="preserve"> </w:t>
      </w:r>
      <w:r>
        <w:t>would</w:t>
      </w:r>
      <w:r>
        <w:rPr>
          <w:spacing w:val="-2"/>
        </w:rPr>
        <w:t xml:space="preserve"> </w:t>
      </w:r>
      <w:r>
        <w:t>otherwise apply</w:t>
      </w:r>
      <w:r>
        <w:rPr>
          <w:spacing w:val="-4"/>
        </w:rPr>
        <w:t xml:space="preserve"> </w:t>
      </w:r>
      <w:r>
        <w:t>under</w:t>
      </w:r>
      <w:r>
        <w:rPr>
          <w:spacing w:val="-2"/>
        </w:rPr>
        <w:t xml:space="preserve"> </w:t>
      </w:r>
      <w:r>
        <w:t>clause</w:t>
      </w:r>
      <w:r>
        <w:rPr>
          <w:spacing w:val="-1"/>
        </w:rPr>
        <w:t xml:space="preserve"> </w:t>
      </w:r>
      <w:r>
        <w:t>2.1,</w:t>
      </w:r>
      <w:r>
        <w:rPr>
          <w:spacing w:val="-4"/>
        </w:rPr>
        <w:t xml:space="preserve"> </w:t>
      </w:r>
      <w:r>
        <w:t>exempt</w:t>
      </w:r>
      <w:r>
        <w:rPr>
          <w:spacing w:val="-4"/>
        </w:rPr>
        <w:t xml:space="preserve"> </w:t>
      </w:r>
      <w:r>
        <w:t>that</w:t>
      </w:r>
      <w:r>
        <w:rPr>
          <w:spacing w:val="-4"/>
        </w:rPr>
        <w:t xml:space="preserve"> </w:t>
      </w:r>
      <w:r>
        <w:t>person</w:t>
      </w:r>
      <w:r>
        <w:rPr>
          <w:spacing w:val="-3"/>
        </w:rPr>
        <w:t xml:space="preserve"> </w:t>
      </w:r>
      <w:r>
        <w:t>from</w:t>
      </w:r>
      <w:r>
        <w:rPr>
          <w:spacing w:val="-5"/>
        </w:rPr>
        <w:t xml:space="preserve"> </w:t>
      </w:r>
      <w:r>
        <w:t>the</w:t>
      </w:r>
      <w:r>
        <w:rPr>
          <w:spacing w:val="-1"/>
        </w:rPr>
        <w:t xml:space="preserve"> </w:t>
      </w:r>
      <w:r>
        <w:t>Scheme with</w:t>
      </w:r>
      <w:r>
        <w:rPr>
          <w:spacing w:val="-5"/>
        </w:rPr>
        <w:t xml:space="preserve"> </w:t>
      </w:r>
      <w:r>
        <w:t>effect</w:t>
      </w:r>
      <w:r>
        <w:rPr>
          <w:spacing w:val="-6"/>
        </w:rPr>
        <w:t xml:space="preserve"> </w:t>
      </w:r>
      <w:r>
        <w:t>from</w:t>
      </w:r>
      <w:r>
        <w:rPr>
          <w:spacing w:val="-2"/>
        </w:rPr>
        <w:t xml:space="preserve"> </w:t>
      </w:r>
      <w:r>
        <w:t>the date specified by the ACS.</w:t>
      </w:r>
    </w:p>
    <w:p w14:paraId="5959C78A" w14:textId="77777777" w:rsidR="0057052F" w:rsidRDefault="00EB20FF" w:rsidP="000252AB">
      <w:pPr>
        <w:pStyle w:val="ListParagraph"/>
        <w:numPr>
          <w:ilvl w:val="1"/>
          <w:numId w:val="4"/>
        </w:numPr>
        <w:tabs>
          <w:tab w:val="left" w:pos="830"/>
        </w:tabs>
        <w:spacing w:before="260"/>
        <w:ind w:left="830" w:hanging="718"/>
      </w:pPr>
      <w:r>
        <w:t>The ACS may, upon application by a person exempted from the Scheme under clause</w:t>
      </w:r>
      <w:r>
        <w:rPr>
          <w:spacing w:val="-4"/>
        </w:rPr>
        <w:t xml:space="preserve"> </w:t>
      </w:r>
      <w:r>
        <w:t>2.3,</w:t>
      </w:r>
      <w:r>
        <w:rPr>
          <w:spacing w:val="-2"/>
        </w:rPr>
        <w:t xml:space="preserve"> </w:t>
      </w:r>
      <w:r>
        <w:t>revoke</w:t>
      </w:r>
      <w:r>
        <w:rPr>
          <w:spacing w:val="-4"/>
        </w:rPr>
        <w:t xml:space="preserve"> </w:t>
      </w:r>
      <w:r>
        <w:t>such</w:t>
      </w:r>
      <w:r>
        <w:rPr>
          <w:spacing w:val="-4"/>
        </w:rPr>
        <w:t xml:space="preserve"> </w:t>
      </w:r>
      <w:r>
        <w:t>exemption</w:t>
      </w:r>
      <w:r>
        <w:rPr>
          <w:spacing w:val="-4"/>
        </w:rPr>
        <w:t xml:space="preserve"> </w:t>
      </w:r>
      <w:r>
        <w:t>with</w:t>
      </w:r>
      <w:r>
        <w:rPr>
          <w:spacing w:val="-4"/>
        </w:rPr>
        <w:t xml:space="preserve"> </w:t>
      </w:r>
      <w:r>
        <w:t>effect</w:t>
      </w:r>
      <w:r>
        <w:rPr>
          <w:spacing w:val="-5"/>
        </w:rPr>
        <w:t xml:space="preserve"> </w:t>
      </w:r>
      <w:r>
        <w:t>from</w:t>
      </w:r>
      <w:r>
        <w:rPr>
          <w:spacing w:val="-1"/>
        </w:rPr>
        <w:t xml:space="preserve"> </w:t>
      </w:r>
      <w:r>
        <w:t>the</w:t>
      </w:r>
      <w:r>
        <w:rPr>
          <w:spacing w:val="-2"/>
        </w:rPr>
        <w:t xml:space="preserve"> </w:t>
      </w:r>
      <w:r>
        <w:t>date</w:t>
      </w:r>
      <w:r>
        <w:rPr>
          <w:spacing w:val="-5"/>
        </w:rPr>
        <w:t xml:space="preserve"> </w:t>
      </w:r>
      <w:r>
        <w:t>specified</w:t>
      </w:r>
      <w:r>
        <w:rPr>
          <w:spacing w:val="-2"/>
        </w:rPr>
        <w:t xml:space="preserve"> </w:t>
      </w:r>
      <w:r>
        <w:t>by</w:t>
      </w:r>
      <w:r>
        <w:rPr>
          <w:spacing w:val="-5"/>
        </w:rPr>
        <w:t xml:space="preserve"> </w:t>
      </w:r>
      <w:r>
        <w:t>the</w:t>
      </w:r>
      <w:r>
        <w:rPr>
          <w:spacing w:val="-2"/>
        </w:rPr>
        <w:t xml:space="preserve"> </w:t>
      </w:r>
      <w:r>
        <w:t>ACS. This clause does not apply to persons to whom the Scheme applies by virtue of sections 18, 19 or 20 of the Act.</w:t>
      </w:r>
    </w:p>
    <w:p w14:paraId="6448EACC" w14:textId="77777777" w:rsidR="0057052F" w:rsidRDefault="00EB20FF" w:rsidP="000252AB">
      <w:pPr>
        <w:pStyle w:val="Heading2"/>
        <w:numPr>
          <w:ilvl w:val="0"/>
          <w:numId w:val="4"/>
        </w:numPr>
        <w:tabs>
          <w:tab w:val="left" w:pos="830"/>
        </w:tabs>
        <w:spacing w:before="280"/>
        <w:ind w:left="833"/>
      </w:pPr>
      <w:r>
        <w:rPr>
          <w:spacing w:val="-2"/>
        </w:rPr>
        <w:t>Jurisdiction</w:t>
      </w:r>
    </w:p>
    <w:p w14:paraId="5C648300" w14:textId="77777777" w:rsidR="0057052F" w:rsidRDefault="00EB20FF" w:rsidP="000252AB">
      <w:pPr>
        <w:pStyle w:val="ListParagraph"/>
        <w:numPr>
          <w:ilvl w:val="1"/>
          <w:numId w:val="4"/>
        </w:numPr>
        <w:tabs>
          <w:tab w:val="left" w:pos="830"/>
        </w:tabs>
        <w:spacing w:before="260"/>
        <w:ind w:left="833"/>
      </w:pPr>
      <w:r>
        <w:t>The</w:t>
      </w:r>
      <w:r>
        <w:rPr>
          <w:spacing w:val="-10"/>
        </w:rPr>
        <w:t xml:space="preserve"> </w:t>
      </w:r>
      <w:r>
        <w:t>Scheme</w:t>
      </w:r>
      <w:r>
        <w:rPr>
          <w:spacing w:val="-12"/>
        </w:rPr>
        <w:t xml:space="preserve"> </w:t>
      </w:r>
      <w:r>
        <w:t>applies</w:t>
      </w:r>
      <w:r>
        <w:rPr>
          <w:spacing w:val="-8"/>
        </w:rPr>
        <w:t xml:space="preserve"> </w:t>
      </w:r>
      <w:r>
        <w:t>in</w:t>
      </w:r>
      <w:r>
        <w:rPr>
          <w:spacing w:val="-7"/>
        </w:rPr>
        <w:t xml:space="preserve"> </w:t>
      </w:r>
      <w:r>
        <w:t>New</w:t>
      </w:r>
      <w:r>
        <w:rPr>
          <w:spacing w:val="-9"/>
        </w:rPr>
        <w:t xml:space="preserve"> </w:t>
      </w:r>
      <w:r>
        <w:t>South</w:t>
      </w:r>
      <w:r>
        <w:rPr>
          <w:spacing w:val="-11"/>
        </w:rPr>
        <w:t xml:space="preserve"> </w:t>
      </w:r>
      <w:r>
        <w:rPr>
          <w:spacing w:val="-2"/>
        </w:rPr>
        <w:t>Wales.</w:t>
      </w:r>
    </w:p>
    <w:p w14:paraId="1702909D" w14:textId="77777777" w:rsidR="0057052F" w:rsidRDefault="00EB20FF" w:rsidP="000252AB">
      <w:pPr>
        <w:pStyle w:val="ListParagraph"/>
        <w:numPr>
          <w:ilvl w:val="1"/>
          <w:numId w:val="4"/>
        </w:numPr>
        <w:tabs>
          <w:tab w:val="left" w:pos="830"/>
        </w:tabs>
        <w:spacing w:before="260"/>
        <w:ind w:left="833"/>
      </w:pPr>
      <w:r>
        <w:t>In addition to New South Wales, the Scheme is intended</w:t>
      </w:r>
      <w:r>
        <w:rPr>
          <w:spacing w:val="-3"/>
        </w:rPr>
        <w:t xml:space="preserve"> </w:t>
      </w:r>
      <w:r>
        <w:t>to operate in the Australian Capital Territory, the Northern Territory, Queensland, South Australia, Tasmania, Victoria</w:t>
      </w:r>
      <w:r>
        <w:rPr>
          <w:spacing w:val="-3"/>
        </w:rPr>
        <w:t xml:space="preserve"> </w:t>
      </w:r>
      <w:r>
        <w:t>and</w:t>
      </w:r>
      <w:r>
        <w:rPr>
          <w:spacing w:val="-7"/>
        </w:rPr>
        <w:t xml:space="preserve"> </w:t>
      </w:r>
      <w:r>
        <w:t>Western</w:t>
      </w:r>
      <w:r>
        <w:rPr>
          <w:spacing w:val="-7"/>
        </w:rPr>
        <w:t xml:space="preserve"> </w:t>
      </w:r>
      <w:r>
        <w:t>Australia</w:t>
      </w:r>
      <w:r>
        <w:rPr>
          <w:spacing w:val="-3"/>
        </w:rPr>
        <w:t xml:space="preserve"> </w:t>
      </w:r>
      <w:r>
        <w:t>in</w:t>
      </w:r>
      <w:r>
        <w:rPr>
          <w:spacing w:val="-5"/>
        </w:rPr>
        <w:t xml:space="preserve"> </w:t>
      </w:r>
      <w:r>
        <w:t>accordance</w:t>
      </w:r>
      <w:r>
        <w:rPr>
          <w:spacing w:val="-5"/>
        </w:rPr>
        <w:t xml:space="preserve"> </w:t>
      </w:r>
      <w:r>
        <w:t>with,</w:t>
      </w:r>
      <w:r>
        <w:rPr>
          <w:spacing w:val="-3"/>
        </w:rPr>
        <w:t xml:space="preserve"> </w:t>
      </w:r>
      <w:r>
        <w:t>and</w:t>
      </w:r>
      <w:r>
        <w:rPr>
          <w:spacing w:val="-10"/>
        </w:rPr>
        <w:t xml:space="preserve"> </w:t>
      </w:r>
      <w:r>
        <w:t>subject</w:t>
      </w:r>
      <w:r>
        <w:rPr>
          <w:spacing w:val="-3"/>
        </w:rPr>
        <w:t xml:space="preserve"> </w:t>
      </w:r>
      <w:r>
        <w:t>to</w:t>
      </w:r>
      <w:r>
        <w:rPr>
          <w:spacing w:val="-12"/>
        </w:rPr>
        <w:t xml:space="preserve"> </w:t>
      </w:r>
      <w:r>
        <w:t>the</w:t>
      </w:r>
      <w:r>
        <w:rPr>
          <w:spacing w:val="-10"/>
        </w:rPr>
        <w:t xml:space="preserve"> </w:t>
      </w:r>
      <w:r>
        <w:t>requirements</w:t>
      </w:r>
      <w:r>
        <w:rPr>
          <w:spacing w:val="-6"/>
        </w:rPr>
        <w:t xml:space="preserve"> </w:t>
      </w:r>
      <w:r>
        <w:t>of, the corresponding Professional Standards Legislation of those</w:t>
      </w:r>
      <w:r>
        <w:rPr>
          <w:spacing w:val="-1"/>
        </w:rPr>
        <w:t xml:space="preserve"> </w:t>
      </w:r>
      <w:r>
        <w:t>jurisdictions. The references to</w:t>
      </w:r>
      <w:r>
        <w:rPr>
          <w:spacing w:val="-1"/>
        </w:rPr>
        <w:t xml:space="preserve"> </w:t>
      </w:r>
      <w:r>
        <w:t>a provision</w:t>
      </w:r>
      <w:r>
        <w:rPr>
          <w:spacing w:val="-1"/>
        </w:rPr>
        <w:t xml:space="preserve"> </w:t>
      </w:r>
      <w:r>
        <w:t>of the Act, the application of the Scheme</w:t>
      </w:r>
      <w:r>
        <w:rPr>
          <w:spacing w:val="-1"/>
        </w:rPr>
        <w:t xml:space="preserve"> </w:t>
      </w:r>
      <w:r>
        <w:t>to a liability, the limit of a liability under the Act, or what constitutes Occupational Liability, shall be determined pursuant to the relevant provisions of the corresponding Professional Standards</w:t>
      </w:r>
      <w:r>
        <w:rPr>
          <w:spacing w:val="-10"/>
        </w:rPr>
        <w:t xml:space="preserve"> </w:t>
      </w:r>
      <w:r>
        <w:t>Legislation,</w:t>
      </w:r>
      <w:r>
        <w:rPr>
          <w:spacing w:val="-10"/>
        </w:rPr>
        <w:t xml:space="preserve"> </w:t>
      </w:r>
      <w:r>
        <w:t>applied</w:t>
      </w:r>
      <w:r>
        <w:rPr>
          <w:spacing w:val="-11"/>
        </w:rPr>
        <w:t xml:space="preserve"> </w:t>
      </w:r>
      <w:r>
        <w:t>mutatis</w:t>
      </w:r>
      <w:r>
        <w:rPr>
          <w:spacing w:val="-10"/>
        </w:rPr>
        <w:t xml:space="preserve"> </w:t>
      </w:r>
      <w:r>
        <w:t>mutandis,</w:t>
      </w:r>
      <w:r>
        <w:rPr>
          <w:spacing w:val="-12"/>
        </w:rPr>
        <w:t xml:space="preserve"> </w:t>
      </w:r>
      <w:r>
        <w:t>to</w:t>
      </w:r>
      <w:r>
        <w:rPr>
          <w:spacing w:val="-11"/>
        </w:rPr>
        <w:t xml:space="preserve"> </w:t>
      </w:r>
      <w:r>
        <w:t>the</w:t>
      </w:r>
      <w:r>
        <w:rPr>
          <w:spacing w:val="-11"/>
        </w:rPr>
        <w:t xml:space="preserve"> </w:t>
      </w:r>
      <w:r>
        <w:t>extent</w:t>
      </w:r>
      <w:r>
        <w:rPr>
          <w:spacing w:val="-12"/>
        </w:rPr>
        <w:t xml:space="preserve"> </w:t>
      </w:r>
      <w:r>
        <w:t>that</w:t>
      </w:r>
      <w:r>
        <w:rPr>
          <w:spacing w:val="-7"/>
        </w:rPr>
        <w:t xml:space="preserve"> </w:t>
      </w:r>
      <w:r>
        <w:t>is</w:t>
      </w:r>
      <w:r>
        <w:rPr>
          <w:spacing w:val="-12"/>
        </w:rPr>
        <w:t xml:space="preserve"> </w:t>
      </w:r>
      <w:r>
        <w:t>necessary</w:t>
      </w:r>
      <w:r>
        <w:rPr>
          <w:spacing w:val="-12"/>
        </w:rPr>
        <w:t xml:space="preserve"> </w:t>
      </w:r>
      <w:r>
        <w:t>for</w:t>
      </w:r>
      <w:r>
        <w:rPr>
          <w:spacing w:val="-11"/>
        </w:rPr>
        <w:t xml:space="preserve"> </w:t>
      </w:r>
      <w:r>
        <w:t>the application of the Scheme in any of those jurisdictions.</w:t>
      </w:r>
    </w:p>
    <w:p w14:paraId="587282F1" w14:textId="77777777" w:rsidR="0057052F" w:rsidRDefault="00EB20FF" w:rsidP="000252AB">
      <w:pPr>
        <w:pStyle w:val="Heading2"/>
        <w:numPr>
          <w:ilvl w:val="0"/>
          <w:numId w:val="4"/>
        </w:numPr>
        <w:tabs>
          <w:tab w:val="left" w:pos="832"/>
        </w:tabs>
        <w:spacing w:before="280"/>
        <w:ind w:left="833"/>
      </w:pPr>
      <w:r>
        <w:t>Limitation</w:t>
      </w:r>
      <w:r>
        <w:rPr>
          <w:spacing w:val="-6"/>
        </w:rPr>
        <w:t xml:space="preserve"> </w:t>
      </w:r>
      <w:r>
        <w:t>of</w:t>
      </w:r>
      <w:r>
        <w:rPr>
          <w:spacing w:val="-4"/>
        </w:rPr>
        <w:t xml:space="preserve"> </w:t>
      </w:r>
      <w:r>
        <w:rPr>
          <w:spacing w:val="-2"/>
        </w:rPr>
        <w:t>liability</w:t>
      </w:r>
    </w:p>
    <w:p w14:paraId="3C164253" w14:textId="77777777" w:rsidR="0057052F" w:rsidRDefault="00EB20FF" w:rsidP="000252AB">
      <w:pPr>
        <w:pStyle w:val="ListParagraph"/>
        <w:numPr>
          <w:ilvl w:val="1"/>
          <w:numId w:val="4"/>
        </w:numPr>
        <w:tabs>
          <w:tab w:val="left" w:pos="830"/>
          <w:tab w:val="left" w:pos="832"/>
        </w:tabs>
        <w:spacing w:before="260"/>
      </w:pPr>
      <w:r>
        <w:t>The</w:t>
      </w:r>
      <w:r>
        <w:rPr>
          <w:spacing w:val="-9"/>
        </w:rPr>
        <w:t xml:space="preserve"> </w:t>
      </w:r>
      <w:r>
        <w:t>Scheme</w:t>
      </w:r>
      <w:r>
        <w:rPr>
          <w:spacing w:val="-11"/>
        </w:rPr>
        <w:t xml:space="preserve"> </w:t>
      </w:r>
      <w:r>
        <w:t>only</w:t>
      </w:r>
      <w:r>
        <w:rPr>
          <w:spacing w:val="-8"/>
        </w:rPr>
        <w:t xml:space="preserve"> </w:t>
      </w:r>
      <w:r>
        <w:t>affects</w:t>
      </w:r>
      <w:r>
        <w:rPr>
          <w:spacing w:val="-10"/>
        </w:rPr>
        <w:t xml:space="preserve"> </w:t>
      </w:r>
      <w:r>
        <w:t>the</w:t>
      </w:r>
      <w:r>
        <w:rPr>
          <w:spacing w:val="-11"/>
        </w:rPr>
        <w:t xml:space="preserve"> </w:t>
      </w:r>
      <w:r>
        <w:t>liability</w:t>
      </w:r>
      <w:r>
        <w:rPr>
          <w:spacing w:val="-10"/>
        </w:rPr>
        <w:t xml:space="preserve"> </w:t>
      </w:r>
      <w:r>
        <w:t>for</w:t>
      </w:r>
      <w:r>
        <w:rPr>
          <w:spacing w:val="-4"/>
        </w:rPr>
        <w:t xml:space="preserve"> </w:t>
      </w:r>
      <w:r>
        <w:t>Damages</w:t>
      </w:r>
      <w:r>
        <w:rPr>
          <w:spacing w:val="-10"/>
        </w:rPr>
        <w:t xml:space="preserve"> </w:t>
      </w:r>
      <w:r>
        <w:t>arising</w:t>
      </w:r>
      <w:r>
        <w:rPr>
          <w:spacing w:val="-9"/>
        </w:rPr>
        <w:t xml:space="preserve"> </w:t>
      </w:r>
      <w:r>
        <w:t>from</w:t>
      </w:r>
      <w:r>
        <w:rPr>
          <w:spacing w:val="-9"/>
        </w:rPr>
        <w:t xml:space="preserve"> </w:t>
      </w:r>
      <w:r>
        <w:t>a</w:t>
      </w:r>
      <w:r>
        <w:rPr>
          <w:spacing w:val="-9"/>
        </w:rPr>
        <w:t xml:space="preserve"> </w:t>
      </w:r>
      <w:r>
        <w:t>single</w:t>
      </w:r>
      <w:r>
        <w:rPr>
          <w:spacing w:val="-11"/>
        </w:rPr>
        <w:t xml:space="preserve"> </w:t>
      </w:r>
      <w:r>
        <w:t>cause</w:t>
      </w:r>
      <w:r>
        <w:rPr>
          <w:spacing w:val="-9"/>
        </w:rPr>
        <w:t xml:space="preserve"> </w:t>
      </w:r>
      <w:r>
        <w:t>of</w:t>
      </w:r>
      <w:r>
        <w:rPr>
          <w:spacing w:val="-10"/>
        </w:rPr>
        <w:t xml:space="preserve"> </w:t>
      </w:r>
      <w:r>
        <w:t>action to the extent to which the liability results in Damages exceeding $2,000,000.</w:t>
      </w:r>
    </w:p>
    <w:p w14:paraId="34CFFEBC" w14:textId="1680038D" w:rsidR="0057052F" w:rsidRDefault="00EB20FF" w:rsidP="000252AB">
      <w:pPr>
        <w:pStyle w:val="ListParagraph"/>
        <w:numPr>
          <w:ilvl w:val="1"/>
          <w:numId w:val="4"/>
        </w:numPr>
        <w:tabs>
          <w:tab w:val="left" w:pos="830"/>
        </w:tabs>
        <w:spacing w:before="260"/>
        <w:ind w:left="833"/>
      </w:pPr>
      <w:r>
        <w:t>If</w:t>
      </w:r>
      <w:r w:rsidRPr="000252AB">
        <w:rPr>
          <w:spacing w:val="-4"/>
        </w:rPr>
        <w:t xml:space="preserve"> </w:t>
      </w:r>
      <w:r>
        <w:t>a</w:t>
      </w:r>
      <w:r w:rsidRPr="000252AB">
        <w:rPr>
          <w:spacing w:val="-11"/>
        </w:rPr>
        <w:t xml:space="preserve"> </w:t>
      </w:r>
      <w:r>
        <w:t>person</w:t>
      </w:r>
      <w:r w:rsidRPr="000252AB">
        <w:rPr>
          <w:spacing w:val="-8"/>
        </w:rPr>
        <w:t xml:space="preserve"> </w:t>
      </w:r>
      <w:r>
        <w:t>who</w:t>
      </w:r>
      <w:r w:rsidRPr="000252AB">
        <w:rPr>
          <w:spacing w:val="-8"/>
        </w:rPr>
        <w:t xml:space="preserve"> </w:t>
      </w:r>
      <w:r>
        <w:t>is,</w:t>
      </w:r>
      <w:r w:rsidRPr="000252AB">
        <w:rPr>
          <w:spacing w:val="-7"/>
        </w:rPr>
        <w:t xml:space="preserve"> </w:t>
      </w:r>
      <w:r>
        <w:t>or</w:t>
      </w:r>
      <w:r w:rsidRPr="000252AB">
        <w:rPr>
          <w:spacing w:val="-10"/>
        </w:rPr>
        <w:t xml:space="preserve"> </w:t>
      </w:r>
      <w:r>
        <w:t>was,</w:t>
      </w:r>
      <w:r w:rsidRPr="000252AB">
        <w:rPr>
          <w:spacing w:val="-4"/>
        </w:rPr>
        <w:t xml:space="preserve"> </w:t>
      </w:r>
      <w:r>
        <w:t>at</w:t>
      </w:r>
      <w:r w:rsidRPr="000252AB">
        <w:rPr>
          <w:spacing w:val="-9"/>
        </w:rPr>
        <w:t xml:space="preserve"> </w:t>
      </w:r>
      <w:r>
        <w:t>the</w:t>
      </w:r>
      <w:r w:rsidRPr="000252AB">
        <w:rPr>
          <w:spacing w:val="-8"/>
        </w:rPr>
        <w:t xml:space="preserve"> </w:t>
      </w:r>
      <w:r>
        <w:t>time</w:t>
      </w:r>
      <w:r w:rsidRPr="000252AB">
        <w:rPr>
          <w:spacing w:val="-6"/>
        </w:rPr>
        <w:t xml:space="preserve"> </w:t>
      </w:r>
      <w:r>
        <w:t>of</w:t>
      </w:r>
      <w:r w:rsidRPr="000252AB">
        <w:rPr>
          <w:spacing w:val="-7"/>
        </w:rPr>
        <w:t xml:space="preserve"> </w:t>
      </w:r>
      <w:r>
        <w:t>the</w:t>
      </w:r>
      <w:r w:rsidRPr="000252AB">
        <w:rPr>
          <w:spacing w:val="-8"/>
        </w:rPr>
        <w:t xml:space="preserve"> </w:t>
      </w:r>
      <w:r>
        <w:t>act</w:t>
      </w:r>
      <w:r w:rsidRPr="000252AB">
        <w:rPr>
          <w:spacing w:val="-7"/>
        </w:rPr>
        <w:t xml:space="preserve"> </w:t>
      </w:r>
      <w:r>
        <w:t>or</w:t>
      </w:r>
      <w:r w:rsidRPr="000252AB">
        <w:rPr>
          <w:spacing w:val="-5"/>
        </w:rPr>
        <w:t xml:space="preserve"> </w:t>
      </w:r>
      <w:r>
        <w:t>omission</w:t>
      </w:r>
      <w:r w:rsidRPr="000252AB">
        <w:rPr>
          <w:spacing w:val="-8"/>
        </w:rPr>
        <w:t xml:space="preserve"> </w:t>
      </w:r>
      <w:r>
        <w:t>giving</w:t>
      </w:r>
      <w:r w:rsidRPr="000252AB">
        <w:rPr>
          <w:spacing w:val="-8"/>
        </w:rPr>
        <w:t xml:space="preserve"> </w:t>
      </w:r>
      <w:r>
        <w:t>rise</w:t>
      </w:r>
      <w:r w:rsidRPr="000252AB">
        <w:rPr>
          <w:spacing w:val="-8"/>
        </w:rPr>
        <w:t xml:space="preserve"> </w:t>
      </w:r>
      <w:r>
        <w:t>to</w:t>
      </w:r>
      <w:r w:rsidRPr="000252AB">
        <w:rPr>
          <w:spacing w:val="-8"/>
        </w:rPr>
        <w:t xml:space="preserve"> </w:t>
      </w:r>
      <w:r>
        <w:t>Occupational Liability, a Participating Member and against whom a proceeding relating to</w:t>
      </w:r>
      <w:r w:rsidR="000252AB">
        <w:t xml:space="preserve"> </w:t>
      </w:r>
      <w:r>
        <w:lastRenderedPageBreak/>
        <w:t>Occupational</w:t>
      </w:r>
      <w:r w:rsidRPr="000252AB">
        <w:rPr>
          <w:spacing w:val="-9"/>
        </w:rPr>
        <w:t xml:space="preserve"> </w:t>
      </w:r>
      <w:r>
        <w:t>Liability</w:t>
      </w:r>
      <w:r w:rsidRPr="000252AB">
        <w:rPr>
          <w:spacing w:val="-11"/>
        </w:rPr>
        <w:t xml:space="preserve"> </w:t>
      </w:r>
      <w:r>
        <w:t>is</w:t>
      </w:r>
      <w:r w:rsidRPr="000252AB">
        <w:rPr>
          <w:spacing w:val="-9"/>
        </w:rPr>
        <w:t xml:space="preserve"> </w:t>
      </w:r>
      <w:r>
        <w:t>brought,</w:t>
      </w:r>
      <w:r w:rsidRPr="000252AB">
        <w:rPr>
          <w:spacing w:val="-6"/>
        </w:rPr>
        <w:t xml:space="preserve"> </w:t>
      </w:r>
      <w:r>
        <w:t>is</w:t>
      </w:r>
      <w:r w:rsidRPr="000252AB">
        <w:rPr>
          <w:spacing w:val="-7"/>
        </w:rPr>
        <w:t xml:space="preserve"> </w:t>
      </w:r>
      <w:r>
        <w:t>able</w:t>
      </w:r>
      <w:r w:rsidRPr="000252AB">
        <w:rPr>
          <w:spacing w:val="-13"/>
        </w:rPr>
        <w:t xml:space="preserve"> </w:t>
      </w:r>
      <w:r>
        <w:t>to</w:t>
      </w:r>
      <w:r w:rsidRPr="000252AB">
        <w:rPr>
          <w:spacing w:val="-10"/>
        </w:rPr>
        <w:t xml:space="preserve"> </w:t>
      </w:r>
      <w:r>
        <w:t>satisfy</w:t>
      </w:r>
      <w:r w:rsidRPr="000252AB">
        <w:rPr>
          <w:spacing w:val="-11"/>
        </w:rPr>
        <w:t xml:space="preserve"> </w:t>
      </w:r>
      <w:r>
        <w:t>the</w:t>
      </w:r>
      <w:r w:rsidRPr="000252AB">
        <w:rPr>
          <w:spacing w:val="-6"/>
        </w:rPr>
        <w:t xml:space="preserve"> </w:t>
      </w:r>
      <w:r>
        <w:t>Court</w:t>
      </w:r>
      <w:r w:rsidRPr="000252AB">
        <w:rPr>
          <w:spacing w:val="-11"/>
        </w:rPr>
        <w:t xml:space="preserve"> </w:t>
      </w:r>
      <w:r>
        <w:t>that</w:t>
      </w:r>
      <w:r w:rsidRPr="000252AB">
        <w:rPr>
          <w:spacing w:val="-11"/>
        </w:rPr>
        <w:t xml:space="preserve"> </w:t>
      </w:r>
      <w:r>
        <w:t>such</w:t>
      </w:r>
      <w:r w:rsidRPr="000252AB">
        <w:rPr>
          <w:spacing w:val="-10"/>
        </w:rPr>
        <w:t xml:space="preserve"> </w:t>
      </w:r>
      <w:r>
        <w:t>person</w:t>
      </w:r>
      <w:r w:rsidRPr="000252AB">
        <w:rPr>
          <w:spacing w:val="-8"/>
        </w:rPr>
        <w:t xml:space="preserve"> </w:t>
      </w:r>
      <w:r>
        <w:t>has</w:t>
      </w:r>
      <w:r w:rsidRPr="000252AB">
        <w:rPr>
          <w:spacing w:val="-11"/>
        </w:rPr>
        <w:t xml:space="preserve"> </w:t>
      </w:r>
      <w:r>
        <w:t>the benefit of an insurance policy:</w:t>
      </w:r>
    </w:p>
    <w:p w14:paraId="1364BDEC" w14:textId="77777777" w:rsidR="0057052F" w:rsidRDefault="00EB20FF" w:rsidP="000252AB">
      <w:pPr>
        <w:pStyle w:val="ListParagraph"/>
        <w:numPr>
          <w:ilvl w:val="2"/>
          <w:numId w:val="4"/>
        </w:numPr>
        <w:tabs>
          <w:tab w:val="left" w:pos="1552"/>
        </w:tabs>
        <w:spacing w:before="240"/>
        <w:ind w:left="1552" w:hanging="720"/>
      </w:pPr>
      <w:r>
        <w:t>of</w:t>
      </w:r>
      <w:r>
        <w:rPr>
          <w:spacing w:val="-11"/>
        </w:rPr>
        <w:t xml:space="preserve"> </w:t>
      </w:r>
      <w:r>
        <w:t>a</w:t>
      </w:r>
      <w:r>
        <w:rPr>
          <w:spacing w:val="-7"/>
        </w:rPr>
        <w:t xml:space="preserve"> </w:t>
      </w:r>
      <w:r>
        <w:t>kind</w:t>
      </w:r>
      <w:r>
        <w:rPr>
          <w:spacing w:val="-10"/>
        </w:rPr>
        <w:t xml:space="preserve"> </w:t>
      </w:r>
      <w:r>
        <w:t>which</w:t>
      </w:r>
      <w:r>
        <w:rPr>
          <w:spacing w:val="-12"/>
        </w:rPr>
        <w:t xml:space="preserve"> </w:t>
      </w:r>
      <w:r>
        <w:t>complies</w:t>
      </w:r>
      <w:r>
        <w:rPr>
          <w:spacing w:val="-10"/>
        </w:rPr>
        <w:t xml:space="preserve"> </w:t>
      </w:r>
      <w:r>
        <w:t>with</w:t>
      </w:r>
      <w:r>
        <w:rPr>
          <w:spacing w:val="-9"/>
        </w:rPr>
        <w:t xml:space="preserve"> </w:t>
      </w:r>
      <w:r>
        <w:t>the</w:t>
      </w:r>
      <w:r>
        <w:rPr>
          <w:spacing w:val="-12"/>
        </w:rPr>
        <w:t xml:space="preserve"> </w:t>
      </w:r>
      <w:r>
        <w:t>standards</w:t>
      </w:r>
      <w:r>
        <w:rPr>
          <w:spacing w:val="-9"/>
        </w:rPr>
        <w:t xml:space="preserve"> </w:t>
      </w:r>
      <w:r>
        <w:t>determined</w:t>
      </w:r>
      <w:r>
        <w:rPr>
          <w:spacing w:val="-9"/>
        </w:rPr>
        <w:t xml:space="preserve"> </w:t>
      </w:r>
      <w:r>
        <w:t>by</w:t>
      </w:r>
      <w:r>
        <w:rPr>
          <w:spacing w:val="-10"/>
        </w:rPr>
        <w:t xml:space="preserve"> </w:t>
      </w:r>
      <w:r>
        <w:t>the</w:t>
      </w:r>
      <w:r>
        <w:rPr>
          <w:spacing w:val="-9"/>
        </w:rPr>
        <w:t xml:space="preserve"> </w:t>
      </w:r>
      <w:r>
        <w:rPr>
          <w:spacing w:val="-4"/>
        </w:rPr>
        <w:t>ACS,</w:t>
      </w:r>
    </w:p>
    <w:p w14:paraId="1AD6BF3C" w14:textId="77777777" w:rsidR="0057052F" w:rsidRDefault="00EB20FF" w:rsidP="000252AB">
      <w:pPr>
        <w:pStyle w:val="ListParagraph"/>
        <w:numPr>
          <w:ilvl w:val="2"/>
          <w:numId w:val="4"/>
        </w:numPr>
        <w:tabs>
          <w:tab w:val="left" w:pos="1552"/>
        </w:tabs>
        <w:spacing w:before="240"/>
        <w:ind w:hanging="720"/>
      </w:pPr>
      <w:r>
        <w:t>insuring such person against the Occupational Liability to which the cause of action relates, and</w:t>
      </w:r>
    </w:p>
    <w:p w14:paraId="489E55F2" w14:textId="77777777" w:rsidR="0057052F" w:rsidRDefault="00EB20FF" w:rsidP="000252AB">
      <w:pPr>
        <w:pStyle w:val="ListParagraph"/>
        <w:numPr>
          <w:ilvl w:val="2"/>
          <w:numId w:val="4"/>
        </w:numPr>
        <w:tabs>
          <w:tab w:val="left" w:pos="1552"/>
        </w:tabs>
        <w:spacing w:before="240"/>
        <w:ind w:left="1552" w:hanging="721"/>
      </w:pPr>
      <w:r>
        <w:t>under</w:t>
      </w:r>
      <w:r>
        <w:rPr>
          <w:spacing w:val="-8"/>
        </w:rPr>
        <w:t xml:space="preserve"> </w:t>
      </w:r>
      <w:r>
        <w:t>which</w:t>
      </w:r>
      <w:r>
        <w:rPr>
          <w:spacing w:val="-10"/>
        </w:rPr>
        <w:t xml:space="preserve"> </w:t>
      </w:r>
      <w:r>
        <w:t>the</w:t>
      </w:r>
      <w:r>
        <w:rPr>
          <w:spacing w:val="-10"/>
        </w:rPr>
        <w:t xml:space="preserve"> </w:t>
      </w:r>
      <w:r>
        <w:t>amount</w:t>
      </w:r>
      <w:r>
        <w:rPr>
          <w:spacing w:val="-10"/>
        </w:rPr>
        <w:t xml:space="preserve"> </w:t>
      </w:r>
      <w:r>
        <w:t>payable</w:t>
      </w:r>
      <w:r>
        <w:rPr>
          <w:spacing w:val="-10"/>
        </w:rPr>
        <w:t xml:space="preserve"> </w:t>
      </w:r>
      <w:r>
        <w:t>in</w:t>
      </w:r>
      <w:r>
        <w:rPr>
          <w:spacing w:val="-10"/>
        </w:rPr>
        <w:t xml:space="preserve"> </w:t>
      </w:r>
      <w:r>
        <w:t>respect</w:t>
      </w:r>
      <w:r>
        <w:rPr>
          <w:spacing w:val="-7"/>
        </w:rPr>
        <w:t xml:space="preserve"> </w:t>
      </w:r>
      <w:r>
        <w:t>of</w:t>
      </w:r>
      <w:r>
        <w:rPr>
          <w:spacing w:val="-10"/>
        </w:rPr>
        <w:t xml:space="preserve"> </w:t>
      </w:r>
      <w:r>
        <w:t>that</w:t>
      </w:r>
      <w:r>
        <w:rPr>
          <w:spacing w:val="-13"/>
        </w:rPr>
        <w:t xml:space="preserve"> </w:t>
      </w:r>
      <w:r>
        <w:t>Occupational</w:t>
      </w:r>
      <w:r>
        <w:rPr>
          <w:spacing w:val="-10"/>
        </w:rPr>
        <w:t xml:space="preserve"> </w:t>
      </w:r>
      <w:r>
        <w:t>Liability</w:t>
      </w:r>
      <w:r>
        <w:rPr>
          <w:spacing w:val="-8"/>
        </w:rPr>
        <w:t xml:space="preserve"> </w:t>
      </w:r>
      <w:r>
        <w:t>is</w:t>
      </w:r>
      <w:r>
        <w:rPr>
          <w:spacing w:val="-8"/>
        </w:rPr>
        <w:t xml:space="preserve"> </w:t>
      </w:r>
      <w:r>
        <w:t>not less than the Monetary Ceiling,</w:t>
      </w:r>
    </w:p>
    <w:p w14:paraId="7D540C3D" w14:textId="77777777" w:rsidR="0057052F" w:rsidRDefault="00EB20FF" w:rsidP="000252AB">
      <w:pPr>
        <w:pStyle w:val="BodyText"/>
        <w:spacing w:before="240"/>
        <w:ind w:left="832" w:right="257"/>
      </w:pPr>
      <w:r>
        <w:t>then</w:t>
      </w:r>
      <w:r>
        <w:rPr>
          <w:spacing w:val="-9"/>
        </w:rPr>
        <w:t xml:space="preserve"> </w:t>
      </w:r>
      <w:r>
        <w:t>that person is not liable in Damages in relation to that cause of action above the</w:t>
      </w:r>
      <w:r>
        <w:rPr>
          <w:spacing w:val="40"/>
        </w:rPr>
        <w:t xml:space="preserve"> </w:t>
      </w:r>
      <w:r>
        <w:t>Monetary Ceiling.</w:t>
      </w:r>
    </w:p>
    <w:p w14:paraId="3E99219C" w14:textId="62789534" w:rsidR="0057052F" w:rsidRDefault="00EB20FF" w:rsidP="000252AB">
      <w:pPr>
        <w:pStyle w:val="ListParagraph"/>
        <w:numPr>
          <w:ilvl w:val="1"/>
          <w:numId w:val="4"/>
        </w:numPr>
        <w:tabs>
          <w:tab w:val="left" w:pos="821"/>
        </w:tabs>
        <w:spacing w:before="240"/>
        <w:ind w:left="820" w:hanging="709"/>
      </w:pPr>
      <w:r>
        <w:t>The</w:t>
      </w:r>
      <w:r w:rsidRPr="000252AB">
        <w:rPr>
          <w:spacing w:val="-8"/>
        </w:rPr>
        <w:t xml:space="preserve"> </w:t>
      </w:r>
      <w:r>
        <w:t>monetary ceiling</w:t>
      </w:r>
      <w:r w:rsidRPr="000252AB">
        <w:rPr>
          <w:spacing w:val="-2"/>
        </w:rPr>
        <w:t xml:space="preserve"> </w:t>
      </w:r>
      <w:r>
        <w:t>for</w:t>
      </w:r>
      <w:r w:rsidRPr="000252AB">
        <w:rPr>
          <w:spacing w:val="3"/>
        </w:rPr>
        <w:t xml:space="preserve"> </w:t>
      </w:r>
      <w:r>
        <w:t>the</w:t>
      </w:r>
      <w:r w:rsidRPr="000252AB">
        <w:rPr>
          <w:spacing w:val="4"/>
        </w:rPr>
        <w:t xml:space="preserve"> </w:t>
      </w:r>
      <w:r>
        <w:t>purpose</w:t>
      </w:r>
      <w:r w:rsidRPr="000252AB">
        <w:rPr>
          <w:spacing w:val="4"/>
        </w:rPr>
        <w:t xml:space="preserve"> </w:t>
      </w:r>
      <w:r>
        <w:t>of</w:t>
      </w:r>
      <w:r w:rsidRPr="000252AB">
        <w:rPr>
          <w:spacing w:val="4"/>
        </w:rPr>
        <w:t xml:space="preserve"> </w:t>
      </w:r>
      <w:r>
        <w:t>limitation</w:t>
      </w:r>
      <w:r w:rsidRPr="000252AB">
        <w:rPr>
          <w:spacing w:val="2"/>
        </w:rPr>
        <w:t xml:space="preserve"> </w:t>
      </w:r>
      <w:r>
        <w:t>of</w:t>
      </w:r>
      <w:r w:rsidRPr="000252AB">
        <w:rPr>
          <w:spacing w:val="7"/>
        </w:rPr>
        <w:t xml:space="preserve"> </w:t>
      </w:r>
      <w:r>
        <w:t>liability</w:t>
      </w:r>
      <w:r w:rsidRPr="000252AB">
        <w:rPr>
          <w:spacing w:val="6"/>
        </w:rPr>
        <w:t xml:space="preserve"> </w:t>
      </w:r>
      <w:r>
        <w:t>under</w:t>
      </w:r>
      <w:r w:rsidRPr="000252AB">
        <w:rPr>
          <w:spacing w:val="5"/>
        </w:rPr>
        <w:t xml:space="preserve"> </w:t>
      </w:r>
      <w:r>
        <w:t>the</w:t>
      </w:r>
      <w:r w:rsidRPr="000252AB">
        <w:rPr>
          <w:spacing w:val="6"/>
        </w:rPr>
        <w:t xml:space="preserve"> </w:t>
      </w:r>
      <w:r>
        <w:t>Scheme</w:t>
      </w:r>
      <w:r w:rsidRPr="000252AB">
        <w:rPr>
          <w:spacing w:val="5"/>
        </w:rPr>
        <w:t xml:space="preserve"> </w:t>
      </w:r>
      <w:r w:rsidRPr="000252AB">
        <w:rPr>
          <w:spacing w:val="-5"/>
        </w:rPr>
        <w:t>is</w:t>
      </w:r>
      <w:r w:rsidR="000252AB" w:rsidRPr="000252AB">
        <w:rPr>
          <w:spacing w:val="-5"/>
        </w:rPr>
        <w:t xml:space="preserve"> </w:t>
      </w:r>
      <w:r w:rsidRPr="000252AB">
        <w:rPr>
          <w:spacing w:val="-2"/>
        </w:rPr>
        <w:t>$2,000,000.</w:t>
      </w:r>
    </w:p>
    <w:p w14:paraId="13AB3378" w14:textId="77777777" w:rsidR="0057052F" w:rsidRDefault="00EB20FF" w:rsidP="000252AB">
      <w:pPr>
        <w:pStyle w:val="ListParagraph"/>
        <w:numPr>
          <w:ilvl w:val="1"/>
          <w:numId w:val="4"/>
        </w:numPr>
        <w:tabs>
          <w:tab w:val="left" w:pos="820"/>
        </w:tabs>
        <w:spacing w:before="240"/>
        <w:ind w:left="820" w:hanging="708"/>
      </w:pPr>
      <w:r>
        <w:t>Clause</w:t>
      </w:r>
      <w:r>
        <w:rPr>
          <w:spacing w:val="-12"/>
        </w:rPr>
        <w:t xml:space="preserve"> </w:t>
      </w:r>
      <w:r>
        <w:t>4.2</w:t>
      </w:r>
      <w:r>
        <w:rPr>
          <w:spacing w:val="-8"/>
        </w:rPr>
        <w:t xml:space="preserve"> </w:t>
      </w:r>
      <w:r>
        <w:t>does</w:t>
      </w:r>
      <w:r>
        <w:rPr>
          <w:spacing w:val="-9"/>
        </w:rPr>
        <w:t xml:space="preserve"> </w:t>
      </w:r>
      <w:r>
        <w:t>not</w:t>
      </w:r>
      <w:r>
        <w:rPr>
          <w:spacing w:val="-9"/>
        </w:rPr>
        <w:t xml:space="preserve"> </w:t>
      </w:r>
      <w:r>
        <w:t>limit</w:t>
      </w:r>
      <w:r>
        <w:rPr>
          <w:spacing w:val="-10"/>
        </w:rPr>
        <w:t xml:space="preserve"> </w:t>
      </w:r>
      <w:r>
        <w:t>the</w:t>
      </w:r>
      <w:r>
        <w:rPr>
          <w:spacing w:val="-10"/>
        </w:rPr>
        <w:t xml:space="preserve"> </w:t>
      </w:r>
      <w:r>
        <w:t>amount</w:t>
      </w:r>
      <w:r>
        <w:rPr>
          <w:spacing w:val="-10"/>
        </w:rPr>
        <w:t xml:space="preserve"> </w:t>
      </w:r>
      <w:r>
        <w:t>of</w:t>
      </w:r>
      <w:r>
        <w:rPr>
          <w:spacing w:val="-6"/>
        </w:rPr>
        <w:t xml:space="preserve"> </w:t>
      </w:r>
      <w:r>
        <w:t>Damages</w:t>
      </w:r>
      <w:r>
        <w:rPr>
          <w:spacing w:val="-10"/>
        </w:rPr>
        <w:t xml:space="preserve"> </w:t>
      </w:r>
      <w:r>
        <w:t>for</w:t>
      </w:r>
      <w:r>
        <w:rPr>
          <w:spacing w:val="-7"/>
        </w:rPr>
        <w:t xml:space="preserve"> </w:t>
      </w:r>
      <w:r>
        <w:t>which</w:t>
      </w:r>
      <w:r>
        <w:rPr>
          <w:spacing w:val="-10"/>
        </w:rPr>
        <w:t xml:space="preserve"> </w:t>
      </w:r>
      <w:r>
        <w:t>a</w:t>
      </w:r>
      <w:r>
        <w:rPr>
          <w:spacing w:val="-10"/>
        </w:rPr>
        <w:t xml:space="preserve"> </w:t>
      </w:r>
      <w:r>
        <w:t>Participating</w:t>
      </w:r>
      <w:r>
        <w:rPr>
          <w:spacing w:val="-10"/>
        </w:rPr>
        <w:t xml:space="preserve"> </w:t>
      </w:r>
      <w:r>
        <w:t>Member</w:t>
      </w:r>
      <w:r>
        <w:rPr>
          <w:spacing w:val="-7"/>
        </w:rPr>
        <w:t xml:space="preserve"> </w:t>
      </w:r>
      <w:r>
        <w:t>is liable if that amount is less than the Monetary Ceiling.</w:t>
      </w:r>
    </w:p>
    <w:p w14:paraId="29E2353F" w14:textId="77777777" w:rsidR="0057052F" w:rsidRDefault="00EB20FF" w:rsidP="000252AB">
      <w:pPr>
        <w:pStyle w:val="ListParagraph"/>
        <w:numPr>
          <w:ilvl w:val="1"/>
          <w:numId w:val="4"/>
        </w:numPr>
        <w:tabs>
          <w:tab w:val="left" w:pos="832"/>
        </w:tabs>
        <w:spacing w:before="240"/>
      </w:pPr>
      <w:r>
        <w:t>The Scheme limits the</w:t>
      </w:r>
      <w:r>
        <w:rPr>
          <w:spacing w:val="-3"/>
        </w:rPr>
        <w:t xml:space="preserve"> </w:t>
      </w:r>
      <w:r>
        <w:t>Occupational Liability of a</w:t>
      </w:r>
      <w:r>
        <w:rPr>
          <w:spacing w:val="-1"/>
        </w:rPr>
        <w:t xml:space="preserve"> </w:t>
      </w:r>
      <w:r>
        <w:t>person in respect of a cause of action founded on an act or omission occurring during the period when the Scheme was</w:t>
      </w:r>
      <w:r>
        <w:rPr>
          <w:spacing w:val="-8"/>
        </w:rPr>
        <w:t xml:space="preserve"> </w:t>
      </w:r>
      <w:r>
        <w:t>in</w:t>
      </w:r>
      <w:r>
        <w:rPr>
          <w:spacing w:val="-9"/>
        </w:rPr>
        <w:t xml:space="preserve"> </w:t>
      </w:r>
      <w:r>
        <w:t>force,</w:t>
      </w:r>
      <w:r>
        <w:rPr>
          <w:spacing w:val="-5"/>
        </w:rPr>
        <w:t xml:space="preserve"> </w:t>
      </w:r>
      <w:r>
        <w:t>provided</w:t>
      </w:r>
      <w:r>
        <w:rPr>
          <w:spacing w:val="-9"/>
        </w:rPr>
        <w:t xml:space="preserve"> </w:t>
      </w:r>
      <w:r>
        <w:t>that</w:t>
      </w:r>
      <w:r>
        <w:rPr>
          <w:spacing w:val="-10"/>
        </w:rPr>
        <w:t xml:space="preserve"> </w:t>
      </w:r>
      <w:r>
        <w:t>such</w:t>
      </w:r>
      <w:r>
        <w:rPr>
          <w:spacing w:val="-11"/>
        </w:rPr>
        <w:t xml:space="preserve"> </w:t>
      </w:r>
      <w:r>
        <w:t>person</w:t>
      </w:r>
      <w:r>
        <w:rPr>
          <w:spacing w:val="-9"/>
        </w:rPr>
        <w:t xml:space="preserve"> </w:t>
      </w:r>
      <w:r>
        <w:t>was</w:t>
      </w:r>
      <w:r>
        <w:rPr>
          <w:spacing w:val="-8"/>
        </w:rPr>
        <w:t xml:space="preserve"> </w:t>
      </w:r>
      <w:r>
        <w:t>a</w:t>
      </w:r>
      <w:r>
        <w:rPr>
          <w:spacing w:val="-11"/>
        </w:rPr>
        <w:t xml:space="preserve"> </w:t>
      </w:r>
      <w:r>
        <w:t>Participating</w:t>
      </w:r>
      <w:r>
        <w:rPr>
          <w:spacing w:val="-9"/>
        </w:rPr>
        <w:t xml:space="preserve"> </w:t>
      </w:r>
      <w:r>
        <w:t>Member</w:t>
      </w:r>
      <w:r>
        <w:rPr>
          <w:spacing w:val="-9"/>
        </w:rPr>
        <w:t xml:space="preserve"> </w:t>
      </w:r>
      <w:r>
        <w:t>at</w:t>
      </w:r>
      <w:r>
        <w:rPr>
          <w:spacing w:val="-8"/>
        </w:rPr>
        <w:t xml:space="preserve"> </w:t>
      </w:r>
      <w:r>
        <w:t>the</w:t>
      </w:r>
      <w:r>
        <w:rPr>
          <w:spacing w:val="-9"/>
        </w:rPr>
        <w:t xml:space="preserve"> </w:t>
      </w:r>
      <w:r>
        <w:t>time</w:t>
      </w:r>
      <w:r>
        <w:rPr>
          <w:spacing w:val="-7"/>
        </w:rPr>
        <w:t xml:space="preserve"> </w:t>
      </w:r>
      <w:r>
        <w:t>of</w:t>
      </w:r>
      <w:r>
        <w:rPr>
          <w:spacing w:val="-8"/>
        </w:rPr>
        <w:t xml:space="preserve"> </w:t>
      </w:r>
      <w:r>
        <w:t>the act or omission.</w:t>
      </w:r>
    </w:p>
    <w:p w14:paraId="662183A2" w14:textId="77777777" w:rsidR="0057052F" w:rsidRDefault="00EB20FF" w:rsidP="000252AB">
      <w:pPr>
        <w:pStyle w:val="ListParagraph"/>
        <w:numPr>
          <w:ilvl w:val="1"/>
          <w:numId w:val="4"/>
        </w:numPr>
        <w:tabs>
          <w:tab w:val="left" w:pos="832"/>
        </w:tabs>
        <w:spacing w:before="240"/>
        <w:ind w:right="116"/>
      </w:pPr>
      <w:r>
        <w:t>Notwithstanding anything to the contrary contained in the Scheme if, in particular circumstances giving rise to Occupational Liability, the liability of a Participating Member is capped both by the Scheme and also by any other scheme under Professional Standards Legislation (whether of this jurisdiction or under the law of any other Australian state or territory) and, if the amount of such caps should differ, then</w:t>
      </w:r>
      <w:r>
        <w:rPr>
          <w:spacing w:val="-4"/>
        </w:rPr>
        <w:t xml:space="preserve"> </w:t>
      </w:r>
      <w:r>
        <w:t>the</w:t>
      </w:r>
      <w:r>
        <w:rPr>
          <w:spacing w:val="-2"/>
        </w:rPr>
        <w:t xml:space="preserve"> </w:t>
      </w:r>
      <w:r>
        <w:t>cap</w:t>
      </w:r>
      <w:r>
        <w:rPr>
          <w:spacing w:val="-6"/>
        </w:rPr>
        <w:t xml:space="preserve"> </w:t>
      </w:r>
      <w:r>
        <w:t>on</w:t>
      </w:r>
      <w:r>
        <w:rPr>
          <w:spacing w:val="-6"/>
        </w:rPr>
        <w:t xml:space="preserve"> </w:t>
      </w:r>
      <w:r>
        <w:t>the</w:t>
      </w:r>
      <w:r>
        <w:rPr>
          <w:spacing w:val="-6"/>
        </w:rPr>
        <w:t xml:space="preserve"> </w:t>
      </w:r>
      <w:r>
        <w:t>liability</w:t>
      </w:r>
      <w:r>
        <w:rPr>
          <w:spacing w:val="-1"/>
        </w:rPr>
        <w:t xml:space="preserve"> </w:t>
      </w:r>
      <w:r>
        <w:t>of such</w:t>
      </w:r>
      <w:r>
        <w:rPr>
          <w:spacing w:val="-2"/>
        </w:rPr>
        <w:t xml:space="preserve"> </w:t>
      </w:r>
      <w:r>
        <w:t>person</w:t>
      </w:r>
      <w:r>
        <w:rPr>
          <w:spacing w:val="-4"/>
        </w:rPr>
        <w:t xml:space="preserve"> </w:t>
      </w:r>
      <w:r>
        <w:t>arising</w:t>
      </w:r>
      <w:r>
        <w:rPr>
          <w:spacing w:val="-4"/>
        </w:rPr>
        <w:t xml:space="preserve"> </w:t>
      </w:r>
      <w:r>
        <w:t>from</w:t>
      </w:r>
      <w:r>
        <w:rPr>
          <w:spacing w:val="-1"/>
        </w:rPr>
        <w:t xml:space="preserve"> </w:t>
      </w:r>
      <w:r>
        <w:t>such</w:t>
      </w:r>
      <w:r>
        <w:rPr>
          <w:spacing w:val="-2"/>
        </w:rPr>
        <w:t xml:space="preserve"> </w:t>
      </w:r>
      <w:r>
        <w:t>circumstances</w:t>
      </w:r>
      <w:r>
        <w:rPr>
          <w:spacing w:val="-5"/>
        </w:rPr>
        <w:t xml:space="preserve"> </w:t>
      </w:r>
      <w:r>
        <w:t>which</w:t>
      </w:r>
      <w:r>
        <w:rPr>
          <w:spacing w:val="-2"/>
        </w:rPr>
        <w:t xml:space="preserve"> </w:t>
      </w:r>
      <w:r>
        <w:t>is higher shall be the applicable cap.</w:t>
      </w:r>
    </w:p>
    <w:p w14:paraId="2EC3BE36" w14:textId="77777777" w:rsidR="0057052F" w:rsidRDefault="00EB20FF" w:rsidP="000252AB">
      <w:pPr>
        <w:pStyle w:val="Heading2"/>
        <w:numPr>
          <w:ilvl w:val="0"/>
          <w:numId w:val="4"/>
        </w:numPr>
        <w:tabs>
          <w:tab w:val="left" w:pos="832"/>
        </w:tabs>
        <w:spacing w:before="240"/>
      </w:pPr>
      <w:r>
        <w:t>Conferral</w:t>
      </w:r>
      <w:r>
        <w:rPr>
          <w:spacing w:val="-7"/>
        </w:rPr>
        <w:t xml:space="preserve"> </w:t>
      </w:r>
      <w:r>
        <w:t>of</w:t>
      </w:r>
      <w:r>
        <w:rPr>
          <w:spacing w:val="-6"/>
        </w:rPr>
        <w:t xml:space="preserve"> </w:t>
      </w:r>
      <w:r>
        <w:t>discretionary</w:t>
      </w:r>
      <w:r>
        <w:rPr>
          <w:spacing w:val="-6"/>
        </w:rPr>
        <w:t xml:space="preserve"> </w:t>
      </w:r>
      <w:r>
        <w:rPr>
          <w:spacing w:val="-2"/>
        </w:rPr>
        <w:t>authority</w:t>
      </w:r>
    </w:p>
    <w:p w14:paraId="2664E7B9" w14:textId="77777777" w:rsidR="0057052F" w:rsidRDefault="00EB20FF" w:rsidP="000252AB">
      <w:pPr>
        <w:pStyle w:val="ListParagraph"/>
        <w:numPr>
          <w:ilvl w:val="1"/>
          <w:numId w:val="4"/>
        </w:numPr>
        <w:tabs>
          <w:tab w:val="left" w:pos="832"/>
        </w:tabs>
        <w:spacing w:before="240"/>
        <w:ind w:right="116"/>
      </w:pPr>
      <w:r>
        <w:t>The Scheme confers on</w:t>
      </w:r>
      <w:r>
        <w:rPr>
          <w:spacing w:val="-2"/>
        </w:rPr>
        <w:t xml:space="preserve"> </w:t>
      </w:r>
      <w:r>
        <w:t xml:space="preserve">the ACS a discretionary authority, on application by a </w:t>
      </w:r>
      <w:r>
        <w:rPr>
          <w:w w:val="105"/>
        </w:rPr>
        <w:t>Participating</w:t>
      </w:r>
      <w:r>
        <w:rPr>
          <w:spacing w:val="-9"/>
          <w:w w:val="105"/>
        </w:rPr>
        <w:t xml:space="preserve"> </w:t>
      </w:r>
      <w:r>
        <w:rPr>
          <w:w w:val="105"/>
        </w:rPr>
        <w:t>Member,</w:t>
      </w:r>
      <w:r>
        <w:rPr>
          <w:spacing w:val="-10"/>
          <w:w w:val="105"/>
        </w:rPr>
        <w:t xml:space="preserve"> </w:t>
      </w:r>
      <w:r>
        <w:rPr>
          <w:w w:val="105"/>
        </w:rPr>
        <w:t>to</w:t>
      </w:r>
      <w:r>
        <w:rPr>
          <w:spacing w:val="-9"/>
          <w:w w:val="105"/>
        </w:rPr>
        <w:t xml:space="preserve"> </w:t>
      </w:r>
      <w:r>
        <w:rPr>
          <w:w w:val="105"/>
        </w:rPr>
        <w:t>specify</w:t>
      </w:r>
      <w:r>
        <w:rPr>
          <w:spacing w:val="-9"/>
          <w:w w:val="105"/>
        </w:rPr>
        <w:t xml:space="preserve"> </w:t>
      </w:r>
      <w:r>
        <w:rPr>
          <w:w w:val="105"/>
        </w:rPr>
        <w:t>in</w:t>
      </w:r>
      <w:r>
        <w:rPr>
          <w:spacing w:val="-6"/>
          <w:w w:val="105"/>
        </w:rPr>
        <w:t xml:space="preserve"> </w:t>
      </w:r>
      <w:r>
        <w:rPr>
          <w:w w:val="105"/>
        </w:rPr>
        <w:t>relation</w:t>
      </w:r>
      <w:r>
        <w:rPr>
          <w:spacing w:val="-6"/>
          <w:w w:val="105"/>
        </w:rPr>
        <w:t xml:space="preserve"> </w:t>
      </w:r>
      <w:r>
        <w:rPr>
          <w:w w:val="105"/>
        </w:rPr>
        <w:t>to</w:t>
      </w:r>
      <w:r>
        <w:rPr>
          <w:spacing w:val="-4"/>
          <w:w w:val="105"/>
        </w:rPr>
        <w:t xml:space="preserve"> </w:t>
      </w:r>
      <w:r>
        <w:rPr>
          <w:w w:val="105"/>
        </w:rPr>
        <w:t>that person</w:t>
      </w:r>
      <w:r>
        <w:rPr>
          <w:spacing w:val="-6"/>
          <w:w w:val="105"/>
        </w:rPr>
        <w:t xml:space="preserve"> </w:t>
      </w:r>
      <w:r>
        <w:rPr>
          <w:w w:val="105"/>
        </w:rPr>
        <w:t>a</w:t>
      </w:r>
      <w:r>
        <w:rPr>
          <w:spacing w:val="-4"/>
          <w:w w:val="105"/>
        </w:rPr>
        <w:t xml:space="preserve"> </w:t>
      </w:r>
      <w:r>
        <w:rPr>
          <w:w w:val="105"/>
        </w:rPr>
        <w:t>higher</w:t>
      </w:r>
      <w:r>
        <w:rPr>
          <w:spacing w:val="-1"/>
          <w:w w:val="105"/>
        </w:rPr>
        <w:t xml:space="preserve"> </w:t>
      </w:r>
      <w:r>
        <w:rPr>
          <w:w w:val="105"/>
        </w:rPr>
        <w:t>maximum amount</w:t>
      </w:r>
      <w:r>
        <w:rPr>
          <w:spacing w:val="-3"/>
          <w:w w:val="105"/>
        </w:rPr>
        <w:t xml:space="preserve"> </w:t>
      </w:r>
      <w:r>
        <w:rPr>
          <w:w w:val="105"/>
        </w:rPr>
        <w:t>of</w:t>
      </w:r>
      <w:r>
        <w:rPr>
          <w:spacing w:val="-3"/>
          <w:w w:val="105"/>
        </w:rPr>
        <w:t xml:space="preserve"> </w:t>
      </w:r>
      <w:r>
        <w:rPr>
          <w:w w:val="105"/>
        </w:rPr>
        <w:t>liability</w:t>
      </w:r>
      <w:r>
        <w:rPr>
          <w:spacing w:val="-3"/>
          <w:w w:val="105"/>
        </w:rPr>
        <w:t xml:space="preserve"> </w:t>
      </w:r>
      <w:r>
        <w:rPr>
          <w:w w:val="105"/>
        </w:rPr>
        <w:t>than</w:t>
      </w:r>
      <w:r>
        <w:rPr>
          <w:spacing w:val="-4"/>
          <w:w w:val="105"/>
        </w:rPr>
        <w:t xml:space="preserve"> </w:t>
      </w:r>
      <w:r>
        <w:rPr>
          <w:w w:val="105"/>
        </w:rPr>
        <w:t>would</w:t>
      </w:r>
      <w:r>
        <w:rPr>
          <w:spacing w:val="-4"/>
          <w:w w:val="105"/>
        </w:rPr>
        <w:t xml:space="preserve"> </w:t>
      </w:r>
      <w:r>
        <w:rPr>
          <w:w w:val="105"/>
        </w:rPr>
        <w:t>otherwise</w:t>
      </w:r>
      <w:r>
        <w:rPr>
          <w:spacing w:val="-4"/>
          <w:w w:val="105"/>
        </w:rPr>
        <w:t xml:space="preserve"> </w:t>
      </w:r>
      <w:r>
        <w:rPr>
          <w:w w:val="105"/>
        </w:rPr>
        <w:t>apply</w:t>
      </w:r>
      <w:r>
        <w:rPr>
          <w:spacing w:val="-1"/>
          <w:w w:val="105"/>
        </w:rPr>
        <w:t xml:space="preserve"> </w:t>
      </w:r>
      <w:r>
        <w:rPr>
          <w:w w:val="105"/>
        </w:rPr>
        <w:t>under</w:t>
      </w:r>
      <w:r>
        <w:rPr>
          <w:spacing w:val="-2"/>
          <w:w w:val="105"/>
        </w:rPr>
        <w:t xml:space="preserve"> </w:t>
      </w:r>
      <w:r>
        <w:rPr>
          <w:w w:val="105"/>
        </w:rPr>
        <w:t>the</w:t>
      </w:r>
      <w:r>
        <w:rPr>
          <w:spacing w:val="-6"/>
          <w:w w:val="105"/>
        </w:rPr>
        <w:t xml:space="preserve"> </w:t>
      </w:r>
      <w:r>
        <w:rPr>
          <w:w w:val="105"/>
        </w:rPr>
        <w:t>Scheme,</w:t>
      </w:r>
      <w:r>
        <w:rPr>
          <w:spacing w:val="-3"/>
          <w:w w:val="105"/>
        </w:rPr>
        <w:t xml:space="preserve"> </w:t>
      </w:r>
      <w:r>
        <w:rPr>
          <w:w w:val="105"/>
        </w:rPr>
        <w:t>in</w:t>
      </w:r>
      <w:r>
        <w:rPr>
          <w:spacing w:val="-4"/>
          <w:w w:val="105"/>
        </w:rPr>
        <w:t xml:space="preserve"> </w:t>
      </w:r>
      <w:r>
        <w:rPr>
          <w:w w:val="105"/>
        </w:rPr>
        <w:t>all</w:t>
      </w:r>
      <w:r>
        <w:rPr>
          <w:spacing w:val="-3"/>
          <w:w w:val="105"/>
        </w:rPr>
        <w:t xml:space="preserve"> </w:t>
      </w:r>
      <w:r>
        <w:rPr>
          <w:w w:val="105"/>
        </w:rPr>
        <w:t>cases</w:t>
      </w:r>
      <w:r>
        <w:rPr>
          <w:spacing w:val="-3"/>
          <w:w w:val="105"/>
        </w:rPr>
        <w:t xml:space="preserve"> </w:t>
      </w:r>
      <w:r>
        <w:rPr>
          <w:w w:val="105"/>
        </w:rPr>
        <w:t>or in any specified case</w:t>
      </w:r>
      <w:r>
        <w:rPr>
          <w:spacing w:val="-32"/>
          <w:w w:val="105"/>
        </w:rPr>
        <w:t xml:space="preserve"> </w:t>
      </w:r>
      <w:r>
        <w:rPr>
          <w:w w:val="105"/>
        </w:rPr>
        <w:t>or class of case.</w:t>
      </w:r>
    </w:p>
    <w:p w14:paraId="79545BB2" w14:textId="77777777" w:rsidR="0057052F" w:rsidRDefault="00EB20FF" w:rsidP="000252AB">
      <w:pPr>
        <w:pStyle w:val="Heading2"/>
        <w:numPr>
          <w:ilvl w:val="0"/>
          <w:numId w:val="4"/>
        </w:numPr>
        <w:tabs>
          <w:tab w:val="left" w:pos="832"/>
        </w:tabs>
        <w:spacing w:before="240"/>
      </w:pPr>
      <w:r>
        <w:t>Commencement</w:t>
      </w:r>
      <w:r>
        <w:rPr>
          <w:spacing w:val="-6"/>
        </w:rPr>
        <w:t xml:space="preserve"> </w:t>
      </w:r>
      <w:r>
        <w:t>and</w:t>
      </w:r>
      <w:r>
        <w:rPr>
          <w:spacing w:val="-9"/>
        </w:rPr>
        <w:t xml:space="preserve"> </w:t>
      </w:r>
      <w:r>
        <w:rPr>
          <w:spacing w:val="-2"/>
        </w:rPr>
        <w:t>Duration</w:t>
      </w:r>
    </w:p>
    <w:p w14:paraId="4981BCE1" w14:textId="77777777" w:rsidR="0057052F" w:rsidRDefault="00EB20FF" w:rsidP="000252AB">
      <w:pPr>
        <w:pStyle w:val="ListParagraph"/>
        <w:numPr>
          <w:ilvl w:val="1"/>
          <w:numId w:val="4"/>
        </w:numPr>
        <w:tabs>
          <w:tab w:val="left" w:pos="832"/>
        </w:tabs>
        <w:spacing w:before="240"/>
      </w:pPr>
      <w:r>
        <w:t>The</w:t>
      </w:r>
      <w:r>
        <w:rPr>
          <w:spacing w:val="-5"/>
        </w:rPr>
        <w:t xml:space="preserve"> </w:t>
      </w:r>
      <w:r>
        <w:t>Scheme</w:t>
      </w:r>
      <w:r>
        <w:rPr>
          <w:spacing w:val="-5"/>
        </w:rPr>
        <w:t xml:space="preserve"> </w:t>
      </w:r>
      <w:r>
        <w:t>is</w:t>
      </w:r>
      <w:r>
        <w:rPr>
          <w:spacing w:val="-2"/>
        </w:rPr>
        <w:t xml:space="preserve"> </w:t>
      </w:r>
      <w:r>
        <w:t>intended</w:t>
      </w:r>
      <w:r>
        <w:rPr>
          <w:spacing w:val="-10"/>
        </w:rPr>
        <w:t xml:space="preserve"> </w:t>
      </w:r>
      <w:r>
        <w:t>to</w:t>
      </w:r>
      <w:r>
        <w:rPr>
          <w:spacing w:val="-4"/>
        </w:rPr>
        <w:t xml:space="preserve"> </w:t>
      </w:r>
      <w:r>
        <w:t>commence</w:t>
      </w:r>
      <w:r>
        <w:rPr>
          <w:spacing w:val="-5"/>
        </w:rPr>
        <w:t xml:space="preserve"> </w:t>
      </w:r>
      <w:r>
        <w:t>on</w:t>
      </w:r>
      <w:r>
        <w:rPr>
          <w:spacing w:val="-7"/>
        </w:rPr>
        <w:t xml:space="preserve"> </w:t>
      </w:r>
      <w:r>
        <w:t>the</w:t>
      </w:r>
      <w:r>
        <w:rPr>
          <w:spacing w:val="-5"/>
        </w:rPr>
        <w:t xml:space="preserve"> </w:t>
      </w:r>
      <w:r>
        <w:t>following</w:t>
      </w:r>
      <w:r>
        <w:rPr>
          <w:spacing w:val="-2"/>
        </w:rPr>
        <w:t xml:space="preserve"> </w:t>
      </w:r>
      <w:r>
        <w:rPr>
          <w:spacing w:val="-4"/>
        </w:rPr>
        <w:t>day:</w:t>
      </w:r>
    </w:p>
    <w:p w14:paraId="1137D5B7" w14:textId="77777777" w:rsidR="0057052F" w:rsidRDefault="00EB20FF" w:rsidP="000252AB">
      <w:pPr>
        <w:pStyle w:val="ListParagraph"/>
        <w:numPr>
          <w:ilvl w:val="2"/>
          <w:numId w:val="4"/>
        </w:numPr>
        <w:tabs>
          <w:tab w:val="left" w:pos="1528"/>
        </w:tabs>
        <w:spacing w:before="240"/>
        <w:ind w:left="1528" w:hanging="697"/>
      </w:pPr>
      <w:r>
        <w:t>in</w:t>
      </w:r>
      <w:r>
        <w:rPr>
          <w:spacing w:val="-4"/>
        </w:rPr>
        <w:t xml:space="preserve"> </w:t>
      </w:r>
      <w:r>
        <w:t>New</w:t>
      </w:r>
      <w:r>
        <w:rPr>
          <w:spacing w:val="-5"/>
        </w:rPr>
        <w:t xml:space="preserve"> </w:t>
      </w:r>
      <w:r>
        <w:t>South</w:t>
      </w:r>
      <w:r>
        <w:rPr>
          <w:spacing w:val="-6"/>
        </w:rPr>
        <w:t xml:space="preserve"> </w:t>
      </w:r>
      <w:r>
        <w:t>Wales,</w:t>
      </w:r>
      <w:r>
        <w:rPr>
          <w:spacing w:val="-4"/>
        </w:rPr>
        <w:t xml:space="preserve"> </w:t>
      </w:r>
      <w:r>
        <w:t>the</w:t>
      </w:r>
      <w:r>
        <w:rPr>
          <w:spacing w:val="-4"/>
        </w:rPr>
        <w:t xml:space="preserve"> </w:t>
      </w:r>
      <w:r>
        <w:t>Northern</w:t>
      </w:r>
      <w:r>
        <w:rPr>
          <w:spacing w:val="-4"/>
        </w:rPr>
        <w:t xml:space="preserve"> </w:t>
      </w:r>
      <w:r>
        <w:t>Territory,</w:t>
      </w:r>
      <w:r>
        <w:rPr>
          <w:spacing w:val="-4"/>
        </w:rPr>
        <w:t xml:space="preserve"> </w:t>
      </w:r>
      <w:r>
        <w:t>Tasmania,</w:t>
      </w:r>
      <w:r>
        <w:rPr>
          <w:spacing w:val="-4"/>
        </w:rPr>
        <w:t xml:space="preserve"> </w:t>
      </w:r>
      <w:r>
        <w:t>Western</w:t>
      </w:r>
      <w:r>
        <w:rPr>
          <w:spacing w:val="-8"/>
        </w:rPr>
        <w:t xml:space="preserve"> </w:t>
      </w:r>
      <w:r>
        <w:t>Australia, Victoria, and Queensland, on 1 January 2025; and</w:t>
      </w:r>
    </w:p>
    <w:p w14:paraId="260E7605" w14:textId="77777777" w:rsidR="0057052F" w:rsidRDefault="00EB20FF" w:rsidP="000252AB">
      <w:pPr>
        <w:pStyle w:val="ListParagraph"/>
        <w:numPr>
          <w:ilvl w:val="2"/>
          <w:numId w:val="4"/>
        </w:numPr>
        <w:tabs>
          <w:tab w:val="left" w:pos="1528"/>
          <w:tab w:val="left" w:pos="1531"/>
        </w:tabs>
        <w:spacing w:before="240"/>
        <w:ind w:left="1530" w:hanging="697"/>
      </w:pPr>
      <w:r>
        <w:t>in</w:t>
      </w:r>
      <w:r>
        <w:rPr>
          <w:spacing w:val="-9"/>
        </w:rPr>
        <w:t xml:space="preserve"> </w:t>
      </w:r>
      <w:r>
        <w:t>the</w:t>
      </w:r>
      <w:r>
        <w:rPr>
          <w:spacing w:val="-9"/>
        </w:rPr>
        <w:t xml:space="preserve"> </w:t>
      </w:r>
      <w:r>
        <w:t>Australian</w:t>
      </w:r>
      <w:r>
        <w:rPr>
          <w:spacing w:val="-9"/>
        </w:rPr>
        <w:t xml:space="preserve"> </w:t>
      </w:r>
      <w:r>
        <w:t>Capital</w:t>
      </w:r>
      <w:r>
        <w:rPr>
          <w:spacing w:val="-12"/>
        </w:rPr>
        <w:t xml:space="preserve"> </w:t>
      </w:r>
      <w:r>
        <w:t>Territory</w:t>
      </w:r>
      <w:r>
        <w:rPr>
          <w:spacing w:val="-9"/>
        </w:rPr>
        <w:t xml:space="preserve"> </w:t>
      </w:r>
      <w:r>
        <w:t>and</w:t>
      </w:r>
      <w:r>
        <w:rPr>
          <w:spacing w:val="-9"/>
        </w:rPr>
        <w:t xml:space="preserve"> </w:t>
      </w:r>
      <w:r>
        <w:t>South</w:t>
      </w:r>
      <w:r>
        <w:rPr>
          <w:spacing w:val="-10"/>
        </w:rPr>
        <w:t xml:space="preserve"> </w:t>
      </w:r>
      <w:r>
        <w:t>Australia,</w:t>
      </w:r>
      <w:r>
        <w:rPr>
          <w:spacing w:val="-7"/>
        </w:rPr>
        <w:t xml:space="preserve"> </w:t>
      </w:r>
      <w:r>
        <w:t>on</w:t>
      </w:r>
      <w:r>
        <w:rPr>
          <w:spacing w:val="-10"/>
        </w:rPr>
        <w:t xml:space="preserve"> </w:t>
      </w:r>
      <w:r>
        <w:t>1</w:t>
      </w:r>
      <w:r>
        <w:rPr>
          <w:spacing w:val="-10"/>
        </w:rPr>
        <w:t xml:space="preserve"> </w:t>
      </w:r>
      <w:r>
        <w:t>January</w:t>
      </w:r>
      <w:r>
        <w:rPr>
          <w:spacing w:val="-9"/>
        </w:rPr>
        <w:t xml:space="preserve"> </w:t>
      </w:r>
      <w:r>
        <w:t>2025,</w:t>
      </w:r>
      <w:r>
        <w:rPr>
          <w:spacing w:val="-11"/>
        </w:rPr>
        <w:t xml:space="preserve"> </w:t>
      </w:r>
      <w:r>
        <w:t>or such other late date, provided</w:t>
      </w:r>
      <w:r>
        <w:rPr>
          <w:spacing w:val="-5"/>
        </w:rPr>
        <w:t xml:space="preserve"> </w:t>
      </w:r>
      <w:r>
        <w:t>the</w:t>
      </w:r>
      <w:r>
        <w:rPr>
          <w:spacing w:val="-1"/>
        </w:rPr>
        <w:t xml:space="preserve"> </w:t>
      </w:r>
      <w:r>
        <w:t>date is</w:t>
      </w:r>
      <w:r>
        <w:rPr>
          <w:spacing w:val="-3"/>
        </w:rPr>
        <w:t xml:space="preserve"> </w:t>
      </w:r>
      <w:r>
        <w:t>specified in</w:t>
      </w:r>
      <w:r>
        <w:rPr>
          <w:spacing w:val="-5"/>
        </w:rPr>
        <w:t xml:space="preserve"> </w:t>
      </w:r>
      <w:r>
        <w:t>the</w:t>
      </w:r>
      <w:r>
        <w:rPr>
          <w:spacing w:val="-1"/>
        </w:rPr>
        <w:t xml:space="preserve"> </w:t>
      </w:r>
      <w:r>
        <w:t>relevant Minister’s notice in relation to the Scheme; or</w:t>
      </w:r>
    </w:p>
    <w:p w14:paraId="13D25B8F" w14:textId="77777777" w:rsidR="0057052F" w:rsidRDefault="00EB20FF" w:rsidP="000252AB">
      <w:pPr>
        <w:pStyle w:val="ListParagraph"/>
        <w:numPr>
          <w:ilvl w:val="2"/>
          <w:numId w:val="4"/>
        </w:numPr>
        <w:tabs>
          <w:tab w:val="left" w:pos="1531"/>
        </w:tabs>
        <w:spacing w:before="240"/>
        <w:ind w:left="1530" w:hanging="697"/>
      </w:pPr>
      <w:r>
        <w:t>in</w:t>
      </w:r>
      <w:r>
        <w:rPr>
          <w:spacing w:val="-10"/>
        </w:rPr>
        <w:t xml:space="preserve"> </w:t>
      </w:r>
      <w:r>
        <w:t>all</w:t>
      </w:r>
      <w:r>
        <w:rPr>
          <w:spacing w:val="-11"/>
        </w:rPr>
        <w:t xml:space="preserve"> </w:t>
      </w:r>
      <w:r>
        <w:t>other</w:t>
      </w:r>
      <w:r>
        <w:rPr>
          <w:spacing w:val="-11"/>
        </w:rPr>
        <w:t xml:space="preserve"> </w:t>
      </w:r>
      <w:r>
        <w:t>cases,</w:t>
      </w:r>
      <w:r>
        <w:rPr>
          <w:spacing w:val="-8"/>
        </w:rPr>
        <w:t xml:space="preserve"> </w:t>
      </w:r>
      <w:r>
        <w:t>subject</w:t>
      </w:r>
      <w:r>
        <w:rPr>
          <w:spacing w:val="-12"/>
        </w:rPr>
        <w:t xml:space="preserve"> </w:t>
      </w:r>
      <w:r>
        <w:t>to</w:t>
      </w:r>
      <w:r>
        <w:rPr>
          <w:spacing w:val="-11"/>
        </w:rPr>
        <w:t xml:space="preserve"> </w:t>
      </w:r>
      <w:r>
        <w:t>the</w:t>
      </w:r>
      <w:r>
        <w:rPr>
          <w:spacing w:val="-11"/>
        </w:rPr>
        <w:t xml:space="preserve"> </w:t>
      </w:r>
      <w:r>
        <w:t>statutory</w:t>
      </w:r>
      <w:r>
        <w:rPr>
          <w:spacing w:val="-12"/>
        </w:rPr>
        <w:t xml:space="preserve"> </w:t>
      </w:r>
      <w:r>
        <w:t>provisions</w:t>
      </w:r>
      <w:r>
        <w:rPr>
          <w:spacing w:val="-11"/>
        </w:rPr>
        <w:t xml:space="preserve"> </w:t>
      </w:r>
      <w:r>
        <w:t>of</w:t>
      </w:r>
      <w:r>
        <w:rPr>
          <w:spacing w:val="-8"/>
        </w:rPr>
        <w:t xml:space="preserve"> </w:t>
      </w:r>
      <w:r>
        <w:t>each</w:t>
      </w:r>
      <w:r>
        <w:rPr>
          <w:spacing w:val="-10"/>
        </w:rPr>
        <w:t xml:space="preserve"> </w:t>
      </w:r>
      <w:r>
        <w:t xml:space="preserve">applicable </w:t>
      </w:r>
      <w:r>
        <w:rPr>
          <w:spacing w:val="-2"/>
        </w:rPr>
        <w:t>jurisdiction.</w:t>
      </w:r>
    </w:p>
    <w:p w14:paraId="3578199F" w14:textId="45CC7339" w:rsidR="0057052F" w:rsidRDefault="00EB20FF" w:rsidP="000252AB">
      <w:pPr>
        <w:pStyle w:val="ListParagraph"/>
        <w:numPr>
          <w:ilvl w:val="1"/>
          <w:numId w:val="4"/>
        </w:numPr>
        <w:tabs>
          <w:tab w:val="left" w:pos="821"/>
        </w:tabs>
        <w:spacing w:before="240"/>
        <w:ind w:left="822" w:hanging="709"/>
      </w:pPr>
      <w:r>
        <w:t>The</w:t>
      </w:r>
      <w:r w:rsidRPr="000252AB">
        <w:rPr>
          <w:spacing w:val="-4"/>
        </w:rPr>
        <w:t xml:space="preserve"> </w:t>
      </w:r>
      <w:r>
        <w:t>Scheme</w:t>
      </w:r>
      <w:r w:rsidRPr="000252AB">
        <w:rPr>
          <w:spacing w:val="-8"/>
        </w:rPr>
        <w:t xml:space="preserve"> </w:t>
      </w:r>
      <w:r>
        <w:t>will</w:t>
      </w:r>
      <w:r w:rsidRPr="000252AB">
        <w:rPr>
          <w:spacing w:val="-3"/>
        </w:rPr>
        <w:t xml:space="preserve"> </w:t>
      </w:r>
      <w:r>
        <w:t>be</w:t>
      </w:r>
      <w:r w:rsidRPr="000252AB">
        <w:rPr>
          <w:spacing w:val="-3"/>
        </w:rPr>
        <w:t xml:space="preserve"> </w:t>
      </w:r>
      <w:r>
        <w:t>in</w:t>
      </w:r>
      <w:r w:rsidRPr="000252AB">
        <w:rPr>
          <w:spacing w:val="-2"/>
        </w:rPr>
        <w:t xml:space="preserve"> </w:t>
      </w:r>
      <w:r>
        <w:t>force</w:t>
      </w:r>
      <w:r w:rsidRPr="000252AB">
        <w:rPr>
          <w:spacing w:val="-3"/>
        </w:rPr>
        <w:t xml:space="preserve"> </w:t>
      </w:r>
      <w:r>
        <w:t>for</w:t>
      </w:r>
      <w:r w:rsidRPr="000252AB">
        <w:rPr>
          <w:spacing w:val="-3"/>
        </w:rPr>
        <w:t xml:space="preserve"> </w:t>
      </w:r>
      <w:r>
        <w:t>a</w:t>
      </w:r>
      <w:r w:rsidRPr="000252AB">
        <w:rPr>
          <w:spacing w:val="-2"/>
        </w:rPr>
        <w:t xml:space="preserve"> </w:t>
      </w:r>
      <w:r>
        <w:t>period</w:t>
      </w:r>
      <w:r w:rsidRPr="000252AB">
        <w:rPr>
          <w:spacing w:val="-5"/>
        </w:rPr>
        <w:t xml:space="preserve"> </w:t>
      </w:r>
      <w:r>
        <w:t>of</w:t>
      </w:r>
      <w:r w:rsidRPr="000252AB">
        <w:rPr>
          <w:spacing w:val="-2"/>
        </w:rPr>
        <w:t xml:space="preserve"> </w:t>
      </w:r>
      <w:r>
        <w:t>five</w:t>
      </w:r>
      <w:r w:rsidRPr="000252AB">
        <w:rPr>
          <w:spacing w:val="-1"/>
        </w:rPr>
        <w:t xml:space="preserve"> </w:t>
      </w:r>
      <w:r>
        <w:t>(5)</w:t>
      </w:r>
      <w:r w:rsidRPr="000252AB">
        <w:rPr>
          <w:spacing w:val="-1"/>
        </w:rPr>
        <w:t xml:space="preserve"> </w:t>
      </w:r>
      <w:r>
        <w:t>years</w:t>
      </w:r>
      <w:r w:rsidRPr="000252AB">
        <w:rPr>
          <w:spacing w:val="-2"/>
        </w:rPr>
        <w:t xml:space="preserve"> </w:t>
      </w:r>
      <w:r>
        <w:t>from</w:t>
      </w:r>
      <w:r w:rsidRPr="000252AB">
        <w:rPr>
          <w:spacing w:val="-3"/>
        </w:rPr>
        <w:t xml:space="preserve"> </w:t>
      </w:r>
      <w:r>
        <w:t>the</w:t>
      </w:r>
      <w:r w:rsidRPr="000252AB">
        <w:rPr>
          <w:spacing w:val="-3"/>
        </w:rPr>
        <w:t xml:space="preserve"> </w:t>
      </w:r>
      <w:r>
        <w:t>date</w:t>
      </w:r>
      <w:r w:rsidRPr="000252AB">
        <w:rPr>
          <w:spacing w:val="-4"/>
        </w:rPr>
        <w:t xml:space="preserve"> </w:t>
      </w:r>
      <w:r>
        <w:t>of</w:t>
      </w:r>
      <w:r w:rsidRPr="000252AB">
        <w:rPr>
          <w:spacing w:val="-1"/>
        </w:rPr>
        <w:t xml:space="preserve"> </w:t>
      </w:r>
      <w:r w:rsidRPr="000252AB">
        <w:rPr>
          <w:spacing w:val="-5"/>
        </w:rPr>
        <w:t>its</w:t>
      </w:r>
      <w:r w:rsidR="000252AB" w:rsidRPr="000252AB">
        <w:rPr>
          <w:spacing w:val="-5"/>
        </w:rPr>
        <w:t xml:space="preserve"> </w:t>
      </w:r>
      <w:r>
        <w:lastRenderedPageBreak/>
        <w:t>commencement</w:t>
      </w:r>
      <w:r w:rsidRPr="000252AB">
        <w:rPr>
          <w:spacing w:val="-6"/>
        </w:rPr>
        <w:t xml:space="preserve"> </w:t>
      </w:r>
      <w:r>
        <w:t>in</w:t>
      </w:r>
      <w:r w:rsidRPr="000252AB">
        <w:rPr>
          <w:spacing w:val="-6"/>
        </w:rPr>
        <w:t xml:space="preserve"> </w:t>
      </w:r>
      <w:r>
        <w:t>New</w:t>
      </w:r>
      <w:r w:rsidRPr="000252AB">
        <w:rPr>
          <w:spacing w:val="-8"/>
        </w:rPr>
        <w:t xml:space="preserve"> </w:t>
      </w:r>
      <w:r>
        <w:t>South</w:t>
      </w:r>
      <w:r w:rsidRPr="000252AB">
        <w:rPr>
          <w:spacing w:val="-2"/>
        </w:rPr>
        <w:t xml:space="preserve"> Wales.</w:t>
      </w:r>
    </w:p>
    <w:p w14:paraId="352A8806" w14:textId="77777777" w:rsidR="0057052F" w:rsidRDefault="00EB20FF" w:rsidP="000252AB">
      <w:pPr>
        <w:pStyle w:val="ListParagraph"/>
        <w:numPr>
          <w:ilvl w:val="1"/>
          <w:numId w:val="4"/>
        </w:numPr>
        <w:tabs>
          <w:tab w:val="left" w:pos="820"/>
        </w:tabs>
        <w:spacing w:before="240"/>
        <w:ind w:left="820" w:hanging="708"/>
      </w:pPr>
      <w:r>
        <w:t>Clause</w:t>
      </w:r>
      <w:r>
        <w:rPr>
          <w:spacing w:val="-2"/>
        </w:rPr>
        <w:t xml:space="preserve"> </w:t>
      </w:r>
      <w:r>
        <w:t>6.2</w:t>
      </w:r>
      <w:r>
        <w:rPr>
          <w:spacing w:val="-2"/>
        </w:rPr>
        <w:t xml:space="preserve"> </w:t>
      </w:r>
      <w:r>
        <w:t>is</w:t>
      </w:r>
      <w:r>
        <w:rPr>
          <w:spacing w:val="-5"/>
        </w:rPr>
        <w:t xml:space="preserve"> </w:t>
      </w:r>
      <w:r>
        <w:t>subject</w:t>
      </w:r>
      <w:r>
        <w:rPr>
          <w:spacing w:val="-2"/>
        </w:rPr>
        <w:t xml:space="preserve"> </w:t>
      </w:r>
      <w:r>
        <w:t>to</w:t>
      </w:r>
      <w:r>
        <w:rPr>
          <w:spacing w:val="-6"/>
        </w:rPr>
        <w:t xml:space="preserve"> </w:t>
      </w:r>
      <w:r>
        <w:t>the</w:t>
      </w:r>
      <w:r>
        <w:rPr>
          <w:spacing w:val="-2"/>
        </w:rPr>
        <w:t xml:space="preserve"> </w:t>
      </w:r>
      <w:r>
        <w:t>provisions</w:t>
      </w:r>
      <w:r>
        <w:rPr>
          <w:spacing w:val="-3"/>
        </w:rPr>
        <w:t xml:space="preserve"> </w:t>
      </w:r>
      <w:r>
        <w:t>of</w:t>
      </w:r>
      <w:r>
        <w:rPr>
          <w:spacing w:val="-2"/>
        </w:rPr>
        <w:t xml:space="preserve"> </w:t>
      </w:r>
      <w:r>
        <w:t>the</w:t>
      </w:r>
      <w:r>
        <w:rPr>
          <w:spacing w:val="-4"/>
        </w:rPr>
        <w:t xml:space="preserve"> </w:t>
      </w:r>
      <w:r>
        <w:t>Professional</w:t>
      </w:r>
      <w:r>
        <w:rPr>
          <w:spacing w:val="-3"/>
        </w:rPr>
        <w:t xml:space="preserve"> </w:t>
      </w:r>
      <w:r>
        <w:t>Standards</w:t>
      </w:r>
      <w:r>
        <w:rPr>
          <w:spacing w:val="-5"/>
        </w:rPr>
        <w:t xml:space="preserve"> </w:t>
      </w:r>
      <w:r>
        <w:t>Legislation</w:t>
      </w:r>
      <w:r>
        <w:rPr>
          <w:spacing w:val="-2"/>
        </w:rPr>
        <w:t xml:space="preserve"> </w:t>
      </w:r>
      <w:r>
        <w:t>in each</w:t>
      </w:r>
      <w:r>
        <w:rPr>
          <w:spacing w:val="-1"/>
        </w:rPr>
        <w:t xml:space="preserve"> </w:t>
      </w:r>
      <w:r>
        <w:t>jurisdiction</w:t>
      </w:r>
      <w:r>
        <w:rPr>
          <w:spacing w:val="-1"/>
        </w:rPr>
        <w:t xml:space="preserve"> </w:t>
      </w:r>
      <w:r>
        <w:t>in</w:t>
      </w:r>
      <w:r>
        <w:rPr>
          <w:spacing w:val="-3"/>
        </w:rPr>
        <w:t xml:space="preserve"> </w:t>
      </w:r>
      <w:r>
        <w:t>relation</w:t>
      </w:r>
      <w:r>
        <w:rPr>
          <w:spacing w:val="-1"/>
        </w:rPr>
        <w:t xml:space="preserve"> </w:t>
      </w:r>
      <w:r>
        <w:t>to</w:t>
      </w:r>
      <w:r>
        <w:rPr>
          <w:spacing w:val="-3"/>
        </w:rPr>
        <w:t xml:space="preserve"> </w:t>
      </w:r>
      <w:r>
        <w:t>the</w:t>
      </w:r>
      <w:r>
        <w:rPr>
          <w:spacing w:val="-5"/>
        </w:rPr>
        <w:t xml:space="preserve"> </w:t>
      </w:r>
      <w:r>
        <w:t>revocation,</w:t>
      </w:r>
      <w:r>
        <w:rPr>
          <w:spacing w:val="-1"/>
        </w:rPr>
        <w:t xml:space="preserve"> </w:t>
      </w:r>
      <w:r>
        <w:t>extension,</w:t>
      </w:r>
      <w:r>
        <w:rPr>
          <w:spacing w:val="-1"/>
        </w:rPr>
        <w:t xml:space="preserve"> </w:t>
      </w:r>
      <w:r>
        <w:t>or</w:t>
      </w:r>
      <w:r>
        <w:rPr>
          <w:spacing w:val="-2"/>
        </w:rPr>
        <w:t xml:space="preserve"> </w:t>
      </w:r>
      <w:r>
        <w:t>cessation</w:t>
      </w:r>
      <w:r>
        <w:rPr>
          <w:spacing w:val="-1"/>
        </w:rPr>
        <w:t xml:space="preserve"> </w:t>
      </w:r>
      <w:r>
        <w:t>of</w:t>
      </w:r>
      <w:r>
        <w:rPr>
          <w:spacing w:val="-1"/>
        </w:rPr>
        <w:t xml:space="preserve"> </w:t>
      </w:r>
      <w:r>
        <w:t>a</w:t>
      </w:r>
      <w:r>
        <w:rPr>
          <w:spacing w:val="-5"/>
        </w:rPr>
        <w:t xml:space="preserve"> </w:t>
      </w:r>
      <w:r>
        <w:t>scheme.</w:t>
      </w:r>
    </w:p>
    <w:p w14:paraId="3BB126E5" w14:textId="77777777" w:rsidR="0057052F" w:rsidRDefault="00EB20FF" w:rsidP="000252AB">
      <w:pPr>
        <w:pStyle w:val="Heading2"/>
        <w:numPr>
          <w:ilvl w:val="0"/>
          <w:numId w:val="4"/>
        </w:numPr>
        <w:tabs>
          <w:tab w:val="left" w:pos="832"/>
        </w:tabs>
        <w:spacing w:before="240"/>
      </w:pPr>
      <w:r>
        <w:rPr>
          <w:spacing w:val="-2"/>
        </w:rPr>
        <w:t>Definitions</w:t>
      </w:r>
    </w:p>
    <w:p w14:paraId="10C79A8A" w14:textId="77777777" w:rsidR="000252AB" w:rsidRDefault="00EB20FF" w:rsidP="000252AB">
      <w:pPr>
        <w:pStyle w:val="ListParagraph"/>
        <w:numPr>
          <w:ilvl w:val="1"/>
          <w:numId w:val="4"/>
        </w:numPr>
        <w:tabs>
          <w:tab w:val="left" w:pos="832"/>
        </w:tabs>
        <w:spacing w:before="240"/>
        <w:ind w:left="833"/>
      </w:pPr>
      <w:r>
        <w:t>Relevant definitions</w:t>
      </w:r>
      <w:r>
        <w:rPr>
          <w:spacing w:val="-5"/>
        </w:rPr>
        <w:t xml:space="preserve"> </w:t>
      </w:r>
      <w:r>
        <w:t>for</w:t>
      </w:r>
      <w:r>
        <w:rPr>
          <w:spacing w:val="-8"/>
        </w:rPr>
        <w:t xml:space="preserve"> </w:t>
      </w:r>
      <w:r>
        <w:t>the</w:t>
      </w:r>
      <w:r>
        <w:rPr>
          <w:spacing w:val="-2"/>
        </w:rPr>
        <w:t xml:space="preserve"> </w:t>
      </w:r>
      <w:r>
        <w:t>purpose</w:t>
      </w:r>
      <w:r>
        <w:rPr>
          <w:spacing w:val="-4"/>
        </w:rPr>
        <w:t xml:space="preserve"> </w:t>
      </w:r>
      <w:r>
        <w:t>of</w:t>
      </w:r>
      <w:r>
        <w:rPr>
          <w:spacing w:val="-2"/>
        </w:rPr>
        <w:t xml:space="preserve"> </w:t>
      </w:r>
      <w:r>
        <w:t>the</w:t>
      </w:r>
      <w:r>
        <w:rPr>
          <w:spacing w:val="-4"/>
        </w:rPr>
        <w:t xml:space="preserve"> </w:t>
      </w:r>
      <w:r>
        <w:t>Scheme</w:t>
      </w:r>
      <w:r>
        <w:rPr>
          <w:spacing w:val="-4"/>
        </w:rPr>
        <w:t xml:space="preserve"> </w:t>
      </w:r>
      <w:r>
        <w:t>are</w:t>
      </w:r>
      <w:r>
        <w:rPr>
          <w:spacing w:val="-2"/>
        </w:rPr>
        <w:t xml:space="preserve"> </w:t>
      </w:r>
      <w:r>
        <w:t>as</w:t>
      </w:r>
      <w:r>
        <w:rPr>
          <w:spacing w:val="-5"/>
        </w:rPr>
        <w:t xml:space="preserve"> </w:t>
      </w:r>
      <w:r>
        <w:t xml:space="preserve">follows: </w:t>
      </w:r>
    </w:p>
    <w:p w14:paraId="47211F9D" w14:textId="77777777" w:rsidR="000252AB" w:rsidRDefault="00EB20FF" w:rsidP="000252AB">
      <w:pPr>
        <w:tabs>
          <w:tab w:val="left" w:pos="832"/>
        </w:tabs>
        <w:spacing w:before="240"/>
        <w:ind w:left="833"/>
        <w:rPr>
          <w:spacing w:val="40"/>
        </w:rPr>
      </w:pPr>
      <w:r>
        <w:t>“ACS” means the Australian Computer Society Incorporated.</w:t>
      </w:r>
      <w:r w:rsidRPr="000252AB">
        <w:rPr>
          <w:spacing w:val="40"/>
        </w:rPr>
        <w:t xml:space="preserve"> </w:t>
      </w:r>
    </w:p>
    <w:p w14:paraId="162DFB6E" w14:textId="3A2C0DFB" w:rsidR="0057052F" w:rsidRDefault="00EB20FF" w:rsidP="000252AB">
      <w:pPr>
        <w:tabs>
          <w:tab w:val="left" w:pos="832"/>
        </w:tabs>
        <w:spacing w:before="240"/>
        <w:ind w:left="833"/>
      </w:pPr>
      <w:r>
        <w:t xml:space="preserve">“Act” means the </w:t>
      </w:r>
      <w:r w:rsidRPr="000252AB">
        <w:rPr>
          <w:i/>
        </w:rPr>
        <w:t xml:space="preserve">Professional Standards Act 1994 </w:t>
      </w:r>
      <w:r>
        <w:t>(NSW).</w:t>
      </w:r>
    </w:p>
    <w:p w14:paraId="4B951987" w14:textId="77777777" w:rsidR="000252AB" w:rsidRDefault="00EB20FF" w:rsidP="000252AB">
      <w:pPr>
        <w:pStyle w:val="BodyText"/>
        <w:spacing w:before="240"/>
        <w:ind w:left="833"/>
      </w:pPr>
      <w:r>
        <w:t>“Council”</w:t>
      </w:r>
      <w:r>
        <w:rPr>
          <w:spacing w:val="-2"/>
        </w:rPr>
        <w:t xml:space="preserve"> </w:t>
      </w:r>
      <w:r>
        <w:t>means</w:t>
      </w:r>
      <w:r>
        <w:rPr>
          <w:spacing w:val="-6"/>
        </w:rPr>
        <w:t xml:space="preserve"> </w:t>
      </w:r>
      <w:r>
        <w:t>the</w:t>
      </w:r>
      <w:r>
        <w:rPr>
          <w:spacing w:val="-5"/>
        </w:rPr>
        <w:t xml:space="preserve"> </w:t>
      </w:r>
      <w:r>
        <w:t>Professional</w:t>
      </w:r>
      <w:r>
        <w:rPr>
          <w:spacing w:val="-4"/>
        </w:rPr>
        <w:t xml:space="preserve"> </w:t>
      </w:r>
      <w:r>
        <w:t>Standards</w:t>
      </w:r>
      <w:r>
        <w:rPr>
          <w:spacing w:val="-6"/>
        </w:rPr>
        <w:t xml:space="preserve"> </w:t>
      </w:r>
      <w:r>
        <w:t>Council</w:t>
      </w:r>
      <w:r>
        <w:rPr>
          <w:spacing w:val="-5"/>
        </w:rPr>
        <w:t xml:space="preserve"> </w:t>
      </w:r>
      <w:r>
        <w:t>established</w:t>
      </w:r>
      <w:r>
        <w:rPr>
          <w:spacing w:val="-3"/>
        </w:rPr>
        <w:t xml:space="preserve"> </w:t>
      </w:r>
      <w:r>
        <w:t>under</w:t>
      </w:r>
      <w:r>
        <w:rPr>
          <w:spacing w:val="-4"/>
        </w:rPr>
        <w:t xml:space="preserve"> </w:t>
      </w:r>
      <w:r>
        <w:t>the</w:t>
      </w:r>
      <w:r>
        <w:rPr>
          <w:spacing w:val="-3"/>
        </w:rPr>
        <w:t xml:space="preserve"> </w:t>
      </w:r>
      <w:r>
        <w:t xml:space="preserve">Act. </w:t>
      </w:r>
    </w:p>
    <w:p w14:paraId="7D137570" w14:textId="5CC6A42C" w:rsidR="0057052F" w:rsidRDefault="00EB20FF" w:rsidP="000252AB">
      <w:pPr>
        <w:pStyle w:val="BodyText"/>
        <w:spacing w:before="240"/>
        <w:ind w:left="833"/>
      </w:pPr>
      <w:r>
        <w:t>“Court” has the same meaning given in section 4 of the Act.</w:t>
      </w:r>
    </w:p>
    <w:p w14:paraId="74E6AFC9" w14:textId="77777777" w:rsidR="000252AB" w:rsidRDefault="00EB20FF" w:rsidP="000252AB">
      <w:pPr>
        <w:pStyle w:val="BodyText"/>
        <w:spacing w:before="240"/>
        <w:ind w:left="833"/>
      </w:pPr>
      <w:r>
        <w:t>“Damages”</w:t>
      </w:r>
      <w:r>
        <w:rPr>
          <w:spacing w:val="-5"/>
        </w:rPr>
        <w:t xml:space="preserve"> </w:t>
      </w:r>
      <w:r>
        <w:t>has</w:t>
      </w:r>
      <w:r>
        <w:rPr>
          <w:spacing w:val="-6"/>
        </w:rPr>
        <w:t xml:space="preserve"> </w:t>
      </w:r>
      <w:r>
        <w:t>the</w:t>
      </w:r>
      <w:r>
        <w:rPr>
          <w:spacing w:val="-6"/>
        </w:rPr>
        <w:t xml:space="preserve"> </w:t>
      </w:r>
      <w:r>
        <w:t>same</w:t>
      </w:r>
      <w:r>
        <w:rPr>
          <w:spacing w:val="-3"/>
        </w:rPr>
        <w:t xml:space="preserve"> </w:t>
      </w:r>
      <w:r>
        <w:t>meaning</w:t>
      </w:r>
      <w:r>
        <w:rPr>
          <w:spacing w:val="-3"/>
        </w:rPr>
        <w:t xml:space="preserve"> </w:t>
      </w:r>
      <w:r>
        <w:t>given</w:t>
      </w:r>
      <w:r>
        <w:rPr>
          <w:spacing w:val="-5"/>
        </w:rPr>
        <w:t xml:space="preserve"> </w:t>
      </w:r>
      <w:r>
        <w:t>in</w:t>
      </w:r>
      <w:r>
        <w:rPr>
          <w:spacing w:val="-1"/>
        </w:rPr>
        <w:t xml:space="preserve"> </w:t>
      </w:r>
      <w:r>
        <w:t>section</w:t>
      </w:r>
      <w:r>
        <w:rPr>
          <w:spacing w:val="-3"/>
        </w:rPr>
        <w:t xml:space="preserve"> </w:t>
      </w:r>
      <w:r>
        <w:t>4</w:t>
      </w:r>
      <w:r>
        <w:rPr>
          <w:spacing w:val="-3"/>
        </w:rPr>
        <w:t xml:space="preserve"> </w:t>
      </w:r>
      <w:r>
        <w:t>of</w:t>
      </w:r>
      <w:r>
        <w:rPr>
          <w:spacing w:val="-3"/>
        </w:rPr>
        <w:t xml:space="preserve"> </w:t>
      </w:r>
      <w:r>
        <w:t>the</w:t>
      </w:r>
      <w:r>
        <w:rPr>
          <w:spacing w:val="-3"/>
        </w:rPr>
        <w:t xml:space="preserve"> </w:t>
      </w:r>
      <w:r>
        <w:t xml:space="preserve">Act. </w:t>
      </w:r>
    </w:p>
    <w:p w14:paraId="6E8D38A7" w14:textId="32013F50" w:rsidR="0057052F" w:rsidRDefault="00EB20FF" w:rsidP="000252AB">
      <w:pPr>
        <w:pStyle w:val="BodyText"/>
        <w:spacing w:before="240"/>
        <w:ind w:left="833"/>
      </w:pPr>
      <w:r>
        <w:t>“Insurance Arrangement” means each of the following:</w:t>
      </w:r>
    </w:p>
    <w:p w14:paraId="3AC35F52" w14:textId="77777777" w:rsidR="0057052F" w:rsidRDefault="00EB20FF" w:rsidP="000252AB">
      <w:pPr>
        <w:pStyle w:val="ListParagraph"/>
        <w:numPr>
          <w:ilvl w:val="0"/>
          <w:numId w:val="3"/>
        </w:numPr>
        <w:tabs>
          <w:tab w:val="left" w:pos="1550"/>
        </w:tabs>
        <w:spacing w:before="240"/>
      </w:pPr>
      <w:r>
        <w:t>professional</w:t>
      </w:r>
      <w:r>
        <w:rPr>
          <w:spacing w:val="-9"/>
        </w:rPr>
        <w:t xml:space="preserve"> </w:t>
      </w:r>
      <w:r>
        <w:t>indemnity</w:t>
      </w:r>
      <w:r>
        <w:rPr>
          <w:spacing w:val="-6"/>
        </w:rPr>
        <w:t xml:space="preserve"> </w:t>
      </w:r>
      <w:r>
        <w:t>policy;</w:t>
      </w:r>
      <w:r>
        <w:rPr>
          <w:spacing w:val="-7"/>
        </w:rPr>
        <w:t xml:space="preserve"> </w:t>
      </w:r>
      <w:r>
        <w:rPr>
          <w:spacing w:val="-5"/>
        </w:rPr>
        <w:t>and</w:t>
      </w:r>
    </w:p>
    <w:p w14:paraId="6F4F082D" w14:textId="77777777" w:rsidR="0057052F" w:rsidRDefault="00EB20FF" w:rsidP="000252AB">
      <w:pPr>
        <w:pStyle w:val="ListParagraph"/>
        <w:numPr>
          <w:ilvl w:val="0"/>
          <w:numId w:val="3"/>
        </w:numPr>
        <w:tabs>
          <w:tab w:val="left" w:pos="1528"/>
        </w:tabs>
        <w:spacing w:before="240"/>
        <w:ind w:left="1528" w:hanging="697"/>
      </w:pPr>
      <w:r>
        <w:t>if</w:t>
      </w:r>
      <w:r>
        <w:rPr>
          <w:spacing w:val="-1"/>
        </w:rPr>
        <w:t xml:space="preserve"> </w:t>
      </w:r>
      <w:r>
        <w:t>applicable,</w:t>
      </w:r>
      <w:r>
        <w:rPr>
          <w:spacing w:val="-1"/>
        </w:rPr>
        <w:t xml:space="preserve"> </w:t>
      </w:r>
      <w:r>
        <w:t>any</w:t>
      </w:r>
      <w:r>
        <w:rPr>
          <w:spacing w:val="-6"/>
        </w:rPr>
        <w:t xml:space="preserve"> </w:t>
      </w:r>
      <w:r>
        <w:t>other</w:t>
      </w:r>
      <w:r>
        <w:rPr>
          <w:spacing w:val="-2"/>
        </w:rPr>
        <w:t xml:space="preserve"> </w:t>
      </w:r>
      <w:r>
        <w:t>insurance</w:t>
      </w:r>
      <w:r>
        <w:rPr>
          <w:spacing w:val="-3"/>
        </w:rPr>
        <w:t xml:space="preserve"> </w:t>
      </w:r>
      <w:r>
        <w:t>necessary</w:t>
      </w:r>
      <w:r>
        <w:rPr>
          <w:spacing w:val="-6"/>
        </w:rPr>
        <w:t xml:space="preserve"> </w:t>
      </w:r>
      <w:r>
        <w:t>for</w:t>
      </w:r>
      <w:r>
        <w:rPr>
          <w:spacing w:val="-4"/>
        </w:rPr>
        <w:t xml:space="preserve"> </w:t>
      </w:r>
      <w:r>
        <w:t>a</w:t>
      </w:r>
      <w:r>
        <w:rPr>
          <w:spacing w:val="-5"/>
        </w:rPr>
        <w:t xml:space="preserve"> </w:t>
      </w:r>
      <w:r>
        <w:t>Participating</w:t>
      </w:r>
      <w:r>
        <w:rPr>
          <w:spacing w:val="-5"/>
        </w:rPr>
        <w:t xml:space="preserve"> </w:t>
      </w:r>
      <w:r>
        <w:t>Member</w:t>
      </w:r>
      <w:r>
        <w:rPr>
          <w:spacing w:val="-4"/>
        </w:rPr>
        <w:t xml:space="preserve"> </w:t>
      </w:r>
      <w:r>
        <w:t>to cover their Occupational Liability (e.g. cyber liability insurance).</w:t>
      </w:r>
    </w:p>
    <w:p w14:paraId="1371D840" w14:textId="77777777" w:rsidR="0057052F" w:rsidRDefault="00EB20FF" w:rsidP="000252AB">
      <w:pPr>
        <w:pStyle w:val="BodyText"/>
        <w:spacing w:before="240"/>
        <w:ind w:left="832"/>
      </w:pPr>
      <w:r>
        <w:t>“Insurance</w:t>
      </w:r>
      <w:r>
        <w:rPr>
          <w:spacing w:val="-2"/>
        </w:rPr>
        <w:t xml:space="preserve"> </w:t>
      </w:r>
      <w:r>
        <w:t>Standards”</w:t>
      </w:r>
      <w:r>
        <w:rPr>
          <w:spacing w:val="-3"/>
        </w:rPr>
        <w:t xml:space="preserve"> </w:t>
      </w:r>
      <w:r>
        <w:t>means</w:t>
      </w:r>
      <w:r>
        <w:rPr>
          <w:spacing w:val="-3"/>
        </w:rPr>
        <w:t xml:space="preserve"> </w:t>
      </w:r>
      <w:r>
        <w:t>the</w:t>
      </w:r>
      <w:r>
        <w:rPr>
          <w:spacing w:val="-4"/>
        </w:rPr>
        <w:t xml:space="preserve"> </w:t>
      </w:r>
      <w:r>
        <w:t>document</w:t>
      </w:r>
      <w:r>
        <w:rPr>
          <w:spacing w:val="-3"/>
        </w:rPr>
        <w:t xml:space="preserve"> </w:t>
      </w:r>
      <w:r>
        <w:t>issued</w:t>
      </w:r>
      <w:r>
        <w:rPr>
          <w:spacing w:val="-2"/>
        </w:rPr>
        <w:t xml:space="preserve"> </w:t>
      </w:r>
      <w:r>
        <w:t>by</w:t>
      </w:r>
      <w:r>
        <w:rPr>
          <w:spacing w:val="-3"/>
        </w:rPr>
        <w:t xml:space="preserve"> </w:t>
      </w:r>
      <w:r>
        <w:t>ACS</w:t>
      </w:r>
      <w:r>
        <w:rPr>
          <w:spacing w:val="-4"/>
        </w:rPr>
        <w:t xml:space="preserve"> </w:t>
      </w:r>
      <w:r>
        <w:t>pursuant</w:t>
      </w:r>
      <w:r>
        <w:rPr>
          <w:spacing w:val="-2"/>
        </w:rPr>
        <w:t xml:space="preserve"> </w:t>
      </w:r>
      <w:r>
        <w:t>to</w:t>
      </w:r>
      <w:r>
        <w:rPr>
          <w:spacing w:val="-6"/>
        </w:rPr>
        <w:t xml:space="preserve"> </w:t>
      </w:r>
      <w:r>
        <w:t>Section</w:t>
      </w:r>
      <w:r>
        <w:rPr>
          <w:spacing w:val="-4"/>
        </w:rPr>
        <w:t xml:space="preserve"> </w:t>
      </w:r>
      <w:r>
        <w:t>34</w:t>
      </w:r>
      <w:r>
        <w:rPr>
          <w:spacing w:val="-4"/>
        </w:rPr>
        <w:t xml:space="preserve"> </w:t>
      </w:r>
      <w:r>
        <w:t>of the Act and entitled ‘ACS Insurance Standards’.</w:t>
      </w:r>
    </w:p>
    <w:p w14:paraId="1181D623" w14:textId="77777777" w:rsidR="0057052F" w:rsidRDefault="00EB20FF" w:rsidP="000252AB">
      <w:pPr>
        <w:pStyle w:val="BodyText"/>
        <w:spacing w:before="240"/>
        <w:ind w:left="832"/>
      </w:pPr>
      <w:r>
        <w:t>“Member”</w:t>
      </w:r>
      <w:r>
        <w:rPr>
          <w:spacing w:val="-7"/>
        </w:rPr>
        <w:t xml:space="preserve"> </w:t>
      </w:r>
      <w:r>
        <w:t>means</w:t>
      </w:r>
      <w:r>
        <w:rPr>
          <w:spacing w:val="-6"/>
        </w:rPr>
        <w:t xml:space="preserve"> </w:t>
      </w:r>
      <w:r>
        <w:t>a</w:t>
      </w:r>
      <w:r>
        <w:rPr>
          <w:spacing w:val="-7"/>
        </w:rPr>
        <w:t xml:space="preserve"> </w:t>
      </w:r>
      <w:r>
        <w:t>Member,</w:t>
      </w:r>
      <w:r>
        <w:rPr>
          <w:spacing w:val="-6"/>
        </w:rPr>
        <w:t xml:space="preserve"> </w:t>
      </w:r>
      <w:r>
        <w:t>Senior</w:t>
      </w:r>
      <w:r>
        <w:rPr>
          <w:spacing w:val="-4"/>
        </w:rPr>
        <w:t xml:space="preserve"> </w:t>
      </w:r>
      <w:r>
        <w:t>Member or</w:t>
      </w:r>
      <w:r>
        <w:rPr>
          <w:spacing w:val="-4"/>
        </w:rPr>
        <w:t xml:space="preserve"> </w:t>
      </w:r>
      <w:r>
        <w:t>Fellow</w:t>
      </w:r>
      <w:r>
        <w:rPr>
          <w:spacing w:val="-4"/>
        </w:rPr>
        <w:t xml:space="preserve"> </w:t>
      </w:r>
      <w:r>
        <w:t>of</w:t>
      </w:r>
      <w:r>
        <w:rPr>
          <w:spacing w:val="-2"/>
        </w:rPr>
        <w:t xml:space="preserve"> </w:t>
      </w:r>
      <w:r>
        <w:t>the</w:t>
      </w:r>
      <w:r>
        <w:rPr>
          <w:spacing w:val="-4"/>
        </w:rPr>
        <w:t xml:space="preserve"> ACS.</w:t>
      </w:r>
    </w:p>
    <w:p w14:paraId="5D7CE498" w14:textId="77777777" w:rsidR="0057052F" w:rsidRDefault="00EB20FF" w:rsidP="000252AB">
      <w:pPr>
        <w:pStyle w:val="BodyText"/>
        <w:spacing w:before="240"/>
        <w:ind w:left="832"/>
      </w:pPr>
      <w:r>
        <w:t>“Monetary</w:t>
      </w:r>
      <w:r>
        <w:rPr>
          <w:spacing w:val="-9"/>
        </w:rPr>
        <w:t xml:space="preserve"> </w:t>
      </w:r>
      <w:r>
        <w:t>Ceiling”</w:t>
      </w:r>
      <w:r>
        <w:rPr>
          <w:spacing w:val="-5"/>
        </w:rPr>
        <w:t xml:space="preserve"> </w:t>
      </w:r>
      <w:r>
        <w:t>means</w:t>
      </w:r>
      <w:r>
        <w:rPr>
          <w:spacing w:val="-4"/>
        </w:rPr>
        <w:t xml:space="preserve"> </w:t>
      </w:r>
      <w:r>
        <w:t>the</w:t>
      </w:r>
      <w:r>
        <w:rPr>
          <w:spacing w:val="-8"/>
        </w:rPr>
        <w:t xml:space="preserve"> </w:t>
      </w:r>
      <w:r>
        <w:t>monetary</w:t>
      </w:r>
      <w:r>
        <w:rPr>
          <w:spacing w:val="-6"/>
        </w:rPr>
        <w:t xml:space="preserve"> </w:t>
      </w:r>
      <w:r>
        <w:t>ceiling</w:t>
      </w:r>
      <w:r>
        <w:rPr>
          <w:spacing w:val="-6"/>
        </w:rPr>
        <w:t xml:space="preserve"> </w:t>
      </w:r>
      <w:r>
        <w:t>specified</w:t>
      </w:r>
      <w:r>
        <w:rPr>
          <w:spacing w:val="-9"/>
        </w:rPr>
        <w:t xml:space="preserve"> </w:t>
      </w:r>
      <w:r>
        <w:t>in</w:t>
      </w:r>
      <w:r>
        <w:rPr>
          <w:spacing w:val="-9"/>
        </w:rPr>
        <w:t xml:space="preserve"> </w:t>
      </w:r>
      <w:r>
        <w:t>clause</w:t>
      </w:r>
      <w:r>
        <w:rPr>
          <w:spacing w:val="-8"/>
        </w:rPr>
        <w:t xml:space="preserve"> </w:t>
      </w:r>
      <w:r>
        <w:t>4.3</w:t>
      </w:r>
      <w:r>
        <w:rPr>
          <w:spacing w:val="-7"/>
        </w:rPr>
        <w:t xml:space="preserve"> </w:t>
      </w:r>
      <w:r>
        <w:t>of</w:t>
      </w:r>
      <w:r>
        <w:rPr>
          <w:spacing w:val="-10"/>
        </w:rPr>
        <w:t xml:space="preserve"> </w:t>
      </w:r>
      <w:r>
        <w:t>the</w:t>
      </w:r>
      <w:r>
        <w:rPr>
          <w:spacing w:val="-7"/>
        </w:rPr>
        <w:t xml:space="preserve"> </w:t>
      </w:r>
      <w:r>
        <w:rPr>
          <w:spacing w:val="-2"/>
        </w:rPr>
        <w:t>Scheme.</w:t>
      </w:r>
    </w:p>
    <w:p w14:paraId="7997031E" w14:textId="77777777" w:rsidR="0057052F" w:rsidRDefault="00EB20FF" w:rsidP="000252AB">
      <w:pPr>
        <w:pStyle w:val="BodyText"/>
        <w:spacing w:before="240"/>
        <w:ind w:left="832"/>
      </w:pPr>
      <w:r>
        <w:t>“Occupation”</w:t>
      </w:r>
      <w:r>
        <w:rPr>
          <w:spacing w:val="-4"/>
        </w:rPr>
        <w:t xml:space="preserve"> </w:t>
      </w:r>
      <w:r>
        <w:t>means</w:t>
      </w:r>
      <w:r>
        <w:rPr>
          <w:spacing w:val="-4"/>
        </w:rPr>
        <w:t xml:space="preserve"> </w:t>
      </w:r>
      <w:r>
        <w:t>the</w:t>
      </w:r>
      <w:r>
        <w:rPr>
          <w:spacing w:val="-7"/>
        </w:rPr>
        <w:t xml:space="preserve"> </w:t>
      </w:r>
      <w:r>
        <w:t>occupational</w:t>
      </w:r>
      <w:r>
        <w:rPr>
          <w:spacing w:val="-4"/>
        </w:rPr>
        <w:t xml:space="preserve"> </w:t>
      </w:r>
      <w:r>
        <w:t>vocation</w:t>
      </w:r>
      <w:r>
        <w:rPr>
          <w:spacing w:val="-5"/>
        </w:rPr>
        <w:t xml:space="preserve"> </w:t>
      </w:r>
      <w:r>
        <w:t>carried</w:t>
      </w:r>
      <w:r>
        <w:rPr>
          <w:spacing w:val="-3"/>
        </w:rPr>
        <w:t xml:space="preserve"> </w:t>
      </w:r>
      <w:r>
        <w:t>out</w:t>
      </w:r>
      <w:r>
        <w:rPr>
          <w:spacing w:val="-3"/>
        </w:rPr>
        <w:t xml:space="preserve"> </w:t>
      </w:r>
      <w:r>
        <w:t>by</w:t>
      </w:r>
      <w:r>
        <w:rPr>
          <w:spacing w:val="-6"/>
        </w:rPr>
        <w:t xml:space="preserve"> </w:t>
      </w:r>
      <w:r>
        <w:t>Participating</w:t>
      </w:r>
      <w:r>
        <w:rPr>
          <w:spacing w:val="-5"/>
        </w:rPr>
        <w:t xml:space="preserve"> </w:t>
      </w:r>
      <w:r>
        <w:t>Members by application of the qualifications, training, skills, practices, disciplines, specialisations, standards, guidelines and experience of an ordinary person who holds the ACS designation of Certified Professional.</w:t>
      </w:r>
    </w:p>
    <w:p w14:paraId="315F83F8" w14:textId="77777777" w:rsidR="0057052F" w:rsidRDefault="00EB20FF" w:rsidP="000252AB">
      <w:pPr>
        <w:pStyle w:val="BodyText"/>
        <w:spacing w:before="240"/>
        <w:ind w:left="832"/>
      </w:pPr>
      <w:r>
        <w:t>“Occupational Liability” means civil liability arising (in tort, contract or otherwise) directly</w:t>
      </w:r>
      <w:r>
        <w:rPr>
          <w:spacing w:val="-1"/>
        </w:rPr>
        <w:t xml:space="preserve"> </w:t>
      </w:r>
      <w:r>
        <w:t>or</w:t>
      </w:r>
      <w:r>
        <w:rPr>
          <w:spacing w:val="-1"/>
        </w:rPr>
        <w:t xml:space="preserve"> </w:t>
      </w:r>
      <w:r>
        <w:t>vicariously</w:t>
      </w:r>
      <w:r>
        <w:rPr>
          <w:spacing w:val="-3"/>
        </w:rPr>
        <w:t xml:space="preserve"> </w:t>
      </w:r>
      <w:r>
        <w:t>from</w:t>
      </w:r>
      <w:r>
        <w:rPr>
          <w:spacing w:val="-3"/>
        </w:rPr>
        <w:t xml:space="preserve"> </w:t>
      </w:r>
      <w:r>
        <w:t>anything</w:t>
      </w:r>
      <w:r>
        <w:rPr>
          <w:spacing w:val="-2"/>
        </w:rPr>
        <w:t xml:space="preserve"> </w:t>
      </w:r>
      <w:r>
        <w:t>done</w:t>
      </w:r>
      <w:r>
        <w:rPr>
          <w:spacing w:val="-4"/>
        </w:rPr>
        <w:t xml:space="preserve"> </w:t>
      </w:r>
      <w:r>
        <w:t>or</w:t>
      </w:r>
      <w:r>
        <w:rPr>
          <w:spacing w:val="-3"/>
        </w:rPr>
        <w:t xml:space="preserve"> </w:t>
      </w:r>
      <w:r>
        <w:t>omitted</w:t>
      </w:r>
      <w:r>
        <w:rPr>
          <w:spacing w:val="-4"/>
        </w:rPr>
        <w:t xml:space="preserve"> </w:t>
      </w:r>
      <w:r>
        <w:t>by</w:t>
      </w:r>
      <w:r>
        <w:rPr>
          <w:spacing w:val="-3"/>
        </w:rPr>
        <w:t xml:space="preserve"> </w:t>
      </w:r>
      <w:r>
        <w:t>a</w:t>
      </w:r>
      <w:r>
        <w:rPr>
          <w:spacing w:val="-4"/>
        </w:rPr>
        <w:t xml:space="preserve"> </w:t>
      </w:r>
      <w:r>
        <w:t>Participating</w:t>
      </w:r>
      <w:r>
        <w:rPr>
          <w:spacing w:val="-4"/>
        </w:rPr>
        <w:t xml:space="preserve"> </w:t>
      </w:r>
      <w:r>
        <w:t>Member</w:t>
      </w:r>
      <w:r>
        <w:rPr>
          <w:spacing w:val="-3"/>
        </w:rPr>
        <w:t xml:space="preserve"> </w:t>
      </w:r>
      <w:r>
        <w:t>acting in the performance of their Occupation.</w:t>
      </w:r>
    </w:p>
    <w:p w14:paraId="6C8B5F9E" w14:textId="77777777" w:rsidR="0057052F" w:rsidRDefault="00EB20FF" w:rsidP="000252AB">
      <w:pPr>
        <w:pStyle w:val="BodyText"/>
        <w:spacing w:before="240"/>
        <w:ind w:left="832"/>
      </w:pPr>
      <w:r>
        <w:t>“Participating</w:t>
      </w:r>
      <w:r>
        <w:rPr>
          <w:spacing w:val="-7"/>
        </w:rPr>
        <w:t xml:space="preserve"> </w:t>
      </w:r>
      <w:r>
        <w:t>Member”</w:t>
      </w:r>
      <w:r>
        <w:rPr>
          <w:spacing w:val="-5"/>
        </w:rPr>
        <w:t xml:space="preserve"> </w:t>
      </w:r>
      <w:r>
        <w:t>means</w:t>
      </w:r>
      <w:r>
        <w:rPr>
          <w:spacing w:val="-6"/>
        </w:rPr>
        <w:t xml:space="preserve"> </w:t>
      </w:r>
      <w:r>
        <w:t>a</w:t>
      </w:r>
      <w:r>
        <w:rPr>
          <w:spacing w:val="-8"/>
        </w:rPr>
        <w:t xml:space="preserve"> </w:t>
      </w:r>
      <w:r>
        <w:t>Member</w:t>
      </w:r>
      <w:r>
        <w:rPr>
          <w:spacing w:val="-3"/>
        </w:rPr>
        <w:t xml:space="preserve"> </w:t>
      </w:r>
      <w:r>
        <w:rPr>
          <w:spacing w:val="-4"/>
        </w:rPr>
        <w:t>who:</w:t>
      </w:r>
    </w:p>
    <w:p w14:paraId="39E012EE" w14:textId="77777777" w:rsidR="0057052F" w:rsidRDefault="00EB20FF" w:rsidP="000252AB">
      <w:pPr>
        <w:pStyle w:val="ListParagraph"/>
        <w:numPr>
          <w:ilvl w:val="0"/>
          <w:numId w:val="2"/>
        </w:numPr>
        <w:tabs>
          <w:tab w:val="left" w:pos="1552"/>
        </w:tabs>
        <w:spacing w:before="240"/>
      </w:pPr>
      <w:r>
        <w:t>holds</w:t>
      </w:r>
      <w:r>
        <w:rPr>
          <w:spacing w:val="-6"/>
        </w:rPr>
        <w:t xml:space="preserve"> </w:t>
      </w:r>
      <w:r>
        <w:t>the</w:t>
      </w:r>
      <w:r>
        <w:rPr>
          <w:spacing w:val="-5"/>
        </w:rPr>
        <w:t xml:space="preserve"> </w:t>
      </w:r>
      <w:r>
        <w:t>ACS</w:t>
      </w:r>
      <w:r>
        <w:rPr>
          <w:spacing w:val="-10"/>
        </w:rPr>
        <w:t xml:space="preserve"> </w:t>
      </w:r>
      <w:r>
        <w:t>designation</w:t>
      </w:r>
      <w:r>
        <w:rPr>
          <w:spacing w:val="-7"/>
        </w:rPr>
        <w:t xml:space="preserve"> </w:t>
      </w:r>
      <w:r>
        <w:t>of</w:t>
      </w:r>
      <w:r>
        <w:rPr>
          <w:spacing w:val="-7"/>
        </w:rPr>
        <w:t xml:space="preserve"> </w:t>
      </w:r>
      <w:r>
        <w:t>Certified</w:t>
      </w:r>
      <w:r>
        <w:rPr>
          <w:spacing w:val="-5"/>
        </w:rPr>
        <w:t xml:space="preserve"> </w:t>
      </w:r>
      <w:r>
        <w:t>Professional;</w:t>
      </w:r>
      <w:r>
        <w:rPr>
          <w:spacing w:val="-5"/>
        </w:rPr>
        <w:t xml:space="preserve"> and</w:t>
      </w:r>
    </w:p>
    <w:p w14:paraId="7AB97AF4" w14:textId="77777777" w:rsidR="0057052F" w:rsidRDefault="00EB20FF" w:rsidP="000252AB">
      <w:pPr>
        <w:pStyle w:val="ListParagraph"/>
        <w:numPr>
          <w:ilvl w:val="0"/>
          <w:numId w:val="2"/>
        </w:numPr>
        <w:tabs>
          <w:tab w:val="left" w:pos="1552"/>
        </w:tabs>
        <w:spacing w:before="240"/>
        <w:ind w:hanging="721"/>
      </w:pPr>
      <w:r>
        <w:t>has</w:t>
      </w:r>
      <w:r>
        <w:rPr>
          <w:spacing w:val="-12"/>
        </w:rPr>
        <w:t xml:space="preserve"> </w:t>
      </w:r>
      <w:r>
        <w:t>not</w:t>
      </w:r>
      <w:r>
        <w:rPr>
          <w:spacing w:val="-11"/>
        </w:rPr>
        <w:t xml:space="preserve"> </w:t>
      </w:r>
      <w:r>
        <w:t>been</w:t>
      </w:r>
      <w:r>
        <w:rPr>
          <w:spacing w:val="-13"/>
        </w:rPr>
        <w:t xml:space="preserve"> </w:t>
      </w:r>
      <w:r>
        <w:t>exempted</w:t>
      </w:r>
      <w:r>
        <w:rPr>
          <w:spacing w:val="-15"/>
        </w:rPr>
        <w:t xml:space="preserve"> </w:t>
      </w:r>
      <w:r>
        <w:t>from</w:t>
      </w:r>
      <w:r>
        <w:rPr>
          <w:spacing w:val="-12"/>
        </w:rPr>
        <w:t xml:space="preserve"> </w:t>
      </w:r>
      <w:r>
        <w:t>participation</w:t>
      </w:r>
      <w:r>
        <w:rPr>
          <w:spacing w:val="-13"/>
        </w:rPr>
        <w:t xml:space="preserve"> </w:t>
      </w:r>
      <w:r>
        <w:t>in</w:t>
      </w:r>
      <w:r>
        <w:rPr>
          <w:spacing w:val="-15"/>
        </w:rPr>
        <w:t xml:space="preserve"> </w:t>
      </w:r>
      <w:r>
        <w:t>the</w:t>
      </w:r>
      <w:r>
        <w:rPr>
          <w:spacing w:val="-13"/>
        </w:rPr>
        <w:t xml:space="preserve"> </w:t>
      </w:r>
      <w:r>
        <w:t>Scheme</w:t>
      </w:r>
      <w:r>
        <w:rPr>
          <w:spacing w:val="-11"/>
        </w:rPr>
        <w:t xml:space="preserve"> </w:t>
      </w:r>
      <w:r>
        <w:t>pursuant</w:t>
      </w:r>
      <w:r>
        <w:rPr>
          <w:spacing w:val="-13"/>
        </w:rPr>
        <w:t xml:space="preserve"> </w:t>
      </w:r>
      <w:r>
        <w:t>to</w:t>
      </w:r>
      <w:r>
        <w:rPr>
          <w:spacing w:val="-11"/>
        </w:rPr>
        <w:t xml:space="preserve"> </w:t>
      </w:r>
      <w:r>
        <w:t>clause</w:t>
      </w:r>
      <w:r>
        <w:rPr>
          <w:spacing w:val="-11"/>
        </w:rPr>
        <w:t xml:space="preserve"> </w:t>
      </w:r>
      <w:r>
        <w:t>2.3 of the Scheme.</w:t>
      </w:r>
    </w:p>
    <w:p w14:paraId="38AED834" w14:textId="77777777" w:rsidR="0057052F" w:rsidRDefault="00EB20FF" w:rsidP="000252AB">
      <w:pPr>
        <w:pStyle w:val="BodyText"/>
        <w:spacing w:before="240"/>
        <w:ind w:left="832"/>
      </w:pPr>
      <w:r>
        <w:t>“Professional</w:t>
      </w:r>
      <w:r>
        <w:rPr>
          <w:spacing w:val="-11"/>
        </w:rPr>
        <w:t xml:space="preserve"> </w:t>
      </w:r>
      <w:r>
        <w:t>Standards</w:t>
      </w:r>
      <w:r>
        <w:rPr>
          <w:spacing w:val="-12"/>
        </w:rPr>
        <w:t xml:space="preserve"> </w:t>
      </w:r>
      <w:r>
        <w:t>Legislation”</w:t>
      </w:r>
      <w:r>
        <w:rPr>
          <w:spacing w:val="-8"/>
        </w:rPr>
        <w:t xml:space="preserve"> </w:t>
      </w:r>
      <w:r>
        <w:rPr>
          <w:spacing w:val="-2"/>
        </w:rPr>
        <w:t>means:</w:t>
      </w:r>
    </w:p>
    <w:p w14:paraId="40BA43DD" w14:textId="77777777" w:rsidR="0057052F" w:rsidRDefault="00EB20FF" w:rsidP="000252AB">
      <w:pPr>
        <w:pStyle w:val="ListParagraph"/>
        <w:numPr>
          <w:ilvl w:val="0"/>
          <w:numId w:val="1"/>
        </w:numPr>
        <w:tabs>
          <w:tab w:val="left" w:pos="1552"/>
        </w:tabs>
        <w:spacing w:before="240"/>
      </w:pPr>
      <w:r>
        <w:t>the</w:t>
      </w:r>
      <w:r>
        <w:rPr>
          <w:spacing w:val="1"/>
        </w:rPr>
        <w:t xml:space="preserve"> </w:t>
      </w:r>
      <w:r>
        <w:rPr>
          <w:spacing w:val="-4"/>
        </w:rPr>
        <w:t>Act;</w:t>
      </w:r>
    </w:p>
    <w:p w14:paraId="217542D9" w14:textId="77777777" w:rsidR="0057052F" w:rsidRDefault="00EB20FF" w:rsidP="000252AB">
      <w:pPr>
        <w:pStyle w:val="ListParagraph"/>
        <w:numPr>
          <w:ilvl w:val="0"/>
          <w:numId w:val="1"/>
        </w:numPr>
        <w:tabs>
          <w:tab w:val="left" w:pos="1552"/>
        </w:tabs>
        <w:spacing w:before="240"/>
      </w:pPr>
      <w:r>
        <w:rPr>
          <w:i/>
        </w:rPr>
        <w:t>Professional</w:t>
      </w:r>
      <w:r>
        <w:rPr>
          <w:i/>
          <w:spacing w:val="-6"/>
        </w:rPr>
        <w:t xml:space="preserve"> </w:t>
      </w:r>
      <w:r>
        <w:rPr>
          <w:i/>
        </w:rPr>
        <w:t>Standards</w:t>
      </w:r>
      <w:r>
        <w:rPr>
          <w:i/>
          <w:spacing w:val="-9"/>
        </w:rPr>
        <w:t xml:space="preserve"> </w:t>
      </w:r>
      <w:r>
        <w:rPr>
          <w:i/>
        </w:rPr>
        <w:t>Act</w:t>
      </w:r>
      <w:r>
        <w:rPr>
          <w:i/>
          <w:spacing w:val="-4"/>
        </w:rPr>
        <w:t xml:space="preserve"> </w:t>
      </w:r>
      <w:r>
        <w:rPr>
          <w:i/>
        </w:rPr>
        <w:t>1994</w:t>
      </w:r>
      <w:r>
        <w:rPr>
          <w:i/>
          <w:spacing w:val="-8"/>
        </w:rPr>
        <w:t xml:space="preserve"> </w:t>
      </w:r>
      <w:r>
        <w:rPr>
          <w:spacing w:val="-2"/>
        </w:rPr>
        <w:t>(NSW);</w:t>
      </w:r>
    </w:p>
    <w:p w14:paraId="700DE3E6" w14:textId="77777777" w:rsidR="0057052F" w:rsidRDefault="00EB20FF" w:rsidP="000252AB">
      <w:pPr>
        <w:pStyle w:val="ListParagraph"/>
        <w:keepNext/>
        <w:numPr>
          <w:ilvl w:val="0"/>
          <w:numId w:val="1"/>
        </w:numPr>
        <w:tabs>
          <w:tab w:val="left" w:pos="1552"/>
        </w:tabs>
        <w:spacing w:before="240"/>
        <w:ind w:left="1553"/>
      </w:pPr>
      <w:r>
        <w:rPr>
          <w:i/>
        </w:rPr>
        <w:lastRenderedPageBreak/>
        <w:t>Professional</w:t>
      </w:r>
      <w:r>
        <w:rPr>
          <w:i/>
          <w:spacing w:val="-6"/>
        </w:rPr>
        <w:t xml:space="preserve"> </w:t>
      </w:r>
      <w:r>
        <w:rPr>
          <w:i/>
        </w:rPr>
        <w:t>Standards</w:t>
      </w:r>
      <w:r>
        <w:rPr>
          <w:i/>
          <w:spacing w:val="-9"/>
        </w:rPr>
        <w:t xml:space="preserve"> </w:t>
      </w:r>
      <w:r>
        <w:rPr>
          <w:i/>
        </w:rPr>
        <w:t>Act</w:t>
      </w:r>
      <w:r>
        <w:rPr>
          <w:i/>
          <w:spacing w:val="-4"/>
        </w:rPr>
        <w:t xml:space="preserve"> </w:t>
      </w:r>
      <w:r>
        <w:rPr>
          <w:i/>
        </w:rPr>
        <w:t>2004</w:t>
      </w:r>
      <w:r>
        <w:rPr>
          <w:i/>
          <w:spacing w:val="-8"/>
        </w:rPr>
        <w:t xml:space="preserve"> </w:t>
      </w:r>
      <w:r>
        <w:rPr>
          <w:spacing w:val="-2"/>
        </w:rPr>
        <w:t>(Qld);</w:t>
      </w:r>
    </w:p>
    <w:p w14:paraId="1B51CB1C" w14:textId="77777777" w:rsidR="0057052F" w:rsidRDefault="00EB20FF" w:rsidP="000252AB">
      <w:pPr>
        <w:pStyle w:val="ListParagraph"/>
        <w:numPr>
          <w:ilvl w:val="0"/>
          <w:numId w:val="1"/>
        </w:numPr>
        <w:tabs>
          <w:tab w:val="left" w:pos="1550"/>
        </w:tabs>
        <w:spacing w:before="240"/>
        <w:ind w:left="1550" w:hanging="718"/>
      </w:pPr>
      <w:r>
        <w:rPr>
          <w:i/>
        </w:rPr>
        <w:t>Professional</w:t>
      </w:r>
      <w:r>
        <w:rPr>
          <w:i/>
          <w:spacing w:val="-6"/>
        </w:rPr>
        <w:t xml:space="preserve"> </w:t>
      </w:r>
      <w:r>
        <w:rPr>
          <w:i/>
        </w:rPr>
        <w:t>Standards</w:t>
      </w:r>
      <w:r>
        <w:rPr>
          <w:i/>
          <w:spacing w:val="-9"/>
        </w:rPr>
        <w:t xml:space="preserve"> </w:t>
      </w:r>
      <w:r>
        <w:rPr>
          <w:i/>
        </w:rPr>
        <w:t>Act</w:t>
      </w:r>
      <w:r>
        <w:rPr>
          <w:i/>
          <w:spacing w:val="-4"/>
        </w:rPr>
        <w:t xml:space="preserve"> </w:t>
      </w:r>
      <w:r>
        <w:rPr>
          <w:i/>
        </w:rPr>
        <w:t>2004</w:t>
      </w:r>
      <w:r>
        <w:rPr>
          <w:i/>
          <w:spacing w:val="-6"/>
        </w:rPr>
        <w:t xml:space="preserve"> </w:t>
      </w:r>
      <w:r>
        <w:rPr>
          <w:spacing w:val="-4"/>
        </w:rPr>
        <w:t>(SA);</w:t>
      </w:r>
    </w:p>
    <w:p w14:paraId="2BE9C265" w14:textId="77777777" w:rsidR="0057052F" w:rsidRDefault="00EB20FF" w:rsidP="000252AB">
      <w:pPr>
        <w:pStyle w:val="ListParagraph"/>
        <w:numPr>
          <w:ilvl w:val="0"/>
          <w:numId w:val="1"/>
        </w:numPr>
        <w:tabs>
          <w:tab w:val="left" w:pos="1550"/>
        </w:tabs>
        <w:spacing w:before="240"/>
        <w:ind w:left="1550" w:hanging="718"/>
      </w:pPr>
      <w:r>
        <w:rPr>
          <w:i/>
        </w:rPr>
        <w:t>Professional</w:t>
      </w:r>
      <w:r>
        <w:rPr>
          <w:i/>
          <w:spacing w:val="-6"/>
        </w:rPr>
        <w:t xml:space="preserve"> </w:t>
      </w:r>
      <w:r>
        <w:rPr>
          <w:i/>
        </w:rPr>
        <w:t>Standards</w:t>
      </w:r>
      <w:r>
        <w:rPr>
          <w:i/>
          <w:spacing w:val="-8"/>
        </w:rPr>
        <w:t xml:space="preserve"> </w:t>
      </w:r>
      <w:r>
        <w:rPr>
          <w:i/>
        </w:rPr>
        <w:t>Act</w:t>
      </w:r>
      <w:r>
        <w:rPr>
          <w:i/>
          <w:spacing w:val="-5"/>
        </w:rPr>
        <w:t xml:space="preserve"> </w:t>
      </w:r>
      <w:r>
        <w:rPr>
          <w:i/>
        </w:rPr>
        <w:t>2005</w:t>
      </w:r>
      <w:r>
        <w:rPr>
          <w:i/>
          <w:spacing w:val="-6"/>
        </w:rPr>
        <w:t xml:space="preserve"> </w:t>
      </w:r>
      <w:r>
        <w:rPr>
          <w:spacing w:val="-2"/>
        </w:rPr>
        <w:t>(Tas);</w:t>
      </w:r>
    </w:p>
    <w:p w14:paraId="67E197CD" w14:textId="77777777" w:rsidR="0057052F" w:rsidRDefault="00EB20FF" w:rsidP="000252AB">
      <w:pPr>
        <w:pStyle w:val="ListParagraph"/>
        <w:numPr>
          <w:ilvl w:val="0"/>
          <w:numId w:val="1"/>
        </w:numPr>
        <w:tabs>
          <w:tab w:val="left" w:pos="1552"/>
        </w:tabs>
        <w:spacing w:before="240"/>
      </w:pPr>
      <w:r>
        <w:rPr>
          <w:i/>
        </w:rPr>
        <w:t>Professional</w:t>
      </w:r>
      <w:r>
        <w:rPr>
          <w:i/>
          <w:spacing w:val="-6"/>
        </w:rPr>
        <w:t xml:space="preserve"> </w:t>
      </w:r>
      <w:r>
        <w:rPr>
          <w:i/>
        </w:rPr>
        <w:t>Standards</w:t>
      </w:r>
      <w:r>
        <w:rPr>
          <w:i/>
          <w:spacing w:val="-9"/>
        </w:rPr>
        <w:t xml:space="preserve"> </w:t>
      </w:r>
      <w:r>
        <w:rPr>
          <w:i/>
        </w:rPr>
        <w:t>Act</w:t>
      </w:r>
      <w:r>
        <w:rPr>
          <w:i/>
          <w:spacing w:val="-4"/>
        </w:rPr>
        <w:t xml:space="preserve"> </w:t>
      </w:r>
      <w:r>
        <w:rPr>
          <w:i/>
        </w:rPr>
        <w:t>1997</w:t>
      </w:r>
      <w:r>
        <w:rPr>
          <w:i/>
          <w:spacing w:val="-8"/>
        </w:rPr>
        <w:t xml:space="preserve"> </w:t>
      </w:r>
      <w:r>
        <w:rPr>
          <w:spacing w:val="-4"/>
        </w:rPr>
        <w:t>(WA);</w:t>
      </w:r>
    </w:p>
    <w:p w14:paraId="3A8081B7" w14:textId="77777777" w:rsidR="0057052F" w:rsidRDefault="00EB20FF" w:rsidP="000252AB">
      <w:pPr>
        <w:pStyle w:val="ListParagraph"/>
        <w:numPr>
          <w:ilvl w:val="0"/>
          <w:numId w:val="1"/>
        </w:numPr>
        <w:tabs>
          <w:tab w:val="left" w:pos="1550"/>
        </w:tabs>
        <w:spacing w:before="240"/>
        <w:ind w:left="1550" w:hanging="718"/>
      </w:pPr>
      <w:r>
        <w:rPr>
          <w:i/>
        </w:rPr>
        <w:t>Professional</w:t>
      </w:r>
      <w:r>
        <w:rPr>
          <w:i/>
          <w:spacing w:val="-6"/>
        </w:rPr>
        <w:t xml:space="preserve"> </w:t>
      </w:r>
      <w:r>
        <w:rPr>
          <w:i/>
        </w:rPr>
        <w:t>Standards</w:t>
      </w:r>
      <w:r>
        <w:rPr>
          <w:i/>
          <w:spacing w:val="-7"/>
        </w:rPr>
        <w:t xml:space="preserve"> </w:t>
      </w:r>
      <w:r>
        <w:rPr>
          <w:i/>
        </w:rPr>
        <w:t>Act</w:t>
      </w:r>
      <w:r>
        <w:rPr>
          <w:i/>
          <w:spacing w:val="-5"/>
        </w:rPr>
        <w:t xml:space="preserve"> </w:t>
      </w:r>
      <w:r>
        <w:rPr>
          <w:i/>
        </w:rPr>
        <w:t>2004</w:t>
      </w:r>
      <w:r>
        <w:rPr>
          <w:i/>
          <w:spacing w:val="-6"/>
        </w:rPr>
        <w:t xml:space="preserve"> </w:t>
      </w:r>
      <w:r>
        <w:t>(NT);</w:t>
      </w:r>
      <w:r>
        <w:rPr>
          <w:spacing w:val="-2"/>
        </w:rPr>
        <w:t xml:space="preserve"> </w:t>
      </w:r>
      <w:r>
        <w:rPr>
          <w:spacing w:val="-5"/>
        </w:rPr>
        <w:t>and</w:t>
      </w:r>
    </w:p>
    <w:p w14:paraId="7CD6F9C6" w14:textId="77777777" w:rsidR="0057052F" w:rsidRDefault="00EB20FF" w:rsidP="000252AB">
      <w:pPr>
        <w:pStyle w:val="ListParagraph"/>
        <w:numPr>
          <w:ilvl w:val="0"/>
          <w:numId w:val="1"/>
        </w:numPr>
        <w:tabs>
          <w:tab w:val="left" w:pos="1550"/>
        </w:tabs>
        <w:spacing w:before="240"/>
        <w:ind w:left="1550" w:hanging="718"/>
      </w:pPr>
      <w:r>
        <w:rPr>
          <w:i/>
        </w:rPr>
        <w:t>Civil</w:t>
      </w:r>
      <w:r>
        <w:rPr>
          <w:i/>
          <w:spacing w:val="-6"/>
        </w:rPr>
        <w:t xml:space="preserve"> </w:t>
      </w:r>
      <w:r>
        <w:rPr>
          <w:i/>
        </w:rPr>
        <w:t>Law</w:t>
      </w:r>
      <w:r>
        <w:rPr>
          <w:i/>
          <w:spacing w:val="-5"/>
        </w:rPr>
        <w:t xml:space="preserve"> </w:t>
      </w:r>
      <w:r>
        <w:rPr>
          <w:i/>
        </w:rPr>
        <w:t>(Wrongs)</w:t>
      </w:r>
      <w:r>
        <w:rPr>
          <w:i/>
          <w:spacing w:val="-3"/>
        </w:rPr>
        <w:t xml:space="preserve"> </w:t>
      </w:r>
      <w:r>
        <w:rPr>
          <w:i/>
        </w:rPr>
        <w:t>Act</w:t>
      </w:r>
      <w:r>
        <w:rPr>
          <w:i/>
          <w:spacing w:val="-2"/>
        </w:rPr>
        <w:t xml:space="preserve"> </w:t>
      </w:r>
      <w:r>
        <w:rPr>
          <w:i/>
        </w:rPr>
        <w:t>2002</w:t>
      </w:r>
      <w:r>
        <w:rPr>
          <w:i/>
          <w:spacing w:val="-3"/>
        </w:rPr>
        <w:t xml:space="preserve"> </w:t>
      </w:r>
      <w:r>
        <w:rPr>
          <w:spacing w:val="-2"/>
        </w:rPr>
        <w:t>(ACT).</w:t>
      </w:r>
    </w:p>
    <w:p w14:paraId="5E3913A5" w14:textId="77777777" w:rsidR="0057052F" w:rsidRDefault="00EB20FF" w:rsidP="000252AB">
      <w:pPr>
        <w:pStyle w:val="BodyText"/>
        <w:spacing w:before="240"/>
        <w:ind w:left="832"/>
      </w:pPr>
      <w:r>
        <w:t>“Scheme”</w:t>
      </w:r>
      <w:r>
        <w:rPr>
          <w:spacing w:val="-7"/>
        </w:rPr>
        <w:t xml:space="preserve"> </w:t>
      </w:r>
      <w:r>
        <w:t>means</w:t>
      </w:r>
      <w:r>
        <w:rPr>
          <w:spacing w:val="-6"/>
        </w:rPr>
        <w:t xml:space="preserve"> </w:t>
      </w:r>
      <w:r>
        <w:t>the</w:t>
      </w:r>
      <w:r>
        <w:rPr>
          <w:spacing w:val="-8"/>
        </w:rPr>
        <w:t xml:space="preserve"> </w:t>
      </w:r>
      <w:r>
        <w:t>ACS</w:t>
      </w:r>
      <w:r>
        <w:rPr>
          <w:spacing w:val="-3"/>
        </w:rPr>
        <w:t xml:space="preserve"> </w:t>
      </w:r>
      <w:r>
        <w:t>Professional</w:t>
      </w:r>
      <w:r>
        <w:rPr>
          <w:spacing w:val="-5"/>
        </w:rPr>
        <w:t xml:space="preserve"> </w:t>
      </w:r>
      <w:r>
        <w:t>Standards</w:t>
      </w:r>
      <w:r>
        <w:rPr>
          <w:spacing w:val="-2"/>
        </w:rPr>
        <w:t xml:space="preserve"> </w:t>
      </w:r>
      <w:r>
        <w:t>Scheme</w:t>
      </w:r>
      <w:r>
        <w:rPr>
          <w:spacing w:val="-7"/>
        </w:rPr>
        <w:t xml:space="preserve"> </w:t>
      </w:r>
      <w:r>
        <w:t>set</w:t>
      </w:r>
      <w:r>
        <w:rPr>
          <w:spacing w:val="-3"/>
        </w:rPr>
        <w:t xml:space="preserve"> </w:t>
      </w:r>
      <w:r>
        <w:t>out</w:t>
      </w:r>
      <w:r>
        <w:rPr>
          <w:spacing w:val="-4"/>
        </w:rPr>
        <w:t xml:space="preserve"> </w:t>
      </w:r>
      <w:r>
        <w:t>in</w:t>
      </w:r>
      <w:r>
        <w:rPr>
          <w:spacing w:val="-5"/>
        </w:rPr>
        <w:t xml:space="preserve"> </w:t>
      </w:r>
      <w:r>
        <w:t>this</w:t>
      </w:r>
      <w:r>
        <w:rPr>
          <w:spacing w:val="-6"/>
        </w:rPr>
        <w:t xml:space="preserve"> </w:t>
      </w:r>
      <w:r>
        <w:rPr>
          <w:spacing w:val="-2"/>
        </w:rPr>
        <w:t>document.</w:t>
      </w:r>
    </w:p>
    <w:p w14:paraId="4EB37E60" w14:textId="77777777" w:rsidR="0057052F" w:rsidRPr="000252AB" w:rsidRDefault="0057052F" w:rsidP="000252AB">
      <w:pPr>
        <w:pStyle w:val="BodyText"/>
        <w:spacing w:before="240"/>
      </w:pPr>
    </w:p>
    <w:sectPr w:rsidR="0057052F" w:rsidRPr="000252AB" w:rsidSect="000252AB">
      <w:pgSz w:w="11910" w:h="16840" w:code="9"/>
      <w:pgMar w:top="1531" w:right="1361" w:bottom="1531"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B384" w14:textId="77777777" w:rsidR="00E23BB7" w:rsidRDefault="00E23BB7">
      <w:r>
        <w:separator/>
      </w:r>
    </w:p>
  </w:endnote>
  <w:endnote w:type="continuationSeparator" w:id="0">
    <w:p w14:paraId="469DB467" w14:textId="77777777" w:rsidR="00E23BB7" w:rsidRDefault="00E2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30A3" w14:textId="77777777" w:rsidR="003D5D9E" w:rsidRDefault="003D5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73297"/>
      <w:docPartObj>
        <w:docPartGallery w:val="Page Numbers (Bottom of Page)"/>
        <w:docPartUnique/>
      </w:docPartObj>
    </w:sdtPr>
    <w:sdtEndPr>
      <w:rPr>
        <w:noProof/>
      </w:rPr>
    </w:sdtEndPr>
    <w:sdtContent>
      <w:p w14:paraId="2F81FB45" w14:textId="2B956247" w:rsidR="000252AB" w:rsidRDefault="000252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C8EA9" w14:textId="21DC7A14" w:rsidR="0057052F" w:rsidRPr="003D5D9E" w:rsidRDefault="003D5D9E" w:rsidP="003D5D9E">
    <w:pPr>
      <w:spacing w:before="120"/>
      <w:jc w:val="center"/>
      <w:rPr>
        <w:sz w:val="14"/>
        <w:szCs w:val="14"/>
      </w:rPr>
    </w:pPr>
    <w:r w:rsidRPr="003D5D9E">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14AA" w14:textId="77777777" w:rsidR="003D5D9E" w:rsidRDefault="003D5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1472" w14:textId="77777777" w:rsidR="00E23BB7" w:rsidRDefault="00E23BB7">
      <w:r>
        <w:separator/>
      </w:r>
    </w:p>
  </w:footnote>
  <w:footnote w:type="continuationSeparator" w:id="0">
    <w:p w14:paraId="1DFB8827" w14:textId="77777777" w:rsidR="00E23BB7" w:rsidRDefault="00E23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0114" w14:textId="77777777" w:rsidR="003D5D9E" w:rsidRDefault="003D5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0542" w14:textId="77777777" w:rsidR="003D5D9E" w:rsidRDefault="003D5D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5518" w14:textId="77777777" w:rsidR="003D5D9E" w:rsidRDefault="003D5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285B"/>
    <w:multiLevelType w:val="hybridMultilevel"/>
    <w:tmpl w:val="AFAA8102"/>
    <w:lvl w:ilvl="0" w:tplc="0C090011">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 w15:restartNumberingAfterBreak="0">
    <w:nsid w:val="361624AA"/>
    <w:multiLevelType w:val="hybridMultilevel"/>
    <w:tmpl w:val="94B08D96"/>
    <w:lvl w:ilvl="0" w:tplc="2F486DA2">
      <w:start w:val="1"/>
      <w:numFmt w:val="lowerLetter"/>
      <w:lvlText w:val="(%1)"/>
      <w:lvlJc w:val="left"/>
      <w:pPr>
        <w:ind w:left="1552" w:hanging="720"/>
        <w:jc w:val="left"/>
      </w:pPr>
      <w:rPr>
        <w:rFonts w:ascii="Arial" w:eastAsia="Arial" w:hAnsi="Arial" w:cs="Arial" w:hint="default"/>
        <w:b w:val="0"/>
        <w:bCs w:val="0"/>
        <w:i w:val="0"/>
        <w:iCs w:val="0"/>
        <w:spacing w:val="-2"/>
        <w:w w:val="100"/>
        <w:sz w:val="22"/>
        <w:szCs w:val="22"/>
        <w:lang w:val="en-US" w:eastAsia="en-US" w:bidi="ar-SA"/>
      </w:rPr>
    </w:lvl>
    <w:lvl w:ilvl="1" w:tplc="423078DA">
      <w:numFmt w:val="bullet"/>
      <w:lvlText w:val="•"/>
      <w:lvlJc w:val="left"/>
      <w:pPr>
        <w:ind w:left="2334" w:hanging="720"/>
      </w:pPr>
      <w:rPr>
        <w:rFonts w:hint="default"/>
        <w:lang w:val="en-US" w:eastAsia="en-US" w:bidi="ar-SA"/>
      </w:rPr>
    </w:lvl>
    <w:lvl w:ilvl="2" w:tplc="CFD231AA">
      <w:numFmt w:val="bullet"/>
      <w:lvlText w:val="•"/>
      <w:lvlJc w:val="left"/>
      <w:pPr>
        <w:ind w:left="3109" w:hanging="720"/>
      </w:pPr>
      <w:rPr>
        <w:rFonts w:hint="default"/>
        <w:lang w:val="en-US" w:eastAsia="en-US" w:bidi="ar-SA"/>
      </w:rPr>
    </w:lvl>
    <w:lvl w:ilvl="3" w:tplc="B8FE773A">
      <w:numFmt w:val="bullet"/>
      <w:lvlText w:val="•"/>
      <w:lvlJc w:val="left"/>
      <w:pPr>
        <w:ind w:left="3883" w:hanging="720"/>
      </w:pPr>
      <w:rPr>
        <w:rFonts w:hint="default"/>
        <w:lang w:val="en-US" w:eastAsia="en-US" w:bidi="ar-SA"/>
      </w:rPr>
    </w:lvl>
    <w:lvl w:ilvl="4" w:tplc="5BF2C7CC">
      <w:numFmt w:val="bullet"/>
      <w:lvlText w:val="•"/>
      <w:lvlJc w:val="left"/>
      <w:pPr>
        <w:ind w:left="4658" w:hanging="720"/>
      </w:pPr>
      <w:rPr>
        <w:rFonts w:hint="default"/>
        <w:lang w:val="en-US" w:eastAsia="en-US" w:bidi="ar-SA"/>
      </w:rPr>
    </w:lvl>
    <w:lvl w:ilvl="5" w:tplc="7A047DC0">
      <w:numFmt w:val="bullet"/>
      <w:lvlText w:val="•"/>
      <w:lvlJc w:val="left"/>
      <w:pPr>
        <w:ind w:left="5433" w:hanging="720"/>
      </w:pPr>
      <w:rPr>
        <w:rFonts w:hint="default"/>
        <w:lang w:val="en-US" w:eastAsia="en-US" w:bidi="ar-SA"/>
      </w:rPr>
    </w:lvl>
    <w:lvl w:ilvl="6" w:tplc="A190BC80">
      <w:numFmt w:val="bullet"/>
      <w:lvlText w:val="•"/>
      <w:lvlJc w:val="left"/>
      <w:pPr>
        <w:ind w:left="6207" w:hanging="720"/>
      </w:pPr>
      <w:rPr>
        <w:rFonts w:hint="default"/>
        <w:lang w:val="en-US" w:eastAsia="en-US" w:bidi="ar-SA"/>
      </w:rPr>
    </w:lvl>
    <w:lvl w:ilvl="7" w:tplc="2EBEA138">
      <w:numFmt w:val="bullet"/>
      <w:lvlText w:val="•"/>
      <w:lvlJc w:val="left"/>
      <w:pPr>
        <w:ind w:left="6982" w:hanging="720"/>
      </w:pPr>
      <w:rPr>
        <w:rFonts w:hint="default"/>
        <w:lang w:val="en-US" w:eastAsia="en-US" w:bidi="ar-SA"/>
      </w:rPr>
    </w:lvl>
    <w:lvl w:ilvl="8" w:tplc="87E01D7A">
      <w:numFmt w:val="bullet"/>
      <w:lvlText w:val="•"/>
      <w:lvlJc w:val="left"/>
      <w:pPr>
        <w:ind w:left="7757" w:hanging="720"/>
      </w:pPr>
      <w:rPr>
        <w:rFonts w:hint="default"/>
        <w:lang w:val="en-US" w:eastAsia="en-US" w:bidi="ar-SA"/>
      </w:rPr>
    </w:lvl>
  </w:abstractNum>
  <w:abstractNum w:abstractNumId="2" w15:restartNumberingAfterBreak="0">
    <w:nsid w:val="507E3472"/>
    <w:multiLevelType w:val="multilevel"/>
    <w:tmpl w:val="4E5EDBCA"/>
    <w:lvl w:ilvl="0">
      <w:start w:val="1"/>
      <w:numFmt w:val="decimal"/>
      <w:lvlText w:val="%1"/>
      <w:lvlJc w:val="left"/>
      <w:pPr>
        <w:ind w:left="832" w:hanging="720"/>
        <w:jc w:val="lef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832" w:hanging="720"/>
        <w:jc w:val="left"/>
      </w:pPr>
      <w:rPr>
        <w:rFonts w:ascii="Arial" w:eastAsia="Arial" w:hAnsi="Arial" w:cs="Arial" w:hint="default"/>
        <w:b w:val="0"/>
        <w:bCs w:val="0"/>
        <w:i w:val="0"/>
        <w:iCs w:val="0"/>
        <w:spacing w:val="-2"/>
        <w:w w:val="100"/>
        <w:sz w:val="22"/>
        <w:szCs w:val="22"/>
        <w:lang w:val="en-US" w:eastAsia="en-US" w:bidi="ar-SA"/>
      </w:rPr>
    </w:lvl>
    <w:lvl w:ilvl="2">
      <w:start w:val="1"/>
      <w:numFmt w:val="decimal"/>
      <w:lvlText w:val="%1.%2.%3"/>
      <w:lvlJc w:val="left"/>
      <w:pPr>
        <w:ind w:left="1553" w:hanging="734"/>
        <w:jc w:val="left"/>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2528" w:hanging="734"/>
      </w:pPr>
      <w:rPr>
        <w:rFonts w:hint="default"/>
        <w:lang w:val="en-US" w:eastAsia="en-US" w:bidi="ar-SA"/>
      </w:rPr>
    </w:lvl>
    <w:lvl w:ilvl="4">
      <w:numFmt w:val="bullet"/>
      <w:lvlText w:val="•"/>
      <w:lvlJc w:val="left"/>
      <w:pPr>
        <w:ind w:left="3496" w:hanging="734"/>
      </w:pPr>
      <w:rPr>
        <w:rFonts w:hint="default"/>
        <w:lang w:val="en-US" w:eastAsia="en-US" w:bidi="ar-SA"/>
      </w:rPr>
    </w:lvl>
    <w:lvl w:ilvl="5">
      <w:numFmt w:val="bullet"/>
      <w:lvlText w:val="•"/>
      <w:lvlJc w:val="left"/>
      <w:pPr>
        <w:ind w:left="4464" w:hanging="734"/>
      </w:pPr>
      <w:rPr>
        <w:rFonts w:hint="default"/>
        <w:lang w:val="en-US" w:eastAsia="en-US" w:bidi="ar-SA"/>
      </w:rPr>
    </w:lvl>
    <w:lvl w:ilvl="6">
      <w:numFmt w:val="bullet"/>
      <w:lvlText w:val="•"/>
      <w:lvlJc w:val="left"/>
      <w:pPr>
        <w:ind w:left="5433" w:hanging="734"/>
      </w:pPr>
      <w:rPr>
        <w:rFonts w:hint="default"/>
        <w:lang w:val="en-US" w:eastAsia="en-US" w:bidi="ar-SA"/>
      </w:rPr>
    </w:lvl>
    <w:lvl w:ilvl="7">
      <w:numFmt w:val="bullet"/>
      <w:lvlText w:val="•"/>
      <w:lvlJc w:val="left"/>
      <w:pPr>
        <w:ind w:left="6401" w:hanging="734"/>
      </w:pPr>
      <w:rPr>
        <w:rFonts w:hint="default"/>
        <w:lang w:val="en-US" w:eastAsia="en-US" w:bidi="ar-SA"/>
      </w:rPr>
    </w:lvl>
    <w:lvl w:ilvl="8">
      <w:numFmt w:val="bullet"/>
      <w:lvlText w:val="•"/>
      <w:lvlJc w:val="left"/>
      <w:pPr>
        <w:ind w:left="7369" w:hanging="734"/>
      </w:pPr>
      <w:rPr>
        <w:rFonts w:hint="default"/>
        <w:lang w:val="en-US" w:eastAsia="en-US" w:bidi="ar-SA"/>
      </w:rPr>
    </w:lvl>
  </w:abstractNum>
  <w:abstractNum w:abstractNumId="3" w15:restartNumberingAfterBreak="0">
    <w:nsid w:val="6DD55984"/>
    <w:multiLevelType w:val="hybridMultilevel"/>
    <w:tmpl w:val="C49AFD5E"/>
    <w:lvl w:ilvl="0" w:tplc="B57830AA">
      <w:start w:val="1"/>
      <w:numFmt w:val="lowerLetter"/>
      <w:lvlText w:val="(%1)"/>
      <w:lvlJc w:val="left"/>
      <w:pPr>
        <w:ind w:left="1552" w:hanging="720"/>
        <w:jc w:val="left"/>
      </w:pPr>
      <w:rPr>
        <w:rFonts w:ascii="Arial" w:eastAsia="Arial" w:hAnsi="Arial" w:cs="Arial" w:hint="default"/>
        <w:b w:val="0"/>
        <w:bCs w:val="0"/>
        <w:i w:val="0"/>
        <w:iCs w:val="0"/>
        <w:spacing w:val="-2"/>
        <w:w w:val="100"/>
        <w:sz w:val="22"/>
        <w:szCs w:val="22"/>
        <w:lang w:val="en-US" w:eastAsia="en-US" w:bidi="ar-SA"/>
      </w:rPr>
    </w:lvl>
    <w:lvl w:ilvl="1" w:tplc="67824EAA">
      <w:numFmt w:val="bullet"/>
      <w:lvlText w:val="•"/>
      <w:lvlJc w:val="left"/>
      <w:pPr>
        <w:ind w:left="2334" w:hanging="720"/>
      </w:pPr>
      <w:rPr>
        <w:rFonts w:hint="default"/>
        <w:lang w:val="en-US" w:eastAsia="en-US" w:bidi="ar-SA"/>
      </w:rPr>
    </w:lvl>
    <w:lvl w:ilvl="2" w:tplc="65F0208C">
      <w:numFmt w:val="bullet"/>
      <w:lvlText w:val="•"/>
      <w:lvlJc w:val="left"/>
      <w:pPr>
        <w:ind w:left="3109" w:hanging="720"/>
      </w:pPr>
      <w:rPr>
        <w:rFonts w:hint="default"/>
        <w:lang w:val="en-US" w:eastAsia="en-US" w:bidi="ar-SA"/>
      </w:rPr>
    </w:lvl>
    <w:lvl w:ilvl="3" w:tplc="F40292DA">
      <w:numFmt w:val="bullet"/>
      <w:lvlText w:val="•"/>
      <w:lvlJc w:val="left"/>
      <w:pPr>
        <w:ind w:left="3883" w:hanging="720"/>
      </w:pPr>
      <w:rPr>
        <w:rFonts w:hint="default"/>
        <w:lang w:val="en-US" w:eastAsia="en-US" w:bidi="ar-SA"/>
      </w:rPr>
    </w:lvl>
    <w:lvl w:ilvl="4" w:tplc="24483A28">
      <w:numFmt w:val="bullet"/>
      <w:lvlText w:val="•"/>
      <w:lvlJc w:val="left"/>
      <w:pPr>
        <w:ind w:left="4658" w:hanging="720"/>
      </w:pPr>
      <w:rPr>
        <w:rFonts w:hint="default"/>
        <w:lang w:val="en-US" w:eastAsia="en-US" w:bidi="ar-SA"/>
      </w:rPr>
    </w:lvl>
    <w:lvl w:ilvl="5" w:tplc="61847AB6">
      <w:numFmt w:val="bullet"/>
      <w:lvlText w:val="•"/>
      <w:lvlJc w:val="left"/>
      <w:pPr>
        <w:ind w:left="5433" w:hanging="720"/>
      </w:pPr>
      <w:rPr>
        <w:rFonts w:hint="default"/>
        <w:lang w:val="en-US" w:eastAsia="en-US" w:bidi="ar-SA"/>
      </w:rPr>
    </w:lvl>
    <w:lvl w:ilvl="6" w:tplc="0A22021E">
      <w:numFmt w:val="bullet"/>
      <w:lvlText w:val="•"/>
      <w:lvlJc w:val="left"/>
      <w:pPr>
        <w:ind w:left="6207" w:hanging="720"/>
      </w:pPr>
      <w:rPr>
        <w:rFonts w:hint="default"/>
        <w:lang w:val="en-US" w:eastAsia="en-US" w:bidi="ar-SA"/>
      </w:rPr>
    </w:lvl>
    <w:lvl w:ilvl="7" w:tplc="73669F68">
      <w:numFmt w:val="bullet"/>
      <w:lvlText w:val="•"/>
      <w:lvlJc w:val="left"/>
      <w:pPr>
        <w:ind w:left="6982" w:hanging="720"/>
      </w:pPr>
      <w:rPr>
        <w:rFonts w:hint="default"/>
        <w:lang w:val="en-US" w:eastAsia="en-US" w:bidi="ar-SA"/>
      </w:rPr>
    </w:lvl>
    <w:lvl w:ilvl="8" w:tplc="E4C6426A">
      <w:numFmt w:val="bullet"/>
      <w:lvlText w:val="•"/>
      <w:lvlJc w:val="left"/>
      <w:pPr>
        <w:ind w:left="7757" w:hanging="720"/>
      </w:pPr>
      <w:rPr>
        <w:rFonts w:hint="default"/>
        <w:lang w:val="en-US" w:eastAsia="en-US" w:bidi="ar-SA"/>
      </w:rPr>
    </w:lvl>
  </w:abstractNum>
  <w:abstractNum w:abstractNumId="4" w15:restartNumberingAfterBreak="0">
    <w:nsid w:val="7497280A"/>
    <w:multiLevelType w:val="hybridMultilevel"/>
    <w:tmpl w:val="91D66AD6"/>
    <w:lvl w:ilvl="0" w:tplc="1024B3FE">
      <w:start w:val="1"/>
      <w:numFmt w:val="upperLetter"/>
      <w:lvlText w:val="%1."/>
      <w:lvlJc w:val="left"/>
      <w:pPr>
        <w:ind w:left="832" w:hanging="360"/>
        <w:jc w:val="left"/>
      </w:pPr>
      <w:rPr>
        <w:rFonts w:ascii="Arial" w:eastAsia="Arial" w:hAnsi="Arial" w:cs="Arial" w:hint="default"/>
        <w:b w:val="0"/>
        <w:bCs w:val="0"/>
        <w:i w:val="0"/>
        <w:iCs w:val="0"/>
        <w:spacing w:val="-2"/>
        <w:w w:val="100"/>
        <w:sz w:val="22"/>
        <w:szCs w:val="22"/>
        <w:lang w:val="en-US" w:eastAsia="en-US" w:bidi="ar-SA"/>
      </w:rPr>
    </w:lvl>
    <w:lvl w:ilvl="1" w:tplc="AAE2518E">
      <w:numFmt w:val="bullet"/>
      <w:lvlText w:val="•"/>
      <w:lvlJc w:val="left"/>
      <w:pPr>
        <w:ind w:left="1686" w:hanging="360"/>
      </w:pPr>
      <w:rPr>
        <w:rFonts w:hint="default"/>
        <w:lang w:val="en-US" w:eastAsia="en-US" w:bidi="ar-SA"/>
      </w:rPr>
    </w:lvl>
    <w:lvl w:ilvl="2" w:tplc="2FBC9780">
      <w:numFmt w:val="bullet"/>
      <w:lvlText w:val="•"/>
      <w:lvlJc w:val="left"/>
      <w:pPr>
        <w:ind w:left="2533" w:hanging="360"/>
      </w:pPr>
      <w:rPr>
        <w:rFonts w:hint="default"/>
        <w:lang w:val="en-US" w:eastAsia="en-US" w:bidi="ar-SA"/>
      </w:rPr>
    </w:lvl>
    <w:lvl w:ilvl="3" w:tplc="7910EEEE">
      <w:numFmt w:val="bullet"/>
      <w:lvlText w:val="•"/>
      <w:lvlJc w:val="left"/>
      <w:pPr>
        <w:ind w:left="3379" w:hanging="360"/>
      </w:pPr>
      <w:rPr>
        <w:rFonts w:hint="default"/>
        <w:lang w:val="en-US" w:eastAsia="en-US" w:bidi="ar-SA"/>
      </w:rPr>
    </w:lvl>
    <w:lvl w:ilvl="4" w:tplc="E0D28176">
      <w:numFmt w:val="bullet"/>
      <w:lvlText w:val="•"/>
      <w:lvlJc w:val="left"/>
      <w:pPr>
        <w:ind w:left="4226" w:hanging="360"/>
      </w:pPr>
      <w:rPr>
        <w:rFonts w:hint="default"/>
        <w:lang w:val="en-US" w:eastAsia="en-US" w:bidi="ar-SA"/>
      </w:rPr>
    </w:lvl>
    <w:lvl w:ilvl="5" w:tplc="0210680A">
      <w:numFmt w:val="bullet"/>
      <w:lvlText w:val="•"/>
      <w:lvlJc w:val="left"/>
      <w:pPr>
        <w:ind w:left="5073" w:hanging="360"/>
      </w:pPr>
      <w:rPr>
        <w:rFonts w:hint="default"/>
        <w:lang w:val="en-US" w:eastAsia="en-US" w:bidi="ar-SA"/>
      </w:rPr>
    </w:lvl>
    <w:lvl w:ilvl="6" w:tplc="C1F8D4EE">
      <w:numFmt w:val="bullet"/>
      <w:lvlText w:val="•"/>
      <w:lvlJc w:val="left"/>
      <w:pPr>
        <w:ind w:left="5919" w:hanging="360"/>
      </w:pPr>
      <w:rPr>
        <w:rFonts w:hint="default"/>
        <w:lang w:val="en-US" w:eastAsia="en-US" w:bidi="ar-SA"/>
      </w:rPr>
    </w:lvl>
    <w:lvl w:ilvl="7" w:tplc="4B707BD0">
      <w:numFmt w:val="bullet"/>
      <w:lvlText w:val="•"/>
      <w:lvlJc w:val="left"/>
      <w:pPr>
        <w:ind w:left="6766" w:hanging="360"/>
      </w:pPr>
      <w:rPr>
        <w:rFonts w:hint="default"/>
        <w:lang w:val="en-US" w:eastAsia="en-US" w:bidi="ar-SA"/>
      </w:rPr>
    </w:lvl>
    <w:lvl w:ilvl="8" w:tplc="6BAAD30C">
      <w:numFmt w:val="bullet"/>
      <w:lvlText w:val="•"/>
      <w:lvlJc w:val="left"/>
      <w:pPr>
        <w:ind w:left="7613" w:hanging="360"/>
      </w:pPr>
      <w:rPr>
        <w:rFonts w:hint="default"/>
        <w:lang w:val="en-US" w:eastAsia="en-US" w:bidi="ar-SA"/>
      </w:rPr>
    </w:lvl>
  </w:abstractNum>
  <w:abstractNum w:abstractNumId="5" w15:restartNumberingAfterBreak="0">
    <w:nsid w:val="7FD0325D"/>
    <w:multiLevelType w:val="hybridMultilevel"/>
    <w:tmpl w:val="BCA24A34"/>
    <w:lvl w:ilvl="0" w:tplc="FEAE1572">
      <w:start w:val="1"/>
      <w:numFmt w:val="lowerLetter"/>
      <w:lvlText w:val="(%1)"/>
      <w:lvlJc w:val="left"/>
      <w:pPr>
        <w:ind w:left="1550" w:hanging="718"/>
        <w:jc w:val="left"/>
      </w:pPr>
      <w:rPr>
        <w:rFonts w:ascii="Arial" w:eastAsia="Arial" w:hAnsi="Arial" w:cs="Arial" w:hint="default"/>
        <w:b w:val="0"/>
        <w:bCs w:val="0"/>
        <w:i w:val="0"/>
        <w:iCs w:val="0"/>
        <w:spacing w:val="-2"/>
        <w:w w:val="100"/>
        <w:sz w:val="22"/>
        <w:szCs w:val="22"/>
        <w:lang w:val="en-US" w:eastAsia="en-US" w:bidi="ar-SA"/>
      </w:rPr>
    </w:lvl>
    <w:lvl w:ilvl="1" w:tplc="0C963EAC">
      <w:numFmt w:val="bullet"/>
      <w:lvlText w:val="•"/>
      <w:lvlJc w:val="left"/>
      <w:pPr>
        <w:ind w:left="2334" w:hanging="718"/>
      </w:pPr>
      <w:rPr>
        <w:rFonts w:hint="default"/>
        <w:lang w:val="en-US" w:eastAsia="en-US" w:bidi="ar-SA"/>
      </w:rPr>
    </w:lvl>
    <w:lvl w:ilvl="2" w:tplc="BE147666">
      <w:numFmt w:val="bullet"/>
      <w:lvlText w:val="•"/>
      <w:lvlJc w:val="left"/>
      <w:pPr>
        <w:ind w:left="3109" w:hanging="718"/>
      </w:pPr>
      <w:rPr>
        <w:rFonts w:hint="default"/>
        <w:lang w:val="en-US" w:eastAsia="en-US" w:bidi="ar-SA"/>
      </w:rPr>
    </w:lvl>
    <w:lvl w:ilvl="3" w:tplc="B00C3F5E">
      <w:numFmt w:val="bullet"/>
      <w:lvlText w:val="•"/>
      <w:lvlJc w:val="left"/>
      <w:pPr>
        <w:ind w:left="3883" w:hanging="718"/>
      </w:pPr>
      <w:rPr>
        <w:rFonts w:hint="default"/>
        <w:lang w:val="en-US" w:eastAsia="en-US" w:bidi="ar-SA"/>
      </w:rPr>
    </w:lvl>
    <w:lvl w:ilvl="4" w:tplc="81865CA6">
      <w:numFmt w:val="bullet"/>
      <w:lvlText w:val="•"/>
      <w:lvlJc w:val="left"/>
      <w:pPr>
        <w:ind w:left="4658" w:hanging="718"/>
      </w:pPr>
      <w:rPr>
        <w:rFonts w:hint="default"/>
        <w:lang w:val="en-US" w:eastAsia="en-US" w:bidi="ar-SA"/>
      </w:rPr>
    </w:lvl>
    <w:lvl w:ilvl="5" w:tplc="B966FC4C">
      <w:numFmt w:val="bullet"/>
      <w:lvlText w:val="•"/>
      <w:lvlJc w:val="left"/>
      <w:pPr>
        <w:ind w:left="5433" w:hanging="718"/>
      </w:pPr>
      <w:rPr>
        <w:rFonts w:hint="default"/>
        <w:lang w:val="en-US" w:eastAsia="en-US" w:bidi="ar-SA"/>
      </w:rPr>
    </w:lvl>
    <w:lvl w:ilvl="6" w:tplc="82741072">
      <w:numFmt w:val="bullet"/>
      <w:lvlText w:val="•"/>
      <w:lvlJc w:val="left"/>
      <w:pPr>
        <w:ind w:left="6207" w:hanging="718"/>
      </w:pPr>
      <w:rPr>
        <w:rFonts w:hint="default"/>
        <w:lang w:val="en-US" w:eastAsia="en-US" w:bidi="ar-SA"/>
      </w:rPr>
    </w:lvl>
    <w:lvl w:ilvl="7" w:tplc="28D26B3C">
      <w:numFmt w:val="bullet"/>
      <w:lvlText w:val="•"/>
      <w:lvlJc w:val="left"/>
      <w:pPr>
        <w:ind w:left="6982" w:hanging="718"/>
      </w:pPr>
      <w:rPr>
        <w:rFonts w:hint="default"/>
        <w:lang w:val="en-US" w:eastAsia="en-US" w:bidi="ar-SA"/>
      </w:rPr>
    </w:lvl>
    <w:lvl w:ilvl="8" w:tplc="33D02170">
      <w:numFmt w:val="bullet"/>
      <w:lvlText w:val="•"/>
      <w:lvlJc w:val="left"/>
      <w:pPr>
        <w:ind w:left="7757" w:hanging="718"/>
      </w:pPr>
      <w:rPr>
        <w:rFonts w:hint="default"/>
        <w:lang w:val="en-US" w:eastAsia="en-US" w:bidi="ar-SA"/>
      </w:rPr>
    </w:lvl>
  </w:abstractNum>
  <w:num w:numId="1" w16cid:durableId="107354759">
    <w:abstractNumId w:val="1"/>
  </w:num>
  <w:num w:numId="2" w16cid:durableId="1878275170">
    <w:abstractNumId w:val="3"/>
  </w:num>
  <w:num w:numId="3" w16cid:durableId="1356151175">
    <w:abstractNumId w:val="5"/>
  </w:num>
  <w:num w:numId="4" w16cid:durableId="144665162">
    <w:abstractNumId w:val="2"/>
  </w:num>
  <w:num w:numId="5" w16cid:durableId="450711768">
    <w:abstractNumId w:val="4"/>
  </w:num>
  <w:num w:numId="6" w16cid:durableId="222445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2F"/>
    <w:rsid w:val="000252AB"/>
    <w:rsid w:val="000A146F"/>
    <w:rsid w:val="000F7AC4"/>
    <w:rsid w:val="001E7118"/>
    <w:rsid w:val="00223FC9"/>
    <w:rsid w:val="00245431"/>
    <w:rsid w:val="00262655"/>
    <w:rsid w:val="0031251E"/>
    <w:rsid w:val="003228D2"/>
    <w:rsid w:val="003D5D9E"/>
    <w:rsid w:val="004415EA"/>
    <w:rsid w:val="004507C7"/>
    <w:rsid w:val="004C340A"/>
    <w:rsid w:val="00532622"/>
    <w:rsid w:val="005330CB"/>
    <w:rsid w:val="0057052F"/>
    <w:rsid w:val="005A3381"/>
    <w:rsid w:val="00601FF9"/>
    <w:rsid w:val="006302F2"/>
    <w:rsid w:val="00630F0D"/>
    <w:rsid w:val="00633EC5"/>
    <w:rsid w:val="00635F1A"/>
    <w:rsid w:val="006A7504"/>
    <w:rsid w:val="006D5833"/>
    <w:rsid w:val="00780BAD"/>
    <w:rsid w:val="00861C86"/>
    <w:rsid w:val="00951834"/>
    <w:rsid w:val="00960862"/>
    <w:rsid w:val="009D6A91"/>
    <w:rsid w:val="00A83A41"/>
    <w:rsid w:val="00AC237A"/>
    <w:rsid w:val="00AC6DD4"/>
    <w:rsid w:val="00B163EA"/>
    <w:rsid w:val="00BC1B7E"/>
    <w:rsid w:val="00E23BB7"/>
    <w:rsid w:val="00EB20FF"/>
    <w:rsid w:val="00FB33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5519B"/>
  <w15:docId w15:val="{156251EB-F7A4-4BBD-8868-D41186B5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12"/>
      <w:outlineLvl w:val="0"/>
    </w:pPr>
    <w:rPr>
      <w:b/>
      <w:bCs/>
    </w:rPr>
  </w:style>
  <w:style w:type="paragraph" w:styleId="Heading2">
    <w:name w:val="heading 2"/>
    <w:basedOn w:val="Normal"/>
    <w:uiPriority w:val="9"/>
    <w:unhideWhenUsed/>
    <w:qFormat/>
    <w:pPr>
      <w:ind w:left="832"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
      <w:ind w:left="60"/>
    </w:pPr>
    <w:rPr>
      <w:sz w:val="24"/>
      <w:szCs w:val="24"/>
    </w:rPr>
  </w:style>
  <w:style w:type="paragraph" w:styleId="ListParagraph">
    <w:name w:val="List Paragraph"/>
    <w:basedOn w:val="Normal"/>
    <w:uiPriority w:val="1"/>
    <w:qFormat/>
    <w:pPr>
      <w:ind w:left="832" w:hanging="720"/>
    </w:pPr>
  </w:style>
  <w:style w:type="paragraph" w:customStyle="1" w:styleId="TableParagraph">
    <w:name w:val="Table Paragraph"/>
    <w:basedOn w:val="Normal"/>
    <w:uiPriority w:val="1"/>
    <w:qFormat/>
  </w:style>
  <w:style w:type="paragraph" w:customStyle="1" w:styleId="Billname">
    <w:name w:val="Billname"/>
    <w:basedOn w:val="Normal"/>
    <w:rsid w:val="000252AB"/>
    <w:pPr>
      <w:widowControl/>
      <w:tabs>
        <w:tab w:val="left" w:pos="2400"/>
        <w:tab w:val="left" w:pos="2880"/>
      </w:tabs>
      <w:autoSpaceDE/>
      <w:autoSpaceDN/>
      <w:spacing w:before="1220" w:after="100"/>
    </w:pPr>
    <w:rPr>
      <w:rFonts w:eastAsia="Times New Roman" w:cs="Times New Roman"/>
      <w:b/>
      <w:sz w:val="40"/>
      <w:szCs w:val="20"/>
      <w:lang w:val="en-AU"/>
    </w:rPr>
  </w:style>
  <w:style w:type="paragraph" w:customStyle="1" w:styleId="madeunder">
    <w:name w:val="made under"/>
    <w:basedOn w:val="Normal"/>
    <w:rsid w:val="000252AB"/>
    <w:pPr>
      <w:widowControl/>
      <w:autoSpaceDE/>
      <w:autoSpaceDN/>
      <w:spacing w:before="180" w:after="60"/>
      <w:jc w:val="both"/>
    </w:pPr>
    <w:rPr>
      <w:rFonts w:ascii="Times New Roman" w:eastAsia="Times New Roman" w:hAnsi="Times New Roman" w:cs="Times New Roman"/>
      <w:sz w:val="24"/>
      <w:szCs w:val="20"/>
      <w:lang w:val="en-AU"/>
    </w:rPr>
  </w:style>
  <w:style w:type="paragraph" w:customStyle="1" w:styleId="CoverActName">
    <w:name w:val="CoverActName"/>
    <w:basedOn w:val="Normal"/>
    <w:rsid w:val="000252AB"/>
    <w:pPr>
      <w:widowControl/>
      <w:tabs>
        <w:tab w:val="left" w:pos="2600"/>
      </w:tabs>
      <w:autoSpaceDE/>
      <w:autoSpaceDN/>
      <w:spacing w:before="200" w:after="60"/>
      <w:jc w:val="both"/>
    </w:pPr>
    <w:rPr>
      <w:rFonts w:eastAsia="Times New Roman" w:cs="Times New Roman"/>
      <w:b/>
      <w:sz w:val="24"/>
      <w:szCs w:val="20"/>
      <w:lang w:val="en-AU"/>
    </w:rPr>
  </w:style>
  <w:style w:type="paragraph" w:customStyle="1" w:styleId="N-line3">
    <w:name w:val="N-line3"/>
    <w:basedOn w:val="Normal"/>
    <w:next w:val="Normal"/>
    <w:rsid w:val="000252AB"/>
    <w:pPr>
      <w:widowControl/>
      <w:pBdr>
        <w:bottom w:val="single" w:sz="12" w:space="1" w:color="auto"/>
      </w:pBdr>
      <w:autoSpaceDE/>
      <w:autoSpaceDN/>
      <w:jc w:val="both"/>
    </w:pPr>
    <w:rPr>
      <w:rFonts w:ascii="Times New Roman" w:eastAsia="Times New Roman" w:hAnsi="Times New Roman" w:cs="Times New Roman"/>
      <w:sz w:val="24"/>
      <w:szCs w:val="20"/>
      <w:lang w:val="en-AU"/>
    </w:rPr>
  </w:style>
  <w:style w:type="paragraph" w:styleId="Header">
    <w:name w:val="header"/>
    <w:basedOn w:val="Normal"/>
    <w:link w:val="HeaderChar"/>
    <w:uiPriority w:val="99"/>
    <w:unhideWhenUsed/>
    <w:rsid w:val="000252AB"/>
    <w:pPr>
      <w:tabs>
        <w:tab w:val="center" w:pos="4513"/>
        <w:tab w:val="right" w:pos="9026"/>
      </w:tabs>
    </w:pPr>
  </w:style>
  <w:style w:type="character" w:customStyle="1" w:styleId="HeaderChar">
    <w:name w:val="Header Char"/>
    <w:basedOn w:val="DefaultParagraphFont"/>
    <w:link w:val="Header"/>
    <w:uiPriority w:val="99"/>
    <w:rsid w:val="000252AB"/>
    <w:rPr>
      <w:rFonts w:ascii="Arial" w:eastAsia="Arial" w:hAnsi="Arial" w:cs="Arial"/>
    </w:rPr>
  </w:style>
  <w:style w:type="paragraph" w:styleId="Footer">
    <w:name w:val="footer"/>
    <w:basedOn w:val="Normal"/>
    <w:link w:val="FooterChar"/>
    <w:uiPriority w:val="99"/>
    <w:unhideWhenUsed/>
    <w:rsid w:val="000252AB"/>
    <w:pPr>
      <w:tabs>
        <w:tab w:val="center" w:pos="4513"/>
        <w:tab w:val="right" w:pos="9026"/>
      </w:tabs>
    </w:pPr>
  </w:style>
  <w:style w:type="character" w:customStyle="1" w:styleId="FooterChar">
    <w:name w:val="Footer Char"/>
    <w:basedOn w:val="DefaultParagraphFont"/>
    <w:link w:val="Footer"/>
    <w:uiPriority w:val="99"/>
    <w:rsid w:val="000252A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1641</Words>
  <Characters>8721</Characters>
  <Application>Microsoft Office Word</Application>
  <DocSecurity>0</DocSecurity>
  <Lines>178</Lines>
  <Paragraphs>92</Paragraphs>
  <ScaleCrop>false</ScaleCrop>
  <HeadingPairs>
    <vt:vector size="2" baseType="variant">
      <vt:variant>
        <vt:lpstr>Title</vt:lpstr>
      </vt:variant>
      <vt:variant>
        <vt:i4>1</vt:i4>
      </vt:variant>
    </vt:vector>
  </HeadingPairs>
  <TitlesOfParts>
    <vt:vector size="1" baseType="lpstr">
      <vt:lpstr>A - The Australian Computer Society Incorporated Professional Standards Scheme (003).pdf</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 The Australian Computer Society Incorporated Professional Standards Scheme (003).pdf</dc:title>
  <dc:creator>Kazi, Ashiq</dc:creator>
  <cp:lastModifiedBy>PCODCS</cp:lastModifiedBy>
  <cp:revision>4</cp:revision>
  <cp:lastPrinted>2024-12-16T22:48:00Z</cp:lastPrinted>
  <dcterms:created xsi:type="dcterms:W3CDTF">2024-12-20T04:26:00Z</dcterms:created>
  <dcterms:modified xsi:type="dcterms:W3CDTF">2024-12-20T04:26:00Z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LastSaved">
    <vt:filetime>2024-10-17T00:00:00Z</vt:filetime>
  </property>
  <property fmtid="{D5CDD505-2E9C-101B-9397-08002B2CF9AE}" pid="4" name="Producer">
    <vt:lpwstr>Microsoft: Print To PDF</vt:lpwstr>
  </property>
  <property fmtid="{D5CDD505-2E9C-101B-9397-08002B2CF9AE}" pid="5" name="MSIP_Label_69af8531-eb46-4968-8cb3-105d2f5ea87e_Enabled">
    <vt:lpwstr>true</vt:lpwstr>
  </property>
  <property fmtid="{D5CDD505-2E9C-101B-9397-08002B2CF9AE}" pid="6" name="MSIP_Label_69af8531-eb46-4968-8cb3-105d2f5ea87e_SetDate">
    <vt:lpwstr>2024-10-17T00:11:44Z</vt:lpwstr>
  </property>
  <property fmtid="{D5CDD505-2E9C-101B-9397-08002B2CF9AE}" pid="7" name="MSIP_Label_69af8531-eb46-4968-8cb3-105d2f5ea87e_Method">
    <vt:lpwstr>Standard</vt:lpwstr>
  </property>
  <property fmtid="{D5CDD505-2E9C-101B-9397-08002B2CF9AE}" pid="8" name="MSIP_Label_69af8531-eb46-4968-8cb3-105d2f5ea87e_Name">
    <vt:lpwstr>Official - No Marking</vt:lpwstr>
  </property>
  <property fmtid="{D5CDD505-2E9C-101B-9397-08002B2CF9AE}" pid="9" name="MSIP_Label_69af8531-eb46-4968-8cb3-105d2f5ea87e_SiteId">
    <vt:lpwstr>b46c1908-0334-4236-b978-585ee88e4199</vt:lpwstr>
  </property>
  <property fmtid="{D5CDD505-2E9C-101B-9397-08002B2CF9AE}" pid="10" name="MSIP_Label_69af8531-eb46-4968-8cb3-105d2f5ea87e_ActionId">
    <vt:lpwstr>f2e381e3-339d-4ab0-9f78-e9227a888a57</vt:lpwstr>
  </property>
  <property fmtid="{D5CDD505-2E9C-101B-9397-08002B2CF9AE}" pid="11" name="MSIP_Label_69af8531-eb46-4968-8cb3-105d2f5ea87e_ContentBits">
    <vt:lpwstr>0</vt:lpwstr>
  </property>
</Properties>
</file>