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3F51E" w14:textId="77777777" w:rsidR="00F10CB2" w:rsidRDefault="00F10CB2">
      <w:pPr>
        <w:spacing w:before="120"/>
        <w:rPr>
          <w:rFonts w:ascii="Arial" w:hAnsi="Arial" w:cs="Arial"/>
        </w:rPr>
      </w:pPr>
      <w:bookmarkStart w:id="0" w:name="_Toc44738651"/>
      <w:r>
        <w:rPr>
          <w:rFonts w:ascii="Arial" w:hAnsi="Arial" w:cs="Arial"/>
        </w:rPr>
        <w:t>Australian Capital Territory</w:t>
      </w:r>
    </w:p>
    <w:p w14:paraId="035685DE" w14:textId="295A4AB3" w:rsidR="009C2172" w:rsidRPr="009C2172" w:rsidRDefault="009C2172" w:rsidP="009C2172">
      <w:pPr>
        <w:pStyle w:val="Billname"/>
        <w:spacing w:before="700"/>
        <w:ind w:right="-162"/>
        <w:rPr>
          <w:spacing w:val="-2"/>
        </w:rPr>
      </w:pPr>
      <w:bookmarkStart w:id="1" w:name="_Hlk159334794"/>
      <w:r w:rsidRPr="009C2172">
        <w:rPr>
          <w:spacing w:val="-2"/>
        </w:rPr>
        <w:t>Gaming Machine (Fees—Authorisation Surrender Waiver) Determination 2024 (No 1)</w:t>
      </w:r>
      <w:bookmarkEnd w:id="1"/>
    </w:p>
    <w:p w14:paraId="22B8CA42" w14:textId="5D3B30D7" w:rsidR="00F10CB2" w:rsidRDefault="00F10CB2" w:rsidP="00D47F13">
      <w:pPr>
        <w:spacing w:before="340"/>
        <w:rPr>
          <w:rFonts w:ascii="Arial" w:hAnsi="Arial" w:cs="Arial"/>
          <w:b/>
          <w:bCs/>
        </w:rPr>
      </w:pPr>
      <w:r>
        <w:rPr>
          <w:rFonts w:ascii="Arial" w:hAnsi="Arial" w:cs="Arial"/>
          <w:b/>
          <w:bCs/>
        </w:rPr>
        <w:t>Disallowable instrument DI</w:t>
      </w:r>
      <w:r w:rsidR="00D65A94">
        <w:rPr>
          <w:rFonts w:ascii="Arial" w:hAnsi="Arial" w:cs="Arial"/>
          <w:b/>
          <w:bCs/>
        </w:rPr>
        <w:t>202</w:t>
      </w:r>
      <w:r w:rsidR="00635CD0">
        <w:rPr>
          <w:rFonts w:ascii="Arial" w:hAnsi="Arial" w:cs="Arial"/>
          <w:b/>
          <w:bCs/>
        </w:rPr>
        <w:t>4</w:t>
      </w:r>
      <w:r>
        <w:rPr>
          <w:rFonts w:ascii="Arial" w:hAnsi="Arial" w:cs="Arial"/>
          <w:b/>
          <w:bCs/>
        </w:rPr>
        <w:t>–</w:t>
      </w:r>
      <w:r w:rsidR="00696D37">
        <w:rPr>
          <w:rFonts w:ascii="Arial" w:hAnsi="Arial" w:cs="Arial"/>
          <w:b/>
          <w:bCs/>
        </w:rPr>
        <w:t>43</w:t>
      </w:r>
    </w:p>
    <w:p w14:paraId="26341B79" w14:textId="77777777" w:rsidR="00F10CB2" w:rsidRDefault="00F10CB2" w:rsidP="00CD4E55">
      <w:pPr>
        <w:pStyle w:val="madeunder"/>
        <w:spacing w:before="300" w:after="0"/>
      </w:pPr>
      <w:r>
        <w:t xml:space="preserve">made under the  </w:t>
      </w:r>
    </w:p>
    <w:p w14:paraId="380EAE19" w14:textId="469C4BFE" w:rsidR="00F10CB2" w:rsidRDefault="00D65A94" w:rsidP="00CD4E55">
      <w:pPr>
        <w:pStyle w:val="CoverActName"/>
        <w:spacing w:before="320" w:after="0"/>
        <w:rPr>
          <w:rFonts w:cs="Arial"/>
          <w:sz w:val="20"/>
        </w:rPr>
      </w:pPr>
      <w:r>
        <w:rPr>
          <w:rFonts w:cs="Arial"/>
          <w:sz w:val="20"/>
        </w:rPr>
        <w:t>Gaming Machine Act 2004, section 177 (Determination of Fees)</w:t>
      </w:r>
    </w:p>
    <w:p w14:paraId="2639D751" w14:textId="77777777" w:rsidR="00F10CB2" w:rsidRDefault="00F10CB2" w:rsidP="00CD4E55">
      <w:pPr>
        <w:pStyle w:val="N-line3"/>
        <w:pBdr>
          <w:bottom w:val="none" w:sz="0" w:space="0" w:color="auto"/>
        </w:pBdr>
        <w:spacing w:before="60"/>
      </w:pPr>
    </w:p>
    <w:p w14:paraId="1405F6ED" w14:textId="77777777" w:rsidR="00F10CB2" w:rsidRDefault="00F10CB2">
      <w:pPr>
        <w:pStyle w:val="N-line3"/>
        <w:pBdr>
          <w:top w:val="single" w:sz="12" w:space="1" w:color="auto"/>
          <w:bottom w:val="none" w:sz="0" w:space="0" w:color="auto"/>
        </w:pBdr>
      </w:pPr>
    </w:p>
    <w:p w14:paraId="43DE93ED" w14:textId="77777777" w:rsidR="00F10CB2" w:rsidRDefault="00F10CB2">
      <w:pPr>
        <w:spacing w:before="60" w:after="60"/>
        <w:ind w:left="720" w:hanging="720"/>
        <w:rPr>
          <w:rFonts w:ascii="Arial" w:hAnsi="Arial" w:cs="Arial"/>
          <w:b/>
          <w:bCs/>
        </w:rPr>
      </w:pPr>
      <w:r>
        <w:rPr>
          <w:rFonts w:ascii="Arial" w:hAnsi="Arial" w:cs="Arial"/>
          <w:b/>
          <w:bCs/>
        </w:rPr>
        <w:t>1</w:t>
      </w:r>
      <w:r>
        <w:rPr>
          <w:rFonts w:ascii="Arial" w:hAnsi="Arial" w:cs="Arial"/>
          <w:b/>
          <w:bCs/>
        </w:rPr>
        <w:tab/>
        <w:t>Name of instrument</w:t>
      </w:r>
    </w:p>
    <w:p w14:paraId="4CDDBCEB" w14:textId="247274EB" w:rsidR="00F10CB2" w:rsidRDefault="00F10CB2" w:rsidP="00D47F13">
      <w:pPr>
        <w:spacing w:before="140"/>
        <w:ind w:left="720"/>
      </w:pPr>
      <w:r>
        <w:t xml:space="preserve">This instrument is the </w:t>
      </w:r>
      <w:r w:rsidR="004832CD" w:rsidRPr="004832CD">
        <w:rPr>
          <w:i/>
          <w:iCs/>
        </w:rPr>
        <w:t>Gaming Machine (Fees—Authorisation Surrender Waiver) Determination 2024 (No 1)</w:t>
      </w:r>
      <w:r w:rsidRPr="00627F0C">
        <w:rPr>
          <w:bCs/>
          <w:iCs/>
        </w:rPr>
        <w:t>.</w:t>
      </w:r>
    </w:p>
    <w:p w14:paraId="71A56AB2" w14:textId="77777777" w:rsidR="00F10CB2" w:rsidRDefault="00F10CB2" w:rsidP="00D47F13">
      <w:pPr>
        <w:spacing w:before="300"/>
        <w:ind w:left="720" w:hanging="720"/>
        <w:rPr>
          <w:rFonts w:ascii="Arial" w:hAnsi="Arial" w:cs="Arial"/>
          <w:b/>
          <w:bCs/>
        </w:rPr>
      </w:pPr>
      <w:r>
        <w:rPr>
          <w:rFonts w:ascii="Arial" w:hAnsi="Arial" w:cs="Arial"/>
          <w:b/>
          <w:bCs/>
        </w:rPr>
        <w:t>2</w:t>
      </w:r>
      <w:r>
        <w:rPr>
          <w:rFonts w:ascii="Arial" w:hAnsi="Arial" w:cs="Arial"/>
          <w:b/>
          <w:bCs/>
        </w:rPr>
        <w:tab/>
        <w:t xml:space="preserve">Commencement </w:t>
      </w:r>
    </w:p>
    <w:p w14:paraId="71FB1B02" w14:textId="6608A470" w:rsidR="00F10CB2" w:rsidRDefault="00F10CB2" w:rsidP="00D47F13">
      <w:pPr>
        <w:spacing w:before="140"/>
        <w:ind w:left="720"/>
      </w:pPr>
      <w:r>
        <w:t xml:space="preserve">This instrument commences </w:t>
      </w:r>
      <w:r w:rsidR="00D65A94">
        <w:t>on the day after it is notified</w:t>
      </w:r>
      <w:r>
        <w:t xml:space="preserve">. </w:t>
      </w:r>
    </w:p>
    <w:p w14:paraId="49480EBE" w14:textId="7CADF9CA" w:rsidR="00F10CB2" w:rsidRDefault="00F10CB2" w:rsidP="00D47F13">
      <w:pPr>
        <w:spacing w:before="300"/>
        <w:ind w:left="720" w:hanging="720"/>
        <w:rPr>
          <w:rFonts w:ascii="Arial" w:hAnsi="Arial" w:cs="Arial"/>
          <w:b/>
          <w:bCs/>
        </w:rPr>
      </w:pPr>
      <w:r>
        <w:rPr>
          <w:rFonts w:ascii="Arial" w:hAnsi="Arial" w:cs="Arial"/>
          <w:b/>
          <w:bCs/>
        </w:rPr>
        <w:t>3</w:t>
      </w:r>
      <w:r>
        <w:rPr>
          <w:rFonts w:ascii="Arial" w:hAnsi="Arial" w:cs="Arial"/>
          <w:b/>
          <w:bCs/>
        </w:rPr>
        <w:tab/>
      </w:r>
      <w:r w:rsidR="00D65A94">
        <w:rPr>
          <w:rFonts w:ascii="Arial" w:hAnsi="Arial" w:cs="Arial"/>
          <w:b/>
          <w:bCs/>
        </w:rPr>
        <w:t>Waiver of fees</w:t>
      </w:r>
    </w:p>
    <w:p w14:paraId="6C6A61F7" w14:textId="3D9478FC" w:rsidR="00F10CB2" w:rsidRDefault="00D65A94" w:rsidP="00635CD0">
      <w:pPr>
        <w:spacing w:before="140"/>
        <w:ind w:left="720"/>
      </w:pPr>
      <w:r>
        <w:t xml:space="preserve">A fee in the </w:t>
      </w:r>
      <w:r w:rsidRPr="00D65A94">
        <w:rPr>
          <w:i/>
          <w:iCs/>
        </w:rPr>
        <w:t>Gaming Machine (Fees) Determination 2023</w:t>
      </w:r>
      <w:r>
        <w:t xml:space="preserve"> [DI2023-184] or any Gaming Machine (Fees) Determination which amends or replaces it, mentioned in schedule 1, column 1, under the relevant section of the Act mentioned in column 2, is waived if the condition mentioned in column 3 is met. </w:t>
      </w:r>
    </w:p>
    <w:p w14:paraId="483D43DB" w14:textId="527739CC" w:rsidR="00F10CB2" w:rsidRDefault="00D65A94" w:rsidP="00D47F13">
      <w:pPr>
        <w:spacing w:before="300"/>
        <w:ind w:left="720" w:hanging="720"/>
        <w:rPr>
          <w:rFonts w:ascii="Arial" w:hAnsi="Arial" w:cs="Arial"/>
          <w:b/>
          <w:bCs/>
        </w:rPr>
      </w:pPr>
      <w:r>
        <w:rPr>
          <w:rFonts w:ascii="Arial" w:hAnsi="Arial" w:cs="Arial"/>
          <w:b/>
          <w:bCs/>
        </w:rPr>
        <w:t>4</w:t>
      </w:r>
      <w:r w:rsidR="00F10CB2">
        <w:rPr>
          <w:rFonts w:ascii="Arial" w:hAnsi="Arial" w:cs="Arial"/>
          <w:b/>
          <w:bCs/>
        </w:rPr>
        <w:tab/>
      </w:r>
      <w:r>
        <w:rPr>
          <w:rFonts w:ascii="Arial" w:hAnsi="Arial" w:cs="Arial"/>
          <w:b/>
          <w:bCs/>
        </w:rPr>
        <w:t>Expiry</w:t>
      </w:r>
    </w:p>
    <w:p w14:paraId="38D74CF3" w14:textId="09C2FCCB" w:rsidR="00D65A94" w:rsidRPr="00D65A94" w:rsidRDefault="00D65A94" w:rsidP="00635CD0">
      <w:pPr>
        <w:spacing w:before="140"/>
        <w:ind w:left="720"/>
      </w:pPr>
      <w:r>
        <w:t xml:space="preserve">This instrument expires on </w:t>
      </w:r>
      <w:r w:rsidR="00F602C2">
        <w:t>31 December</w:t>
      </w:r>
      <w:r>
        <w:t xml:space="preserve"> 2025. </w:t>
      </w:r>
    </w:p>
    <w:p w14:paraId="7160FD99" w14:textId="77777777" w:rsidR="00F10CB2" w:rsidRDefault="00F10CB2" w:rsidP="00D47F13">
      <w:pPr>
        <w:spacing w:before="140"/>
        <w:ind w:left="720"/>
      </w:pPr>
    </w:p>
    <w:p w14:paraId="45F5AA5B" w14:textId="3CAACC80" w:rsidR="00D47F13" w:rsidRDefault="00D65A94" w:rsidP="00232478">
      <w:pPr>
        <w:tabs>
          <w:tab w:val="left" w:pos="4320"/>
        </w:tabs>
        <w:spacing w:before="720"/>
      </w:pPr>
      <w:r>
        <w:t>Shane Rattenbury MLA</w:t>
      </w:r>
    </w:p>
    <w:p w14:paraId="7C954A22" w14:textId="04E47BE1" w:rsidR="00F10CB2" w:rsidRDefault="00D65A94" w:rsidP="00D47F13">
      <w:pPr>
        <w:tabs>
          <w:tab w:val="left" w:pos="4320"/>
        </w:tabs>
      </w:pPr>
      <w:r>
        <w:t>Minister for Gaming</w:t>
      </w:r>
    </w:p>
    <w:bookmarkEnd w:id="0"/>
    <w:p w14:paraId="0649FBD5" w14:textId="1D1B09EC" w:rsidR="00F10CB2" w:rsidRDefault="006826B8" w:rsidP="00232478">
      <w:pPr>
        <w:tabs>
          <w:tab w:val="left" w:pos="4320"/>
        </w:tabs>
      </w:pPr>
      <w:r>
        <w:t xml:space="preserve">  </w:t>
      </w:r>
    </w:p>
    <w:p w14:paraId="7DA0CE83" w14:textId="1E802A6C" w:rsidR="000C4519" w:rsidRDefault="00696D37" w:rsidP="00232478">
      <w:pPr>
        <w:tabs>
          <w:tab w:val="left" w:pos="4320"/>
        </w:tabs>
      </w:pPr>
      <w:r>
        <w:t>20 March 2024</w:t>
      </w:r>
    </w:p>
    <w:p w14:paraId="5874D8D3" w14:textId="6F7D84C5" w:rsidR="00635CD0" w:rsidRDefault="00635CD0" w:rsidP="00232478">
      <w:pPr>
        <w:tabs>
          <w:tab w:val="left" w:pos="4320"/>
        </w:tabs>
      </w:pPr>
      <w:r>
        <w:br w:type="page"/>
      </w:r>
    </w:p>
    <w:p w14:paraId="119213EB" w14:textId="1077D2F0" w:rsidR="000C4519" w:rsidRDefault="000C4519" w:rsidP="000C4519">
      <w:pPr>
        <w:tabs>
          <w:tab w:val="left" w:pos="4320"/>
        </w:tabs>
        <w:jc w:val="center"/>
        <w:rPr>
          <w:b/>
          <w:bCs/>
        </w:rPr>
      </w:pPr>
      <w:r w:rsidRPr="000C4519">
        <w:rPr>
          <w:b/>
          <w:bCs/>
        </w:rPr>
        <w:lastRenderedPageBreak/>
        <w:t>SCHEDULE 1</w:t>
      </w:r>
    </w:p>
    <w:p w14:paraId="13181949" w14:textId="77777777" w:rsidR="000C4519" w:rsidRPr="000C4519" w:rsidRDefault="000C4519" w:rsidP="000C4519">
      <w:pPr>
        <w:tabs>
          <w:tab w:val="left" w:pos="4320"/>
        </w:tabs>
        <w:jc w:val="center"/>
        <w:rPr>
          <w:b/>
          <w:bCs/>
        </w:rPr>
      </w:pPr>
    </w:p>
    <w:tbl>
      <w:tblPr>
        <w:tblStyle w:val="TableGrid"/>
        <w:tblW w:w="0" w:type="auto"/>
        <w:tblLook w:val="04A0" w:firstRow="1" w:lastRow="0" w:firstColumn="1" w:lastColumn="0" w:noHBand="0" w:noVBand="1"/>
      </w:tblPr>
      <w:tblGrid>
        <w:gridCol w:w="2972"/>
        <w:gridCol w:w="2559"/>
        <w:gridCol w:w="2766"/>
      </w:tblGrid>
      <w:tr w:rsidR="000C4519" w14:paraId="51033C25" w14:textId="77777777" w:rsidTr="009C2172">
        <w:tc>
          <w:tcPr>
            <w:tcW w:w="2972" w:type="dxa"/>
          </w:tcPr>
          <w:p w14:paraId="241C1E45" w14:textId="3AC5A03B" w:rsidR="000C4519" w:rsidRPr="000C4519" w:rsidRDefault="000C4519" w:rsidP="000C4519">
            <w:pPr>
              <w:tabs>
                <w:tab w:val="left" w:pos="4320"/>
              </w:tabs>
              <w:jc w:val="center"/>
              <w:rPr>
                <w:b/>
                <w:bCs/>
              </w:rPr>
            </w:pPr>
            <w:r w:rsidRPr="000C4519">
              <w:rPr>
                <w:b/>
                <w:bCs/>
              </w:rPr>
              <w:t>Column 1</w:t>
            </w:r>
          </w:p>
        </w:tc>
        <w:tc>
          <w:tcPr>
            <w:tcW w:w="2559" w:type="dxa"/>
          </w:tcPr>
          <w:p w14:paraId="65C20452" w14:textId="220F00EC" w:rsidR="000C4519" w:rsidRPr="000C4519" w:rsidRDefault="000C4519" w:rsidP="000C4519">
            <w:pPr>
              <w:tabs>
                <w:tab w:val="left" w:pos="4320"/>
              </w:tabs>
              <w:jc w:val="center"/>
              <w:rPr>
                <w:b/>
                <w:bCs/>
              </w:rPr>
            </w:pPr>
            <w:r w:rsidRPr="000C4519">
              <w:rPr>
                <w:b/>
                <w:bCs/>
              </w:rPr>
              <w:t>Column 2</w:t>
            </w:r>
          </w:p>
        </w:tc>
        <w:tc>
          <w:tcPr>
            <w:tcW w:w="2766" w:type="dxa"/>
          </w:tcPr>
          <w:p w14:paraId="5F2CB406" w14:textId="7BD87033" w:rsidR="000C4519" w:rsidRPr="000C4519" w:rsidRDefault="000C4519" w:rsidP="000C4519">
            <w:pPr>
              <w:tabs>
                <w:tab w:val="left" w:pos="4320"/>
              </w:tabs>
              <w:jc w:val="center"/>
              <w:rPr>
                <w:b/>
                <w:bCs/>
              </w:rPr>
            </w:pPr>
            <w:r w:rsidRPr="000C4519">
              <w:rPr>
                <w:b/>
                <w:bCs/>
              </w:rPr>
              <w:t>Column 3</w:t>
            </w:r>
          </w:p>
        </w:tc>
      </w:tr>
      <w:tr w:rsidR="000C4519" w14:paraId="58D19EBF" w14:textId="77777777" w:rsidTr="009C2172">
        <w:tc>
          <w:tcPr>
            <w:tcW w:w="2972" w:type="dxa"/>
          </w:tcPr>
          <w:p w14:paraId="04273BD9" w14:textId="25344889" w:rsidR="000C4519" w:rsidRPr="000C4519" w:rsidRDefault="000C4519" w:rsidP="009C2172">
            <w:pPr>
              <w:tabs>
                <w:tab w:val="left" w:pos="4320"/>
              </w:tabs>
              <w:spacing w:before="60" w:after="60"/>
              <w:rPr>
                <w:b/>
                <w:bCs/>
              </w:rPr>
            </w:pPr>
            <w:r w:rsidRPr="000C4519">
              <w:rPr>
                <w:b/>
                <w:bCs/>
              </w:rPr>
              <w:t xml:space="preserve">Description of Fee in </w:t>
            </w:r>
            <w:r w:rsidRPr="000C4519">
              <w:rPr>
                <w:b/>
                <w:bCs/>
                <w:i/>
                <w:iCs/>
              </w:rPr>
              <w:t xml:space="preserve">Gaming Machine (Fees) Determination 2023 </w:t>
            </w:r>
            <w:r w:rsidRPr="00F602C2">
              <w:rPr>
                <w:b/>
                <w:bCs/>
              </w:rPr>
              <w:t>waived</w:t>
            </w:r>
          </w:p>
        </w:tc>
        <w:tc>
          <w:tcPr>
            <w:tcW w:w="2559" w:type="dxa"/>
          </w:tcPr>
          <w:p w14:paraId="702FB697" w14:textId="61CF6A70" w:rsidR="000C4519" w:rsidRPr="000C4519" w:rsidRDefault="000C4519" w:rsidP="009C2172">
            <w:pPr>
              <w:tabs>
                <w:tab w:val="left" w:pos="4320"/>
              </w:tabs>
              <w:spacing w:before="60" w:after="60"/>
              <w:rPr>
                <w:b/>
                <w:bCs/>
              </w:rPr>
            </w:pPr>
            <w:r w:rsidRPr="000C4519">
              <w:rPr>
                <w:b/>
                <w:bCs/>
              </w:rPr>
              <w:t>Relevant section of the Act under which fees are payable</w:t>
            </w:r>
          </w:p>
        </w:tc>
        <w:tc>
          <w:tcPr>
            <w:tcW w:w="2766" w:type="dxa"/>
          </w:tcPr>
          <w:p w14:paraId="717CB8FC" w14:textId="6D332D24" w:rsidR="000C4519" w:rsidRPr="000C4519" w:rsidRDefault="000C4519" w:rsidP="009C2172">
            <w:pPr>
              <w:tabs>
                <w:tab w:val="left" w:pos="4320"/>
              </w:tabs>
              <w:spacing w:before="60" w:after="60"/>
              <w:rPr>
                <w:b/>
                <w:bCs/>
              </w:rPr>
            </w:pPr>
            <w:r w:rsidRPr="000C4519">
              <w:rPr>
                <w:b/>
                <w:bCs/>
              </w:rPr>
              <w:t>Condition of waiver</w:t>
            </w:r>
          </w:p>
        </w:tc>
      </w:tr>
      <w:tr w:rsidR="000C4519" w14:paraId="5D926D27" w14:textId="77777777" w:rsidTr="009C2172">
        <w:tc>
          <w:tcPr>
            <w:tcW w:w="2972" w:type="dxa"/>
          </w:tcPr>
          <w:p w14:paraId="7CC3E152" w14:textId="175A3A20" w:rsidR="000C4519" w:rsidRDefault="000C4519" w:rsidP="009C2172">
            <w:pPr>
              <w:tabs>
                <w:tab w:val="left" w:pos="4320"/>
              </w:tabs>
              <w:spacing w:before="60" w:after="60"/>
            </w:pPr>
            <w:r>
              <w:t xml:space="preserve">Application for a gaming area amendment to an authorisation certificate </w:t>
            </w:r>
          </w:p>
        </w:tc>
        <w:tc>
          <w:tcPr>
            <w:tcW w:w="2559" w:type="dxa"/>
          </w:tcPr>
          <w:p w14:paraId="01A80220" w14:textId="5DAE3F0A" w:rsidR="000C4519" w:rsidRDefault="000C4519" w:rsidP="009C2172">
            <w:pPr>
              <w:tabs>
                <w:tab w:val="left" w:pos="4320"/>
              </w:tabs>
              <w:spacing w:before="60" w:after="60"/>
            </w:pPr>
            <w:r>
              <w:t>33 (1) (a)</w:t>
            </w:r>
          </w:p>
        </w:tc>
        <w:tc>
          <w:tcPr>
            <w:tcW w:w="2766" w:type="dxa"/>
          </w:tcPr>
          <w:p w14:paraId="25663881" w14:textId="03E842A8" w:rsidR="000C4519" w:rsidRDefault="000C4519" w:rsidP="009C2172">
            <w:pPr>
              <w:tabs>
                <w:tab w:val="left" w:pos="4320"/>
              </w:tabs>
              <w:spacing w:before="60" w:after="60"/>
            </w:pPr>
            <w:r>
              <w:t>Application must be made as a result of the surrender of a gaming machine authorisation</w:t>
            </w:r>
          </w:p>
        </w:tc>
      </w:tr>
      <w:tr w:rsidR="000C4519" w14:paraId="26CD1EE5" w14:textId="77777777" w:rsidTr="009C2172">
        <w:tc>
          <w:tcPr>
            <w:tcW w:w="2972" w:type="dxa"/>
          </w:tcPr>
          <w:p w14:paraId="557250AA" w14:textId="0187EEB6" w:rsidR="000C4519" w:rsidRDefault="000C4519" w:rsidP="009C2172">
            <w:pPr>
              <w:tabs>
                <w:tab w:val="left" w:pos="4320"/>
              </w:tabs>
              <w:spacing w:before="60" w:after="60"/>
            </w:pPr>
            <w:r>
              <w:t>Notification for a technical amendment</w:t>
            </w:r>
            <w:r w:rsidR="00DF20CA">
              <w:t xml:space="preserve"> of an authorisation certificate</w:t>
            </w:r>
          </w:p>
        </w:tc>
        <w:tc>
          <w:tcPr>
            <w:tcW w:w="2559" w:type="dxa"/>
          </w:tcPr>
          <w:p w14:paraId="1D8D63AD" w14:textId="6FE9E075" w:rsidR="000C4519" w:rsidRDefault="000C4519" w:rsidP="009C2172">
            <w:pPr>
              <w:tabs>
                <w:tab w:val="left" w:pos="4320"/>
              </w:tabs>
              <w:spacing w:before="60" w:after="60"/>
            </w:pPr>
            <w:r>
              <w:t>37B</w:t>
            </w:r>
          </w:p>
        </w:tc>
        <w:tc>
          <w:tcPr>
            <w:tcW w:w="2766" w:type="dxa"/>
          </w:tcPr>
          <w:p w14:paraId="54359620" w14:textId="21E9314A" w:rsidR="000C4519" w:rsidRDefault="00F27750" w:rsidP="009C2172">
            <w:pPr>
              <w:tabs>
                <w:tab w:val="left" w:pos="4320"/>
              </w:tabs>
              <w:spacing w:before="60" w:after="60"/>
            </w:pPr>
            <w:r>
              <w:t>Notification must be given as a result of the surrender of a gaming machine authorisation</w:t>
            </w:r>
          </w:p>
        </w:tc>
      </w:tr>
      <w:tr w:rsidR="000C4519" w14:paraId="151FD258" w14:textId="77777777" w:rsidTr="009C2172">
        <w:tc>
          <w:tcPr>
            <w:tcW w:w="2972" w:type="dxa"/>
          </w:tcPr>
          <w:p w14:paraId="262705CB" w14:textId="1C95D2EA" w:rsidR="000C4519" w:rsidRDefault="00F27750" w:rsidP="009C2172">
            <w:pPr>
              <w:tabs>
                <w:tab w:val="left" w:pos="4320"/>
              </w:tabs>
              <w:spacing w:before="60" w:after="60"/>
            </w:pPr>
            <w:r>
              <w:t xml:space="preserve">Application for approval to dispose of a gaming machine </w:t>
            </w:r>
          </w:p>
        </w:tc>
        <w:tc>
          <w:tcPr>
            <w:tcW w:w="2559" w:type="dxa"/>
          </w:tcPr>
          <w:p w14:paraId="421604FA" w14:textId="336EEDB9" w:rsidR="000C4519" w:rsidRDefault="00F27750" w:rsidP="009C2172">
            <w:pPr>
              <w:tabs>
                <w:tab w:val="left" w:pos="4320"/>
              </w:tabs>
              <w:spacing w:before="60" w:after="60"/>
            </w:pPr>
            <w:r>
              <w:t>112</w:t>
            </w:r>
          </w:p>
        </w:tc>
        <w:tc>
          <w:tcPr>
            <w:tcW w:w="2766" w:type="dxa"/>
          </w:tcPr>
          <w:p w14:paraId="61C9C88E" w14:textId="01DDA304" w:rsidR="000C4519" w:rsidRDefault="00F27750" w:rsidP="009C2172">
            <w:pPr>
              <w:tabs>
                <w:tab w:val="left" w:pos="4320"/>
              </w:tabs>
              <w:spacing w:before="60" w:after="60"/>
            </w:pPr>
            <w:r>
              <w:t>Application must be made as a result of the surrender of a gaming machine authorisation</w:t>
            </w:r>
          </w:p>
        </w:tc>
      </w:tr>
      <w:tr w:rsidR="000C4519" w14:paraId="5A36C419" w14:textId="77777777" w:rsidTr="009C2172">
        <w:tc>
          <w:tcPr>
            <w:tcW w:w="2972" w:type="dxa"/>
          </w:tcPr>
          <w:p w14:paraId="00D53CE2" w14:textId="1EBE82D6" w:rsidR="000C4519" w:rsidRDefault="00F27750" w:rsidP="009C2172">
            <w:pPr>
              <w:tabs>
                <w:tab w:val="left" w:pos="4320"/>
              </w:tabs>
              <w:spacing w:before="60" w:after="60"/>
            </w:pPr>
            <w:r>
              <w:t xml:space="preserve">Notification – </w:t>
            </w:r>
            <w:r w:rsidR="005F02DF">
              <w:t>D</w:t>
            </w:r>
            <w:r>
              <w:t>isposal of gaming machines</w:t>
            </w:r>
          </w:p>
        </w:tc>
        <w:tc>
          <w:tcPr>
            <w:tcW w:w="2559" w:type="dxa"/>
          </w:tcPr>
          <w:p w14:paraId="0F8D6573" w14:textId="2E00D578" w:rsidR="000C4519" w:rsidRDefault="00F27750" w:rsidP="009C2172">
            <w:pPr>
              <w:tabs>
                <w:tab w:val="left" w:pos="4320"/>
              </w:tabs>
              <w:spacing w:before="60" w:after="60"/>
            </w:pPr>
            <w:r>
              <w:t>113A</w:t>
            </w:r>
          </w:p>
        </w:tc>
        <w:tc>
          <w:tcPr>
            <w:tcW w:w="2766" w:type="dxa"/>
          </w:tcPr>
          <w:p w14:paraId="3E799ADC" w14:textId="621FFEFB" w:rsidR="000C4519" w:rsidRDefault="00F27750" w:rsidP="009C2172">
            <w:pPr>
              <w:tabs>
                <w:tab w:val="left" w:pos="4320"/>
              </w:tabs>
              <w:spacing w:before="60" w:after="60"/>
            </w:pPr>
            <w:r>
              <w:t>Notification must be given as a result of a surrender of a gaming machine authorisation</w:t>
            </w:r>
          </w:p>
        </w:tc>
      </w:tr>
      <w:tr w:rsidR="000C4519" w14:paraId="4DDB4DF5" w14:textId="77777777" w:rsidTr="009C2172">
        <w:tc>
          <w:tcPr>
            <w:tcW w:w="2972" w:type="dxa"/>
          </w:tcPr>
          <w:p w14:paraId="020DD0E5" w14:textId="3C32C7D5" w:rsidR="000C4519" w:rsidRDefault="00F27750" w:rsidP="009C2172">
            <w:pPr>
              <w:tabs>
                <w:tab w:val="left" w:pos="4320"/>
              </w:tabs>
              <w:spacing w:before="60" w:after="60"/>
            </w:pPr>
            <w:r>
              <w:t>Application for storage permit to store one or more gaming machines</w:t>
            </w:r>
          </w:p>
        </w:tc>
        <w:tc>
          <w:tcPr>
            <w:tcW w:w="2559" w:type="dxa"/>
          </w:tcPr>
          <w:p w14:paraId="6713A48D" w14:textId="1AF78790" w:rsidR="000C4519" w:rsidRDefault="00F27750" w:rsidP="009C2172">
            <w:pPr>
              <w:tabs>
                <w:tab w:val="left" w:pos="4320"/>
              </w:tabs>
              <w:spacing w:before="60" w:after="60"/>
            </w:pPr>
            <w:r>
              <w:t>127O</w:t>
            </w:r>
          </w:p>
        </w:tc>
        <w:tc>
          <w:tcPr>
            <w:tcW w:w="2766" w:type="dxa"/>
          </w:tcPr>
          <w:p w14:paraId="779C9A60" w14:textId="0A8405AB" w:rsidR="000C4519" w:rsidRDefault="00F27750" w:rsidP="009C2172">
            <w:pPr>
              <w:tabs>
                <w:tab w:val="left" w:pos="4320"/>
              </w:tabs>
              <w:spacing w:before="60" w:after="60"/>
            </w:pPr>
            <w:r>
              <w:t xml:space="preserve">Notification must be given as a result of a surrender of a gaming machine authorisation </w:t>
            </w:r>
          </w:p>
        </w:tc>
      </w:tr>
      <w:tr w:rsidR="000C4519" w14:paraId="0675A3B7" w14:textId="77777777" w:rsidTr="009C2172">
        <w:tc>
          <w:tcPr>
            <w:tcW w:w="2972" w:type="dxa"/>
          </w:tcPr>
          <w:p w14:paraId="714A9E39" w14:textId="319B57C0" w:rsidR="000C4519" w:rsidRDefault="00F27750" w:rsidP="009C2172">
            <w:pPr>
              <w:tabs>
                <w:tab w:val="left" w:pos="4320"/>
              </w:tabs>
              <w:spacing w:before="60" w:after="60"/>
            </w:pPr>
            <w:r>
              <w:t>Notification to dispose of a stored or quarantined gaming machine or remove a gaming machine from storage</w:t>
            </w:r>
          </w:p>
        </w:tc>
        <w:tc>
          <w:tcPr>
            <w:tcW w:w="2559" w:type="dxa"/>
          </w:tcPr>
          <w:p w14:paraId="56A4D1F7" w14:textId="5698B9D5" w:rsidR="000C4519" w:rsidRDefault="00F27750" w:rsidP="009C2172">
            <w:pPr>
              <w:tabs>
                <w:tab w:val="left" w:pos="4320"/>
              </w:tabs>
              <w:spacing w:before="60" w:after="60"/>
            </w:pPr>
            <w:r>
              <w:t>127X</w:t>
            </w:r>
          </w:p>
        </w:tc>
        <w:tc>
          <w:tcPr>
            <w:tcW w:w="2766" w:type="dxa"/>
          </w:tcPr>
          <w:p w14:paraId="0C17C1E2" w14:textId="55811B72" w:rsidR="000C4519" w:rsidRDefault="00F27750" w:rsidP="009C2172">
            <w:pPr>
              <w:tabs>
                <w:tab w:val="left" w:pos="4320"/>
              </w:tabs>
              <w:spacing w:before="60" w:after="60"/>
            </w:pPr>
            <w:r>
              <w:t>Notification must be given as a result of a surrender of a gaming machine authorisation</w:t>
            </w:r>
          </w:p>
        </w:tc>
      </w:tr>
      <w:tr w:rsidR="000C4519" w14:paraId="2FE849B8" w14:textId="77777777" w:rsidTr="009C2172">
        <w:tc>
          <w:tcPr>
            <w:tcW w:w="2972" w:type="dxa"/>
          </w:tcPr>
          <w:p w14:paraId="7B0B6518" w14:textId="4FD18302" w:rsidR="000C4519" w:rsidRDefault="00F27750" w:rsidP="009C2172">
            <w:pPr>
              <w:tabs>
                <w:tab w:val="left" w:pos="4320"/>
              </w:tabs>
              <w:spacing w:before="60" w:after="60"/>
            </w:pPr>
            <w:r>
              <w:t>Inspection of gaming machines held under a storage permit</w:t>
            </w:r>
          </w:p>
        </w:tc>
        <w:tc>
          <w:tcPr>
            <w:tcW w:w="2559" w:type="dxa"/>
          </w:tcPr>
          <w:p w14:paraId="7F323E74" w14:textId="42DEABA5" w:rsidR="000C4519" w:rsidRDefault="00F27750" w:rsidP="009C2172">
            <w:pPr>
              <w:tabs>
                <w:tab w:val="left" w:pos="4320"/>
              </w:tabs>
              <w:spacing w:before="60" w:after="60"/>
            </w:pPr>
            <w:r>
              <w:t>127ZE</w:t>
            </w:r>
          </w:p>
        </w:tc>
        <w:tc>
          <w:tcPr>
            <w:tcW w:w="2766" w:type="dxa"/>
          </w:tcPr>
          <w:p w14:paraId="4592E858" w14:textId="24210C8C" w:rsidR="000C4519" w:rsidRDefault="00F27750" w:rsidP="009C2172">
            <w:pPr>
              <w:tabs>
                <w:tab w:val="left" w:pos="4320"/>
              </w:tabs>
              <w:spacing w:before="60" w:after="60"/>
            </w:pPr>
            <w:r>
              <w:t>Inspection must occur as a result of a surrender of a gaming machine authorisation</w:t>
            </w:r>
          </w:p>
        </w:tc>
      </w:tr>
    </w:tbl>
    <w:p w14:paraId="47282FB0" w14:textId="77777777" w:rsidR="000C4519" w:rsidRPr="000C4519" w:rsidRDefault="000C4519" w:rsidP="009C2172">
      <w:pPr>
        <w:tabs>
          <w:tab w:val="left" w:pos="4320"/>
        </w:tabs>
      </w:pPr>
    </w:p>
    <w:sectPr w:rsidR="000C4519" w:rsidRPr="000C4519" w:rsidSect="00F15AC3">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8F60" w14:textId="77777777" w:rsidR="00A418E1" w:rsidRDefault="00A418E1" w:rsidP="00F10CB2">
      <w:r>
        <w:separator/>
      </w:r>
    </w:p>
  </w:endnote>
  <w:endnote w:type="continuationSeparator" w:id="0">
    <w:p w14:paraId="0ABFA418" w14:textId="77777777" w:rsidR="00A418E1" w:rsidRDefault="00A418E1" w:rsidP="00F1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FBDC" w14:textId="77777777" w:rsidR="00704DC3" w:rsidRDefault="00704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95A2E" w14:textId="66F67231" w:rsidR="00704DC3" w:rsidRPr="00FA1104" w:rsidRDefault="00FA1104" w:rsidP="00FA1104">
    <w:pPr>
      <w:pStyle w:val="Footer"/>
      <w:jc w:val="center"/>
      <w:rPr>
        <w:rFonts w:cs="Arial"/>
        <w:sz w:val="14"/>
      </w:rPr>
    </w:pPr>
    <w:r w:rsidRPr="00FA1104">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DF2A" w14:textId="77777777" w:rsidR="00704DC3" w:rsidRDefault="00704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F878" w14:textId="77777777" w:rsidR="00A418E1" w:rsidRDefault="00A418E1" w:rsidP="00F10CB2">
      <w:r>
        <w:separator/>
      </w:r>
    </w:p>
  </w:footnote>
  <w:footnote w:type="continuationSeparator" w:id="0">
    <w:p w14:paraId="393DA4BC" w14:textId="77777777" w:rsidR="00A418E1" w:rsidRDefault="00A418E1" w:rsidP="00F10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D301" w14:textId="77777777" w:rsidR="00704DC3" w:rsidRDefault="00704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0732" w14:textId="77777777" w:rsidR="00704DC3" w:rsidRDefault="00704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9A82" w14:textId="77777777" w:rsidR="00704DC3" w:rsidRDefault="00704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2385057"/>
    <w:multiLevelType w:val="multilevel"/>
    <w:tmpl w:val="D4009D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16cid:durableId="766075507">
    <w:abstractNumId w:val="2"/>
  </w:num>
  <w:num w:numId="2" w16cid:durableId="371806506">
    <w:abstractNumId w:val="0"/>
  </w:num>
  <w:num w:numId="3" w16cid:durableId="1685396263">
    <w:abstractNumId w:val="3"/>
  </w:num>
  <w:num w:numId="4" w16cid:durableId="2083600905">
    <w:abstractNumId w:val="7"/>
  </w:num>
  <w:num w:numId="5" w16cid:durableId="2045716225">
    <w:abstractNumId w:val="8"/>
  </w:num>
  <w:num w:numId="6" w16cid:durableId="948708059">
    <w:abstractNumId w:val="1"/>
  </w:num>
  <w:num w:numId="7" w16cid:durableId="1989824780">
    <w:abstractNumId w:val="5"/>
  </w:num>
  <w:num w:numId="8" w16cid:durableId="1067385964">
    <w:abstractNumId w:val="6"/>
  </w:num>
  <w:num w:numId="9" w16cid:durableId="1408454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5C"/>
    <w:rsid w:val="00022B16"/>
    <w:rsid w:val="000A1A69"/>
    <w:rsid w:val="000C4519"/>
    <w:rsid w:val="00194AC7"/>
    <w:rsid w:val="001F2D3E"/>
    <w:rsid w:val="00232478"/>
    <w:rsid w:val="0023499E"/>
    <w:rsid w:val="004832CD"/>
    <w:rsid w:val="005371BE"/>
    <w:rsid w:val="00541CD0"/>
    <w:rsid w:val="0055501D"/>
    <w:rsid w:val="005A518E"/>
    <w:rsid w:val="005D1BB3"/>
    <w:rsid w:val="005F02DF"/>
    <w:rsid w:val="00627F0C"/>
    <w:rsid w:val="00635CD0"/>
    <w:rsid w:val="00667281"/>
    <w:rsid w:val="006826B8"/>
    <w:rsid w:val="00696D37"/>
    <w:rsid w:val="00704DC3"/>
    <w:rsid w:val="0072003E"/>
    <w:rsid w:val="00924034"/>
    <w:rsid w:val="00946BFB"/>
    <w:rsid w:val="009C2172"/>
    <w:rsid w:val="00A0585C"/>
    <w:rsid w:val="00A418E1"/>
    <w:rsid w:val="00A64C02"/>
    <w:rsid w:val="00AF1700"/>
    <w:rsid w:val="00B30B9A"/>
    <w:rsid w:val="00BA52F5"/>
    <w:rsid w:val="00BB241F"/>
    <w:rsid w:val="00C41B1B"/>
    <w:rsid w:val="00CD4E55"/>
    <w:rsid w:val="00D47F13"/>
    <w:rsid w:val="00D65A94"/>
    <w:rsid w:val="00DF20CA"/>
    <w:rsid w:val="00E30830"/>
    <w:rsid w:val="00E556F2"/>
    <w:rsid w:val="00F10CB2"/>
    <w:rsid w:val="00F15AC3"/>
    <w:rsid w:val="00F27750"/>
    <w:rsid w:val="00F602C2"/>
    <w:rsid w:val="00FA11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9770A"/>
  <w15:docId w15:val="{BA255ED2-B3BD-414B-928B-FE12BCEA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C3"/>
    <w:rPr>
      <w:sz w:val="24"/>
      <w:lang w:eastAsia="en-US"/>
    </w:rPr>
  </w:style>
  <w:style w:type="paragraph" w:styleId="Heading1">
    <w:name w:val="heading 1"/>
    <w:basedOn w:val="Normal"/>
    <w:next w:val="Normal"/>
    <w:qFormat/>
    <w:rsid w:val="00F15AC3"/>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F15AC3"/>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F15AC3"/>
    <w:pPr>
      <w:keepNext/>
      <w:pBdr>
        <w:right w:val="single" w:sz="4" w:space="4" w:color="auto"/>
      </w:pBdr>
      <w:outlineLvl w:val="2"/>
    </w:pPr>
    <w:rPr>
      <w:i/>
      <w:iCs/>
      <w:sz w:val="22"/>
      <w:szCs w:val="22"/>
    </w:rPr>
  </w:style>
  <w:style w:type="paragraph" w:styleId="Heading4">
    <w:name w:val="heading 4"/>
    <w:basedOn w:val="Normal"/>
    <w:next w:val="Normal"/>
    <w:qFormat/>
    <w:rsid w:val="00F15AC3"/>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5AC3"/>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F15AC3"/>
    <w:pPr>
      <w:tabs>
        <w:tab w:val="left" w:pos="2880"/>
      </w:tabs>
      <w:spacing w:before="120" w:after="60" w:line="240" w:lineRule="exact"/>
    </w:pPr>
    <w:rPr>
      <w:rFonts w:ascii="Arial" w:hAnsi="Arial"/>
      <w:sz w:val="18"/>
    </w:rPr>
  </w:style>
  <w:style w:type="paragraph" w:customStyle="1" w:styleId="Billname">
    <w:name w:val="Billname"/>
    <w:basedOn w:val="Normal"/>
    <w:rsid w:val="00F15AC3"/>
    <w:pPr>
      <w:tabs>
        <w:tab w:val="left" w:pos="2400"/>
        <w:tab w:val="left" w:pos="2880"/>
      </w:tabs>
      <w:spacing w:before="1220" w:after="100"/>
    </w:pPr>
    <w:rPr>
      <w:rFonts w:ascii="Arial" w:hAnsi="Arial"/>
      <w:b/>
      <w:sz w:val="40"/>
    </w:rPr>
  </w:style>
  <w:style w:type="paragraph" w:customStyle="1" w:styleId="Amain">
    <w:name w:val="A main"/>
    <w:basedOn w:val="Normal"/>
    <w:rsid w:val="00F15AC3"/>
    <w:pPr>
      <w:tabs>
        <w:tab w:val="right" w:pos="500"/>
        <w:tab w:val="left" w:pos="700"/>
      </w:tabs>
      <w:spacing w:before="80" w:after="60"/>
      <w:ind w:left="700" w:hanging="700"/>
      <w:jc w:val="both"/>
      <w:outlineLvl w:val="5"/>
    </w:pPr>
  </w:style>
  <w:style w:type="paragraph" w:customStyle="1" w:styleId="N-line3">
    <w:name w:val="N-line3"/>
    <w:basedOn w:val="Normal"/>
    <w:next w:val="Normal"/>
    <w:rsid w:val="00F15AC3"/>
    <w:pPr>
      <w:pBdr>
        <w:bottom w:val="single" w:sz="12" w:space="1" w:color="auto"/>
      </w:pBdr>
      <w:jc w:val="both"/>
    </w:pPr>
  </w:style>
  <w:style w:type="paragraph" w:customStyle="1" w:styleId="madeunder">
    <w:name w:val="made under"/>
    <w:basedOn w:val="Normal"/>
    <w:rsid w:val="00F15AC3"/>
    <w:pPr>
      <w:spacing w:before="180" w:after="60"/>
      <w:jc w:val="both"/>
    </w:pPr>
  </w:style>
  <w:style w:type="paragraph" w:customStyle="1" w:styleId="CoverActName">
    <w:name w:val="CoverActName"/>
    <w:basedOn w:val="Normal"/>
    <w:rsid w:val="00F15AC3"/>
    <w:pPr>
      <w:tabs>
        <w:tab w:val="left" w:pos="2600"/>
      </w:tabs>
      <w:spacing w:before="200" w:after="60"/>
      <w:jc w:val="both"/>
    </w:pPr>
    <w:rPr>
      <w:rFonts w:ascii="Arial" w:hAnsi="Arial"/>
      <w:b/>
    </w:rPr>
  </w:style>
  <w:style w:type="paragraph" w:customStyle="1" w:styleId="06Copyright">
    <w:name w:val="06Copyright"/>
    <w:basedOn w:val="Normal"/>
    <w:rsid w:val="00F15AC3"/>
    <w:pPr>
      <w:tabs>
        <w:tab w:val="left" w:pos="2880"/>
      </w:tabs>
    </w:pPr>
  </w:style>
  <w:style w:type="paragraph" w:customStyle="1" w:styleId="Apara">
    <w:name w:val="A para"/>
    <w:basedOn w:val="Normal"/>
    <w:rsid w:val="00F15AC3"/>
    <w:pPr>
      <w:numPr>
        <w:ilvl w:val="6"/>
        <w:numId w:val="9"/>
      </w:numPr>
      <w:spacing w:before="80" w:after="60"/>
      <w:jc w:val="both"/>
      <w:outlineLvl w:val="6"/>
    </w:pPr>
  </w:style>
  <w:style w:type="paragraph" w:customStyle="1" w:styleId="Asubpara">
    <w:name w:val="A subpara"/>
    <w:basedOn w:val="Normal"/>
    <w:rsid w:val="00F15AC3"/>
    <w:pPr>
      <w:numPr>
        <w:ilvl w:val="7"/>
        <w:numId w:val="9"/>
      </w:numPr>
      <w:spacing w:before="80" w:after="60"/>
      <w:jc w:val="both"/>
      <w:outlineLvl w:val="7"/>
    </w:pPr>
  </w:style>
  <w:style w:type="paragraph" w:customStyle="1" w:styleId="Asubsubpara">
    <w:name w:val="A subsubpara"/>
    <w:basedOn w:val="Normal"/>
    <w:rsid w:val="00F15AC3"/>
    <w:pPr>
      <w:numPr>
        <w:ilvl w:val="8"/>
        <w:numId w:val="9"/>
      </w:numPr>
      <w:spacing w:before="80" w:after="60"/>
      <w:jc w:val="both"/>
      <w:outlineLvl w:val="8"/>
    </w:pPr>
  </w:style>
  <w:style w:type="paragraph" w:customStyle="1" w:styleId="AH5Sec">
    <w:name w:val="A H5 Sec"/>
    <w:basedOn w:val="Normal"/>
    <w:next w:val="Amain"/>
    <w:rsid w:val="00F15AC3"/>
    <w:pPr>
      <w:keepNext/>
      <w:numPr>
        <w:ilvl w:val="4"/>
        <w:numId w:val="1"/>
      </w:numPr>
      <w:spacing w:before="180" w:after="60"/>
      <w:outlineLvl w:val="4"/>
    </w:pPr>
    <w:rPr>
      <w:rFonts w:ascii="Arial" w:hAnsi="Arial"/>
      <w:b/>
    </w:rPr>
  </w:style>
  <w:style w:type="paragraph" w:styleId="Header">
    <w:name w:val="header"/>
    <w:basedOn w:val="Normal"/>
    <w:semiHidden/>
    <w:rsid w:val="00F15AC3"/>
    <w:pPr>
      <w:tabs>
        <w:tab w:val="left" w:pos="2880"/>
        <w:tab w:val="center" w:pos="4153"/>
        <w:tab w:val="right" w:pos="8306"/>
      </w:tabs>
    </w:pPr>
  </w:style>
  <w:style w:type="paragraph" w:customStyle="1" w:styleId="ref">
    <w:name w:val="ref"/>
    <w:basedOn w:val="Normal"/>
    <w:next w:val="Normal"/>
    <w:rsid w:val="00F15AC3"/>
    <w:pPr>
      <w:spacing w:after="60"/>
      <w:jc w:val="both"/>
    </w:pPr>
    <w:rPr>
      <w:sz w:val="18"/>
    </w:rPr>
  </w:style>
  <w:style w:type="character" w:customStyle="1" w:styleId="CharDivText">
    <w:name w:val="CharDivText"/>
    <w:basedOn w:val="DefaultParagraphFont"/>
    <w:rsid w:val="00F15AC3"/>
  </w:style>
  <w:style w:type="paragraph" w:customStyle="1" w:styleId="CoverInForce">
    <w:name w:val="CoverInForce"/>
    <w:basedOn w:val="Normal"/>
    <w:rsid w:val="00F15AC3"/>
    <w:pPr>
      <w:tabs>
        <w:tab w:val="left" w:pos="2600"/>
      </w:tabs>
      <w:spacing w:before="200" w:after="60"/>
      <w:jc w:val="both"/>
    </w:pPr>
    <w:rPr>
      <w:rFonts w:ascii="Arial" w:hAnsi="Arial"/>
    </w:rPr>
  </w:style>
  <w:style w:type="paragraph" w:customStyle="1" w:styleId="AFHdg">
    <w:name w:val="AFHdg"/>
    <w:basedOn w:val="Normal"/>
    <w:rsid w:val="00F15AC3"/>
    <w:pPr>
      <w:tabs>
        <w:tab w:val="left" w:pos="2600"/>
      </w:tabs>
      <w:spacing w:before="80" w:after="60"/>
      <w:jc w:val="both"/>
    </w:pPr>
    <w:rPr>
      <w:rFonts w:ascii="Arial" w:hAnsi="Arial"/>
      <w:b/>
      <w:sz w:val="32"/>
    </w:rPr>
  </w:style>
  <w:style w:type="paragraph" w:customStyle="1" w:styleId="ApprFormHd">
    <w:name w:val="ApprFormHd"/>
    <w:basedOn w:val="Normal"/>
    <w:rsid w:val="00F15AC3"/>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F15AC3"/>
  </w:style>
  <w:style w:type="paragraph" w:customStyle="1" w:styleId="Aparabullet">
    <w:name w:val="A para bullet"/>
    <w:basedOn w:val="Normal"/>
    <w:rsid w:val="00F15AC3"/>
    <w:pPr>
      <w:numPr>
        <w:numId w:val="4"/>
      </w:numPr>
    </w:pPr>
  </w:style>
  <w:style w:type="paragraph" w:styleId="TOC1">
    <w:name w:val="toc 1"/>
    <w:basedOn w:val="Normal"/>
    <w:next w:val="Normal"/>
    <w:autoRedefine/>
    <w:semiHidden/>
    <w:rsid w:val="00F15AC3"/>
  </w:style>
  <w:style w:type="paragraph" w:styleId="TOC2">
    <w:name w:val="toc 2"/>
    <w:basedOn w:val="Normal"/>
    <w:next w:val="Normal"/>
    <w:autoRedefine/>
    <w:semiHidden/>
    <w:rsid w:val="00F15AC3"/>
    <w:pPr>
      <w:ind w:left="240"/>
    </w:pPr>
  </w:style>
  <w:style w:type="paragraph" w:styleId="TOC3">
    <w:name w:val="toc 3"/>
    <w:basedOn w:val="Normal"/>
    <w:next w:val="Normal"/>
    <w:autoRedefine/>
    <w:semiHidden/>
    <w:rsid w:val="00F15AC3"/>
    <w:pPr>
      <w:ind w:left="480"/>
    </w:pPr>
  </w:style>
  <w:style w:type="paragraph" w:styleId="TOC4">
    <w:name w:val="toc 4"/>
    <w:basedOn w:val="Normal"/>
    <w:next w:val="Normal"/>
    <w:autoRedefine/>
    <w:semiHidden/>
    <w:rsid w:val="00F15AC3"/>
    <w:pPr>
      <w:ind w:left="720"/>
    </w:pPr>
  </w:style>
  <w:style w:type="paragraph" w:styleId="TOC5">
    <w:name w:val="toc 5"/>
    <w:basedOn w:val="Normal"/>
    <w:next w:val="Normal"/>
    <w:autoRedefine/>
    <w:semiHidden/>
    <w:rsid w:val="00F15AC3"/>
    <w:pPr>
      <w:ind w:left="960"/>
    </w:pPr>
  </w:style>
  <w:style w:type="paragraph" w:styleId="TOC6">
    <w:name w:val="toc 6"/>
    <w:basedOn w:val="Normal"/>
    <w:next w:val="Normal"/>
    <w:autoRedefine/>
    <w:semiHidden/>
    <w:rsid w:val="00F15AC3"/>
    <w:pPr>
      <w:ind w:left="1200"/>
    </w:pPr>
  </w:style>
  <w:style w:type="paragraph" w:styleId="TOC7">
    <w:name w:val="toc 7"/>
    <w:basedOn w:val="Normal"/>
    <w:next w:val="Normal"/>
    <w:autoRedefine/>
    <w:semiHidden/>
    <w:rsid w:val="00F15AC3"/>
    <w:pPr>
      <w:ind w:left="1440"/>
    </w:pPr>
  </w:style>
  <w:style w:type="paragraph" w:styleId="TOC8">
    <w:name w:val="toc 8"/>
    <w:basedOn w:val="Normal"/>
    <w:next w:val="Normal"/>
    <w:autoRedefine/>
    <w:semiHidden/>
    <w:rsid w:val="00F15AC3"/>
    <w:pPr>
      <w:ind w:left="1680"/>
    </w:pPr>
  </w:style>
  <w:style w:type="paragraph" w:styleId="TOC9">
    <w:name w:val="toc 9"/>
    <w:basedOn w:val="Normal"/>
    <w:next w:val="Normal"/>
    <w:autoRedefine/>
    <w:semiHidden/>
    <w:rsid w:val="00F15AC3"/>
    <w:pPr>
      <w:ind w:left="1920"/>
    </w:pPr>
  </w:style>
  <w:style w:type="character" w:styleId="Hyperlink">
    <w:name w:val="Hyperlink"/>
    <w:basedOn w:val="DefaultParagraphFont"/>
    <w:semiHidden/>
    <w:rsid w:val="00F15AC3"/>
    <w:rPr>
      <w:color w:val="0000FF"/>
      <w:u w:val="single"/>
    </w:rPr>
  </w:style>
  <w:style w:type="paragraph" w:styleId="BodyTextIndent">
    <w:name w:val="Body Text Indent"/>
    <w:basedOn w:val="Normal"/>
    <w:semiHidden/>
    <w:rsid w:val="00F15AC3"/>
    <w:pPr>
      <w:spacing w:before="120" w:after="60"/>
      <w:ind w:left="709"/>
    </w:pPr>
  </w:style>
  <w:style w:type="paragraph" w:customStyle="1" w:styleId="Minister">
    <w:name w:val="Minister"/>
    <w:basedOn w:val="Normal"/>
    <w:rsid w:val="00F15AC3"/>
    <w:pPr>
      <w:spacing w:before="880" w:after="60"/>
      <w:jc w:val="right"/>
    </w:pPr>
    <w:rPr>
      <w:caps/>
      <w:szCs w:val="24"/>
    </w:rPr>
  </w:style>
  <w:style w:type="paragraph" w:customStyle="1" w:styleId="DateLine">
    <w:name w:val="DateLine"/>
    <w:basedOn w:val="Normal"/>
    <w:rsid w:val="00F15AC3"/>
    <w:pPr>
      <w:tabs>
        <w:tab w:val="left" w:pos="4320"/>
      </w:tabs>
      <w:spacing w:before="80" w:after="60"/>
      <w:jc w:val="both"/>
    </w:pPr>
    <w:rPr>
      <w:szCs w:val="24"/>
    </w:rPr>
  </w:style>
  <w:style w:type="paragraph" w:customStyle="1" w:styleId="MinisterWord">
    <w:name w:val="MinisterWord"/>
    <w:basedOn w:val="Normal"/>
    <w:rsid w:val="00F15AC3"/>
    <w:pPr>
      <w:tabs>
        <w:tab w:val="left" w:pos="2880"/>
      </w:tabs>
      <w:jc w:val="right"/>
    </w:pPr>
    <w:rPr>
      <w:szCs w:val="24"/>
    </w:rPr>
  </w:style>
  <w:style w:type="character" w:styleId="FollowedHyperlink">
    <w:name w:val="FollowedHyperlink"/>
    <w:basedOn w:val="DefaultParagraphFont"/>
    <w:semiHidden/>
    <w:rsid w:val="00F15AC3"/>
    <w:rPr>
      <w:color w:val="800080"/>
      <w:u w:val="single"/>
    </w:rPr>
  </w:style>
  <w:style w:type="character" w:styleId="FootnoteReference">
    <w:name w:val="footnote reference"/>
    <w:basedOn w:val="DefaultParagraphFont"/>
    <w:semiHidden/>
    <w:rsid w:val="00F15AC3"/>
    <w:rPr>
      <w:rFonts w:ascii="Times New Roman" w:hAnsi="Times New Roman" w:cs="Times New Roman"/>
      <w:sz w:val="24"/>
      <w:szCs w:val="24"/>
      <w:vertAlign w:val="superscript"/>
    </w:rPr>
  </w:style>
  <w:style w:type="paragraph" w:styleId="FootnoteText">
    <w:name w:val="footnote text"/>
    <w:basedOn w:val="Normal"/>
    <w:semiHidden/>
    <w:rsid w:val="00F15AC3"/>
    <w:pPr>
      <w:spacing w:before="80" w:after="60"/>
      <w:jc w:val="both"/>
    </w:pPr>
    <w:rPr>
      <w:szCs w:val="24"/>
    </w:rPr>
  </w:style>
  <w:style w:type="paragraph" w:customStyle="1" w:styleId="ShadedSchClause">
    <w:name w:val="Shaded Sch Clause"/>
    <w:basedOn w:val="Normal"/>
    <w:next w:val="Normal"/>
    <w:rsid w:val="00F15AC3"/>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F15AC3"/>
  </w:style>
  <w:style w:type="character" w:styleId="CommentReference">
    <w:name w:val="annotation reference"/>
    <w:basedOn w:val="DefaultParagraphFont"/>
    <w:uiPriority w:val="99"/>
    <w:semiHidden/>
    <w:unhideWhenUsed/>
    <w:rsid w:val="00D65A94"/>
    <w:rPr>
      <w:sz w:val="16"/>
      <w:szCs w:val="16"/>
    </w:rPr>
  </w:style>
  <w:style w:type="paragraph" w:styleId="CommentText">
    <w:name w:val="annotation text"/>
    <w:basedOn w:val="Normal"/>
    <w:link w:val="CommentTextChar"/>
    <w:uiPriority w:val="99"/>
    <w:unhideWhenUsed/>
    <w:rsid w:val="00D65A94"/>
    <w:rPr>
      <w:sz w:val="20"/>
    </w:rPr>
  </w:style>
  <w:style w:type="character" w:customStyle="1" w:styleId="CommentTextChar">
    <w:name w:val="Comment Text Char"/>
    <w:basedOn w:val="DefaultParagraphFont"/>
    <w:link w:val="CommentText"/>
    <w:uiPriority w:val="99"/>
    <w:rsid w:val="00D65A94"/>
    <w:rPr>
      <w:lang w:eastAsia="en-US"/>
    </w:rPr>
  </w:style>
  <w:style w:type="paragraph" w:styleId="CommentSubject">
    <w:name w:val="annotation subject"/>
    <w:basedOn w:val="CommentText"/>
    <w:next w:val="CommentText"/>
    <w:link w:val="CommentSubjectChar"/>
    <w:uiPriority w:val="99"/>
    <w:semiHidden/>
    <w:unhideWhenUsed/>
    <w:rsid w:val="00D65A94"/>
    <w:rPr>
      <w:b/>
      <w:bCs/>
    </w:rPr>
  </w:style>
  <w:style w:type="character" w:customStyle="1" w:styleId="CommentSubjectChar">
    <w:name w:val="Comment Subject Char"/>
    <w:basedOn w:val="CommentTextChar"/>
    <w:link w:val="CommentSubject"/>
    <w:uiPriority w:val="99"/>
    <w:semiHidden/>
    <w:rsid w:val="00D65A94"/>
    <w:rPr>
      <w:b/>
      <w:bCs/>
      <w:lang w:eastAsia="en-US"/>
    </w:rPr>
  </w:style>
  <w:style w:type="table" w:styleId="TableGrid">
    <w:name w:val="Table Grid"/>
    <w:basedOn w:val="TableNormal"/>
    <w:uiPriority w:val="59"/>
    <w:rsid w:val="000C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1804</Characters>
  <Application>Microsoft Office Word</Application>
  <DocSecurity>0</DocSecurity>
  <Lines>97</Lines>
  <Paragraphs>44</Paragraphs>
  <ScaleCrop>false</ScaleCrop>
  <HeadingPairs>
    <vt:vector size="2" baseType="variant">
      <vt:variant>
        <vt:lpstr>Title</vt:lpstr>
      </vt:variant>
      <vt:variant>
        <vt:i4>1</vt:i4>
      </vt:variant>
    </vt:vector>
  </HeadingPairs>
  <TitlesOfParts>
    <vt:vector size="1" baseType="lpstr">
      <vt:lpstr/>
    </vt:vector>
  </TitlesOfParts>
  <Company>InTACT</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2024-02-20T01:31:00Z</cp:lastPrinted>
  <dcterms:created xsi:type="dcterms:W3CDTF">2024-03-20T23:33:00Z</dcterms:created>
  <dcterms:modified xsi:type="dcterms:W3CDTF">2024-03-20T23:33:00Z</dcterms:modified>
</cp:coreProperties>
</file>