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91838" w14:textId="77777777" w:rsidR="00F10CB2" w:rsidRDefault="00F10CB2">
      <w:pPr>
        <w:spacing w:before="120"/>
        <w:rPr>
          <w:rFonts w:ascii="Arial" w:hAnsi="Arial" w:cs="Arial"/>
        </w:rPr>
      </w:pPr>
      <w:bookmarkStart w:id="0" w:name="_Toc44738651"/>
      <w:r>
        <w:rPr>
          <w:rFonts w:ascii="Arial" w:hAnsi="Arial" w:cs="Arial"/>
        </w:rPr>
        <w:t>Australian Capital Territory</w:t>
      </w:r>
    </w:p>
    <w:p w14:paraId="4EC2D36A" w14:textId="26EE9384" w:rsidR="00F10CB2" w:rsidRDefault="00A032A8">
      <w:pPr>
        <w:pStyle w:val="Billname"/>
        <w:spacing w:before="700"/>
      </w:pPr>
      <w:r w:rsidRPr="00A032A8">
        <w:t>Gaming Machine (Determination of Surrender Obligations) Guidelines 202</w:t>
      </w:r>
      <w:r w:rsidR="000D09EF">
        <w:t>5</w:t>
      </w:r>
      <w:r w:rsidRPr="00A032A8">
        <w:t xml:space="preserve"> (No</w:t>
      </w:r>
      <w:r>
        <w:t> </w:t>
      </w:r>
      <w:r w:rsidRPr="00A032A8">
        <w:t>1)</w:t>
      </w:r>
      <w:r w:rsidR="000D09EF">
        <w:t>*</w:t>
      </w:r>
    </w:p>
    <w:p w14:paraId="233576C1" w14:textId="69B809DB" w:rsidR="00F10CB2" w:rsidRDefault="00F10CB2" w:rsidP="00D47F13">
      <w:pPr>
        <w:spacing w:before="340"/>
        <w:rPr>
          <w:rFonts w:ascii="Arial" w:hAnsi="Arial" w:cs="Arial"/>
          <w:b/>
          <w:bCs/>
        </w:rPr>
      </w:pPr>
      <w:r>
        <w:rPr>
          <w:rFonts w:ascii="Arial" w:hAnsi="Arial" w:cs="Arial"/>
          <w:b/>
          <w:bCs/>
        </w:rPr>
        <w:t>Disallowable instrument DI</w:t>
      </w:r>
      <w:r w:rsidR="00A032A8">
        <w:rPr>
          <w:rFonts w:ascii="Arial" w:hAnsi="Arial" w:cs="Arial"/>
          <w:b/>
          <w:bCs/>
          <w:iCs/>
        </w:rPr>
        <w:t>202</w:t>
      </w:r>
      <w:r w:rsidR="000772D9">
        <w:rPr>
          <w:rFonts w:ascii="Arial" w:hAnsi="Arial" w:cs="Arial"/>
          <w:b/>
          <w:bCs/>
          <w:iCs/>
        </w:rPr>
        <w:t>5</w:t>
      </w:r>
      <w:r>
        <w:rPr>
          <w:rFonts w:ascii="Arial" w:hAnsi="Arial" w:cs="Arial"/>
          <w:b/>
          <w:bCs/>
        </w:rPr>
        <w:t>–</w:t>
      </w:r>
      <w:r w:rsidR="000772D9">
        <w:rPr>
          <w:rFonts w:ascii="Arial" w:hAnsi="Arial" w:cs="Arial"/>
          <w:b/>
          <w:bCs/>
        </w:rPr>
        <w:t>2</w:t>
      </w:r>
    </w:p>
    <w:p w14:paraId="55199D82" w14:textId="77777777" w:rsidR="00F10CB2" w:rsidRDefault="00F10CB2" w:rsidP="00CD4E55">
      <w:pPr>
        <w:pStyle w:val="madeunder"/>
        <w:spacing w:before="300" w:after="0"/>
      </w:pPr>
      <w:r>
        <w:t xml:space="preserve">made under the  </w:t>
      </w:r>
    </w:p>
    <w:p w14:paraId="52BC646F" w14:textId="1B2896EF" w:rsidR="00F10CB2" w:rsidRDefault="00A032A8" w:rsidP="00CD4E55">
      <w:pPr>
        <w:pStyle w:val="CoverActName"/>
        <w:spacing w:before="320" w:after="0"/>
        <w:rPr>
          <w:rFonts w:cs="Arial"/>
          <w:sz w:val="20"/>
        </w:rPr>
      </w:pPr>
      <w:r>
        <w:rPr>
          <w:rFonts w:cs="Arial"/>
          <w:sz w:val="20"/>
        </w:rPr>
        <w:t>Gaming Machine Act 2004, section 10L (Guidelines for assessment etc)</w:t>
      </w:r>
    </w:p>
    <w:p w14:paraId="2065D8DB" w14:textId="77777777" w:rsidR="00F10CB2" w:rsidRDefault="00F10CB2" w:rsidP="00CD4E55">
      <w:pPr>
        <w:pStyle w:val="N-line3"/>
        <w:pBdr>
          <w:bottom w:val="none" w:sz="0" w:space="0" w:color="auto"/>
        </w:pBdr>
        <w:spacing w:before="60"/>
      </w:pPr>
    </w:p>
    <w:p w14:paraId="7E3D1DED" w14:textId="77777777" w:rsidR="00F10CB2" w:rsidRDefault="00F10CB2">
      <w:pPr>
        <w:pStyle w:val="N-line3"/>
        <w:pBdr>
          <w:top w:val="single" w:sz="12" w:space="1" w:color="auto"/>
          <w:bottom w:val="none" w:sz="0" w:space="0" w:color="auto"/>
        </w:pBdr>
      </w:pPr>
    </w:p>
    <w:p w14:paraId="09B1FB2C" w14:textId="77777777" w:rsidR="00F10CB2" w:rsidRDefault="00F10CB2">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0BFD7405" w14:textId="2C7C9FAC" w:rsidR="00F10CB2" w:rsidRDefault="00F10CB2" w:rsidP="00D47F13">
      <w:pPr>
        <w:spacing w:before="140"/>
        <w:ind w:left="720"/>
      </w:pPr>
      <w:r>
        <w:t xml:space="preserve">This instrument is the </w:t>
      </w:r>
      <w:r w:rsidR="00A032A8" w:rsidRPr="00A032A8">
        <w:rPr>
          <w:i/>
          <w:iCs/>
        </w:rPr>
        <w:t>Gaming Machine (Determination of Surrender Obligations) Guidelines 202</w:t>
      </w:r>
      <w:r w:rsidR="000D09EF">
        <w:rPr>
          <w:i/>
          <w:iCs/>
        </w:rPr>
        <w:t>5</w:t>
      </w:r>
      <w:r w:rsidR="00A032A8" w:rsidRPr="00A032A8">
        <w:rPr>
          <w:i/>
          <w:iCs/>
        </w:rPr>
        <w:t xml:space="preserve"> (No 1)</w:t>
      </w:r>
      <w:r w:rsidRPr="00627F0C">
        <w:rPr>
          <w:bCs/>
          <w:iCs/>
        </w:rPr>
        <w:t>.</w:t>
      </w:r>
    </w:p>
    <w:p w14:paraId="15589DAA" w14:textId="77777777" w:rsidR="00F10CB2" w:rsidRDefault="00F10CB2" w:rsidP="00D47F13">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03A53EEE" w14:textId="3FD5B18D" w:rsidR="00F10CB2" w:rsidRDefault="00F10CB2" w:rsidP="00D47F13">
      <w:pPr>
        <w:spacing w:before="140"/>
        <w:ind w:left="720"/>
      </w:pPr>
      <w:r>
        <w:t xml:space="preserve">This instrument commences on </w:t>
      </w:r>
      <w:bookmarkStart w:id="1" w:name="_Hlk182387850"/>
      <w:r w:rsidR="00A032A8">
        <w:t>the day after its notification day</w:t>
      </w:r>
      <w:bookmarkEnd w:id="1"/>
      <w:r>
        <w:t>.</w:t>
      </w:r>
    </w:p>
    <w:p w14:paraId="756BDE77" w14:textId="54800570" w:rsidR="00F10CB2" w:rsidRDefault="00F10CB2" w:rsidP="00D47F13">
      <w:pPr>
        <w:spacing w:before="300"/>
        <w:ind w:left="720" w:hanging="720"/>
        <w:rPr>
          <w:rFonts w:ascii="Arial" w:hAnsi="Arial" w:cs="Arial"/>
          <w:b/>
          <w:bCs/>
        </w:rPr>
      </w:pPr>
      <w:r>
        <w:rPr>
          <w:rFonts w:ascii="Arial" w:hAnsi="Arial" w:cs="Arial"/>
          <w:b/>
          <w:bCs/>
        </w:rPr>
        <w:t>3</w:t>
      </w:r>
      <w:r>
        <w:rPr>
          <w:rFonts w:ascii="Arial" w:hAnsi="Arial" w:cs="Arial"/>
          <w:b/>
          <w:bCs/>
        </w:rPr>
        <w:tab/>
      </w:r>
      <w:bookmarkStart w:id="2" w:name="_Hlk182388831"/>
      <w:r w:rsidR="00C970A2">
        <w:rPr>
          <w:rFonts w:ascii="Arial" w:hAnsi="Arial" w:cs="Arial"/>
          <w:b/>
          <w:bCs/>
        </w:rPr>
        <w:t>Guidelines for d</w:t>
      </w:r>
      <w:r w:rsidR="00C970A2" w:rsidRPr="00C970A2">
        <w:rPr>
          <w:rFonts w:ascii="Arial" w:hAnsi="Arial" w:cs="Arial"/>
          <w:b/>
          <w:bCs/>
        </w:rPr>
        <w:t xml:space="preserve">etermination of </w:t>
      </w:r>
      <w:r w:rsidR="00C970A2">
        <w:rPr>
          <w:rFonts w:ascii="Arial" w:hAnsi="Arial" w:cs="Arial"/>
          <w:b/>
          <w:bCs/>
        </w:rPr>
        <w:t>s</w:t>
      </w:r>
      <w:r w:rsidR="00C970A2" w:rsidRPr="00C970A2">
        <w:rPr>
          <w:rFonts w:ascii="Arial" w:hAnsi="Arial" w:cs="Arial"/>
          <w:b/>
          <w:bCs/>
        </w:rPr>
        <w:t xml:space="preserve">urrender </w:t>
      </w:r>
      <w:r w:rsidR="00C970A2">
        <w:rPr>
          <w:rFonts w:ascii="Arial" w:hAnsi="Arial" w:cs="Arial"/>
          <w:b/>
          <w:bCs/>
        </w:rPr>
        <w:t>o</w:t>
      </w:r>
      <w:r w:rsidR="00C970A2" w:rsidRPr="00C970A2">
        <w:rPr>
          <w:rFonts w:ascii="Arial" w:hAnsi="Arial" w:cs="Arial"/>
          <w:b/>
          <w:bCs/>
        </w:rPr>
        <w:t>bligations</w:t>
      </w:r>
      <w:bookmarkEnd w:id="2"/>
    </w:p>
    <w:p w14:paraId="4642694D" w14:textId="20B2DA57" w:rsidR="00F10CB2" w:rsidRDefault="00C970A2" w:rsidP="00D47F13">
      <w:pPr>
        <w:spacing w:before="140"/>
        <w:ind w:left="720"/>
      </w:pPr>
      <w:r>
        <w:t xml:space="preserve">I make the </w:t>
      </w:r>
      <w:r w:rsidRPr="00C970A2">
        <w:t xml:space="preserve">Guidelines for </w:t>
      </w:r>
      <w:r>
        <w:t>D</w:t>
      </w:r>
      <w:r w:rsidRPr="00C970A2">
        <w:t xml:space="preserve">etermination of </w:t>
      </w:r>
      <w:r>
        <w:t>S</w:t>
      </w:r>
      <w:r w:rsidRPr="00C970A2">
        <w:t xml:space="preserve">urrender </w:t>
      </w:r>
      <w:r>
        <w:t>O</w:t>
      </w:r>
      <w:r w:rsidRPr="00C970A2">
        <w:t>bligations</w:t>
      </w:r>
      <w:r w:rsidR="006A2097">
        <w:t xml:space="preserve"> in schedule 1.</w:t>
      </w:r>
    </w:p>
    <w:bookmarkEnd w:id="0"/>
    <w:p w14:paraId="1CC09E4B" w14:textId="77777777" w:rsidR="00C970A2" w:rsidRDefault="00C970A2" w:rsidP="00C970A2">
      <w:pPr>
        <w:spacing w:before="300"/>
        <w:ind w:left="720" w:hanging="720"/>
        <w:rPr>
          <w:rFonts w:ascii="Arial" w:hAnsi="Arial" w:cs="Arial"/>
          <w:b/>
          <w:bCs/>
        </w:rPr>
      </w:pPr>
      <w:r>
        <w:rPr>
          <w:rFonts w:ascii="Arial" w:hAnsi="Arial" w:cs="Arial"/>
          <w:b/>
          <w:bCs/>
        </w:rPr>
        <w:t>4</w:t>
      </w:r>
      <w:r>
        <w:rPr>
          <w:rFonts w:ascii="Arial" w:hAnsi="Arial" w:cs="Arial"/>
          <w:b/>
          <w:bCs/>
        </w:rPr>
        <w:tab/>
        <w:t>Expiry</w:t>
      </w:r>
    </w:p>
    <w:p w14:paraId="27CF71EC" w14:textId="5C523968" w:rsidR="0077619B" w:rsidRDefault="00C970A2" w:rsidP="0077619B">
      <w:pPr>
        <w:spacing w:before="140"/>
        <w:ind w:left="720"/>
      </w:pPr>
      <w:r>
        <w:t>This instrument expires on 31 December 2025.</w:t>
      </w:r>
    </w:p>
    <w:p w14:paraId="2C53D240" w14:textId="77777777" w:rsidR="00C970A2" w:rsidRDefault="00C970A2" w:rsidP="00C970A2">
      <w:pPr>
        <w:tabs>
          <w:tab w:val="left" w:pos="4320"/>
        </w:tabs>
        <w:spacing w:before="720"/>
      </w:pPr>
      <w:r>
        <w:t>Marisa Paterson</w:t>
      </w:r>
    </w:p>
    <w:p w14:paraId="263ED747" w14:textId="15CDE911" w:rsidR="00F10CB2" w:rsidRDefault="00C970A2" w:rsidP="00C970A2">
      <w:pPr>
        <w:tabs>
          <w:tab w:val="left" w:pos="4320"/>
        </w:tabs>
      </w:pPr>
      <w:r>
        <w:t>Minister for Gaming Reform</w:t>
      </w:r>
    </w:p>
    <w:p w14:paraId="677C070B" w14:textId="6919DBE5" w:rsidR="006A2097" w:rsidRDefault="000772D9" w:rsidP="00C970A2">
      <w:pPr>
        <w:tabs>
          <w:tab w:val="left" w:pos="4320"/>
        </w:tabs>
      </w:pPr>
      <w:r>
        <w:t>20 December 2024</w:t>
      </w:r>
    </w:p>
    <w:p w14:paraId="68BE4995" w14:textId="77777777" w:rsidR="0077619B" w:rsidRDefault="0077619B" w:rsidP="00C970A2">
      <w:pPr>
        <w:tabs>
          <w:tab w:val="left" w:pos="4320"/>
        </w:tabs>
      </w:pPr>
    </w:p>
    <w:p w14:paraId="5634E204" w14:textId="77777777" w:rsidR="006A2097" w:rsidRDefault="006A2097" w:rsidP="00C970A2">
      <w:pPr>
        <w:tabs>
          <w:tab w:val="left" w:pos="4320"/>
        </w:tabs>
        <w:sectPr w:rsidR="006A2097" w:rsidSect="00F15AC3">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pPr>
    </w:p>
    <w:p w14:paraId="4D64C00E" w14:textId="44633882" w:rsidR="006A2097" w:rsidRPr="006A2097" w:rsidRDefault="006A2097" w:rsidP="006A2097">
      <w:pPr>
        <w:pStyle w:val="IH2Part"/>
      </w:pPr>
      <w:r w:rsidRPr="006A2097">
        <w:lastRenderedPageBreak/>
        <w:t>Schedule 1</w:t>
      </w:r>
      <w:r>
        <w:tab/>
      </w:r>
      <w:r w:rsidRPr="00C970A2">
        <w:t xml:space="preserve">Guidelines for </w:t>
      </w:r>
      <w:r>
        <w:t>D</w:t>
      </w:r>
      <w:r w:rsidRPr="00C970A2">
        <w:t xml:space="preserve">etermination of </w:t>
      </w:r>
      <w:r>
        <w:t>S</w:t>
      </w:r>
      <w:r w:rsidRPr="00C970A2">
        <w:t xml:space="preserve">urrender </w:t>
      </w:r>
      <w:r>
        <w:t>O</w:t>
      </w:r>
      <w:r w:rsidRPr="00C970A2">
        <w:t>bligations</w:t>
      </w:r>
    </w:p>
    <w:p w14:paraId="1B7218DB" w14:textId="78612F21" w:rsidR="006A2097" w:rsidRDefault="001F1EAA" w:rsidP="001F1EAA">
      <w:pPr>
        <w:tabs>
          <w:tab w:val="left" w:pos="2552"/>
        </w:tabs>
      </w:pPr>
      <w:r>
        <w:tab/>
      </w:r>
      <w:r w:rsidR="006A2097">
        <w:t>(see cl 3)</w:t>
      </w:r>
    </w:p>
    <w:p w14:paraId="6ED3C290" w14:textId="77777777" w:rsidR="001F1EAA" w:rsidRDefault="001F1EAA" w:rsidP="001F1EAA">
      <w:pPr>
        <w:tabs>
          <w:tab w:val="left" w:pos="2552"/>
        </w:tabs>
      </w:pPr>
    </w:p>
    <w:p w14:paraId="5CCD518C" w14:textId="31DA61CB" w:rsidR="00F52E72" w:rsidRDefault="001F1EAA" w:rsidP="00EF0C36">
      <w:pPr>
        <w:pStyle w:val="IH5Sec"/>
        <w:numPr>
          <w:ilvl w:val="0"/>
          <w:numId w:val="11"/>
        </w:numPr>
        <w:tabs>
          <w:tab w:val="clear" w:pos="700"/>
          <w:tab w:val="left" w:pos="885"/>
        </w:tabs>
        <w:spacing w:before="240" w:after="120" w:line="276" w:lineRule="auto"/>
      </w:pPr>
      <w:r>
        <w:t>Background</w:t>
      </w:r>
    </w:p>
    <w:p w14:paraId="78CCAB36" w14:textId="3F0FF515" w:rsidR="00F52E72" w:rsidRDefault="00F52E72" w:rsidP="00EF0C36">
      <w:pPr>
        <w:pStyle w:val="ListParagraph"/>
        <w:numPr>
          <w:ilvl w:val="1"/>
          <w:numId w:val="11"/>
        </w:numPr>
        <w:spacing w:before="120"/>
        <w:ind w:left="1360" w:hanging="680"/>
        <w:contextualSpacing w:val="0"/>
      </w:pPr>
      <w:r>
        <w:t xml:space="preserve">The </w:t>
      </w:r>
      <w:r>
        <w:rPr>
          <w:i/>
          <w:iCs/>
        </w:rPr>
        <w:t>Gaming Machine Act 2004</w:t>
      </w:r>
      <w:r>
        <w:t xml:space="preserve"> authorises the Minister to make guidelines for </w:t>
      </w:r>
      <w:r w:rsidRPr="00F52E72">
        <w:t>making an assessment of surrender obligations under section 10J</w:t>
      </w:r>
      <w:r>
        <w:t>.</w:t>
      </w:r>
    </w:p>
    <w:p w14:paraId="2BA5769E" w14:textId="6147CD0C" w:rsidR="00F52E72" w:rsidRDefault="00EF0C36" w:rsidP="00EF0C36">
      <w:pPr>
        <w:pStyle w:val="ListParagraph"/>
        <w:numPr>
          <w:ilvl w:val="1"/>
          <w:numId w:val="11"/>
        </w:numPr>
        <w:spacing w:before="120"/>
        <w:ind w:left="1360" w:hanging="680"/>
        <w:contextualSpacing w:val="0"/>
      </w:pPr>
      <w:r>
        <w:t>When making an assessment of surrender obligations under section 10J the minister must, in addition to the matters in sections 10J(3)(a)-(d), as far as practicable apply any guidelines made under section 10L.</w:t>
      </w:r>
    </w:p>
    <w:p w14:paraId="5F0FBB76" w14:textId="3536CD88" w:rsidR="008549F8" w:rsidRDefault="008549F8" w:rsidP="00EF0C36">
      <w:pPr>
        <w:pStyle w:val="IH5Sec"/>
        <w:numPr>
          <w:ilvl w:val="0"/>
          <w:numId w:val="11"/>
        </w:numPr>
        <w:tabs>
          <w:tab w:val="clear" w:pos="700"/>
          <w:tab w:val="left" w:pos="885"/>
        </w:tabs>
        <w:spacing w:before="240" w:after="120" w:line="276" w:lineRule="auto"/>
      </w:pPr>
      <w:r>
        <w:t>Definitions</w:t>
      </w:r>
    </w:p>
    <w:p w14:paraId="110657B5" w14:textId="1D25A315" w:rsidR="008549F8" w:rsidRDefault="008549F8" w:rsidP="008549F8">
      <w:pPr>
        <w:pStyle w:val="ListParagraph"/>
        <w:numPr>
          <w:ilvl w:val="1"/>
          <w:numId w:val="11"/>
        </w:numPr>
        <w:spacing w:before="120"/>
        <w:ind w:left="1360" w:hanging="680"/>
        <w:contextualSpacing w:val="0"/>
      </w:pPr>
      <w:r>
        <w:t>In these guidelines:</w:t>
      </w:r>
    </w:p>
    <w:p w14:paraId="294D48F9" w14:textId="77777777" w:rsidR="00DA54BB" w:rsidRDefault="00DA54BB" w:rsidP="008549F8">
      <w:pPr>
        <w:pStyle w:val="ListParagraph"/>
        <w:spacing w:before="120"/>
        <w:ind w:left="1360"/>
        <w:contextualSpacing w:val="0"/>
      </w:pPr>
      <w:r>
        <w:rPr>
          <w:b/>
          <w:bCs/>
          <w:i/>
          <w:iCs/>
        </w:rPr>
        <w:t>acquiring licensee</w:t>
      </w:r>
      <w:r w:rsidRPr="002E532C">
        <w:t>—see the Act</w:t>
      </w:r>
      <w:r>
        <w:t>, section 127F.</w:t>
      </w:r>
    </w:p>
    <w:p w14:paraId="14F54004" w14:textId="77777777" w:rsidR="00DA54BB" w:rsidRDefault="00DA54BB" w:rsidP="008549F8">
      <w:pPr>
        <w:pStyle w:val="ListParagraph"/>
        <w:spacing w:before="120"/>
        <w:ind w:left="1360"/>
        <w:contextualSpacing w:val="0"/>
      </w:pPr>
      <w:r>
        <w:rPr>
          <w:b/>
          <w:bCs/>
          <w:i/>
          <w:iCs/>
        </w:rPr>
        <w:t>Act</w:t>
      </w:r>
      <w:r>
        <w:t xml:space="preserve"> means the </w:t>
      </w:r>
      <w:r>
        <w:rPr>
          <w:i/>
          <w:iCs/>
        </w:rPr>
        <w:t>Gaming Machine Act 2004</w:t>
      </w:r>
      <w:r>
        <w:t>.</w:t>
      </w:r>
    </w:p>
    <w:p w14:paraId="1FA59ED7" w14:textId="77777777" w:rsidR="00DA54BB" w:rsidRPr="008549F8" w:rsidRDefault="00DA54BB" w:rsidP="008549F8">
      <w:pPr>
        <w:pStyle w:val="ListParagraph"/>
        <w:spacing w:before="120"/>
        <w:ind w:left="1360"/>
        <w:contextualSpacing w:val="0"/>
      </w:pPr>
      <w:r>
        <w:rPr>
          <w:b/>
          <w:bCs/>
          <w:i/>
          <w:iCs/>
        </w:rPr>
        <w:t>authorisation</w:t>
      </w:r>
      <w:r w:rsidRPr="008549F8">
        <w:t>—see the A</w:t>
      </w:r>
      <w:r>
        <w:t>ct, dictionary.</w:t>
      </w:r>
    </w:p>
    <w:p w14:paraId="2FCB593A" w14:textId="77777777" w:rsidR="00DA54BB" w:rsidRPr="00217C7D" w:rsidRDefault="00DA54BB" w:rsidP="008549F8">
      <w:pPr>
        <w:pStyle w:val="ListParagraph"/>
        <w:spacing w:before="120"/>
        <w:ind w:left="1360"/>
        <w:contextualSpacing w:val="0"/>
      </w:pPr>
      <w:r>
        <w:rPr>
          <w:b/>
          <w:bCs/>
          <w:i/>
          <w:iCs/>
        </w:rPr>
        <w:t>authorised premises</w:t>
      </w:r>
      <w:r>
        <w:t>—see the Act, dictionary.</w:t>
      </w:r>
    </w:p>
    <w:p w14:paraId="272AC59D" w14:textId="77777777" w:rsidR="00DA54BB" w:rsidRDefault="00DA54BB" w:rsidP="008549F8">
      <w:pPr>
        <w:pStyle w:val="ListParagraph"/>
        <w:spacing w:before="120"/>
        <w:ind w:left="1360"/>
        <w:contextualSpacing w:val="0"/>
      </w:pPr>
      <w:r>
        <w:rPr>
          <w:b/>
          <w:bCs/>
          <w:i/>
          <w:iCs/>
        </w:rPr>
        <w:t>cancellation</w:t>
      </w:r>
      <w:r>
        <w:t>, of an authorisation, means any authorisation forfeited by a licensee under the Act, section 65A, because of cancellation of a licence or authorisation certificate under part 4 of the Act.</w:t>
      </w:r>
    </w:p>
    <w:p w14:paraId="2EEBCCB6" w14:textId="77777777" w:rsidR="00DA54BB" w:rsidRPr="008549F8" w:rsidRDefault="00DA54BB" w:rsidP="008549F8">
      <w:pPr>
        <w:pStyle w:val="ListParagraph"/>
        <w:spacing w:before="120"/>
        <w:ind w:left="1360"/>
        <w:contextualSpacing w:val="0"/>
      </w:pPr>
      <w:r>
        <w:rPr>
          <w:b/>
          <w:bCs/>
          <w:i/>
          <w:iCs/>
        </w:rPr>
        <w:t>census day</w:t>
      </w:r>
      <w:r>
        <w:t xml:space="preserve"> means </w:t>
      </w:r>
      <w:r w:rsidRPr="008549F8">
        <w:t>the day determined by the Minister</w:t>
      </w:r>
      <w:r>
        <w:t xml:space="preserve"> under the Act, section 10I.</w:t>
      </w:r>
    </w:p>
    <w:p w14:paraId="27193032" w14:textId="77777777" w:rsidR="00DA54BB" w:rsidRDefault="00DA54BB" w:rsidP="008549F8">
      <w:pPr>
        <w:pStyle w:val="ListParagraph"/>
        <w:spacing w:before="120"/>
        <w:ind w:left="1360"/>
        <w:contextualSpacing w:val="0"/>
      </w:pPr>
      <w:r w:rsidRPr="008549F8">
        <w:rPr>
          <w:b/>
          <w:bCs/>
          <w:i/>
          <w:iCs/>
        </w:rPr>
        <w:t>exempt premises</w:t>
      </w:r>
      <w:r>
        <w:t xml:space="preserve">, </w:t>
      </w:r>
      <w:bookmarkStart w:id="3" w:name="_Hlk182393633"/>
      <w:r>
        <w:t>for a licensee, means an authorised premises for which a licensee held fewer than 20 authorisations on the census day.</w:t>
      </w:r>
      <w:bookmarkEnd w:id="3"/>
    </w:p>
    <w:p w14:paraId="0C5AABFC" w14:textId="77777777" w:rsidR="00DA54BB" w:rsidRDefault="00DA54BB" w:rsidP="008549F8">
      <w:pPr>
        <w:pStyle w:val="ListParagraph"/>
        <w:spacing w:before="120"/>
        <w:ind w:left="1360"/>
        <w:contextualSpacing w:val="0"/>
      </w:pPr>
      <w:r>
        <w:rPr>
          <w:b/>
          <w:bCs/>
          <w:i/>
          <w:iCs/>
        </w:rPr>
        <w:t>forfeiture</w:t>
      </w:r>
      <w:r>
        <w:t>, of an authorisation, means any authorisation surrendered by an acquiring licensee under the Act, section 127F.</w:t>
      </w:r>
    </w:p>
    <w:p w14:paraId="221B71AD" w14:textId="419DD179" w:rsidR="00B65C67" w:rsidRPr="00B65C67" w:rsidRDefault="00B65C67" w:rsidP="008549F8">
      <w:pPr>
        <w:pStyle w:val="ListParagraph"/>
        <w:spacing w:before="120"/>
        <w:ind w:left="1360"/>
        <w:contextualSpacing w:val="0"/>
      </w:pPr>
      <w:r>
        <w:rPr>
          <w:b/>
          <w:bCs/>
          <w:i/>
          <w:iCs/>
        </w:rPr>
        <w:t>licensee</w:t>
      </w:r>
      <w:r>
        <w:t>—see the Act, section 10I.</w:t>
      </w:r>
    </w:p>
    <w:p w14:paraId="0D849068" w14:textId="77777777" w:rsidR="00DA54BB" w:rsidRDefault="00DA54BB" w:rsidP="008549F8">
      <w:pPr>
        <w:pStyle w:val="ListParagraph"/>
        <w:spacing w:before="120"/>
        <w:ind w:left="1360"/>
        <w:contextualSpacing w:val="0"/>
      </w:pPr>
      <w:r>
        <w:rPr>
          <w:b/>
          <w:bCs/>
          <w:i/>
          <w:iCs/>
        </w:rPr>
        <w:t>non-exempt premises</w:t>
      </w:r>
      <w:r>
        <w:t>, for a licensee, means an authorised premises for which a licensee held 20 or more authorisations on the census day.</w:t>
      </w:r>
    </w:p>
    <w:p w14:paraId="74F7AF4B" w14:textId="775B09A4" w:rsidR="00DA26CF" w:rsidRPr="00DA26CF" w:rsidRDefault="00DA26CF" w:rsidP="008549F8">
      <w:pPr>
        <w:pStyle w:val="ListParagraph"/>
        <w:spacing w:before="120"/>
        <w:ind w:left="1360"/>
        <w:contextualSpacing w:val="0"/>
      </w:pPr>
      <w:r>
        <w:rPr>
          <w:b/>
          <w:bCs/>
          <w:i/>
          <w:iCs/>
        </w:rPr>
        <w:t>trading scheme</w:t>
      </w:r>
      <w:r>
        <w:t xml:space="preserve"> means the scheme providing for the trading of authorisations and gaming machines established by the Act, division 6A.6.</w:t>
      </w:r>
    </w:p>
    <w:p w14:paraId="31A49F8D" w14:textId="77777777" w:rsidR="00DA54BB" w:rsidRDefault="00DA54BB" w:rsidP="008549F8">
      <w:pPr>
        <w:pStyle w:val="ListParagraph"/>
        <w:spacing w:before="120"/>
        <w:ind w:left="1360"/>
        <w:contextualSpacing w:val="0"/>
      </w:pPr>
      <w:r>
        <w:rPr>
          <w:b/>
          <w:bCs/>
          <w:i/>
          <w:iCs/>
        </w:rPr>
        <w:t>voluntary surrender</w:t>
      </w:r>
      <w:r>
        <w:t>, of an authorisation, means an authorisation surrendered by a licensee under the Act, section 37F.</w:t>
      </w:r>
    </w:p>
    <w:p w14:paraId="73D7ACC8" w14:textId="1766D540" w:rsidR="00EF0C36" w:rsidRDefault="00EF0C36" w:rsidP="00EF0C36">
      <w:pPr>
        <w:pStyle w:val="IH5Sec"/>
        <w:numPr>
          <w:ilvl w:val="0"/>
          <w:numId w:val="11"/>
        </w:numPr>
        <w:tabs>
          <w:tab w:val="clear" w:pos="700"/>
          <w:tab w:val="left" w:pos="885"/>
        </w:tabs>
        <w:spacing w:before="240" w:after="120" w:line="276" w:lineRule="auto"/>
      </w:pPr>
      <w:r>
        <w:t>Determination of surrender obligations on census day</w:t>
      </w:r>
    </w:p>
    <w:p w14:paraId="1F7FA545" w14:textId="574ACE22" w:rsidR="00EF0C36" w:rsidRDefault="00EF0C36" w:rsidP="00EF0C36">
      <w:pPr>
        <w:pStyle w:val="ListParagraph"/>
        <w:numPr>
          <w:ilvl w:val="1"/>
          <w:numId w:val="11"/>
        </w:numPr>
        <w:spacing w:before="120"/>
        <w:ind w:left="1360" w:hanging="680"/>
        <w:contextualSpacing w:val="0"/>
      </w:pPr>
      <w:r>
        <w:t xml:space="preserve">The surrender obligation of each licensee </w:t>
      </w:r>
      <w:r w:rsidR="00202BEB">
        <w:t xml:space="preserve">assessed </w:t>
      </w:r>
      <w:r w:rsidR="004E61CA">
        <w:t xml:space="preserve">on </w:t>
      </w:r>
      <w:r w:rsidR="00202BEB">
        <w:t>the census day is the sum of the surrender obligation for each authorised premises of a licensee.</w:t>
      </w:r>
    </w:p>
    <w:p w14:paraId="2137FCD4" w14:textId="1270594B" w:rsidR="008549F8" w:rsidRDefault="008549F8" w:rsidP="00EF0C36">
      <w:pPr>
        <w:pStyle w:val="ListParagraph"/>
        <w:numPr>
          <w:ilvl w:val="1"/>
          <w:numId w:val="11"/>
        </w:numPr>
        <w:spacing w:before="120"/>
        <w:ind w:left="1360" w:hanging="680"/>
        <w:contextualSpacing w:val="0"/>
      </w:pPr>
      <w:r>
        <w:lastRenderedPageBreak/>
        <w:t xml:space="preserve">The surrender obligation for </w:t>
      </w:r>
      <w:r w:rsidR="00D316F8">
        <w:t>each</w:t>
      </w:r>
      <w:r>
        <w:t xml:space="preserve"> </w:t>
      </w:r>
      <w:r w:rsidR="00D316F8">
        <w:t>exempt</w:t>
      </w:r>
      <w:r>
        <w:t xml:space="preserve"> premises </w:t>
      </w:r>
      <w:r w:rsidR="00D316F8">
        <w:t>is</w:t>
      </w:r>
      <w:r w:rsidR="00217739">
        <w:t xml:space="preserve"> </w:t>
      </w:r>
      <w:r w:rsidR="00010252">
        <w:t>zero</w:t>
      </w:r>
      <w:r>
        <w:t>.</w:t>
      </w:r>
    </w:p>
    <w:p w14:paraId="26D39249" w14:textId="52D5E258" w:rsidR="00202BEB" w:rsidRDefault="00202BEB" w:rsidP="00EF0C36">
      <w:pPr>
        <w:pStyle w:val="ListParagraph"/>
        <w:numPr>
          <w:ilvl w:val="1"/>
          <w:numId w:val="11"/>
        </w:numPr>
        <w:spacing w:before="120"/>
        <w:ind w:left="1360" w:hanging="680"/>
        <w:contextualSpacing w:val="0"/>
      </w:pPr>
      <w:r>
        <w:t xml:space="preserve">The surrender obligation for each </w:t>
      </w:r>
      <w:r w:rsidR="00D316F8">
        <w:t>non-exempt premises</w:t>
      </w:r>
      <w:r>
        <w:t xml:space="preserve"> is</w:t>
      </w:r>
      <w:r w:rsidR="00217739">
        <w:t xml:space="preserve"> </w:t>
      </w:r>
      <w:r w:rsidR="00D316F8">
        <w:t>the number worked out as follows:</w:t>
      </w:r>
    </w:p>
    <w:p w14:paraId="0088C131" w14:textId="17B74934" w:rsidR="00124829" w:rsidRPr="003430DB" w:rsidRDefault="005D5DE5" w:rsidP="003430DB">
      <w:pPr>
        <w:pStyle w:val="ListParagraph"/>
        <w:spacing w:before="120"/>
        <w:ind w:left="0"/>
        <w:contextualSpacing w:val="0"/>
        <w:rPr>
          <w:i/>
          <w:iCs/>
        </w:rPr>
      </w:pPr>
      <m:oMathPara>
        <m:oMathParaPr>
          <m:jc m:val="right"/>
        </m:oMathParaPr>
        <m:oMath>
          <m:d>
            <m:dPr>
              <m:ctrlPr>
                <w:rPr>
                  <w:rFonts w:ascii="Cambria Math" w:hAnsi="Cambria Math"/>
                  <w:iCs/>
                </w:rPr>
              </m:ctrlPr>
            </m:dPr>
            <m:e>
              <m:r>
                <m:rPr>
                  <m:nor/>
                </m:rPr>
                <w:rPr>
                  <w:iCs/>
                </w:rPr>
                <m:t>target</m:t>
              </m:r>
              <m:r>
                <m:rPr>
                  <m:nor/>
                </m:rPr>
                <m:t xml:space="preserve"> </m:t>
              </m:r>
              <m:r>
                <m:rPr>
                  <m:nor/>
                </m:rPr>
                <w:rPr>
                  <w:iCs/>
                </w:rPr>
                <m:t>reduction</m:t>
              </m:r>
              <m:r>
                <m:rPr>
                  <m:nor/>
                </m:rPr>
                <m:t xml:space="preserve"> × </m:t>
              </m:r>
              <m:f>
                <m:fPr>
                  <m:ctrlPr>
                    <w:rPr>
                      <w:rFonts w:ascii="Cambria Math" w:hAnsi="Cambria Math"/>
                    </w:rPr>
                  </m:ctrlPr>
                </m:fPr>
                <m:num>
                  <m:r>
                    <m:rPr>
                      <m:nor/>
                    </m:rPr>
                    <w:rPr>
                      <w:iCs/>
                    </w:rPr>
                    <m:t>authorisations for premises</m:t>
                  </m:r>
                </m:num>
                <m:den>
                  <m:r>
                    <m:rPr>
                      <m:nor/>
                    </m:rPr>
                    <w:rPr>
                      <w:iCs/>
                    </w:rPr>
                    <m:t>total</m:t>
                  </m:r>
                  <m:r>
                    <m:rPr>
                      <m:nor/>
                    </m:rPr>
                    <m:t xml:space="preserve"> </m:t>
                  </m:r>
                  <m:r>
                    <m:rPr>
                      <m:nor/>
                    </m:rPr>
                    <w:rPr>
                      <w:iCs/>
                    </w:rPr>
                    <m:t>non</m:t>
                  </m:r>
                  <m:r>
                    <m:rPr>
                      <m:nor/>
                    </m:rPr>
                    <m:t>-</m:t>
                  </m:r>
                  <m:r>
                    <m:rPr>
                      <m:nor/>
                    </m:rPr>
                    <w:rPr>
                      <w:iCs/>
                    </w:rPr>
                    <m:t>exempt</m:t>
                  </m:r>
                  <m:r>
                    <m:rPr>
                      <m:nor/>
                    </m:rPr>
                    <m:t xml:space="preserve"> </m:t>
                  </m:r>
                  <m:r>
                    <m:rPr>
                      <m:nor/>
                    </m:rPr>
                    <w:rPr>
                      <w:iCs/>
                    </w:rPr>
                    <m:t>authorisations</m:t>
                  </m:r>
                </m:den>
              </m:f>
            </m:e>
          </m:d>
          <m:r>
            <m:rPr>
              <m:nor/>
            </m:rPr>
            <w:rPr>
              <w:rFonts w:ascii="Cambria Math"/>
              <w:iCs/>
            </w:rPr>
            <m:t xml:space="preserve">+ </m:t>
          </m:r>
          <m:r>
            <m:rPr>
              <m:nor/>
            </m:rPr>
            <w:rPr>
              <w:iCs/>
            </w:rPr>
            <m:t>round</m:t>
          </m:r>
          <m:r>
            <m:rPr>
              <m:nor/>
            </m:rPr>
            <w:rPr>
              <w:rFonts w:ascii="Cambria Math"/>
              <w:iCs/>
            </w:rPr>
            <m:t>ing</m:t>
          </m:r>
          <m:r>
            <m:rPr>
              <m:nor/>
            </m:rPr>
            <w:rPr>
              <w:iCs/>
            </w:rPr>
            <m:t xml:space="preserve"> allocation</m:t>
          </m:r>
        </m:oMath>
      </m:oMathPara>
    </w:p>
    <w:p w14:paraId="7C2C2533" w14:textId="074FE9AA" w:rsidR="00DA54BB" w:rsidRDefault="00DA54BB" w:rsidP="00124829">
      <w:pPr>
        <w:pStyle w:val="ListParagraph"/>
        <w:spacing w:before="120"/>
        <w:ind w:left="1360"/>
        <w:contextualSpacing w:val="0"/>
        <w:rPr>
          <w:iCs/>
        </w:rPr>
      </w:pPr>
      <w:r>
        <w:rPr>
          <w:b/>
          <w:bCs/>
          <w:i/>
        </w:rPr>
        <w:t>authorisations for premises</w:t>
      </w:r>
      <w:r w:rsidRPr="003430DB">
        <w:rPr>
          <w:iCs/>
        </w:rPr>
        <w:t xml:space="preserve"> means</w:t>
      </w:r>
      <w:r>
        <w:rPr>
          <w:iCs/>
        </w:rPr>
        <w:t xml:space="preserve"> the number of authorisations held for the non-exempt premises for which the surrender obligation is being worked out.</w:t>
      </w:r>
    </w:p>
    <w:p w14:paraId="449BFD9A" w14:textId="77777777" w:rsidR="00DA54BB" w:rsidRPr="003430DB" w:rsidRDefault="00DA54BB" w:rsidP="00124829">
      <w:pPr>
        <w:pStyle w:val="ListParagraph"/>
        <w:spacing w:before="120"/>
        <w:ind w:left="1360"/>
        <w:contextualSpacing w:val="0"/>
        <w:rPr>
          <w:iCs/>
        </w:rPr>
      </w:pPr>
      <w:r>
        <w:rPr>
          <w:b/>
          <w:bCs/>
          <w:i/>
        </w:rPr>
        <w:t>rounding allocation</w:t>
      </w:r>
      <w:r>
        <w:rPr>
          <w:iCs/>
        </w:rPr>
        <w:t xml:space="preserve"> means any additional surrenders of authorisations for a non-exempt premises necessary to reach the target reduction.</w:t>
      </w:r>
    </w:p>
    <w:p w14:paraId="2F5CE253" w14:textId="77777777" w:rsidR="00DA54BB" w:rsidRDefault="00DA54BB" w:rsidP="00124829">
      <w:pPr>
        <w:pStyle w:val="ListParagraph"/>
        <w:spacing w:before="120"/>
        <w:ind w:left="1360"/>
        <w:contextualSpacing w:val="0"/>
        <w:rPr>
          <w:iCs/>
        </w:rPr>
      </w:pPr>
      <w:r>
        <w:rPr>
          <w:b/>
          <w:bCs/>
          <w:i/>
        </w:rPr>
        <w:t>target reduction</w:t>
      </w:r>
      <w:r>
        <w:rPr>
          <w:iCs/>
        </w:rPr>
        <w:t xml:space="preserve"> means the total number of authorisations that must be surrendered to reach the target cap on authorisations of 3 500 authorisations.</w:t>
      </w:r>
    </w:p>
    <w:p w14:paraId="19635AC7" w14:textId="02C2870F" w:rsidR="00DA54BB" w:rsidRDefault="00DA54BB" w:rsidP="00124829">
      <w:pPr>
        <w:pStyle w:val="ListParagraph"/>
        <w:spacing w:before="120"/>
        <w:ind w:left="1360"/>
        <w:contextualSpacing w:val="0"/>
        <w:rPr>
          <w:iCs/>
        </w:rPr>
      </w:pPr>
      <w:r>
        <w:rPr>
          <w:b/>
          <w:bCs/>
          <w:i/>
        </w:rPr>
        <w:t>total non-exempt authorisations</w:t>
      </w:r>
      <w:r>
        <w:rPr>
          <w:iCs/>
        </w:rPr>
        <w:t xml:space="preserve"> means the sum of all authorisations</w:t>
      </w:r>
      <w:r w:rsidR="0070336D">
        <w:rPr>
          <w:iCs/>
        </w:rPr>
        <w:t xml:space="preserve"> held </w:t>
      </w:r>
      <w:r>
        <w:rPr>
          <w:iCs/>
        </w:rPr>
        <w:t>for all non-exempt premises for all licensees.</w:t>
      </w:r>
    </w:p>
    <w:p w14:paraId="108B829A" w14:textId="1B16DFD8" w:rsidR="006E0396" w:rsidRDefault="006E0396" w:rsidP="00EF0C36">
      <w:pPr>
        <w:pStyle w:val="ListParagraph"/>
        <w:numPr>
          <w:ilvl w:val="1"/>
          <w:numId w:val="11"/>
        </w:numPr>
        <w:spacing w:before="120"/>
        <w:ind w:left="1360" w:hanging="680"/>
        <w:contextualSpacing w:val="0"/>
      </w:pPr>
      <w:r>
        <w:t>The Act, section 10J(4), requires the surrender obligation for each premises to be rounded to the nearest whole number. Where the unrounded surrender obligation is exactly halfway between two whole numbers, the surrender obligation is rounded to the nearest even number.</w:t>
      </w:r>
    </w:p>
    <w:p w14:paraId="350A29F0" w14:textId="27153955" w:rsidR="006E0396" w:rsidRDefault="006E0396" w:rsidP="006E0396">
      <w:pPr>
        <w:pStyle w:val="ListParagraph"/>
        <w:spacing w:before="120"/>
        <w:ind w:left="1360"/>
        <w:contextualSpacing w:val="0"/>
        <w:rPr>
          <w:rFonts w:ascii="Arial" w:hAnsi="Arial" w:cs="Arial"/>
          <w:b/>
          <w:bCs/>
          <w:sz w:val="20"/>
          <w:szCs w:val="16"/>
        </w:rPr>
      </w:pPr>
      <w:r>
        <w:rPr>
          <w:rFonts w:ascii="Arial" w:hAnsi="Arial" w:cs="Arial"/>
          <w:b/>
          <w:bCs/>
          <w:sz w:val="20"/>
          <w:szCs w:val="16"/>
        </w:rPr>
        <w:t>Example—rounding</w:t>
      </w:r>
    </w:p>
    <w:p w14:paraId="2100C8D2" w14:textId="771BB78E" w:rsidR="006E0396" w:rsidRPr="006E0396" w:rsidRDefault="006E0396" w:rsidP="006E0396">
      <w:pPr>
        <w:pStyle w:val="ListParagraph"/>
        <w:spacing w:before="120"/>
        <w:ind w:left="1360"/>
        <w:contextualSpacing w:val="0"/>
        <w:rPr>
          <w:sz w:val="20"/>
          <w:szCs w:val="16"/>
        </w:rPr>
      </w:pPr>
      <w:r>
        <w:rPr>
          <w:sz w:val="20"/>
          <w:szCs w:val="16"/>
        </w:rPr>
        <w:t>An unrounded surrender obligation of 17.5 or 18.5 are both rounded to 18.</w:t>
      </w:r>
    </w:p>
    <w:p w14:paraId="582308E5" w14:textId="5564A144" w:rsidR="00CC1120" w:rsidRDefault="00CC1120" w:rsidP="00EF0C36">
      <w:pPr>
        <w:pStyle w:val="ListParagraph"/>
        <w:numPr>
          <w:ilvl w:val="1"/>
          <w:numId w:val="11"/>
        </w:numPr>
        <w:spacing w:before="120"/>
        <w:ind w:left="1360" w:hanging="680"/>
        <w:contextualSpacing w:val="0"/>
      </w:pPr>
      <w:r>
        <w:t xml:space="preserve">The rounding allocation </w:t>
      </w:r>
      <w:r w:rsidR="004E61CA">
        <w:t>is worked out from</w:t>
      </w:r>
      <w:r>
        <w:t xml:space="preserve"> </w:t>
      </w:r>
      <w:r w:rsidR="00A32DC0">
        <w:t xml:space="preserve">any shortfall in </w:t>
      </w:r>
      <w:r w:rsidR="004E61CA">
        <w:t>the sum of</w:t>
      </w:r>
      <w:r w:rsidR="00A32DC0">
        <w:t xml:space="preserve"> surrender obligation</w:t>
      </w:r>
      <w:r w:rsidR="004E61CA">
        <w:t>s</w:t>
      </w:r>
      <w:r w:rsidR="00A32DC0">
        <w:t xml:space="preserve"> of all non-exempt premises necessary to reach the target reduction that arises because the surrender obligation for each non-exempt premises is rounded to the nearest whole</w:t>
      </w:r>
      <w:r w:rsidR="00EA4010">
        <w:t xml:space="preserve"> number (the </w:t>
      </w:r>
      <w:r w:rsidR="00EA4010">
        <w:rPr>
          <w:b/>
          <w:bCs/>
          <w:i/>
          <w:iCs/>
        </w:rPr>
        <w:t>rounding shortfall</w:t>
      </w:r>
      <w:r w:rsidR="00EA4010">
        <w:t>)</w:t>
      </w:r>
      <w:r w:rsidR="00A32DC0">
        <w:t>.</w:t>
      </w:r>
    </w:p>
    <w:p w14:paraId="523024FF" w14:textId="3052E3D1" w:rsidR="00124829" w:rsidRDefault="00CC1120" w:rsidP="00EF0C36">
      <w:pPr>
        <w:pStyle w:val="ListParagraph"/>
        <w:numPr>
          <w:ilvl w:val="1"/>
          <w:numId w:val="11"/>
        </w:numPr>
        <w:spacing w:before="120"/>
        <w:ind w:left="1360" w:hanging="680"/>
        <w:contextualSpacing w:val="0"/>
      </w:pPr>
      <w:r>
        <w:t xml:space="preserve">Starting with the non-exempt premises with the most authorisations and working down to the non-exempt premises with the fewest authorisations, the </w:t>
      </w:r>
      <w:r w:rsidR="00EA4010">
        <w:t>rounding shortfall</w:t>
      </w:r>
      <w:r>
        <w:t xml:space="preserve"> is</w:t>
      </w:r>
      <w:r w:rsidR="00217739">
        <w:t xml:space="preserve"> </w:t>
      </w:r>
      <w:r>
        <w:t xml:space="preserve">added in increments of 1 authorisation </w:t>
      </w:r>
      <w:r w:rsidR="00EA4010">
        <w:t xml:space="preserve">to the surrender obligation of each non-exempt premises </w:t>
      </w:r>
      <w:r>
        <w:t xml:space="preserve">until the </w:t>
      </w:r>
      <w:r w:rsidR="00A32DC0">
        <w:t>total surrender obligation of all non-exempt premises equals the target reduction</w:t>
      </w:r>
      <w:r>
        <w:t>.</w:t>
      </w:r>
    </w:p>
    <w:p w14:paraId="060FEEE9" w14:textId="19CD6DA5" w:rsidR="00EF0C36" w:rsidRDefault="00EF0C36" w:rsidP="00EF0C36">
      <w:pPr>
        <w:pStyle w:val="IH5Sec"/>
        <w:numPr>
          <w:ilvl w:val="0"/>
          <w:numId w:val="11"/>
        </w:numPr>
        <w:tabs>
          <w:tab w:val="clear" w:pos="700"/>
          <w:tab w:val="left" w:pos="885"/>
        </w:tabs>
        <w:spacing w:before="240" w:after="120" w:line="276" w:lineRule="auto"/>
      </w:pPr>
      <w:r>
        <w:t>Adjustment of surrender obligations</w:t>
      </w:r>
    </w:p>
    <w:p w14:paraId="12394BCA" w14:textId="4C25B841" w:rsidR="00010252" w:rsidRDefault="00010252" w:rsidP="00010252">
      <w:pPr>
        <w:pStyle w:val="ListParagraph"/>
        <w:numPr>
          <w:ilvl w:val="1"/>
          <w:numId w:val="11"/>
        </w:numPr>
        <w:spacing w:before="120"/>
        <w:ind w:left="1360" w:hanging="680"/>
        <w:contextualSpacing w:val="0"/>
      </w:pPr>
      <w:r>
        <w:t xml:space="preserve">The surrender obligation of each non-exempt premises </w:t>
      </w:r>
      <w:r w:rsidR="004E61CA">
        <w:t xml:space="preserve">as worked out on </w:t>
      </w:r>
      <w:r>
        <w:t>the census day</w:t>
      </w:r>
      <w:r w:rsidR="00217739">
        <w:t xml:space="preserve"> must</w:t>
      </w:r>
      <w:r>
        <w:t xml:space="preserve"> be adjusted to take into account any</w:t>
      </w:r>
      <w:r w:rsidR="00382D8D">
        <w:t xml:space="preserve"> decline in the target reduction between the census day and the period ending on 1 May 2025</w:t>
      </w:r>
      <w:r w:rsidR="00DA26CF">
        <w:t xml:space="preserve"> (</w:t>
      </w:r>
      <w:r w:rsidR="00DA26CF">
        <w:rPr>
          <w:b/>
          <w:bCs/>
          <w:i/>
          <w:iCs/>
        </w:rPr>
        <w:t>adjusting day</w:t>
      </w:r>
      <w:r w:rsidR="00DA26CF">
        <w:t>)</w:t>
      </w:r>
      <w:r>
        <w:t>.</w:t>
      </w:r>
    </w:p>
    <w:p w14:paraId="2B4EE8C1" w14:textId="4F14B504" w:rsidR="00382D8D" w:rsidRDefault="002E532C" w:rsidP="00382D8D">
      <w:pPr>
        <w:pStyle w:val="ListParagraph"/>
        <w:numPr>
          <w:ilvl w:val="1"/>
          <w:numId w:val="11"/>
        </w:numPr>
        <w:spacing w:before="120"/>
        <w:ind w:left="1360" w:hanging="680"/>
        <w:contextualSpacing w:val="0"/>
      </w:pPr>
      <w:bookmarkStart w:id="4" w:name="_Hlk182398565"/>
      <w:r>
        <w:t>Any d</w:t>
      </w:r>
      <w:r w:rsidR="00382D8D">
        <w:t>ecline in the target reduction arising from</w:t>
      </w:r>
      <w:r w:rsidR="00217C7D">
        <w:t>:</w:t>
      </w:r>
    </w:p>
    <w:p w14:paraId="3E1F60A0" w14:textId="24D32DE1" w:rsidR="00382D8D" w:rsidRDefault="00217C7D" w:rsidP="00382D8D">
      <w:pPr>
        <w:pStyle w:val="ListParagraph"/>
        <w:numPr>
          <w:ilvl w:val="1"/>
          <w:numId w:val="13"/>
        </w:numPr>
        <w:spacing w:before="120"/>
        <w:ind w:left="1985" w:hanging="644"/>
        <w:contextualSpacing w:val="0"/>
      </w:pPr>
      <w:r>
        <w:t>voluntary surrender of authorisations for an exempt</w:t>
      </w:r>
      <w:r>
        <w:br/>
        <w:t>premises; and</w:t>
      </w:r>
    </w:p>
    <w:p w14:paraId="70D9B040" w14:textId="6DA409FF" w:rsidR="00217C7D" w:rsidRDefault="00217C7D" w:rsidP="00382D8D">
      <w:pPr>
        <w:pStyle w:val="ListParagraph"/>
        <w:numPr>
          <w:ilvl w:val="1"/>
          <w:numId w:val="13"/>
        </w:numPr>
        <w:spacing w:before="120"/>
        <w:ind w:left="1985" w:hanging="644"/>
        <w:contextualSpacing w:val="0"/>
      </w:pPr>
      <w:r>
        <w:t>cancellation of authorisations for any authorised premises</w:t>
      </w:r>
      <w:r w:rsidR="00AF6E11">
        <w:t>, other than where this arises from voluntary surrender</w:t>
      </w:r>
      <w:r>
        <w:t>;</w:t>
      </w:r>
    </w:p>
    <w:p w14:paraId="010E55D7" w14:textId="650F3AE9" w:rsidR="00217C7D" w:rsidRDefault="00217739" w:rsidP="00217C7D">
      <w:pPr>
        <w:spacing w:before="120"/>
        <w:ind w:left="1341"/>
      </w:pPr>
      <w:r>
        <w:lastRenderedPageBreak/>
        <w:t xml:space="preserve">is </w:t>
      </w:r>
      <w:r w:rsidR="00217C7D">
        <w:t xml:space="preserve">subtracted from the target reduction </w:t>
      </w:r>
      <w:r w:rsidR="00217C7D" w:rsidRPr="00217739">
        <w:rPr>
          <w:i/>
          <w:iCs/>
        </w:rPr>
        <w:t>before</w:t>
      </w:r>
      <w:r w:rsidR="00217C7D">
        <w:t xml:space="preserve"> working out the surrender obligation for each non-exempt premises</w:t>
      </w:r>
      <w:r w:rsidR="004E61CA">
        <w:t xml:space="preserve"> (the </w:t>
      </w:r>
      <w:r w:rsidR="004E61CA">
        <w:rPr>
          <w:b/>
          <w:bCs/>
          <w:i/>
          <w:iCs/>
        </w:rPr>
        <w:t>revised target</w:t>
      </w:r>
      <w:r w:rsidR="004E61CA">
        <w:t>)</w:t>
      </w:r>
      <w:r w:rsidR="00217C7D">
        <w:t>.</w:t>
      </w:r>
    </w:p>
    <w:bookmarkEnd w:id="4"/>
    <w:p w14:paraId="6771CA8F" w14:textId="7797C15A" w:rsidR="004E61CA" w:rsidRDefault="004E61CA" w:rsidP="00217739">
      <w:pPr>
        <w:pStyle w:val="ListParagraph"/>
        <w:numPr>
          <w:ilvl w:val="1"/>
          <w:numId w:val="11"/>
        </w:numPr>
        <w:spacing w:before="120"/>
        <w:ind w:left="1360" w:hanging="680"/>
        <w:contextualSpacing w:val="0"/>
      </w:pPr>
      <w:r>
        <w:t>The rounding allocation is worked out from any</w:t>
      </w:r>
      <w:r w:rsidR="00DA54BB">
        <w:t xml:space="preserve"> rounding</w:t>
      </w:r>
      <w:r>
        <w:t xml:space="preserve"> shortfall necessary to reach the revised target.</w:t>
      </w:r>
    </w:p>
    <w:p w14:paraId="38022091" w14:textId="4E1C7DDB" w:rsidR="00217C7D" w:rsidRDefault="00217C7D" w:rsidP="00217739">
      <w:pPr>
        <w:pStyle w:val="ListParagraph"/>
        <w:numPr>
          <w:ilvl w:val="1"/>
          <w:numId w:val="11"/>
        </w:numPr>
        <w:spacing w:before="120"/>
        <w:ind w:left="1360" w:hanging="680"/>
        <w:contextualSpacing w:val="0"/>
      </w:pPr>
      <w:r>
        <w:t xml:space="preserve">Any decline in the target reduction arising from voluntary surrender of authorisations for a non-exempt premises </w:t>
      </w:r>
      <w:r w:rsidR="00217739">
        <w:t xml:space="preserve">is subtracted from the surrender obligation of the non-exempt premises </w:t>
      </w:r>
      <w:r w:rsidR="00217739" w:rsidRPr="00217739">
        <w:rPr>
          <w:i/>
          <w:iCs/>
        </w:rPr>
        <w:t>after</w:t>
      </w:r>
      <w:r w:rsidR="00217739">
        <w:t xml:space="preserve"> working out the surrender obligation for each non-exempt premises.</w:t>
      </w:r>
    </w:p>
    <w:p w14:paraId="7DF06500" w14:textId="63ECE582" w:rsidR="00217C7D" w:rsidRDefault="00217739" w:rsidP="00217C7D">
      <w:pPr>
        <w:pStyle w:val="ListParagraph"/>
        <w:numPr>
          <w:ilvl w:val="1"/>
          <w:numId w:val="11"/>
        </w:numPr>
        <w:spacing w:before="120"/>
        <w:ind w:left="1360" w:hanging="680"/>
        <w:contextualSpacing w:val="0"/>
      </w:pPr>
      <w:r>
        <w:t xml:space="preserve">Any decline in the target reduction arising from forfeiture of authorisations by an acquiring licensee is subtracted from the surrender obligation of the authorised premises for which the authorisations were acquired </w:t>
      </w:r>
      <w:r w:rsidRPr="00217739">
        <w:rPr>
          <w:i/>
          <w:iCs/>
        </w:rPr>
        <w:t>after</w:t>
      </w:r>
      <w:r>
        <w:t xml:space="preserve"> working out the surrender obligation for each non-exempt premises.</w:t>
      </w:r>
    </w:p>
    <w:p w14:paraId="6D37B552" w14:textId="1AB8FA52" w:rsidR="00DA26CF" w:rsidRDefault="00DA26CF" w:rsidP="00217C7D">
      <w:pPr>
        <w:pStyle w:val="ListParagraph"/>
        <w:numPr>
          <w:ilvl w:val="1"/>
          <w:numId w:val="11"/>
        </w:numPr>
        <w:spacing w:before="120"/>
        <w:ind w:left="1360" w:hanging="680"/>
        <w:contextualSpacing w:val="0"/>
      </w:pPr>
      <w:r>
        <w:t>Any change in the number of authorisations held for a</w:t>
      </w:r>
      <w:r w:rsidR="00DF25A2">
        <w:t>n authorised premises</w:t>
      </w:r>
      <w:r>
        <w:t xml:space="preserve"> due to the disposal or acquisition of authorisations through the trading scheme is taken into account when working out the surrender obligation of an authorised premises on the adjusting day.</w:t>
      </w:r>
    </w:p>
    <w:p w14:paraId="6AC4F642" w14:textId="4154538E" w:rsidR="00217739" w:rsidRDefault="00217739" w:rsidP="00217739">
      <w:pPr>
        <w:pStyle w:val="ListParagraph"/>
        <w:numPr>
          <w:ilvl w:val="1"/>
          <w:numId w:val="11"/>
        </w:numPr>
        <w:spacing w:before="120"/>
        <w:ind w:left="1360" w:hanging="680"/>
        <w:contextualSpacing w:val="0"/>
      </w:pPr>
      <w:r>
        <w:t>The surrender obligation of each licensee assessed</w:t>
      </w:r>
      <w:r w:rsidR="00DA54BB">
        <w:t xml:space="preserve"> on</w:t>
      </w:r>
      <w:r>
        <w:t xml:space="preserve"> 2 May 2025 is the sum of the surrender obligation for each authorised premises of a licensee as adjusted under this part.</w:t>
      </w:r>
    </w:p>
    <w:sectPr w:rsidR="00217739" w:rsidSect="00F15AC3">
      <w:footerReference w:type="defaul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DE9DF" w14:textId="77777777" w:rsidR="00B742D7" w:rsidRDefault="00B742D7" w:rsidP="00F10CB2">
      <w:r>
        <w:separator/>
      </w:r>
    </w:p>
  </w:endnote>
  <w:endnote w:type="continuationSeparator" w:id="0">
    <w:p w14:paraId="4D4BBF69" w14:textId="77777777" w:rsidR="00B742D7" w:rsidRDefault="00B742D7" w:rsidP="00F1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1675" w14:textId="77777777" w:rsidR="005D5DE5" w:rsidRDefault="005D5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7EC7" w14:textId="77777777" w:rsidR="007C0507" w:rsidRPr="0033560A" w:rsidRDefault="007C0507" w:rsidP="0033560A">
    <w:pPr>
      <w:spacing w:before="120"/>
      <w:rPr>
        <w:rFonts w:ascii="Arial" w:hAnsi="Arial" w:cs="Arial"/>
        <w:sz w:val="18"/>
        <w:szCs w:val="18"/>
      </w:rPr>
    </w:pPr>
    <w:r w:rsidRPr="0033560A">
      <w:rPr>
        <w:rFonts w:ascii="Arial" w:hAnsi="Arial" w:cs="Arial"/>
        <w:sz w:val="18"/>
        <w:szCs w:val="18"/>
      </w:rPr>
      <w:t>*Name amended under Legislation Act, s 60</w:t>
    </w:r>
  </w:p>
  <w:p w14:paraId="1719E85D" w14:textId="15482DEF" w:rsidR="007C0507" w:rsidRPr="005D5DE5" w:rsidRDefault="005D5DE5" w:rsidP="005D5DE5">
    <w:pPr>
      <w:spacing w:before="120"/>
      <w:jc w:val="center"/>
      <w:rPr>
        <w:rFonts w:ascii="Arial" w:hAnsi="Arial" w:cs="Arial"/>
        <w:sz w:val="14"/>
        <w:szCs w:val="14"/>
      </w:rPr>
    </w:pPr>
    <w:r w:rsidRPr="005D5DE5">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153B" w14:textId="77777777" w:rsidR="005D5DE5" w:rsidRDefault="005D5D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016940"/>
      <w:docPartObj>
        <w:docPartGallery w:val="Page Numbers (Bottom of Page)"/>
        <w:docPartUnique/>
      </w:docPartObj>
    </w:sdtPr>
    <w:sdtEndPr>
      <w:rPr>
        <w:noProof/>
        <w:sz w:val="14"/>
        <w:szCs w:val="16"/>
      </w:rPr>
    </w:sdtEndPr>
    <w:sdtContent>
      <w:p w14:paraId="20B6D40D" w14:textId="195579ED" w:rsidR="009D7C26" w:rsidRDefault="0077619B" w:rsidP="0033560A">
        <w:pPr>
          <w:pStyle w:val="Footer"/>
          <w:jc w:val="right"/>
          <w:rPr>
            <w:noProof/>
            <w:sz w:val="14"/>
            <w:szCs w:val="16"/>
          </w:rPr>
        </w:pPr>
        <w:r>
          <w:fldChar w:fldCharType="begin"/>
        </w:r>
        <w:r>
          <w:instrText xml:space="preserve"> PAGE   \* MERGEFORMAT </w:instrText>
        </w:r>
        <w:r>
          <w:fldChar w:fldCharType="separate"/>
        </w:r>
        <w:r>
          <w:rPr>
            <w:noProof/>
          </w:rPr>
          <w:t>2</w:t>
        </w:r>
        <w:r>
          <w:rPr>
            <w:noProof/>
          </w:rPr>
          <w:fldChar w:fldCharType="end"/>
        </w:r>
      </w:p>
    </w:sdtContent>
  </w:sdt>
  <w:p w14:paraId="00DCF7EE" w14:textId="0D16F7D4" w:rsidR="00DA54BB" w:rsidRPr="005D5DE5" w:rsidRDefault="005D5DE5" w:rsidP="005D5DE5">
    <w:pPr>
      <w:jc w:val="center"/>
      <w:rPr>
        <w:rFonts w:ascii="Arial" w:hAnsi="Arial" w:cs="Arial"/>
        <w:sz w:val="14"/>
        <w:szCs w:val="14"/>
      </w:rPr>
    </w:pPr>
    <w:r w:rsidRPr="005D5DE5">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100D6" w14:textId="77777777" w:rsidR="00B742D7" w:rsidRDefault="00B742D7" w:rsidP="00F10CB2">
      <w:r>
        <w:separator/>
      </w:r>
    </w:p>
  </w:footnote>
  <w:footnote w:type="continuationSeparator" w:id="0">
    <w:p w14:paraId="65782EE3" w14:textId="77777777" w:rsidR="00B742D7" w:rsidRDefault="00B742D7" w:rsidP="00F10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11A7" w14:textId="77777777" w:rsidR="005D5DE5" w:rsidRDefault="005D5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9706" w14:textId="77777777" w:rsidR="005D5DE5" w:rsidRDefault="005D5D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FC98" w14:textId="77777777" w:rsidR="005D5DE5" w:rsidRDefault="005D5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2385057"/>
    <w:multiLevelType w:val="multilevel"/>
    <w:tmpl w:val="D4009D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5" w15:restartNumberingAfterBreak="0">
    <w:nsid w:val="32BD38E6"/>
    <w:multiLevelType w:val="multilevel"/>
    <w:tmpl w:val="BB30D3B2"/>
    <w:lvl w:ilvl="0">
      <w:start w:val="1"/>
      <w:numFmt w:val="decimal"/>
      <w:lvlText w:val="(%1)"/>
      <w:lvlJc w:val="left"/>
      <w:pPr>
        <w:tabs>
          <w:tab w:val="num" w:pos="885"/>
        </w:tabs>
        <w:ind w:left="360" w:firstLine="525"/>
      </w:pPr>
      <w:rPr>
        <w:rFonts w:hint="default"/>
      </w:rPr>
    </w:lvl>
    <w:lvl w:ilvl="1">
      <w:start w:val="1"/>
      <w:numFmt w:val="lowerLetter"/>
      <w:lvlText w:val="(%2)"/>
      <w:lvlJc w:val="left"/>
      <w:pPr>
        <w:ind w:left="885" w:hanging="525"/>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6E4E6577"/>
    <w:multiLevelType w:val="hybridMultilevel"/>
    <w:tmpl w:val="DD349C8A"/>
    <w:lvl w:ilvl="0" w:tplc="679648B2">
      <w:start w:val="1"/>
      <w:numFmt w:val="lowerLetter"/>
      <w:lvlText w:val="(%1)"/>
      <w:lvlJc w:val="left"/>
      <w:pPr>
        <w:ind w:left="2080" w:hanging="360"/>
      </w:pPr>
      <w:rPr>
        <w:rFonts w:hint="default"/>
      </w:rPr>
    </w:lvl>
    <w:lvl w:ilvl="1" w:tplc="2472B35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76F32B07"/>
    <w:multiLevelType w:val="multilevel"/>
    <w:tmpl w:val="BD6A1380"/>
    <w:lvl w:ilvl="0">
      <w:start w:val="1"/>
      <w:numFmt w:val="decimal"/>
      <w:lvlText w:val="%1"/>
      <w:lvlJc w:val="left"/>
      <w:pPr>
        <w:ind w:left="680" w:hanging="680"/>
      </w:pPr>
      <w:rPr>
        <w:rFonts w:hint="default"/>
      </w:rPr>
    </w:lvl>
    <w:lvl w:ilvl="1">
      <w:start w:val="1"/>
      <w:numFmt w:val="decimal"/>
      <w:lvlText w:val="%1.%2."/>
      <w:lvlJc w:val="left"/>
      <w:pPr>
        <w:ind w:left="680" w:firstLine="0"/>
      </w:pPr>
      <w:rPr>
        <w:rFonts w:hint="default"/>
      </w:rPr>
    </w:lvl>
    <w:lvl w:ilvl="2">
      <w:start w:val="1"/>
      <w:numFmt w:val="decimal"/>
      <w:lvlText w:val="%1.%2.%3."/>
      <w:lvlJc w:val="left"/>
      <w:pPr>
        <w:ind w:left="2041" w:hanging="680"/>
      </w:pPr>
      <w:rPr>
        <w:rFonts w:hint="default"/>
      </w:rPr>
    </w:lvl>
    <w:lvl w:ilvl="3">
      <w:start w:val="1"/>
      <w:numFmt w:val="decimal"/>
      <w:lvlText w:val="%1.%2.%3.%4."/>
      <w:lvlJc w:val="left"/>
      <w:pPr>
        <w:ind w:left="1956" w:hanging="885"/>
      </w:pPr>
      <w:rPr>
        <w:rFonts w:hint="default"/>
      </w:rPr>
    </w:lvl>
    <w:lvl w:ilvl="4">
      <w:start w:val="1"/>
      <w:numFmt w:val="decimal"/>
      <w:lvlText w:val="%1.%2.%3.%4.%5."/>
      <w:lvlJc w:val="left"/>
      <w:pPr>
        <w:ind w:left="2313" w:hanging="885"/>
      </w:pPr>
      <w:rPr>
        <w:rFonts w:hint="default"/>
      </w:rPr>
    </w:lvl>
    <w:lvl w:ilvl="5">
      <w:start w:val="1"/>
      <w:numFmt w:val="decimal"/>
      <w:lvlText w:val="%1.%2.%3.%4.%5.%6."/>
      <w:lvlJc w:val="left"/>
      <w:pPr>
        <w:ind w:left="2670" w:hanging="885"/>
      </w:pPr>
      <w:rPr>
        <w:rFonts w:hint="default"/>
      </w:rPr>
    </w:lvl>
    <w:lvl w:ilvl="6">
      <w:start w:val="1"/>
      <w:numFmt w:val="decimal"/>
      <w:lvlText w:val="%1.%2.%3.%4.%5.%6.%7."/>
      <w:lvlJc w:val="left"/>
      <w:pPr>
        <w:ind w:left="3027" w:hanging="885"/>
      </w:pPr>
      <w:rPr>
        <w:rFonts w:hint="default"/>
      </w:rPr>
    </w:lvl>
    <w:lvl w:ilvl="7">
      <w:start w:val="1"/>
      <w:numFmt w:val="decimal"/>
      <w:lvlText w:val="%1.%2.%3.%4.%5.%6.%7.%8."/>
      <w:lvlJc w:val="left"/>
      <w:pPr>
        <w:ind w:left="3384" w:hanging="885"/>
      </w:pPr>
      <w:rPr>
        <w:rFonts w:hint="default"/>
      </w:rPr>
    </w:lvl>
    <w:lvl w:ilvl="8">
      <w:start w:val="1"/>
      <w:numFmt w:val="decimal"/>
      <w:lvlText w:val="%1.%2.%3.%4.%5.%6.%7.%8.%9."/>
      <w:lvlJc w:val="left"/>
      <w:pPr>
        <w:ind w:left="3741" w:hanging="885"/>
      </w:pPr>
      <w:rPr>
        <w:rFonts w:hint="default"/>
      </w:rPr>
    </w:lvl>
  </w:abstractNum>
  <w:abstractNum w:abstractNumId="12" w15:restartNumberingAfterBreak="0">
    <w:nsid w:val="783E3C31"/>
    <w:multiLevelType w:val="hybridMultilevel"/>
    <w:tmpl w:val="7570B7AA"/>
    <w:lvl w:ilvl="0" w:tplc="93CA192E">
      <w:start w:val="1"/>
      <w:numFmt w:val="decimal"/>
      <w:lvlText w:val="%1"/>
      <w:lvlJc w:val="left"/>
      <w:pPr>
        <w:ind w:left="1245" w:hanging="88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47955664">
    <w:abstractNumId w:val="2"/>
  </w:num>
  <w:num w:numId="2" w16cid:durableId="509023989">
    <w:abstractNumId w:val="0"/>
  </w:num>
  <w:num w:numId="3" w16cid:durableId="1114908682">
    <w:abstractNumId w:val="3"/>
  </w:num>
  <w:num w:numId="4" w16cid:durableId="620570622">
    <w:abstractNumId w:val="8"/>
  </w:num>
  <w:num w:numId="5" w16cid:durableId="1061290642">
    <w:abstractNumId w:val="10"/>
  </w:num>
  <w:num w:numId="6" w16cid:durableId="903757481">
    <w:abstractNumId w:val="1"/>
  </w:num>
  <w:num w:numId="7" w16cid:durableId="585385321">
    <w:abstractNumId w:val="6"/>
  </w:num>
  <w:num w:numId="8" w16cid:durableId="850024963">
    <w:abstractNumId w:val="7"/>
  </w:num>
  <w:num w:numId="9" w16cid:durableId="705372479">
    <w:abstractNumId w:val="4"/>
  </w:num>
  <w:num w:numId="10" w16cid:durableId="921329504">
    <w:abstractNumId w:val="5"/>
  </w:num>
  <w:num w:numId="11" w16cid:durableId="415127567">
    <w:abstractNumId w:val="11"/>
  </w:num>
  <w:num w:numId="12" w16cid:durableId="869293974">
    <w:abstractNumId w:val="12"/>
  </w:num>
  <w:num w:numId="13" w16cid:durableId="6932668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585C"/>
    <w:rsid w:val="00010252"/>
    <w:rsid w:val="00015591"/>
    <w:rsid w:val="00022B16"/>
    <w:rsid w:val="000772D9"/>
    <w:rsid w:val="000A1A69"/>
    <w:rsid w:val="000D09EF"/>
    <w:rsid w:val="000E1D71"/>
    <w:rsid w:val="000F2879"/>
    <w:rsid w:val="00124829"/>
    <w:rsid w:val="00156BB3"/>
    <w:rsid w:val="00194AC7"/>
    <w:rsid w:val="001F1EAA"/>
    <w:rsid w:val="00202BEB"/>
    <w:rsid w:val="00217739"/>
    <w:rsid w:val="00217C7D"/>
    <w:rsid w:val="00232478"/>
    <w:rsid w:val="0025619E"/>
    <w:rsid w:val="002D3B75"/>
    <w:rsid w:val="002E532C"/>
    <w:rsid w:val="0033560A"/>
    <w:rsid w:val="003430DB"/>
    <w:rsid w:val="00371DA7"/>
    <w:rsid w:val="00382D8D"/>
    <w:rsid w:val="003E02AE"/>
    <w:rsid w:val="00403222"/>
    <w:rsid w:val="004A3583"/>
    <w:rsid w:val="004E61CA"/>
    <w:rsid w:val="00506252"/>
    <w:rsid w:val="00586DD9"/>
    <w:rsid w:val="005D5DE5"/>
    <w:rsid w:val="005E215C"/>
    <w:rsid w:val="00604F29"/>
    <w:rsid w:val="00627F0C"/>
    <w:rsid w:val="00651AC3"/>
    <w:rsid w:val="00667281"/>
    <w:rsid w:val="00680649"/>
    <w:rsid w:val="006A2097"/>
    <w:rsid w:val="006C000D"/>
    <w:rsid w:val="006E0396"/>
    <w:rsid w:val="0070336D"/>
    <w:rsid w:val="00704DC3"/>
    <w:rsid w:val="0072003E"/>
    <w:rsid w:val="0077619B"/>
    <w:rsid w:val="007C0507"/>
    <w:rsid w:val="00853534"/>
    <w:rsid w:val="008549F8"/>
    <w:rsid w:val="009B3FB5"/>
    <w:rsid w:val="009D7C26"/>
    <w:rsid w:val="00A032A8"/>
    <w:rsid w:val="00A0585C"/>
    <w:rsid w:val="00A12777"/>
    <w:rsid w:val="00A32DC0"/>
    <w:rsid w:val="00A83569"/>
    <w:rsid w:val="00AA0CD4"/>
    <w:rsid w:val="00AF6E11"/>
    <w:rsid w:val="00B163EA"/>
    <w:rsid w:val="00B30B9A"/>
    <w:rsid w:val="00B65C67"/>
    <w:rsid w:val="00B742D7"/>
    <w:rsid w:val="00BA52F5"/>
    <w:rsid w:val="00BB241F"/>
    <w:rsid w:val="00BD7297"/>
    <w:rsid w:val="00C41B1B"/>
    <w:rsid w:val="00C94463"/>
    <w:rsid w:val="00C970A2"/>
    <w:rsid w:val="00CC1120"/>
    <w:rsid w:val="00CD4E55"/>
    <w:rsid w:val="00CE0FF2"/>
    <w:rsid w:val="00CF62C7"/>
    <w:rsid w:val="00D2474A"/>
    <w:rsid w:val="00D316F8"/>
    <w:rsid w:val="00D47F13"/>
    <w:rsid w:val="00D66DE2"/>
    <w:rsid w:val="00D71CE2"/>
    <w:rsid w:val="00DA26CF"/>
    <w:rsid w:val="00DA54BB"/>
    <w:rsid w:val="00DF25A2"/>
    <w:rsid w:val="00E46A32"/>
    <w:rsid w:val="00E556F2"/>
    <w:rsid w:val="00E903FD"/>
    <w:rsid w:val="00E92995"/>
    <w:rsid w:val="00EA4010"/>
    <w:rsid w:val="00EF0C36"/>
    <w:rsid w:val="00F10CB2"/>
    <w:rsid w:val="00F15AC3"/>
    <w:rsid w:val="00F23607"/>
    <w:rsid w:val="00F52E72"/>
    <w:rsid w:val="00FD72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617C6"/>
  <w15:docId w15:val="{BA255ED2-B3BD-414B-928B-FE12BCEA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097"/>
    <w:rPr>
      <w:sz w:val="24"/>
      <w:lang w:eastAsia="en-US"/>
    </w:rPr>
  </w:style>
  <w:style w:type="paragraph" w:styleId="Heading1">
    <w:name w:val="heading 1"/>
    <w:basedOn w:val="Normal"/>
    <w:next w:val="Normal"/>
    <w:qFormat/>
    <w:rsid w:val="00F15AC3"/>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F15AC3"/>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F15AC3"/>
    <w:pPr>
      <w:keepNext/>
      <w:pBdr>
        <w:right w:val="single" w:sz="4" w:space="4" w:color="auto"/>
      </w:pBdr>
      <w:outlineLvl w:val="2"/>
    </w:pPr>
    <w:rPr>
      <w:i/>
      <w:iCs/>
      <w:sz w:val="22"/>
      <w:szCs w:val="22"/>
    </w:rPr>
  </w:style>
  <w:style w:type="paragraph" w:styleId="Heading4">
    <w:name w:val="heading 4"/>
    <w:basedOn w:val="Normal"/>
    <w:next w:val="Normal"/>
    <w:qFormat/>
    <w:rsid w:val="00F15AC3"/>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5AC3"/>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link w:val="FooterChar"/>
    <w:uiPriority w:val="99"/>
    <w:rsid w:val="00F15AC3"/>
    <w:pPr>
      <w:tabs>
        <w:tab w:val="left" w:pos="2880"/>
      </w:tabs>
      <w:spacing w:before="120" w:after="60" w:line="240" w:lineRule="exact"/>
    </w:pPr>
    <w:rPr>
      <w:rFonts w:ascii="Arial" w:hAnsi="Arial"/>
      <w:sz w:val="18"/>
    </w:rPr>
  </w:style>
  <w:style w:type="paragraph" w:customStyle="1" w:styleId="Billname">
    <w:name w:val="Billname"/>
    <w:basedOn w:val="Normal"/>
    <w:rsid w:val="00F15AC3"/>
    <w:pPr>
      <w:tabs>
        <w:tab w:val="left" w:pos="2400"/>
        <w:tab w:val="left" w:pos="2880"/>
      </w:tabs>
      <w:spacing w:before="1220" w:after="100"/>
    </w:pPr>
    <w:rPr>
      <w:rFonts w:ascii="Arial" w:hAnsi="Arial"/>
      <w:b/>
      <w:sz w:val="40"/>
    </w:rPr>
  </w:style>
  <w:style w:type="paragraph" w:customStyle="1" w:styleId="Amain">
    <w:name w:val="A main"/>
    <w:basedOn w:val="Normal"/>
    <w:rsid w:val="00F15AC3"/>
    <w:pPr>
      <w:tabs>
        <w:tab w:val="right" w:pos="500"/>
        <w:tab w:val="left" w:pos="700"/>
      </w:tabs>
      <w:spacing w:before="80" w:after="60"/>
      <w:ind w:left="700" w:hanging="700"/>
      <w:jc w:val="both"/>
      <w:outlineLvl w:val="5"/>
    </w:pPr>
  </w:style>
  <w:style w:type="paragraph" w:customStyle="1" w:styleId="N-line3">
    <w:name w:val="N-line3"/>
    <w:basedOn w:val="Normal"/>
    <w:next w:val="Normal"/>
    <w:rsid w:val="00F15AC3"/>
    <w:pPr>
      <w:pBdr>
        <w:bottom w:val="single" w:sz="12" w:space="1" w:color="auto"/>
      </w:pBdr>
      <w:jc w:val="both"/>
    </w:pPr>
  </w:style>
  <w:style w:type="paragraph" w:customStyle="1" w:styleId="madeunder">
    <w:name w:val="made under"/>
    <w:basedOn w:val="Normal"/>
    <w:rsid w:val="00F15AC3"/>
    <w:pPr>
      <w:spacing w:before="180" w:after="60"/>
      <w:jc w:val="both"/>
    </w:pPr>
  </w:style>
  <w:style w:type="paragraph" w:customStyle="1" w:styleId="CoverActName">
    <w:name w:val="CoverActName"/>
    <w:basedOn w:val="Normal"/>
    <w:rsid w:val="00F15AC3"/>
    <w:pPr>
      <w:tabs>
        <w:tab w:val="left" w:pos="2600"/>
      </w:tabs>
      <w:spacing w:before="200" w:after="60"/>
      <w:jc w:val="both"/>
    </w:pPr>
    <w:rPr>
      <w:rFonts w:ascii="Arial" w:hAnsi="Arial"/>
      <w:b/>
    </w:rPr>
  </w:style>
  <w:style w:type="paragraph" w:customStyle="1" w:styleId="06Copyright">
    <w:name w:val="06Copyright"/>
    <w:basedOn w:val="Normal"/>
    <w:rsid w:val="00F15AC3"/>
    <w:pPr>
      <w:tabs>
        <w:tab w:val="left" w:pos="2880"/>
      </w:tabs>
    </w:pPr>
  </w:style>
  <w:style w:type="paragraph" w:customStyle="1" w:styleId="Apara">
    <w:name w:val="A para"/>
    <w:basedOn w:val="Normal"/>
    <w:rsid w:val="00F15AC3"/>
    <w:pPr>
      <w:numPr>
        <w:ilvl w:val="6"/>
        <w:numId w:val="9"/>
      </w:numPr>
      <w:spacing w:before="80" w:after="60"/>
      <w:jc w:val="both"/>
      <w:outlineLvl w:val="6"/>
    </w:pPr>
  </w:style>
  <w:style w:type="paragraph" w:customStyle="1" w:styleId="Asubpara">
    <w:name w:val="A subpara"/>
    <w:basedOn w:val="Normal"/>
    <w:rsid w:val="00F15AC3"/>
    <w:pPr>
      <w:numPr>
        <w:ilvl w:val="7"/>
        <w:numId w:val="9"/>
      </w:numPr>
      <w:spacing w:before="80" w:after="60"/>
      <w:jc w:val="both"/>
      <w:outlineLvl w:val="7"/>
    </w:pPr>
  </w:style>
  <w:style w:type="paragraph" w:customStyle="1" w:styleId="Asubsubpara">
    <w:name w:val="A subsubpara"/>
    <w:basedOn w:val="Normal"/>
    <w:rsid w:val="00F15AC3"/>
    <w:pPr>
      <w:numPr>
        <w:ilvl w:val="8"/>
        <w:numId w:val="9"/>
      </w:numPr>
      <w:spacing w:before="80" w:after="60"/>
      <w:jc w:val="both"/>
      <w:outlineLvl w:val="8"/>
    </w:pPr>
  </w:style>
  <w:style w:type="paragraph" w:customStyle="1" w:styleId="AH5Sec">
    <w:name w:val="A H5 Sec"/>
    <w:basedOn w:val="Normal"/>
    <w:next w:val="Amain"/>
    <w:rsid w:val="00F15AC3"/>
    <w:pPr>
      <w:keepNext/>
      <w:numPr>
        <w:ilvl w:val="4"/>
        <w:numId w:val="1"/>
      </w:numPr>
      <w:spacing w:before="180" w:after="60"/>
      <w:outlineLvl w:val="4"/>
    </w:pPr>
    <w:rPr>
      <w:rFonts w:ascii="Arial" w:hAnsi="Arial"/>
      <w:b/>
    </w:rPr>
  </w:style>
  <w:style w:type="paragraph" w:styleId="Header">
    <w:name w:val="header"/>
    <w:basedOn w:val="Normal"/>
    <w:semiHidden/>
    <w:rsid w:val="00F15AC3"/>
    <w:pPr>
      <w:tabs>
        <w:tab w:val="left" w:pos="2880"/>
        <w:tab w:val="center" w:pos="4153"/>
        <w:tab w:val="right" w:pos="8306"/>
      </w:tabs>
    </w:pPr>
  </w:style>
  <w:style w:type="paragraph" w:customStyle="1" w:styleId="ref">
    <w:name w:val="ref"/>
    <w:basedOn w:val="Normal"/>
    <w:next w:val="Normal"/>
    <w:rsid w:val="00F15AC3"/>
    <w:pPr>
      <w:spacing w:after="60"/>
      <w:jc w:val="both"/>
    </w:pPr>
    <w:rPr>
      <w:sz w:val="18"/>
    </w:rPr>
  </w:style>
  <w:style w:type="character" w:customStyle="1" w:styleId="CharDivText">
    <w:name w:val="CharDivText"/>
    <w:basedOn w:val="DefaultParagraphFont"/>
    <w:rsid w:val="00F15AC3"/>
  </w:style>
  <w:style w:type="paragraph" w:customStyle="1" w:styleId="CoverInForce">
    <w:name w:val="CoverInForce"/>
    <w:basedOn w:val="Normal"/>
    <w:rsid w:val="00F15AC3"/>
    <w:pPr>
      <w:tabs>
        <w:tab w:val="left" w:pos="2600"/>
      </w:tabs>
      <w:spacing w:before="200" w:after="60"/>
      <w:jc w:val="both"/>
    </w:pPr>
    <w:rPr>
      <w:rFonts w:ascii="Arial" w:hAnsi="Arial"/>
    </w:rPr>
  </w:style>
  <w:style w:type="paragraph" w:customStyle="1" w:styleId="AFHdg">
    <w:name w:val="AFHdg"/>
    <w:basedOn w:val="Normal"/>
    <w:rsid w:val="00F15AC3"/>
    <w:pPr>
      <w:tabs>
        <w:tab w:val="left" w:pos="2600"/>
      </w:tabs>
      <w:spacing w:before="80" w:after="60"/>
      <w:jc w:val="both"/>
    </w:pPr>
    <w:rPr>
      <w:rFonts w:ascii="Arial" w:hAnsi="Arial"/>
      <w:b/>
      <w:sz w:val="32"/>
    </w:rPr>
  </w:style>
  <w:style w:type="paragraph" w:customStyle="1" w:styleId="ApprFormHd">
    <w:name w:val="ApprFormHd"/>
    <w:basedOn w:val="Normal"/>
    <w:rsid w:val="00F15AC3"/>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F15AC3"/>
  </w:style>
  <w:style w:type="paragraph" w:customStyle="1" w:styleId="Aparabullet">
    <w:name w:val="A para bullet"/>
    <w:basedOn w:val="Normal"/>
    <w:rsid w:val="00F15AC3"/>
    <w:pPr>
      <w:numPr>
        <w:numId w:val="4"/>
      </w:numPr>
    </w:pPr>
  </w:style>
  <w:style w:type="paragraph" w:styleId="TOC1">
    <w:name w:val="toc 1"/>
    <w:basedOn w:val="Normal"/>
    <w:next w:val="Normal"/>
    <w:autoRedefine/>
    <w:semiHidden/>
    <w:rsid w:val="00F15AC3"/>
  </w:style>
  <w:style w:type="paragraph" w:styleId="TOC2">
    <w:name w:val="toc 2"/>
    <w:basedOn w:val="Normal"/>
    <w:next w:val="Normal"/>
    <w:autoRedefine/>
    <w:semiHidden/>
    <w:rsid w:val="00F15AC3"/>
    <w:pPr>
      <w:ind w:left="240"/>
    </w:pPr>
  </w:style>
  <w:style w:type="paragraph" w:styleId="TOC3">
    <w:name w:val="toc 3"/>
    <w:basedOn w:val="Normal"/>
    <w:next w:val="Normal"/>
    <w:autoRedefine/>
    <w:semiHidden/>
    <w:rsid w:val="00F15AC3"/>
    <w:pPr>
      <w:ind w:left="480"/>
    </w:pPr>
  </w:style>
  <w:style w:type="paragraph" w:styleId="TOC4">
    <w:name w:val="toc 4"/>
    <w:basedOn w:val="Normal"/>
    <w:next w:val="Normal"/>
    <w:autoRedefine/>
    <w:semiHidden/>
    <w:rsid w:val="00F15AC3"/>
    <w:pPr>
      <w:ind w:left="720"/>
    </w:pPr>
  </w:style>
  <w:style w:type="paragraph" w:styleId="TOC5">
    <w:name w:val="toc 5"/>
    <w:basedOn w:val="Normal"/>
    <w:next w:val="Normal"/>
    <w:autoRedefine/>
    <w:semiHidden/>
    <w:rsid w:val="00F15AC3"/>
    <w:pPr>
      <w:ind w:left="960"/>
    </w:pPr>
  </w:style>
  <w:style w:type="paragraph" w:styleId="TOC6">
    <w:name w:val="toc 6"/>
    <w:basedOn w:val="Normal"/>
    <w:next w:val="Normal"/>
    <w:autoRedefine/>
    <w:semiHidden/>
    <w:rsid w:val="00F15AC3"/>
    <w:pPr>
      <w:ind w:left="1200"/>
    </w:pPr>
  </w:style>
  <w:style w:type="paragraph" w:styleId="TOC7">
    <w:name w:val="toc 7"/>
    <w:basedOn w:val="Normal"/>
    <w:next w:val="Normal"/>
    <w:autoRedefine/>
    <w:semiHidden/>
    <w:rsid w:val="00F15AC3"/>
    <w:pPr>
      <w:ind w:left="1440"/>
    </w:pPr>
  </w:style>
  <w:style w:type="paragraph" w:styleId="TOC8">
    <w:name w:val="toc 8"/>
    <w:basedOn w:val="Normal"/>
    <w:next w:val="Normal"/>
    <w:autoRedefine/>
    <w:semiHidden/>
    <w:rsid w:val="00F15AC3"/>
    <w:pPr>
      <w:ind w:left="1680"/>
    </w:pPr>
  </w:style>
  <w:style w:type="paragraph" w:styleId="TOC9">
    <w:name w:val="toc 9"/>
    <w:basedOn w:val="Normal"/>
    <w:next w:val="Normal"/>
    <w:autoRedefine/>
    <w:semiHidden/>
    <w:rsid w:val="00F15AC3"/>
    <w:pPr>
      <w:ind w:left="1920"/>
    </w:pPr>
  </w:style>
  <w:style w:type="character" w:styleId="Hyperlink">
    <w:name w:val="Hyperlink"/>
    <w:basedOn w:val="DefaultParagraphFont"/>
    <w:semiHidden/>
    <w:rsid w:val="00F15AC3"/>
    <w:rPr>
      <w:color w:val="0000FF"/>
      <w:u w:val="single"/>
    </w:rPr>
  </w:style>
  <w:style w:type="paragraph" w:styleId="BodyTextIndent">
    <w:name w:val="Body Text Indent"/>
    <w:basedOn w:val="Normal"/>
    <w:semiHidden/>
    <w:rsid w:val="00F15AC3"/>
    <w:pPr>
      <w:spacing w:before="120" w:after="60"/>
      <w:ind w:left="709"/>
    </w:pPr>
  </w:style>
  <w:style w:type="paragraph" w:customStyle="1" w:styleId="Minister">
    <w:name w:val="Minister"/>
    <w:basedOn w:val="Normal"/>
    <w:rsid w:val="00F15AC3"/>
    <w:pPr>
      <w:spacing w:before="880" w:after="60"/>
      <w:jc w:val="right"/>
    </w:pPr>
    <w:rPr>
      <w:caps/>
      <w:szCs w:val="24"/>
    </w:rPr>
  </w:style>
  <w:style w:type="paragraph" w:customStyle="1" w:styleId="DateLine">
    <w:name w:val="DateLine"/>
    <w:basedOn w:val="Normal"/>
    <w:rsid w:val="00F15AC3"/>
    <w:pPr>
      <w:tabs>
        <w:tab w:val="left" w:pos="4320"/>
      </w:tabs>
      <w:spacing w:before="80" w:after="60"/>
      <w:jc w:val="both"/>
    </w:pPr>
    <w:rPr>
      <w:szCs w:val="24"/>
    </w:rPr>
  </w:style>
  <w:style w:type="paragraph" w:customStyle="1" w:styleId="MinisterWord">
    <w:name w:val="MinisterWord"/>
    <w:basedOn w:val="Normal"/>
    <w:rsid w:val="00F15AC3"/>
    <w:pPr>
      <w:tabs>
        <w:tab w:val="left" w:pos="2880"/>
      </w:tabs>
      <w:jc w:val="right"/>
    </w:pPr>
    <w:rPr>
      <w:szCs w:val="24"/>
    </w:rPr>
  </w:style>
  <w:style w:type="character" w:styleId="FollowedHyperlink">
    <w:name w:val="FollowedHyperlink"/>
    <w:basedOn w:val="DefaultParagraphFont"/>
    <w:semiHidden/>
    <w:rsid w:val="00F15AC3"/>
    <w:rPr>
      <w:color w:val="800080"/>
      <w:u w:val="single"/>
    </w:rPr>
  </w:style>
  <w:style w:type="character" w:styleId="FootnoteReference">
    <w:name w:val="footnote reference"/>
    <w:basedOn w:val="DefaultParagraphFont"/>
    <w:semiHidden/>
    <w:rsid w:val="00F15AC3"/>
    <w:rPr>
      <w:rFonts w:ascii="Times New Roman" w:hAnsi="Times New Roman" w:cs="Times New Roman"/>
      <w:sz w:val="24"/>
      <w:szCs w:val="24"/>
      <w:vertAlign w:val="superscript"/>
    </w:rPr>
  </w:style>
  <w:style w:type="paragraph" w:styleId="FootnoteText">
    <w:name w:val="footnote text"/>
    <w:basedOn w:val="Normal"/>
    <w:semiHidden/>
    <w:rsid w:val="00F15AC3"/>
    <w:pPr>
      <w:spacing w:before="80" w:after="60"/>
      <w:jc w:val="both"/>
    </w:pPr>
    <w:rPr>
      <w:szCs w:val="24"/>
    </w:rPr>
  </w:style>
  <w:style w:type="paragraph" w:customStyle="1" w:styleId="ShadedSchClause">
    <w:name w:val="Shaded Sch Clause"/>
    <w:basedOn w:val="Normal"/>
    <w:next w:val="Normal"/>
    <w:rsid w:val="00F15AC3"/>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F15AC3"/>
  </w:style>
  <w:style w:type="paragraph" w:customStyle="1" w:styleId="IH2Part">
    <w:name w:val="I H2 Part"/>
    <w:basedOn w:val="Normal"/>
    <w:next w:val="Normal"/>
    <w:rsid w:val="006A2097"/>
    <w:pPr>
      <w:keepNext/>
      <w:tabs>
        <w:tab w:val="left" w:pos="2600"/>
      </w:tabs>
      <w:spacing w:before="320" w:after="60"/>
      <w:ind w:left="2600" w:hanging="2600"/>
    </w:pPr>
    <w:rPr>
      <w:rFonts w:ascii="Arial" w:hAnsi="Arial"/>
      <w:b/>
      <w:sz w:val="32"/>
    </w:rPr>
  </w:style>
  <w:style w:type="paragraph" w:customStyle="1" w:styleId="IH5Sec">
    <w:name w:val="I H5 Sec"/>
    <w:basedOn w:val="Normal"/>
    <w:next w:val="Normal"/>
    <w:rsid w:val="006A2097"/>
    <w:pPr>
      <w:keepNext/>
      <w:tabs>
        <w:tab w:val="left" w:pos="700"/>
      </w:tabs>
      <w:spacing w:before="180" w:after="60"/>
      <w:ind w:left="700" w:hanging="700"/>
    </w:pPr>
    <w:rPr>
      <w:rFonts w:ascii="Arial" w:hAnsi="Arial" w:cs="Arial"/>
      <w:b/>
      <w:bCs/>
      <w:szCs w:val="24"/>
    </w:rPr>
  </w:style>
  <w:style w:type="paragraph" w:styleId="ListParagraph">
    <w:name w:val="List Paragraph"/>
    <w:basedOn w:val="Normal"/>
    <w:uiPriority w:val="34"/>
    <w:qFormat/>
    <w:rsid w:val="001F1EAA"/>
    <w:pPr>
      <w:ind w:left="720"/>
      <w:contextualSpacing/>
    </w:pPr>
  </w:style>
  <w:style w:type="character" w:styleId="PlaceholderText">
    <w:name w:val="Placeholder Text"/>
    <w:basedOn w:val="DefaultParagraphFont"/>
    <w:uiPriority w:val="99"/>
    <w:semiHidden/>
    <w:rsid w:val="008549F8"/>
    <w:rPr>
      <w:color w:val="666666"/>
    </w:rPr>
  </w:style>
  <w:style w:type="character" w:customStyle="1" w:styleId="FooterChar">
    <w:name w:val="Footer Char"/>
    <w:basedOn w:val="DefaultParagraphFont"/>
    <w:link w:val="Footer"/>
    <w:uiPriority w:val="99"/>
    <w:rsid w:val="0077619B"/>
    <w:rPr>
      <w:rFonts w:ascii="Arial" w:hAnsi="Arial"/>
      <w:sz w:val="18"/>
      <w:lang w:eastAsia="en-US"/>
    </w:rPr>
  </w:style>
  <w:style w:type="character" w:styleId="CommentReference">
    <w:name w:val="annotation reference"/>
    <w:basedOn w:val="DefaultParagraphFont"/>
    <w:uiPriority w:val="99"/>
    <w:semiHidden/>
    <w:unhideWhenUsed/>
    <w:rsid w:val="00403222"/>
    <w:rPr>
      <w:sz w:val="16"/>
      <w:szCs w:val="16"/>
    </w:rPr>
  </w:style>
  <w:style w:type="paragraph" w:styleId="CommentText">
    <w:name w:val="annotation text"/>
    <w:basedOn w:val="Normal"/>
    <w:link w:val="CommentTextChar"/>
    <w:uiPriority w:val="99"/>
    <w:unhideWhenUsed/>
    <w:rsid w:val="00403222"/>
    <w:rPr>
      <w:sz w:val="20"/>
    </w:rPr>
  </w:style>
  <w:style w:type="character" w:customStyle="1" w:styleId="CommentTextChar">
    <w:name w:val="Comment Text Char"/>
    <w:basedOn w:val="DefaultParagraphFont"/>
    <w:link w:val="CommentText"/>
    <w:uiPriority w:val="99"/>
    <w:rsid w:val="00403222"/>
    <w:rPr>
      <w:lang w:eastAsia="en-US"/>
    </w:rPr>
  </w:style>
  <w:style w:type="paragraph" w:styleId="CommentSubject">
    <w:name w:val="annotation subject"/>
    <w:basedOn w:val="CommentText"/>
    <w:next w:val="CommentText"/>
    <w:link w:val="CommentSubjectChar"/>
    <w:uiPriority w:val="99"/>
    <w:semiHidden/>
    <w:unhideWhenUsed/>
    <w:rsid w:val="00403222"/>
    <w:rPr>
      <w:b/>
      <w:bCs/>
    </w:rPr>
  </w:style>
  <w:style w:type="character" w:customStyle="1" w:styleId="CommentSubjectChar">
    <w:name w:val="Comment Subject Char"/>
    <w:basedOn w:val="CommentTextChar"/>
    <w:link w:val="CommentSubject"/>
    <w:uiPriority w:val="99"/>
    <w:semiHidden/>
    <w:rsid w:val="00403222"/>
    <w:rPr>
      <w:b/>
      <w:bCs/>
      <w:lang w:eastAsia="en-US"/>
    </w:rPr>
  </w:style>
  <w:style w:type="paragraph" w:styleId="Revision">
    <w:name w:val="Revision"/>
    <w:hidden/>
    <w:uiPriority w:val="99"/>
    <w:semiHidden/>
    <w:rsid w:val="0070336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920</Words>
  <Characters>5230</Characters>
  <Application>Microsoft Office Word</Application>
  <DocSecurity>0</DocSecurity>
  <Lines>124</Lines>
  <Paragraphs>60</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2004-04-05T00:37:00Z</cp:lastPrinted>
  <dcterms:created xsi:type="dcterms:W3CDTF">2025-01-15T22:52:00Z</dcterms:created>
  <dcterms:modified xsi:type="dcterms:W3CDTF">2025-01-15T22:52:00Z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2024-11-13T00:42:12Z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4944a87e-8c8b-4ed7-a447-34d497c204ff</vt:lpwstr>
  </property>
  <property fmtid="{D5CDD505-2E9C-101B-9397-08002B2CF9AE}" pid="8" name="MSIP_Label_69af8531-eb46-4968-8cb3-105d2f5ea87e_ContentBits">
    <vt:lpwstr>0</vt:lpwstr>
  </property>
  <property fmtid="{D5CDD505-2E9C-101B-9397-08002B2CF9AE}" pid="9" name="CHECKEDOUTFROMJMS">
    <vt:lpwstr/>
  </property>
  <property fmtid="{D5CDD505-2E9C-101B-9397-08002B2CF9AE}" pid="10" name="DMSID">
    <vt:lpwstr>13604540</vt:lpwstr>
  </property>
  <property fmtid="{D5CDD505-2E9C-101B-9397-08002B2CF9AE}" pid="11" name="JMSREQUIREDCHECKIN">
    <vt:lpwstr/>
  </property>
</Properties>
</file>