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0DB68"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0B8E025F" w14:textId="19B2B81B" w:rsidR="00F10CB2" w:rsidRDefault="006364E0">
      <w:pPr>
        <w:pStyle w:val="Billname"/>
        <w:spacing w:before="700"/>
      </w:pPr>
      <w:bookmarkStart w:id="1" w:name="_Hlk104451901"/>
      <w:r>
        <w:t xml:space="preserve">Gaming Machine </w:t>
      </w:r>
      <w:r w:rsidR="00F10CB2">
        <w:t>(</w:t>
      </w:r>
      <w:r w:rsidR="00B87E88">
        <w:t xml:space="preserve">Payment from </w:t>
      </w:r>
      <w:r w:rsidR="00984905">
        <w:t xml:space="preserve">Gambling Harm Prevention </w:t>
      </w:r>
      <w:r>
        <w:t xml:space="preserve">and </w:t>
      </w:r>
      <w:r w:rsidR="00984905">
        <w:t>Mitigation Fund</w:t>
      </w:r>
      <w:r w:rsidR="00984905" w:rsidRPr="00984905">
        <w:t>—</w:t>
      </w:r>
      <w:r w:rsidR="00984905">
        <w:t>Minimum Community Contributions</w:t>
      </w:r>
      <w:r w:rsidR="00F10CB2">
        <w:t xml:space="preserve">) </w:t>
      </w:r>
      <w:r w:rsidR="005D38BC">
        <w:t>Guidelines</w:t>
      </w:r>
      <w:r w:rsidR="00B30B9A">
        <w:t xml:space="preserve"> </w:t>
      </w:r>
      <w:r w:rsidR="005D38BC">
        <w:t>202</w:t>
      </w:r>
      <w:r w:rsidR="00F0139B">
        <w:t>5</w:t>
      </w:r>
      <w:r w:rsidR="00F10CB2">
        <w:t xml:space="preserve"> (No </w:t>
      </w:r>
      <w:r w:rsidR="009F5C38">
        <w:t>1</w:t>
      </w:r>
      <w:r w:rsidR="00F10CB2">
        <w:t>)</w:t>
      </w:r>
      <w:bookmarkEnd w:id="1"/>
    </w:p>
    <w:p w14:paraId="61FDA4F7" w14:textId="646AEAEC" w:rsidR="00F10CB2" w:rsidRDefault="00F10CB2" w:rsidP="00D47F13">
      <w:pPr>
        <w:spacing w:before="340"/>
        <w:rPr>
          <w:rFonts w:ascii="Arial" w:hAnsi="Arial" w:cs="Arial"/>
          <w:b/>
          <w:bCs/>
        </w:rPr>
      </w:pPr>
      <w:r>
        <w:rPr>
          <w:rFonts w:ascii="Arial" w:hAnsi="Arial" w:cs="Arial"/>
          <w:b/>
          <w:bCs/>
        </w:rPr>
        <w:t>Disallowable instrument DI</w:t>
      </w:r>
      <w:r w:rsidR="009F5C38">
        <w:rPr>
          <w:rFonts w:ascii="Arial" w:hAnsi="Arial" w:cs="Arial"/>
          <w:b/>
          <w:bCs/>
          <w:iCs/>
        </w:rPr>
        <w:t>202</w:t>
      </w:r>
      <w:r w:rsidR="00F0139B">
        <w:rPr>
          <w:rFonts w:ascii="Arial" w:hAnsi="Arial" w:cs="Arial"/>
          <w:b/>
          <w:bCs/>
          <w:iCs/>
        </w:rPr>
        <w:t>5</w:t>
      </w:r>
      <w:r w:rsidR="00622185">
        <w:rPr>
          <w:rFonts w:ascii="Arial" w:hAnsi="Arial" w:cs="Arial"/>
          <w:b/>
          <w:bCs/>
          <w:iCs/>
        </w:rPr>
        <w:t>–</w:t>
      </w:r>
      <w:r w:rsidR="00F1454F">
        <w:rPr>
          <w:rFonts w:ascii="Arial" w:hAnsi="Arial" w:cs="Arial"/>
          <w:b/>
          <w:bCs/>
          <w:iCs/>
        </w:rPr>
        <w:t>37</w:t>
      </w:r>
    </w:p>
    <w:p w14:paraId="5AAE893F" w14:textId="77777777" w:rsidR="00F10CB2" w:rsidRDefault="00F10CB2" w:rsidP="00CD4E55">
      <w:pPr>
        <w:pStyle w:val="madeunder"/>
        <w:spacing w:before="300" w:after="0"/>
      </w:pPr>
      <w:r>
        <w:t xml:space="preserve">made under the  </w:t>
      </w:r>
    </w:p>
    <w:p w14:paraId="74D416D7" w14:textId="35F54672" w:rsidR="00F10CB2" w:rsidRDefault="00FF1B1D" w:rsidP="00CD4E55">
      <w:pPr>
        <w:pStyle w:val="CoverActName"/>
        <w:spacing w:before="320" w:after="0"/>
        <w:rPr>
          <w:rFonts w:cs="Arial"/>
          <w:sz w:val="20"/>
        </w:rPr>
      </w:pPr>
      <w:bookmarkStart w:id="2" w:name="_Hlk100766137"/>
      <w:r>
        <w:rPr>
          <w:rFonts w:cs="Arial"/>
          <w:sz w:val="20"/>
        </w:rPr>
        <w:t>Gaming Machine Act 2004</w:t>
      </w:r>
      <w:r w:rsidR="00F10CB2">
        <w:rPr>
          <w:rFonts w:cs="Arial"/>
          <w:sz w:val="20"/>
        </w:rPr>
        <w:t xml:space="preserve">, </w:t>
      </w:r>
      <w:r>
        <w:rPr>
          <w:rFonts w:cs="Arial"/>
          <w:sz w:val="20"/>
        </w:rPr>
        <w:t>section 163D (Payment from gambling harm prevention and mitigation fund – minimum community contributions)</w:t>
      </w:r>
    </w:p>
    <w:bookmarkEnd w:id="2"/>
    <w:p w14:paraId="077D37F6" w14:textId="77777777" w:rsidR="00F10CB2" w:rsidRDefault="00F10CB2" w:rsidP="00CD4E55">
      <w:pPr>
        <w:pStyle w:val="N-line3"/>
        <w:pBdr>
          <w:bottom w:val="none" w:sz="0" w:space="0" w:color="auto"/>
        </w:pBdr>
        <w:spacing w:before="60"/>
      </w:pPr>
    </w:p>
    <w:p w14:paraId="69D88399" w14:textId="77777777" w:rsidR="00F10CB2" w:rsidRDefault="00F10CB2">
      <w:pPr>
        <w:pStyle w:val="N-line3"/>
        <w:pBdr>
          <w:top w:val="single" w:sz="12" w:space="1" w:color="auto"/>
          <w:bottom w:val="none" w:sz="0" w:space="0" w:color="auto"/>
        </w:pBdr>
      </w:pPr>
    </w:p>
    <w:p w14:paraId="323D7D5E"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7BFF517E" w14:textId="7B6CF403" w:rsidR="00F10CB2" w:rsidRDefault="00F10CB2" w:rsidP="00D47F13">
      <w:pPr>
        <w:spacing w:before="140"/>
        <w:ind w:left="720"/>
      </w:pPr>
      <w:r>
        <w:t xml:space="preserve">This instrument is the </w:t>
      </w:r>
      <w:r w:rsidR="00AF4892" w:rsidRPr="0027346A">
        <w:rPr>
          <w:i/>
          <w:iCs/>
        </w:rPr>
        <w:t>Gaming Machine (Payment from Gambling Harm Prevention and Mitigation Fund—Minimum Community Contributions) Guidelines 202</w:t>
      </w:r>
      <w:r w:rsidR="0009107E">
        <w:rPr>
          <w:i/>
          <w:iCs/>
        </w:rPr>
        <w:t>5</w:t>
      </w:r>
      <w:r w:rsidR="00AF4892" w:rsidRPr="0027346A">
        <w:rPr>
          <w:i/>
          <w:iCs/>
        </w:rPr>
        <w:t xml:space="preserve"> (No 1)</w:t>
      </w:r>
      <w:r w:rsidRPr="00F01E12">
        <w:rPr>
          <w:bCs/>
          <w:i/>
          <w:iCs/>
        </w:rPr>
        <w:t>.</w:t>
      </w:r>
    </w:p>
    <w:p w14:paraId="0CE64085" w14:textId="4F8482AE"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Commencement</w:t>
      </w:r>
    </w:p>
    <w:p w14:paraId="7845D799" w14:textId="34EF1E18" w:rsidR="00F10CB2" w:rsidRDefault="00F10CB2" w:rsidP="00D47F13">
      <w:pPr>
        <w:spacing w:before="140"/>
        <w:ind w:left="720"/>
      </w:pPr>
      <w:r>
        <w:t>This instrument commences on</w:t>
      </w:r>
      <w:r w:rsidR="009F5C38">
        <w:t xml:space="preserve"> the day after it is notified</w:t>
      </w:r>
      <w:r w:rsidR="00D961EF">
        <w:t>.</w:t>
      </w:r>
    </w:p>
    <w:p w14:paraId="34727348" w14:textId="512617C3" w:rsidR="00F10CB2" w:rsidRPr="00B87E88" w:rsidRDefault="00F10CB2" w:rsidP="00B87E88">
      <w:pPr>
        <w:spacing w:before="300"/>
        <w:ind w:left="720" w:hanging="720"/>
        <w:rPr>
          <w:rFonts w:ascii="Arial" w:hAnsi="Arial" w:cs="Arial"/>
          <w:b/>
          <w:bCs/>
        </w:rPr>
      </w:pPr>
      <w:r>
        <w:rPr>
          <w:rFonts w:ascii="Arial" w:hAnsi="Arial" w:cs="Arial"/>
          <w:b/>
          <w:bCs/>
        </w:rPr>
        <w:t>3</w:t>
      </w:r>
      <w:r>
        <w:rPr>
          <w:rFonts w:ascii="Arial" w:hAnsi="Arial" w:cs="Arial"/>
          <w:b/>
          <w:bCs/>
        </w:rPr>
        <w:tab/>
      </w:r>
      <w:r w:rsidR="00B87E88">
        <w:rPr>
          <w:rFonts w:ascii="Arial" w:hAnsi="Arial" w:cs="Arial"/>
          <w:b/>
          <w:bCs/>
        </w:rPr>
        <w:t xml:space="preserve">Payment from gambling harm prevention and mitigation fund – minimum community contribution guidelines </w:t>
      </w:r>
    </w:p>
    <w:p w14:paraId="19A8877F" w14:textId="54BFD5DC" w:rsidR="009F5C38" w:rsidRDefault="00B87E88" w:rsidP="007457B9">
      <w:pPr>
        <w:spacing w:before="140"/>
        <w:ind w:left="720"/>
      </w:pPr>
      <w:r w:rsidRPr="00B87E88">
        <w:t>I make the</w:t>
      </w:r>
      <w:r>
        <w:t xml:space="preserve"> </w:t>
      </w:r>
      <w:r w:rsidR="00AF4892" w:rsidRPr="0027346A">
        <w:rPr>
          <w:i/>
          <w:iCs/>
        </w:rPr>
        <w:t>Payment from Gambling Harm Prevention and Mitigation Fund—Minimum Community Contributions</w:t>
      </w:r>
      <w:r w:rsidRPr="0027346A">
        <w:rPr>
          <w:i/>
          <w:iCs/>
        </w:rPr>
        <w:t xml:space="preserve"> </w:t>
      </w:r>
      <w:r w:rsidR="00AF4892" w:rsidRPr="0027346A">
        <w:rPr>
          <w:i/>
          <w:iCs/>
        </w:rPr>
        <w:t>G</w:t>
      </w:r>
      <w:r w:rsidR="009F5C38" w:rsidRPr="0027346A">
        <w:rPr>
          <w:i/>
          <w:iCs/>
        </w:rPr>
        <w:t>uidelines</w:t>
      </w:r>
      <w:r w:rsidR="009F5C38">
        <w:t xml:space="preserve"> </w:t>
      </w:r>
      <w:r>
        <w:t xml:space="preserve">as provided in Schedule 1 of this </w:t>
      </w:r>
      <w:r w:rsidR="009F5C38">
        <w:t>instrument</w:t>
      </w:r>
      <w:r>
        <w:t>.</w:t>
      </w:r>
    </w:p>
    <w:p w14:paraId="64D44BC0" w14:textId="77777777" w:rsidR="001E183C" w:rsidRDefault="001E183C" w:rsidP="007457B9">
      <w:pPr>
        <w:spacing w:before="140"/>
        <w:ind w:left="720"/>
      </w:pPr>
    </w:p>
    <w:p w14:paraId="61520054" w14:textId="4DA00879" w:rsidR="00D47F13" w:rsidRDefault="00A2414D" w:rsidP="0027346A">
      <w:pPr>
        <w:tabs>
          <w:tab w:val="left" w:pos="4320"/>
        </w:tabs>
        <w:spacing w:before="960"/>
      </w:pPr>
      <w:r>
        <w:t>Marisa Paterson M</w:t>
      </w:r>
      <w:r w:rsidR="00861C8F">
        <w:t>LA</w:t>
      </w:r>
    </w:p>
    <w:p w14:paraId="21E3790C" w14:textId="1D2D05AF" w:rsidR="00F10CB2" w:rsidRDefault="00861C8F" w:rsidP="00D47F13">
      <w:pPr>
        <w:tabs>
          <w:tab w:val="left" w:pos="4320"/>
        </w:tabs>
      </w:pPr>
      <w:r>
        <w:t>Minister for Gaming</w:t>
      </w:r>
      <w:r w:rsidR="00A2414D">
        <w:t xml:space="preserve"> Reform</w:t>
      </w:r>
    </w:p>
    <w:bookmarkEnd w:id="0"/>
    <w:p w14:paraId="173B24E7" w14:textId="08E26439" w:rsidR="002F0CCD" w:rsidRDefault="002F0CCD" w:rsidP="00232478">
      <w:pPr>
        <w:tabs>
          <w:tab w:val="left" w:pos="4320"/>
        </w:tabs>
      </w:pPr>
    </w:p>
    <w:p w14:paraId="393139B1" w14:textId="00802B61" w:rsidR="00F1454F" w:rsidRDefault="00920FD6" w:rsidP="00232478">
      <w:pPr>
        <w:tabs>
          <w:tab w:val="left" w:pos="4320"/>
        </w:tabs>
      </w:pPr>
      <w:r>
        <w:t>15 April 2025</w:t>
      </w:r>
    </w:p>
    <w:p w14:paraId="5DEE7ED8" w14:textId="7EAF398B" w:rsidR="009F5C38" w:rsidRDefault="009F5C38">
      <w:r>
        <w:br w:type="page"/>
      </w:r>
    </w:p>
    <w:p w14:paraId="0B57F1FA" w14:textId="66A764F0" w:rsidR="002F0CCD" w:rsidRDefault="002F0CCD" w:rsidP="00232478">
      <w:pPr>
        <w:tabs>
          <w:tab w:val="left" w:pos="4320"/>
        </w:tabs>
      </w:pPr>
      <w:r>
        <w:lastRenderedPageBreak/>
        <w:t xml:space="preserve">SCHEDULE 1 </w:t>
      </w:r>
    </w:p>
    <w:p w14:paraId="68047027" w14:textId="0D4F6F46" w:rsidR="002F0CCD" w:rsidRDefault="002F0CCD" w:rsidP="00232478">
      <w:pPr>
        <w:tabs>
          <w:tab w:val="left" w:pos="4320"/>
        </w:tabs>
      </w:pPr>
    </w:p>
    <w:p w14:paraId="3B6C8182" w14:textId="281419A8" w:rsidR="002F0CCD" w:rsidRPr="00C816E0" w:rsidRDefault="00036CF8" w:rsidP="00B87E88">
      <w:pPr>
        <w:tabs>
          <w:tab w:val="left" w:pos="4320"/>
        </w:tabs>
        <w:jc w:val="center"/>
        <w:rPr>
          <w:b/>
          <w:bCs/>
        </w:rPr>
      </w:pPr>
      <w:r w:rsidRPr="00C816E0">
        <w:rPr>
          <w:b/>
          <w:bCs/>
        </w:rPr>
        <w:t xml:space="preserve">PAYMENT FROM </w:t>
      </w:r>
      <w:r w:rsidR="00B87E88" w:rsidRPr="00C816E0">
        <w:rPr>
          <w:b/>
          <w:bCs/>
        </w:rPr>
        <w:t xml:space="preserve">GAMBLING HARM PREVENTION AND MITIGATION </w:t>
      </w:r>
      <w:r w:rsidR="009F5C38" w:rsidRPr="00C816E0">
        <w:rPr>
          <w:b/>
          <w:bCs/>
        </w:rPr>
        <w:t>FUND</w:t>
      </w:r>
      <w:r w:rsidR="009F5C38">
        <w:rPr>
          <w:b/>
          <w:bCs/>
        </w:rPr>
        <w:t xml:space="preserve"> – MINIMUM COMMUNITY CONTRIBUTIONS GUIDELINES</w:t>
      </w:r>
    </w:p>
    <w:p w14:paraId="5C9476A9" w14:textId="77777777" w:rsidR="00404791" w:rsidRDefault="00404791" w:rsidP="00B87E88">
      <w:pPr>
        <w:tabs>
          <w:tab w:val="left" w:pos="4320"/>
        </w:tabs>
        <w:jc w:val="center"/>
      </w:pPr>
    </w:p>
    <w:p w14:paraId="219A96EA" w14:textId="0689DE47" w:rsidR="00B87E88" w:rsidRDefault="00B87E88" w:rsidP="00B87E88">
      <w:pPr>
        <w:tabs>
          <w:tab w:val="left" w:pos="4320"/>
        </w:tabs>
      </w:pPr>
    </w:p>
    <w:p w14:paraId="375DB634" w14:textId="2629173A" w:rsidR="00404791" w:rsidRPr="00B87E88" w:rsidRDefault="00404791" w:rsidP="00F01E12">
      <w:pPr>
        <w:tabs>
          <w:tab w:val="left" w:pos="4320"/>
        </w:tabs>
        <w:spacing w:after="240"/>
        <w:rPr>
          <w:b/>
          <w:bCs/>
        </w:rPr>
      </w:pPr>
      <w:r w:rsidRPr="00B87E88">
        <w:rPr>
          <w:b/>
          <w:bCs/>
        </w:rPr>
        <w:t>Purposes of the Gambling Harm Prevention and Mitigation Fund</w:t>
      </w:r>
    </w:p>
    <w:p w14:paraId="194ADFE3" w14:textId="0B9D2974" w:rsidR="00404791" w:rsidRPr="00E82746" w:rsidRDefault="00404791" w:rsidP="00F01E12">
      <w:pPr>
        <w:spacing w:after="240"/>
      </w:pPr>
      <w:r w:rsidRPr="00F01E12">
        <w:rPr>
          <w:bCs/>
          <w:color w:val="000000" w:themeColor="text1"/>
        </w:rPr>
        <w:t xml:space="preserve">The Gambling Harm Prevention and Mitigation Fund (the Fund) </w:t>
      </w:r>
      <w:r w:rsidR="00C97D5F" w:rsidRPr="00E82746">
        <w:rPr>
          <w:bCs/>
          <w:color w:val="000000" w:themeColor="text1"/>
        </w:rPr>
        <w:t>is</w:t>
      </w:r>
      <w:r w:rsidRPr="00F01E12">
        <w:rPr>
          <w:bCs/>
          <w:color w:val="000000" w:themeColor="text1"/>
        </w:rPr>
        <w:t xml:space="preserve"> established under the </w:t>
      </w:r>
      <w:r w:rsidRPr="00F01E12">
        <w:rPr>
          <w:bCs/>
          <w:i/>
          <w:iCs/>
          <w:color w:val="000000" w:themeColor="text1"/>
        </w:rPr>
        <w:t>Gaming Machine Act 2004</w:t>
      </w:r>
      <w:r w:rsidRPr="00F01E12">
        <w:rPr>
          <w:bCs/>
          <w:color w:val="000000" w:themeColor="text1"/>
        </w:rPr>
        <w:t xml:space="preserve"> (the Act)</w:t>
      </w:r>
      <w:r w:rsidR="00C97D5F" w:rsidRPr="00E82746">
        <w:rPr>
          <w:bCs/>
          <w:color w:val="000000" w:themeColor="text1"/>
        </w:rPr>
        <w:t>, division 11.2</w:t>
      </w:r>
      <w:r w:rsidR="00E82746">
        <w:rPr>
          <w:bCs/>
          <w:color w:val="000000" w:themeColor="text1"/>
        </w:rPr>
        <w:t>.</w:t>
      </w:r>
    </w:p>
    <w:p w14:paraId="7220FA0B" w14:textId="03014297" w:rsidR="00B87E88" w:rsidRPr="000A4547" w:rsidRDefault="000A4547" w:rsidP="00F01E12">
      <w:pPr>
        <w:tabs>
          <w:tab w:val="left" w:pos="4320"/>
        </w:tabs>
        <w:spacing w:after="240"/>
        <w:rPr>
          <w:b/>
          <w:bCs/>
        </w:rPr>
      </w:pPr>
      <w:r w:rsidRPr="000A4547">
        <w:rPr>
          <w:b/>
          <w:bCs/>
        </w:rPr>
        <w:t>S</w:t>
      </w:r>
      <w:r w:rsidR="00404791" w:rsidRPr="000A4547">
        <w:rPr>
          <w:b/>
          <w:bCs/>
        </w:rPr>
        <w:t xml:space="preserve">cope </w:t>
      </w:r>
      <w:r w:rsidR="00A455A8" w:rsidRPr="000A4547">
        <w:rPr>
          <w:b/>
          <w:bCs/>
        </w:rPr>
        <w:t xml:space="preserve">of these </w:t>
      </w:r>
      <w:r w:rsidR="00404791" w:rsidRPr="000A4547">
        <w:rPr>
          <w:b/>
          <w:bCs/>
        </w:rPr>
        <w:t>Guidelines</w:t>
      </w:r>
    </w:p>
    <w:p w14:paraId="7DD0A68B" w14:textId="73162003" w:rsidR="00404791" w:rsidRPr="00F01E12" w:rsidRDefault="00404791" w:rsidP="00F01E12">
      <w:pPr>
        <w:spacing w:after="240"/>
        <w:rPr>
          <w:bCs/>
          <w:color w:val="000000" w:themeColor="text1"/>
          <w:szCs w:val="24"/>
        </w:rPr>
      </w:pPr>
      <w:r w:rsidRPr="00F01E12">
        <w:rPr>
          <w:bCs/>
          <w:color w:val="000000" w:themeColor="text1"/>
          <w:szCs w:val="24"/>
        </w:rPr>
        <w:t xml:space="preserve">These Guidelines </w:t>
      </w:r>
      <w:r w:rsidR="00E82746">
        <w:rPr>
          <w:bCs/>
          <w:color w:val="000000" w:themeColor="text1"/>
          <w:szCs w:val="24"/>
        </w:rPr>
        <w:t>relate only to</w:t>
      </w:r>
      <w:r w:rsidRPr="00F01E12">
        <w:rPr>
          <w:bCs/>
          <w:color w:val="000000" w:themeColor="text1"/>
          <w:szCs w:val="24"/>
        </w:rPr>
        <w:t xml:space="preserve"> allocat</w:t>
      </w:r>
      <w:r w:rsidR="00E82746">
        <w:rPr>
          <w:bCs/>
          <w:color w:val="000000" w:themeColor="text1"/>
          <w:szCs w:val="24"/>
        </w:rPr>
        <w:t>ion of</w:t>
      </w:r>
      <w:r w:rsidRPr="00F01E12">
        <w:rPr>
          <w:bCs/>
          <w:color w:val="000000" w:themeColor="text1"/>
          <w:szCs w:val="24"/>
        </w:rPr>
        <w:t xml:space="preserve"> </w:t>
      </w:r>
      <w:r w:rsidR="00E82746">
        <w:rPr>
          <w:bCs/>
          <w:color w:val="000000" w:themeColor="text1"/>
          <w:szCs w:val="24"/>
        </w:rPr>
        <w:t>money</w:t>
      </w:r>
      <w:r w:rsidRPr="00F01E12">
        <w:rPr>
          <w:bCs/>
          <w:color w:val="000000" w:themeColor="text1"/>
          <w:szCs w:val="24"/>
        </w:rPr>
        <w:t xml:space="preserve"> which has been paid into the Fund </w:t>
      </w:r>
      <w:bookmarkStart w:id="3" w:name="_Hlk87621258"/>
      <w:r w:rsidR="0011535E">
        <w:rPr>
          <w:bCs/>
          <w:color w:val="000000" w:themeColor="text1"/>
          <w:szCs w:val="24"/>
        </w:rPr>
        <w:t>as</w:t>
      </w:r>
      <w:r w:rsidRPr="00F01E12">
        <w:rPr>
          <w:bCs/>
          <w:color w:val="000000" w:themeColor="text1"/>
          <w:szCs w:val="24"/>
        </w:rPr>
        <w:t xml:space="preserve"> minimum community contributions</w:t>
      </w:r>
      <w:bookmarkEnd w:id="3"/>
      <w:r w:rsidR="00E82746">
        <w:rPr>
          <w:bCs/>
          <w:color w:val="000000" w:themeColor="text1"/>
          <w:szCs w:val="24"/>
        </w:rPr>
        <w:t>, including</w:t>
      </w:r>
      <w:r w:rsidRPr="00F01E12">
        <w:rPr>
          <w:bCs/>
          <w:color w:val="000000" w:themeColor="text1"/>
          <w:szCs w:val="24"/>
        </w:rPr>
        <w:t>:</w:t>
      </w:r>
    </w:p>
    <w:p w14:paraId="48921FED" w14:textId="708832B7" w:rsidR="00404791" w:rsidRPr="00F01E12" w:rsidRDefault="00404791" w:rsidP="00F01E12">
      <w:pPr>
        <w:pStyle w:val="ListParagraph"/>
        <w:numPr>
          <w:ilvl w:val="0"/>
          <w:numId w:val="19"/>
        </w:numPr>
        <w:spacing w:after="240"/>
        <w:rPr>
          <w:bCs/>
          <w:color w:val="000000" w:themeColor="text1"/>
          <w:szCs w:val="24"/>
        </w:rPr>
      </w:pPr>
      <w:bookmarkStart w:id="4" w:name="_Hlk87621263"/>
      <w:r w:rsidRPr="00F01E12">
        <w:rPr>
          <w:bCs/>
          <w:color w:val="000000" w:themeColor="text1"/>
          <w:szCs w:val="24"/>
        </w:rPr>
        <w:t>0.4 percent of the net</w:t>
      </w:r>
      <w:r w:rsidR="00E82746" w:rsidRPr="00F01E12">
        <w:rPr>
          <w:bCs/>
          <w:color w:val="000000" w:themeColor="text1"/>
          <w:szCs w:val="24"/>
        </w:rPr>
        <w:t xml:space="preserve"> gaming machine</w:t>
      </w:r>
      <w:r w:rsidRPr="00F01E12">
        <w:rPr>
          <w:bCs/>
          <w:color w:val="000000" w:themeColor="text1"/>
          <w:szCs w:val="24"/>
        </w:rPr>
        <w:t xml:space="preserve"> revenue of a licensee that is a club, for each authorised premises for the tax period (section </w:t>
      </w:r>
      <w:r w:rsidRPr="004C0A2F">
        <w:rPr>
          <w:szCs w:val="24"/>
        </w:rPr>
        <w:t>167</w:t>
      </w:r>
      <w:r w:rsidR="00622185">
        <w:rPr>
          <w:szCs w:val="24"/>
        </w:rPr>
        <w:t xml:space="preserve"> </w:t>
      </w:r>
      <w:r w:rsidRPr="004C0A2F">
        <w:rPr>
          <w:szCs w:val="24"/>
        </w:rPr>
        <w:t>(2)</w:t>
      </w:r>
      <w:r w:rsidR="00622185">
        <w:rPr>
          <w:szCs w:val="24"/>
        </w:rPr>
        <w:t xml:space="preserve"> </w:t>
      </w:r>
      <w:r w:rsidRPr="004C0A2F">
        <w:rPr>
          <w:szCs w:val="24"/>
        </w:rPr>
        <w:t>(b) of the Act)</w:t>
      </w:r>
      <w:r w:rsidRPr="00F01E12">
        <w:rPr>
          <w:bCs/>
          <w:color w:val="000000" w:themeColor="text1"/>
          <w:szCs w:val="24"/>
        </w:rPr>
        <w:t>; and</w:t>
      </w:r>
    </w:p>
    <w:p w14:paraId="28DFA3A3" w14:textId="2A9B78A8" w:rsidR="00404791" w:rsidRPr="00F01E12" w:rsidRDefault="00404791" w:rsidP="00F01E12">
      <w:pPr>
        <w:pStyle w:val="ListParagraph"/>
        <w:numPr>
          <w:ilvl w:val="0"/>
          <w:numId w:val="19"/>
        </w:numPr>
        <w:spacing w:after="240"/>
        <w:rPr>
          <w:bCs/>
          <w:color w:val="000000" w:themeColor="text1"/>
          <w:szCs w:val="24"/>
        </w:rPr>
      </w:pPr>
      <w:r w:rsidRPr="00F01E12">
        <w:rPr>
          <w:bCs/>
          <w:color w:val="000000" w:themeColor="text1"/>
          <w:szCs w:val="24"/>
        </w:rPr>
        <w:t xml:space="preserve">0.4 percent of the </w:t>
      </w:r>
      <w:r w:rsidR="00A2414D">
        <w:rPr>
          <w:bCs/>
          <w:color w:val="000000" w:themeColor="text1"/>
          <w:szCs w:val="24"/>
        </w:rPr>
        <w:t xml:space="preserve">community contribution revenue (that is, </w:t>
      </w:r>
      <w:r w:rsidRPr="00F01E12">
        <w:rPr>
          <w:bCs/>
          <w:color w:val="000000" w:themeColor="text1"/>
          <w:szCs w:val="24"/>
        </w:rPr>
        <w:t>gross</w:t>
      </w:r>
      <w:r w:rsidR="00E82746" w:rsidRPr="00F01E12">
        <w:rPr>
          <w:bCs/>
          <w:color w:val="000000" w:themeColor="text1"/>
          <w:szCs w:val="24"/>
        </w:rPr>
        <w:t xml:space="preserve"> gaming machine</w:t>
      </w:r>
      <w:r w:rsidRPr="00F01E12">
        <w:rPr>
          <w:bCs/>
          <w:color w:val="000000" w:themeColor="text1"/>
          <w:szCs w:val="24"/>
        </w:rPr>
        <w:t xml:space="preserve"> revenue minus gaming machine tax) </w:t>
      </w:r>
      <w:r w:rsidR="00E82746" w:rsidRPr="00F01E12">
        <w:rPr>
          <w:bCs/>
          <w:color w:val="000000" w:themeColor="text1"/>
          <w:szCs w:val="24"/>
        </w:rPr>
        <w:t xml:space="preserve">for each </w:t>
      </w:r>
      <w:r w:rsidRPr="00F01E12">
        <w:rPr>
          <w:bCs/>
          <w:color w:val="000000" w:themeColor="text1"/>
          <w:szCs w:val="24"/>
        </w:rPr>
        <w:t>licensee that is not a club for the tax period (section 168</w:t>
      </w:r>
      <w:r w:rsidR="00622185">
        <w:rPr>
          <w:bCs/>
          <w:color w:val="000000" w:themeColor="text1"/>
          <w:szCs w:val="24"/>
        </w:rPr>
        <w:t xml:space="preserve"> </w:t>
      </w:r>
      <w:r w:rsidRPr="00F01E12">
        <w:rPr>
          <w:bCs/>
          <w:color w:val="000000" w:themeColor="text1"/>
          <w:szCs w:val="24"/>
        </w:rPr>
        <w:t>(1)</w:t>
      </w:r>
      <w:r w:rsidR="00622185">
        <w:rPr>
          <w:bCs/>
          <w:color w:val="000000" w:themeColor="text1"/>
          <w:szCs w:val="24"/>
        </w:rPr>
        <w:t xml:space="preserve"> </w:t>
      </w:r>
      <w:r w:rsidRPr="00F01E12">
        <w:rPr>
          <w:bCs/>
          <w:color w:val="000000" w:themeColor="text1"/>
          <w:szCs w:val="24"/>
        </w:rPr>
        <w:t>(b) of the Act).</w:t>
      </w:r>
      <w:bookmarkEnd w:id="4"/>
    </w:p>
    <w:p w14:paraId="774EB006" w14:textId="65C7CAF1" w:rsidR="000A4547" w:rsidRPr="00F01E12" w:rsidRDefault="000A4547" w:rsidP="00F01E12">
      <w:pPr>
        <w:tabs>
          <w:tab w:val="left" w:pos="4320"/>
        </w:tabs>
        <w:spacing w:after="240"/>
        <w:rPr>
          <w:b/>
          <w:bCs/>
        </w:rPr>
      </w:pPr>
      <w:r w:rsidRPr="00F01E12">
        <w:rPr>
          <w:b/>
          <w:bCs/>
        </w:rPr>
        <w:t>Purpose of these Guidelines</w:t>
      </w:r>
    </w:p>
    <w:p w14:paraId="20C3DDF4" w14:textId="17BD2EB8" w:rsidR="000A4547" w:rsidRPr="00E82746" w:rsidRDefault="00E82746" w:rsidP="00F01E12">
      <w:pPr>
        <w:spacing w:after="240"/>
      </w:pPr>
      <w:r w:rsidRPr="00E82746">
        <w:t>T</w:t>
      </w:r>
      <w:r w:rsidR="000A4547" w:rsidRPr="004C0A2F">
        <w:t>he</w:t>
      </w:r>
      <w:r w:rsidR="000A4547" w:rsidRPr="00E82746">
        <w:t xml:space="preserve"> Act</w:t>
      </w:r>
      <w:r w:rsidRPr="00E82746">
        <w:t>, section 163D</w:t>
      </w:r>
      <w:r w:rsidR="00622185">
        <w:t xml:space="preserve"> </w:t>
      </w:r>
      <w:r w:rsidRPr="00E82746">
        <w:t xml:space="preserve">(3), </w:t>
      </w:r>
      <w:r w:rsidR="000A4547" w:rsidRPr="00E82746">
        <w:t xml:space="preserve">provides that the Minister may make </w:t>
      </w:r>
      <w:r w:rsidR="00F60C1C" w:rsidRPr="00E82746">
        <w:t>G</w:t>
      </w:r>
      <w:r w:rsidR="000A4547" w:rsidRPr="00E82746">
        <w:t xml:space="preserve">uidelines about gambling harm prevention and mitigation. </w:t>
      </w:r>
    </w:p>
    <w:p w14:paraId="03C6D022" w14:textId="4FB5F81F" w:rsidR="00F60A0C" w:rsidRPr="00E82746" w:rsidRDefault="00E82746" w:rsidP="00F01E12">
      <w:pPr>
        <w:spacing w:after="240"/>
      </w:pPr>
      <w:r>
        <w:t>T</w:t>
      </w:r>
      <w:r w:rsidRPr="00C12D9F">
        <w:t>he Act</w:t>
      </w:r>
      <w:r>
        <w:t>, s</w:t>
      </w:r>
      <w:r w:rsidR="000A4547" w:rsidRPr="00E82746">
        <w:t>ection 163D</w:t>
      </w:r>
      <w:r w:rsidR="00622185">
        <w:t xml:space="preserve"> </w:t>
      </w:r>
      <w:r w:rsidR="000A4547" w:rsidRPr="00E82746">
        <w:t>(2)</w:t>
      </w:r>
      <w:r>
        <w:t>,</w:t>
      </w:r>
      <w:r w:rsidR="000A4547" w:rsidRPr="00E82746">
        <w:t xml:space="preserve"> </w:t>
      </w:r>
      <w:r>
        <w:t>allows</w:t>
      </w:r>
      <w:r w:rsidR="000A4547" w:rsidRPr="00E82746">
        <w:t xml:space="preserve"> the </w:t>
      </w:r>
      <w:r>
        <w:t>Commission to</w:t>
      </w:r>
      <w:r w:rsidR="000A4547" w:rsidRPr="00E82746">
        <w:t xml:space="preserve"> make a payment of an amount out of the Fund only for a </w:t>
      </w:r>
      <w:r w:rsidR="000A4547" w:rsidRPr="004C0A2F">
        <w:t xml:space="preserve">purpose set out in these Guidelines and with written approval of the Minister. </w:t>
      </w:r>
      <w:r w:rsidR="00F60C1C" w:rsidRPr="00416CE3">
        <w:t xml:space="preserve">These Guidelines outline the purposes for which </w:t>
      </w:r>
      <w:r>
        <w:t xml:space="preserve">the Commission may make </w:t>
      </w:r>
      <w:r w:rsidR="00F60C1C" w:rsidRPr="004C0A2F">
        <w:t xml:space="preserve">payments </w:t>
      </w:r>
      <w:r>
        <w:t>out of the Fund under section 163D</w:t>
      </w:r>
      <w:r w:rsidR="00F60C1C" w:rsidRPr="004C0A2F">
        <w:t>.</w:t>
      </w:r>
    </w:p>
    <w:p w14:paraId="5C9DAC87" w14:textId="4F769CB4" w:rsidR="00F60A0C" w:rsidRPr="00F01E12" w:rsidRDefault="00E82746" w:rsidP="00F01E12">
      <w:pPr>
        <w:tabs>
          <w:tab w:val="left" w:pos="4320"/>
        </w:tabs>
        <w:spacing w:after="240"/>
        <w:rPr>
          <w:b/>
          <w:bCs/>
        </w:rPr>
      </w:pPr>
      <w:r>
        <w:rPr>
          <w:b/>
          <w:bCs/>
        </w:rPr>
        <w:t>Proposal</w:t>
      </w:r>
      <w:r w:rsidR="00500AE9">
        <w:rPr>
          <w:b/>
          <w:bCs/>
        </w:rPr>
        <w:t>s</w:t>
      </w:r>
      <w:r>
        <w:rPr>
          <w:b/>
          <w:bCs/>
        </w:rPr>
        <w:t xml:space="preserve"> for</w:t>
      </w:r>
      <w:r w:rsidR="00DD6530">
        <w:rPr>
          <w:b/>
          <w:bCs/>
        </w:rPr>
        <w:t xml:space="preserve"> Payments from the Fund</w:t>
      </w:r>
    </w:p>
    <w:p w14:paraId="7CD9F2CB" w14:textId="5C575E15" w:rsidR="00D02CE7" w:rsidRDefault="00334956">
      <w:pPr>
        <w:spacing w:after="240"/>
      </w:pPr>
      <w:r>
        <w:t>ACT Government agencies and n</w:t>
      </w:r>
      <w:r w:rsidR="00DD6530">
        <w:t>on-government</w:t>
      </w:r>
      <w:r w:rsidR="00D02CE7" w:rsidRPr="00F01E12">
        <w:t xml:space="preserve"> entities</w:t>
      </w:r>
      <w:r w:rsidR="00DD6530">
        <w:t xml:space="preserve"> </w:t>
      </w:r>
      <w:r w:rsidR="00055411">
        <w:t xml:space="preserve">may </w:t>
      </w:r>
      <w:r w:rsidR="00A2414D">
        <w:t>apply to the Justice and Community Safety Directorate with proposals for</w:t>
      </w:r>
      <w:r w:rsidR="00500AE9">
        <w:t xml:space="preserve"> referral </w:t>
      </w:r>
      <w:r>
        <w:t xml:space="preserve">to </w:t>
      </w:r>
      <w:r w:rsidR="00A2414D">
        <w:t xml:space="preserve">the Minister </w:t>
      </w:r>
      <w:r>
        <w:t xml:space="preserve">for consideration </w:t>
      </w:r>
      <w:r w:rsidR="00A2414D">
        <w:t xml:space="preserve">against the requirements of </w:t>
      </w:r>
      <w:r w:rsidR="00D02CE7" w:rsidRPr="00F01E12">
        <w:t>these Guidelines.</w:t>
      </w:r>
    </w:p>
    <w:p w14:paraId="27934543" w14:textId="4F77DD7B" w:rsidR="00DE7CED" w:rsidRDefault="00DE7CED" w:rsidP="00DE7CED">
      <w:pPr>
        <w:spacing w:after="240"/>
        <w:rPr>
          <w:i/>
          <w:iCs/>
        </w:rPr>
      </w:pPr>
      <w:r>
        <w:t>Proposals</w:t>
      </w:r>
      <w:r w:rsidR="00A2414D">
        <w:t xml:space="preserve"> for payments from the Fund under the Act, section 163D, must fulfil one or more of the following purposes</w:t>
      </w:r>
      <w:r w:rsidR="00A2414D" w:rsidRPr="00D12CAD">
        <w:t>:</w:t>
      </w:r>
    </w:p>
    <w:p w14:paraId="7DACEF66" w14:textId="23080E07" w:rsidR="002910E8" w:rsidRDefault="00500AE9" w:rsidP="00500AE9">
      <w:pPr>
        <w:numPr>
          <w:ilvl w:val="0"/>
          <w:numId w:val="20"/>
        </w:numPr>
        <w:spacing w:after="240"/>
      </w:pPr>
      <w:r w:rsidRPr="00500AE9">
        <w:t>The development and implementation of gambling harm minimisation, reduction and prevention policies, programs, activities or initiatives</w:t>
      </w:r>
      <w:r w:rsidR="002910E8">
        <w:t xml:space="preserve"> including the alleviation of disadvantage that arises from gambling harm.</w:t>
      </w:r>
    </w:p>
    <w:p w14:paraId="15C4FE50" w14:textId="25C47AEF" w:rsidR="00500AE9" w:rsidRPr="00500AE9" w:rsidRDefault="00500AE9" w:rsidP="00500AE9">
      <w:pPr>
        <w:numPr>
          <w:ilvl w:val="0"/>
          <w:numId w:val="20"/>
        </w:numPr>
        <w:spacing w:after="240"/>
      </w:pPr>
      <w:r w:rsidRPr="00500AE9">
        <w:t>Funding inquiries, studies or research that will produce findings or recommendations relevant to options for reducing club industry reliance on electronic gaming machine revenue, club industry business diversification and related policies, programs, activities or initiatives.</w:t>
      </w:r>
    </w:p>
    <w:p w14:paraId="415CFEB5" w14:textId="62C080CD" w:rsidR="00500AE9" w:rsidRDefault="00500AE9" w:rsidP="00500AE9">
      <w:pPr>
        <w:numPr>
          <w:ilvl w:val="0"/>
          <w:numId w:val="20"/>
        </w:numPr>
        <w:spacing w:after="240"/>
      </w:pPr>
      <w:r w:rsidRPr="00500AE9">
        <w:lastRenderedPageBreak/>
        <w:t>Provision of practical assistance to help the club industry to reduce its reliance on electronic gaming machine revenue, diversify its business and pursue related policies, programs, activities or initiatives.</w:t>
      </w:r>
    </w:p>
    <w:p w14:paraId="7E3935A5" w14:textId="77777777" w:rsidR="007407C8" w:rsidRDefault="007407C8" w:rsidP="007407C8">
      <w:pPr>
        <w:numPr>
          <w:ilvl w:val="0"/>
          <w:numId w:val="20"/>
        </w:numPr>
        <w:spacing w:after="240"/>
      </w:pPr>
      <w:r>
        <w:t>The delivery of the Government’s gaming reform election commitments including:</w:t>
      </w:r>
    </w:p>
    <w:p w14:paraId="7B5ADD7B" w14:textId="110DD361" w:rsidR="007407C8" w:rsidRDefault="007407C8" w:rsidP="007407C8">
      <w:pPr>
        <w:numPr>
          <w:ilvl w:val="1"/>
          <w:numId w:val="20"/>
        </w:numPr>
        <w:spacing w:after="240"/>
      </w:pPr>
      <w:r>
        <w:t xml:space="preserve">the </w:t>
      </w:r>
      <w:r w:rsidRPr="00D12CAD">
        <w:rPr>
          <w:i/>
          <w:iCs/>
        </w:rPr>
        <w:t>Independent inquiry into the future of the ACT clubs industry</w:t>
      </w:r>
      <w:r>
        <w:t xml:space="preserve"> </w:t>
      </w:r>
    </w:p>
    <w:p w14:paraId="3E8614C6" w14:textId="3E5C26C4" w:rsidR="007407C8" w:rsidRDefault="007407C8" w:rsidP="007407C8">
      <w:pPr>
        <w:numPr>
          <w:ilvl w:val="1"/>
          <w:numId w:val="20"/>
        </w:numPr>
        <w:spacing w:after="240"/>
      </w:pPr>
      <w:r>
        <w:t>progressively reducing the number</w:t>
      </w:r>
      <w:r w:rsidR="00622185">
        <w:t xml:space="preserve"> of</w:t>
      </w:r>
      <w:r>
        <w:t xml:space="preserve"> poker machines in the Territory to 1,000 by 2045, </w:t>
      </w:r>
    </w:p>
    <w:p w14:paraId="75C4CDDA" w14:textId="4FB47D57" w:rsidR="007407C8" w:rsidRDefault="007407C8" w:rsidP="007407C8">
      <w:pPr>
        <w:numPr>
          <w:ilvl w:val="1"/>
          <w:numId w:val="20"/>
        </w:numPr>
        <w:spacing w:after="240"/>
      </w:pPr>
      <w:r>
        <w:t>introduction of</w:t>
      </w:r>
      <w:r w:rsidRPr="007407C8">
        <w:t xml:space="preserve"> mandatory, account-based cashless gaming in all ACT venues </w:t>
      </w:r>
      <w:r>
        <w:t>and implementation of a range of other harm reduction measures such as mandatory pre-commitment and mandatory breaks in play</w:t>
      </w:r>
    </w:p>
    <w:p w14:paraId="2DF7E2D7" w14:textId="50287CDF" w:rsidR="00684029" w:rsidRDefault="00684029" w:rsidP="00684029">
      <w:pPr>
        <w:numPr>
          <w:ilvl w:val="1"/>
          <w:numId w:val="20"/>
        </w:numPr>
        <w:spacing w:after="240"/>
      </w:pPr>
      <w:r>
        <w:t xml:space="preserve">strengthening self-exclusion schemes and banning ATMs and EFTPOS withdrawals in clubs with </w:t>
      </w:r>
      <w:r w:rsidR="00504625">
        <w:t>EGMs.</w:t>
      </w:r>
    </w:p>
    <w:p w14:paraId="20D8C9EB" w14:textId="5D55BD50" w:rsidR="007407C8" w:rsidRPr="00500AE9" w:rsidRDefault="00684029" w:rsidP="00D12CAD">
      <w:pPr>
        <w:numPr>
          <w:ilvl w:val="1"/>
          <w:numId w:val="20"/>
        </w:numPr>
        <w:spacing w:after="240"/>
      </w:pPr>
      <w:r>
        <w:t>examination of options to support a poker machine free ‘club of the future’ in the Molonglo Valley</w:t>
      </w:r>
      <w:r w:rsidR="00D12CAD">
        <w:t>.</w:t>
      </w:r>
    </w:p>
    <w:p w14:paraId="27A42FB6" w14:textId="77777777" w:rsidR="00500AE9" w:rsidRPr="00500AE9" w:rsidRDefault="00500AE9" w:rsidP="00500AE9">
      <w:pPr>
        <w:numPr>
          <w:ilvl w:val="0"/>
          <w:numId w:val="20"/>
        </w:numPr>
        <w:spacing w:after="240"/>
      </w:pPr>
      <w:r w:rsidRPr="00500AE9">
        <w:t xml:space="preserve">At the Minister’s discretion, any other purpose that the Minister considers consistent with gambling harm prevention and mitigation. </w:t>
      </w:r>
    </w:p>
    <w:p w14:paraId="48A4FCE0" w14:textId="7274CE3B" w:rsidR="00A2414D" w:rsidRDefault="00500AE9" w:rsidP="00DE7CED">
      <w:pPr>
        <w:spacing w:after="240"/>
      </w:pPr>
      <w:bookmarkStart w:id="5" w:name="_Hlk193723734"/>
      <w:r>
        <w:t xml:space="preserve">In addition to consideration of the extent to which a proposal </w:t>
      </w:r>
      <w:r w:rsidR="005D2389">
        <w:t>realises</w:t>
      </w:r>
      <w:r>
        <w:t xml:space="preserve"> one </w:t>
      </w:r>
      <w:r w:rsidR="00622185">
        <w:t xml:space="preserve">or </w:t>
      </w:r>
      <w:r>
        <w:t xml:space="preserve">more of these purposes, </w:t>
      </w:r>
      <w:r w:rsidR="00334956">
        <w:t>proposals</w:t>
      </w:r>
      <w:r w:rsidR="005D2389">
        <w:t xml:space="preserve"> must also be assessed against </w:t>
      </w:r>
      <w:r>
        <w:t>the following</w:t>
      </w:r>
      <w:r w:rsidR="00334956">
        <w:t xml:space="preserve"> mandatory</w:t>
      </w:r>
      <w:r>
        <w:t xml:space="preserve"> criteria:</w:t>
      </w:r>
    </w:p>
    <w:p w14:paraId="7EF6790B" w14:textId="5D581A82" w:rsidR="005D2389" w:rsidRDefault="005D2389" w:rsidP="005D2389">
      <w:pPr>
        <w:numPr>
          <w:ilvl w:val="0"/>
          <w:numId w:val="20"/>
        </w:numPr>
        <w:spacing w:after="240"/>
      </w:pPr>
      <w:r>
        <w:t xml:space="preserve">make a strategic contribution to </w:t>
      </w:r>
      <w:r w:rsidRPr="00F01E12">
        <w:t>preventing and mitigating gambling harm in the ACT community</w:t>
      </w:r>
      <w:r>
        <w:t>, in line with government commitments and priorities;</w:t>
      </w:r>
      <w:r w:rsidR="00B50C23">
        <w:t xml:space="preserve"> and</w:t>
      </w:r>
    </w:p>
    <w:p w14:paraId="3B45B34A" w14:textId="2E402885" w:rsidR="005D2389" w:rsidRDefault="005D2389" w:rsidP="00500AE9">
      <w:pPr>
        <w:numPr>
          <w:ilvl w:val="0"/>
          <w:numId w:val="20"/>
        </w:numPr>
        <w:spacing w:after="240"/>
      </w:pPr>
      <w:r>
        <w:t xml:space="preserve">be </w:t>
      </w:r>
      <w:r w:rsidR="00334956">
        <w:t xml:space="preserve">actionable within the ACT and </w:t>
      </w:r>
      <w:r w:rsidR="00334956" w:rsidRPr="00334956">
        <w:t xml:space="preserve">directly or indirectly </w:t>
      </w:r>
      <w:r w:rsidR="00334956">
        <w:t>lead to benefit to</w:t>
      </w:r>
      <w:r w:rsidR="00334956" w:rsidRPr="00334956">
        <w:t xml:space="preserve"> the ACT community or a group within it</w:t>
      </w:r>
      <w:r>
        <w:t>.</w:t>
      </w:r>
    </w:p>
    <w:bookmarkEnd w:id="5"/>
    <w:p w14:paraId="1555644C" w14:textId="68E2F3EE" w:rsidR="00284D20" w:rsidRPr="00F01E12" w:rsidRDefault="00DD6530" w:rsidP="00284D20">
      <w:pPr>
        <w:pStyle w:val="BodyText3"/>
        <w:tabs>
          <w:tab w:val="left" w:pos="2268"/>
        </w:tabs>
        <w:spacing w:after="240"/>
        <w:rPr>
          <w:b/>
          <w:color w:val="000000" w:themeColor="text1"/>
          <w:sz w:val="24"/>
          <w:szCs w:val="24"/>
        </w:rPr>
      </w:pPr>
      <w:r w:rsidRPr="00284D20">
        <w:rPr>
          <w:b/>
          <w:color w:val="000000" w:themeColor="text1"/>
          <w:sz w:val="24"/>
          <w:szCs w:val="24"/>
        </w:rPr>
        <w:t>Ineligible</w:t>
      </w:r>
      <w:r>
        <w:rPr>
          <w:b/>
          <w:color w:val="000000" w:themeColor="text1"/>
          <w:sz w:val="24"/>
          <w:szCs w:val="24"/>
        </w:rPr>
        <w:t xml:space="preserve"> Proposals</w:t>
      </w:r>
    </w:p>
    <w:p w14:paraId="07F582EB" w14:textId="5ECD5F78" w:rsidR="00284D20" w:rsidRPr="00F01E12" w:rsidRDefault="00284D20" w:rsidP="00F01E12">
      <w:pPr>
        <w:spacing w:after="240"/>
      </w:pPr>
      <w:r w:rsidRPr="00F01E12">
        <w:t xml:space="preserve">Payments out of the Fund </w:t>
      </w:r>
      <w:r w:rsidR="00411542">
        <w:t>cannot</w:t>
      </w:r>
      <w:r w:rsidRPr="00F01E12">
        <w:t xml:space="preserve"> be made </w:t>
      </w:r>
      <w:r w:rsidR="00F04893">
        <w:t xml:space="preserve">for proposals </w:t>
      </w:r>
      <w:r w:rsidR="005E09A0">
        <w:t xml:space="preserve">that in the opinion of the </w:t>
      </w:r>
      <w:r w:rsidR="0009107E">
        <w:t>Minister</w:t>
      </w:r>
      <w:r w:rsidR="00D12CAD">
        <w:t xml:space="preserve"> </w:t>
      </w:r>
      <w:r w:rsidR="005E09A0">
        <w:t>may</w:t>
      </w:r>
      <w:r w:rsidRPr="00F01E12">
        <w:t xml:space="preserve"> </w:t>
      </w:r>
      <w:r w:rsidR="00F04893">
        <w:t>contribute to gambling harm</w:t>
      </w:r>
      <w:r w:rsidRPr="00F01E12">
        <w:t>.</w:t>
      </w:r>
    </w:p>
    <w:p w14:paraId="22839A54" w14:textId="69E83CD3" w:rsidR="00DE7CED" w:rsidRDefault="005E09A0" w:rsidP="00F01E12">
      <w:pPr>
        <w:spacing w:after="240"/>
      </w:pPr>
      <w:r>
        <w:t>Proposals</w:t>
      </w:r>
      <w:r w:rsidR="00284D20" w:rsidRPr="00F01E12">
        <w:t xml:space="preserve"> will not be accepted </w:t>
      </w:r>
      <w:r w:rsidR="00872D5F">
        <w:t>from</w:t>
      </w:r>
      <w:r w:rsidR="00872D5F" w:rsidRPr="00F01E12">
        <w:t xml:space="preserve"> </w:t>
      </w:r>
      <w:r w:rsidR="00284D20" w:rsidRPr="00F01E12">
        <w:t>individual club venues within a club group (as defined under the Act).</w:t>
      </w:r>
    </w:p>
    <w:p w14:paraId="15381FA9" w14:textId="721E2343" w:rsidR="00D02CE7" w:rsidRPr="00F01E12" w:rsidRDefault="00D02CE7" w:rsidP="00622185">
      <w:pPr>
        <w:spacing w:after="240"/>
        <w:rPr>
          <w:b/>
          <w:bCs/>
        </w:rPr>
      </w:pPr>
      <w:r w:rsidRPr="00F01E12">
        <w:rPr>
          <w:b/>
          <w:bCs/>
        </w:rPr>
        <w:t xml:space="preserve">Funding </w:t>
      </w:r>
      <w:r w:rsidR="005E09A0">
        <w:rPr>
          <w:b/>
          <w:bCs/>
        </w:rPr>
        <w:t>P</w:t>
      </w:r>
      <w:r w:rsidRPr="00F01E12">
        <w:rPr>
          <w:b/>
          <w:bCs/>
        </w:rPr>
        <w:t>riority</w:t>
      </w:r>
    </w:p>
    <w:p w14:paraId="69BE0483" w14:textId="348C6F8A" w:rsidR="005E09A0" w:rsidRPr="005E09A0" w:rsidRDefault="005E09A0" w:rsidP="00F01E12">
      <w:pPr>
        <w:spacing w:after="240"/>
      </w:pPr>
      <w:bookmarkStart w:id="6" w:name="_Hlk101526650"/>
      <w:r w:rsidRPr="005E09A0">
        <w:t>T</w:t>
      </w:r>
      <w:r w:rsidR="00FF7F0F" w:rsidRPr="005E09A0">
        <w:t>he funding priority for payments made under</w:t>
      </w:r>
      <w:r w:rsidRPr="005E09A0">
        <w:t xml:space="preserve"> the Act,</w:t>
      </w:r>
      <w:r w:rsidR="00FF7F0F" w:rsidRPr="005E09A0">
        <w:t xml:space="preserve"> s</w:t>
      </w:r>
      <w:r w:rsidRPr="005E09A0">
        <w:t>ection</w:t>
      </w:r>
      <w:r w:rsidR="00FF7F0F" w:rsidRPr="005E09A0">
        <w:t xml:space="preserve"> 163D</w:t>
      </w:r>
      <w:r w:rsidRPr="005E09A0">
        <w:t>,</w:t>
      </w:r>
      <w:r w:rsidR="00FF7F0F" w:rsidRPr="005E09A0">
        <w:t xml:space="preserve"> is </w:t>
      </w:r>
      <w:r w:rsidR="00F54469">
        <w:t xml:space="preserve">for </w:t>
      </w:r>
      <w:r w:rsidR="00FF7F0F" w:rsidRPr="005E09A0">
        <w:t>projects which support</w:t>
      </w:r>
      <w:r w:rsidR="00F54469">
        <w:t xml:space="preserve"> </w:t>
      </w:r>
      <w:r w:rsidR="0009107E">
        <w:t xml:space="preserve">delivery of one or more of the Government’s gaming </w:t>
      </w:r>
      <w:r w:rsidR="00B50C23">
        <w:t>reform commitments.</w:t>
      </w:r>
    </w:p>
    <w:p w14:paraId="68AA48A3" w14:textId="6071CF48" w:rsidR="00B50C23" w:rsidRPr="00FD7A1E" w:rsidRDefault="005E09A0" w:rsidP="00FD7A1E">
      <w:pPr>
        <w:spacing w:after="240"/>
      </w:pPr>
      <w:r w:rsidRPr="004C0A2F">
        <w:t xml:space="preserve">In a public health context, gambling harm prevention and mitigation occurs from the </w:t>
      </w:r>
      <w:r w:rsidRPr="00416CE3">
        <w:t xml:space="preserve">collective impact of a range of different initiatives which have different purposes and </w:t>
      </w:r>
      <w:r w:rsidRPr="00416CE3">
        <w:lastRenderedPageBreak/>
        <w:t xml:space="preserve">are targeted towards different groups. The </w:t>
      </w:r>
      <w:r w:rsidR="00E60A5C">
        <w:t xml:space="preserve">Minister </w:t>
      </w:r>
      <w:r w:rsidRPr="00416CE3">
        <w:t>may consider proposals in a st</w:t>
      </w:r>
      <w:r w:rsidRPr="00F01E12">
        <w:t>rategic context to obtain the best possible outcomes of preventing and mitigating gambling harm in the ACT community.</w:t>
      </w:r>
    </w:p>
    <w:p w14:paraId="56D0437B" w14:textId="773C8AEB" w:rsidR="005E09A0" w:rsidRPr="0044049E" w:rsidRDefault="005E09A0" w:rsidP="00F01E12">
      <w:pPr>
        <w:tabs>
          <w:tab w:val="left" w:pos="4320"/>
        </w:tabs>
        <w:spacing w:after="240"/>
        <w:rPr>
          <w:b/>
          <w:bCs/>
        </w:rPr>
      </w:pPr>
      <w:r w:rsidRPr="0044049E">
        <w:rPr>
          <w:b/>
          <w:bCs/>
        </w:rPr>
        <w:t>Role of the Commission</w:t>
      </w:r>
    </w:p>
    <w:p w14:paraId="5F2F229C" w14:textId="1C37FAA8" w:rsidR="00C816E0" w:rsidRDefault="005E09A0" w:rsidP="00B50C23">
      <w:pPr>
        <w:keepNext/>
        <w:tabs>
          <w:tab w:val="left" w:pos="4320"/>
        </w:tabs>
      </w:pPr>
      <w:r w:rsidRPr="005E09A0">
        <w:t xml:space="preserve">The Commission </w:t>
      </w:r>
      <w:r w:rsidR="0020179C">
        <w:t xml:space="preserve">are responsible for collecting and disseminating money from the fund. </w:t>
      </w:r>
      <w:r w:rsidRPr="005E09A0">
        <w:t xml:space="preserve">Payments may only be made </w:t>
      </w:r>
      <w:r w:rsidR="0011535E">
        <w:t>as</w:t>
      </w:r>
      <w:r w:rsidRPr="005E09A0">
        <w:t xml:space="preserve"> set out in these </w:t>
      </w:r>
      <w:r w:rsidRPr="004C0A2F">
        <w:t>Guidelines and with the written approval from the Minister.</w:t>
      </w:r>
      <w:bookmarkEnd w:id="6"/>
    </w:p>
    <w:sectPr w:rsidR="00C816E0" w:rsidSect="00F15AC3">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BB56" w14:textId="77777777" w:rsidR="005D3124" w:rsidRDefault="005D3124" w:rsidP="00F10CB2">
      <w:r>
        <w:separator/>
      </w:r>
    </w:p>
  </w:endnote>
  <w:endnote w:type="continuationSeparator" w:id="0">
    <w:p w14:paraId="3ADDE96B" w14:textId="77777777" w:rsidR="005D3124" w:rsidRDefault="005D3124"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49C5" w14:textId="77777777" w:rsidR="00630698" w:rsidRDefault="0063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978125"/>
      <w:docPartObj>
        <w:docPartGallery w:val="Page Numbers (Bottom of Page)"/>
        <w:docPartUnique/>
      </w:docPartObj>
    </w:sdtPr>
    <w:sdtEndPr/>
    <w:sdtContent>
      <w:sdt>
        <w:sdtPr>
          <w:id w:val="-1769616900"/>
          <w:docPartObj>
            <w:docPartGallery w:val="Page Numbers (Top of Page)"/>
            <w:docPartUnique/>
          </w:docPartObj>
        </w:sdtPr>
        <w:sdtEndPr/>
        <w:sdtContent>
          <w:p w14:paraId="42337701" w14:textId="202ABEE4" w:rsidR="00B07468" w:rsidRDefault="00B074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DFFCC5F" w14:textId="29500C5D" w:rsidR="00630698" w:rsidRPr="00630698" w:rsidRDefault="00630698" w:rsidP="00630698">
    <w:pPr>
      <w:pStyle w:val="Footer"/>
      <w:jc w:val="center"/>
      <w:rPr>
        <w:rFonts w:cs="Arial"/>
        <w:sz w:val="14"/>
      </w:rPr>
    </w:pPr>
    <w:r w:rsidRPr="0063069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9474" w14:textId="77777777" w:rsidR="00630698" w:rsidRDefault="00630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847C" w14:textId="77777777" w:rsidR="005D3124" w:rsidRDefault="005D3124" w:rsidP="00F10CB2">
      <w:r>
        <w:separator/>
      </w:r>
    </w:p>
  </w:footnote>
  <w:footnote w:type="continuationSeparator" w:id="0">
    <w:p w14:paraId="1E29E663" w14:textId="77777777" w:rsidR="005D3124" w:rsidRDefault="005D3124"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877A" w14:textId="77777777" w:rsidR="00630698" w:rsidRDefault="00630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1FCF" w14:textId="77777777" w:rsidR="00630698" w:rsidRDefault="006306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63DB" w14:textId="77777777" w:rsidR="00630698" w:rsidRDefault="00630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65652A"/>
    <w:multiLevelType w:val="hybridMultilevel"/>
    <w:tmpl w:val="6CA09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5912F2"/>
    <w:multiLevelType w:val="hybridMultilevel"/>
    <w:tmpl w:val="DE260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AC2DED"/>
    <w:multiLevelType w:val="hybridMultilevel"/>
    <w:tmpl w:val="4F64344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38F84AA7"/>
    <w:multiLevelType w:val="hybridMultilevel"/>
    <w:tmpl w:val="7F30B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78661B"/>
    <w:multiLevelType w:val="hybridMultilevel"/>
    <w:tmpl w:val="E662CC9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6D70CC"/>
    <w:multiLevelType w:val="hybridMultilevel"/>
    <w:tmpl w:val="5F5A5F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3A1A9A"/>
    <w:multiLevelType w:val="hybridMultilevel"/>
    <w:tmpl w:val="9E7ED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022B0D"/>
    <w:multiLevelType w:val="hybridMultilevel"/>
    <w:tmpl w:val="7A103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6D1E0B"/>
    <w:multiLevelType w:val="hybridMultilevel"/>
    <w:tmpl w:val="93DE5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B90F60"/>
    <w:multiLevelType w:val="hybridMultilevel"/>
    <w:tmpl w:val="915E3EE6"/>
    <w:lvl w:ilvl="0" w:tplc="98F438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79D10D03"/>
    <w:multiLevelType w:val="hybridMultilevel"/>
    <w:tmpl w:val="A3D83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407453">
    <w:abstractNumId w:val="2"/>
  </w:num>
  <w:num w:numId="2" w16cid:durableId="1378117908">
    <w:abstractNumId w:val="0"/>
  </w:num>
  <w:num w:numId="3" w16cid:durableId="1022053724">
    <w:abstractNumId w:val="5"/>
  </w:num>
  <w:num w:numId="4" w16cid:durableId="255599951">
    <w:abstractNumId w:val="10"/>
  </w:num>
  <w:num w:numId="5" w16cid:durableId="1255630902">
    <w:abstractNumId w:val="18"/>
  </w:num>
  <w:num w:numId="6" w16cid:durableId="303240118">
    <w:abstractNumId w:val="1"/>
  </w:num>
  <w:num w:numId="7" w16cid:durableId="1607074216">
    <w:abstractNumId w:val="8"/>
  </w:num>
  <w:num w:numId="8" w16cid:durableId="1738354933">
    <w:abstractNumId w:val="9"/>
  </w:num>
  <w:num w:numId="9" w16cid:durableId="385030375">
    <w:abstractNumId w:val="7"/>
  </w:num>
  <w:num w:numId="10" w16cid:durableId="1597447894">
    <w:abstractNumId w:val="17"/>
  </w:num>
  <w:num w:numId="11" w16cid:durableId="416482934">
    <w:abstractNumId w:val="19"/>
  </w:num>
  <w:num w:numId="12" w16cid:durableId="892732552">
    <w:abstractNumId w:val="4"/>
  </w:num>
  <w:num w:numId="13" w16cid:durableId="1470322333">
    <w:abstractNumId w:val="3"/>
  </w:num>
  <w:num w:numId="14" w16cid:durableId="487281457">
    <w:abstractNumId w:val="15"/>
  </w:num>
  <w:num w:numId="15" w16cid:durableId="1025983528">
    <w:abstractNumId w:val="11"/>
  </w:num>
  <w:num w:numId="16" w16cid:durableId="633675908">
    <w:abstractNumId w:val="6"/>
  </w:num>
  <w:num w:numId="17" w16cid:durableId="357395778">
    <w:abstractNumId w:val="14"/>
  </w:num>
  <w:num w:numId="18" w16cid:durableId="2024092660">
    <w:abstractNumId w:val="13"/>
  </w:num>
  <w:num w:numId="19" w16cid:durableId="1198860766">
    <w:abstractNumId w:val="16"/>
  </w:num>
  <w:num w:numId="20" w16cid:durableId="1851525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10A04"/>
    <w:rsid w:val="00022B16"/>
    <w:rsid w:val="00036CF8"/>
    <w:rsid w:val="0004275F"/>
    <w:rsid w:val="00052CBE"/>
    <w:rsid w:val="00055411"/>
    <w:rsid w:val="000628D5"/>
    <w:rsid w:val="00075255"/>
    <w:rsid w:val="000769C7"/>
    <w:rsid w:val="0009107E"/>
    <w:rsid w:val="000A1A69"/>
    <w:rsid w:val="000A4547"/>
    <w:rsid w:val="000B6AC5"/>
    <w:rsid w:val="000D0202"/>
    <w:rsid w:val="000D7699"/>
    <w:rsid w:val="000E0A07"/>
    <w:rsid w:val="000E7A84"/>
    <w:rsid w:val="000F57A7"/>
    <w:rsid w:val="0011535E"/>
    <w:rsid w:val="00151127"/>
    <w:rsid w:val="00153BAB"/>
    <w:rsid w:val="00154156"/>
    <w:rsid w:val="0016675D"/>
    <w:rsid w:val="00175C78"/>
    <w:rsid w:val="00181DA5"/>
    <w:rsid w:val="00193593"/>
    <w:rsid w:val="00194AC7"/>
    <w:rsid w:val="00197116"/>
    <w:rsid w:val="001A252C"/>
    <w:rsid w:val="001A3D7F"/>
    <w:rsid w:val="001E183C"/>
    <w:rsid w:val="001E4507"/>
    <w:rsid w:val="001E7C43"/>
    <w:rsid w:val="0020179C"/>
    <w:rsid w:val="002110EA"/>
    <w:rsid w:val="00212AD7"/>
    <w:rsid w:val="00232478"/>
    <w:rsid w:val="00257F51"/>
    <w:rsid w:val="002651BB"/>
    <w:rsid w:val="0027346A"/>
    <w:rsid w:val="002820D5"/>
    <w:rsid w:val="00284D20"/>
    <w:rsid w:val="002910E8"/>
    <w:rsid w:val="002C4A6C"/>
    <w:rsid w:val="002C4ABE"/>
    <w:rsid w:val="002F0CCD"/>
    <w:rsid w:val="00334956"/>
    <w:rsid w:val="00376F12"/>
    <w:rsid w:val="003850BB"/>
    <w:rsid w:val="00396654"/>
    <w:rsid w:val="003A422F"/>
    <w:rsid w:val="003B6E3F"/>
    <w:rsid w:val="003C3AD7"/>
    <w:rsid w:val="003C5CB2"/>
    <w:rsid w:val="003D7024"/>
    <w:rsid w:val="003E07A5"/>
    <w:rsid w:val="003E3BAD"/>
    <w:rsid w:val="00402E62"/>
    <w:rsid w:val="00404791"/>
    <w:rsid w:val="00411542"/>
    <w:rsid w:val="00416017"/>
    <w:rsid w:val="00416CE3"/>
    <w:rsid w:val="00437409"/>
    <w:rsid w:val="00452EA4"/>
    <w:rsid w:val="00465C2D"/>
    <w:rsid w:val="004873E8"/>
    <w:rsid w:val="004B5A6C"/>
    <w:rsid w:val="004C0A2F"/>
    <w:rsid w:val="004D0FB8"/>
    <w:rsid w:val="004D4B21"/>
    <w:rsid w:val="004E023C"/>
    <w:rsid w:val="004F2959"/>
    <w:rsid w:val="004F798F"/>
    <w:rsid w:val="00500AE9"/>
    <w:rsid w:val="00504625"/>
    <w:rsid w:val="005534A9"/>
    <w:rsid w:val="005617C3"/>
    <w:rsid w:val="00585F3B"/>
    <w:rsid w:val="005A061E"/>
    <w:rsid w:val="005B20B8"/>
    <w:rsid w:val="005B60CC"/>
    <w:rsid w:val="005C72D4"/>
    <w:rsid w:val="005D2389"/>
    <w:rsid w:val="005D3124"/>
    <w:rsid w:val="005D38BC"/>
    <w:rsid w:val="005E09A0"/>
    <w:rsid w:val="005E2A9E"/>
    <w:rsid w:val="005E372B"/>
    <w:rsid w:val="006178D0"/>
    <w:rsid w:val="00622185"/>
    <w:rsid w:val="00627F0C"/>
    <w:rsid w:val="00630698"/>
    <w:rsid w:val="006364E0"/>
    <w:rsid w:val="00665F1D"/>
    <w:rsid w:val="00667281"/>
    <w:rsid w:val="00677E62"/>
    <w:rsid w:val="00684029"/>
    <w:rsid w:val="00690E66"/>
    <w:rsid w:val="006A09DD"/>
    <w:rsid w:val="006C113C"/>
    <w:rsid w:val="006C5594"/>
    <w:rsid w:val="007035DB"/>
    <w:rsid w:val="0070461E"/>
    <w:rsid w:val="00704DC3"/>
    <w:rsid w:val="0072003E"/>
    <w:rsid w:val="00733991"/>
    <w:rsid w:val="007407C8"/>
    <w:rsid w:val="007457B9"/>
    <w:rsid w:val="0075186D"/>
    <w:rsid w:val="00757731"/>
    <w:rsid w:val="007A04E1"/>
    <w:rsid w:val="007A1470"/>
    <w:rsid w:val="007A7F2A"/>
    <w:rsid w:val="007B42A1"/>
    <w:rsid w:val="007B5336"/>
    <w:rsid w:val="007D3A1B"/>
    <w:rsid w:val="007D40A9"/>
    <w:rsid w:val="00834003"/>
    <w:rsid w:val="00861C8F"/>
    <w:rsid w:val="00872D5F"/>
    <w:rsid w:val="0088549A"/>
    <w:rsid w:val="00894425"/>
    <w:rsid w:val="008A663F"/>
    <w:rsid w:val="008B6A31"/>
    <w:rsid w:val="008C083D"/>
    <w:rsid w:val="008E7550"/>
    <w:rsid w:val="00920FD6"/>
    <w:rsid w:val="0092545B"/>
    <w:rsid w:val="00933B7C"/>
    <w:rsid w:val="00952394"/>
    <w:rsid w:val="00953140"/>
    <w:rsid w:val="00977D31"/>
    <w:rsid w:val="00984905"/>
    <w:rsid w:val="00985176"/>
    <w:rsid w:val="009A289E"/>
    <w:rsid w:val="009A29FA"/>
    <w:rsid w:val="009B609F"/>
    <w:rsid w:val="009E1667"/>
    <w:rsid w:val="009F5C38"/>
    <w:rsid w:val="00A0585C"/>
    <w:rsid w:val="00A104E2"/>
    <w:rsid w:val="00A22C86"/>
    <w:rsid w:val="00A2414D"/>
    <w:rsid w:val="00A455A8"/>
    <w:rsid w:val="00A569B5"/>
    <w:rsid w:val="00A97CE6"/>
    <w:rsid w:val="00AA4F73"/>
    <w:rsid w:val="00AB4F92"/>
    <w:rsid w:val="00AF4892"/>
    <w:rsid w:val="00B07468"/>
    <w:rsid w:val="00B16AEE"/>
    <w:rsid w:val="00B30B9A"/>
    <w:rsid w:val="00B50C23"/>
    <w:rsid w:val="00B736BB"/>
    <w:rsid w:val="00B75210"/>
    <w:rsid w:val="00B87E88"/>
    <w:rsid w:val="00BA52F5"/>
    <w:rsid w:val="00BB241F"/>
    <w:rsid w:val="00BC0865"/>
    <w:rsid w:val="00BD322F"/>
    <w:rsid w:val="00BF5012"/>
    <w:rsid w:val="00C3366B"/>
    <w:rsid w:val="00C34E2F"/>
    <w:rsid w:val="00C41B1B"/>
    <w:rsid w:val="00C62608"/>
    <w:rsid w:val="00C816E0"/>
    <w:rsid w:val="00C94C58"/>
    <w:rsid w:val="00C95966"/>
    <w:rsid w:val="00C97D5F"/>
    <w:rsid w:val="00CB5C62"/>
    <w:rsid w:val="00CD4E55"/>
    <w:rsid w:val="00CD6762"/>
    <w:rsid w:val="00D02CE7"/>
    <w:rsid w:val="00D12CAD"/>
    <w:rsid w:val="00D47F13"/>
    <w:rsid w:val="00D9282A"/>
    <w:rsid w:val="00D961EF"/>
    <w:rsid w:val="00DD6530"/>
    <w:rsid w:val="00DE3930"/>
    <w:rsid w:val="00DE7CED"/>
    <w:rsid w:val="00E04CA5"/>
    <w:rsid w:val="00E05F5B"/>
    <w:rsid w:val="00E06DAE"/>
    <w:rsid w:val="00E44C8D"/>
    <w:rsid w:val="00E556F2"/>
    <w:rsid w:val="00E572D4"/>
    <w:rsid w:val="00E57488"/>
    <w:rsid w:val="00E60A5C"/>
    <w:rsid w:val="00E82746"/>
    <w:rsid w:val="00E94C9A"/>
    <w:rsid w:val="00EC124E"/>
    <w:rsid w:val="00EC6637"/>
    <w:rsid w:val="00F0139B"/>
    <w:rsid w:val="00F01E12"/>
    <w:rsid w:val="00F04893"/>
    <w:rsid w:val="00F071B5"/>
    <w:rsid w:val="00F10CB2"/>
    <w:rsid w:val="00F1454F"/>
    <w:rsid w:val="00F15AC3"/>
    <w:rsid w:val="00F24751"/>
    <w:rsid w:val="00F50464"/>
    <w:rsid w:val="00F54469"/>
    <w:rsid w:val="00F60A0C"/>
    <w:rsid w:val="00F60C1C"/>
    <w:rsid w:val="00F67393"/>
    <w:rsid w:val="00F84994"/>
    <w:rsid w:val="00F86227"/>
    <w:rsid w:val="00F94A8B"/>
    <w:rsid w:val="00F95FBB"/>
    <w:rsid w:val="00FB51AC"/>
    <w:rsid w:val="00FC4DDA"/>
    <w:rsid w:val="00FD7A1E"/>
    <w:rsid w:val="00FE1FFD"/>
    <w:rsid w:val="00FF136C"/>
    <w:rsid w:val="00FF1B1D"/>
    <w:rsid w:val="00FF7F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4CC51"/>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Revision">
    <w:name w:val="Revision"/>
    <w:hidden/>
    <w:uiPriority w:val="99"/>
    <w:semiHidden/>
    <w:rsid w:val="00A22C86"/>
    <w:rPr>
      <w:sz w:val="24"/>
      <w:lang w:eastAsia="en-US"/>
    </w:rPr>
  </w:style>
  <w:style w:type="character" w:styleId="CommentReference">
    <w:name w:val="annotation reference"/>
    <w:basedOn w:val="DefaultParagraphFont"/>
    <w:uiPriority w:val="99"/>
    <w:semiHidden/>
    <w:unhideWhenUsed/>
    <w:rsid w:val="00A22C86"/>
    <w:rPr>
      <w:sz w:val="16"/>
      <w:szCs w:val="16"/>
    </w:rPr>
  </w:style>
  <w:style w:type="paragraph" w:styleId="CommentText">
    <w:name w:val="annotation text"/>
    <w:basedOn w:val="Normal"/>
    <w:link w:val="CommentTextChar"/>
    <w:uiPriority w:val="99"/>
    <w:unhideWhenUsed/>
    <w:rsid w:val="00A22C86"/>
    <w:rPr>
      <w:sz w:val="20"/>
    </w:rPr>
  </w:style>
  <w:style w:type="character" w:customStyle="1" w:styleId="CommentTextChar">
    <w:name w:val="Comment Text Char"/>
    <w:basedOn w:val="DefaultParagraphFont"/>
    <w:link w:val="CommentText"/>
    <w:uiPriority w:val="99"/>
    <w:rsid w:val="00A22C86"/>
    <w:rPr>
      <w:lang w:eastAsia="en-US"/>
    </w:rPr>
  </w:style>
  <w:style w:type="paragraph" w:styleId="CommentSubject">
    <w:name w:val="annotation subject"/>
    <w:basedOn w:val="CommentText"/>
    <w:next w:val="CommentText"/>
    <w:link w:val="CommentSubjectChar"/>
    <w:uiPriority w:val="99"/>
    <w:semiHidden/>
    <w:unhideWhenUsed/>
    <w:rsid w:val="00A22C86"/>
    <w:rPr>
      <w:b/>
      <w:bCs/>
    </w:rPr>
  </w:style>
  <w:style w:type="character" w:customStyle="1" w:styleId="CommentSubjectChar">
    <w:name w:val="Comment Subject Char"/>
    <w:basedOn w:val="CommentTextChar"/>
    <w:link w:val="CommentSubject"/>
    <w:uiPriority w:val="99"/>
    <w:semiHidden/>
    <w:rsid w:val="00A22C86"/>
    <w:rPr>
      <w:b/>
      <w:bCs/>
      <w:lang w:eastAsia="en-US"/>
    </w:rPr>
  </w:style>
  <w:style w:type="paragraph" w:styleId="ListParagraph">
    <w:name w:val="List Paragraph"/>
    <w:basedOn w:val="Normal"/>
    <w:uiPriority w:val="34"/>
    <w:qFormat/>
    <w:rsid w:val="00B87E88"/>
    <w:pPr>
      <w:ind w:left="720"/>
      <w:contextualSpacing/>
    </w:pPr>
  </w:style>
  <w:style w:type="paragraph" w:styleId="BodyText3">
    <w:name w:val="Body Text 3"/>
    <w:basedOn w:val="Normal"/>
    <w:link w:val="BodyText3Char"/>
    <w:uiPriority w:val="99"/>
    <w:unhideWhenUsed/>
    <w:rsid w:val="00404791"/>
    <w:pPr>
      <w:spacing w:after="120"/>
    </w:pPr>
    <w:rPr>
      <w:sz w:val="16"/>
      <w:szCs w:val="16"/>
    </w:rPr>
  </w:style>
  <w:style w:type="character" w:customStyle="1" w:styleId="BodyText3Char">
    <w:name w:val="Body Text 3 Char"/>
    <w:basedOn w:val="DefaultParagraphFont"/>
    <w:link w:val="BodyText3"/>
    <w:uiPriority w:val="99"/>
    <w:rsid w:val="00404791"/>
    <w:rPr>
      <w:sz w:val="16"/>
      <w:szCs w:val="16"/>
      <w:lang w:eastAsia="en-US"/>
    </w:rPr>
  </w:style>
  <w:style w:type="table" w:styleId="TableGrid">
    <w:name w:val="Table Grid"/>
    <w:basedOn w:val="TableNormal"/>
    <w:uiPriority w:val="59"/>
    <w:rsid w:val="00396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07468"/>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1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841</Words>
  <Characters>4696</Characters>
  <Application>Microsoft Office Word</Application>
  <DocSecurity>0</DocSecurity>
  <Lines>109</Lines>
  <Paragraphs>49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2025-03-24T04:38:00Z</cp:lastPrinted>
  <dcterms:created xsi:type="dcterms:W3CDTF">2025-04-15T05:15:00Z</dcterms:created>
  <dcterms:modified xsi:type="dcterms:W3CDTF">2025-04-15T05:15:00Z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2024-07-30T00:44:03Z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f26d8c42-0fa5-4e9e-a775-75789e3a09dc</vt:lpwstr>
  </property>
  <property fmtid="{D5CDD505-2E9C-101B-9397-08002B2CF9AE}" pid="8" name="MSIP_Label_69af8531-eb46-4968-8cb3-105d2f5ea87e_ContentBits">
    <vt:lpwstr>0</vt:lpwstr>
  </property>
</Properties>
</file>