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FB34" w14:textId="77777777" w:rsidR="008A5AAB" w:rsidRDefault="008A5AAB" w:rsidP="008A5AAB">
      <w:pPr>
        <w:spacing w:before="120"/>
      </w:pPr>
      <w:bookmarkStart w:id="0" w:name="_Toc44738651"/>
      <w:r>
        <w:t>Australian Capital Territory</w:t>
      </w:r>
    </w:p>
    <w:p w14:paraId="6F31BA67" w14:textId="6D12BB29" w:rsidR="008A5AAB" w:rsidRDefault="008A5AAB" w:rsidP="008A5AAB">
      <w:pPr>
        <w:pStyle w:val="Billname"/>
        <w:spacing w:before="700"/>
      </w:pPr>
      <w:bookmarkStart w:id="1" w:name="_Hlk193210424"/>
      <w:r w:rsidRPr="00A004C6">
        <w:t>Civil Law (Wrongs)</w:t>
      </w:r>
      <w:bookmarkStart w:id="2" w:name="_Hlk193210496"/>
      <w:r w:rsidR="001248C4">
        <w:t xml:space="preserve"> </w:t>
      </w:r>
      <w:r>
        <w:t>Victorian</w:t>
      </w:r>
      <w:r w:rsidRPr="00A004C6">
        <w:t xml:space="preserve"> Bar</w:t>
      </w:r>
      <w:r w:rsidR="004569F0">
        <w:t xml:space="preserve"> </w:t>
      </w:r>
      <w:r w:rsidRPr="00A004C6">
        <w:t>Professional Standards Scheme</w:t>
      </w:r>
      <w:bookmarkEnd w:id="2"/>
      <w:r w:rsidRPr="00A004C6">
        <w:t xml:space="preserve"> 202</w:t>
      </w:r>
      <w:r>
        <w:t>5</w:t>
      </w:r>
    </w:p>
    <w:bookmarkEnd w:id="1"/>
    <w:p w14:paraId="61C8EA51" w14:textId="3AEA0466" w:rsidR="008A5AAB" w:rsidRDefault="008A5AAB" w:rsidP="008A5AAB">
      <w:pPr>
        <w:spacing w:before="340"/>
        <w:rPr>
          <w:b/>
          <w:bCs/>
        </w:rPr>
      </w:pPr>
      <w:r>
        <w:rPr>
          <w:b/>
          <w:bCs/>
        </w:rPr>
        <w:t>Disallowable instrument DI2025–</w:t>
      </w:r>
      <w:r w:rsidR="00D30BAC">
        <w:rPr>
          <w:b/>
          <w:bCs/>
        </w:rPr>
        <w:t>84</w:t>
      </w:r>
    </w:p>
    <w:p w14:paraId="73D21631" w14:textId="77777777" w:rsidR="008A5AAB" w:rsidRDefault="008A5AAB" w:rsidP="008A5AAB">
      <w:pPr>
        <w:pStyle w:val="madeunder"/>
        <w:spacing w:before="300" w:after="0"/>
      </w:pPr>
      <w:r>
        <w:t xml:space="preserve">made under the  </w:t>
      </w:r>
    </w:p>
    <w:p w14:paraId="5DAA3DCD" w14:textId="5441CE0A" w:rsidR="008A5AAB" w:rsidRPr="000B4328" w:rsidRDefault="008A5AAB" w:rsidP="000B4328">
      <w:pPr>
        <w:pStyle w:val="CoverActName"/>
        <w:spacing w:before="320" w:after="0"/>
        <w:jc w:val="left"/>
        <w:rPr>
          <w:rFonts w:ascii="Arial Bold" w:hAnsi="Arial Bold" w:cs="Arial"/>
          <w:spacing w:val="-2"/>
          <w:sz w:val="20"/>
        </w:rPr>
      </w:pPr>
      <w:r w:rsidRPr="000B4328">
        <w:rPr>
          <w:rFonts w:ascii="Arial Bold" w:hAnsi="Arial Bold" w:cs="Arial"/>
          <w:spacing w:val="-2"/>
          <w:sz w:val="20"/>
        </w:rPr>
        <w:t xml:space="preserve">Civil Law (Wrongs) Act 2002, </w:t>
      </w:r>
      <w:r w:rsidR="001248C4" w:rsidRPr="000B4328">
        <w:rPr>
          <w:rFonts w:ascii="Arial Bold" w:hAnsi="Arial Bold" w:cs="Arial"/>
          <w:spacing w:val="-2"/>
          <w:sz w:val="20"/>
        </w:rPr>
        <w:t xml:space="preserve">schedule 4, section 4.10 </w:t>
      </w:r>
      <w:r w:rsidRPr="000B4328">
        <w:rPr>
          <w:rFonts w:ascii="Arial Bold" w:hAnsi="Arial Bold" w:cs="Arial"/>
          <w:spacing w:val="-2"/>
          <w:sz w:val="20"/>
        </w:rPr>
        <w:t>(Schemes are subject to disallowance)</w:t>
      </w:r>
    </w:p>
    <w:p w14:paraId="6711BFCE" w14:textId="77777777" w:rsidR="008A5AAB" w:rsidRDefault="008A5AAB" w:rsidP="008A5AAB">
      <w:pPr>
        <w:pStyle w:val="N-line3"/>
        <w:pBdr>
          <w:bottom w:val="none" w:sz="0" w:space="0" w:color="auto"/>
        </w:pBdr>
        <w:spacing w:before="60"/>
      </w:pPr>
    </w:p>
    <w:p w14:paraId="2EF835FA" w14:textId="77777777" w:rsidR="008A5AAB" w:rsidRDefault="008A5AAB" w:rsidP="008A5AAB">
      <w:pPr>
        <w:pStyle w:val="N-line3"/>
        <w:pBdr>
          <w:top w:val="single" w:sz="12" w:space="1" w:color="auto"/>
          <w:bottom w:val="none" w:sz="0" w:space="0" w:color="auto"/>
        </w:pBdr>
      </w:pPr>
    </w:p>
    <w:p w14:paraId="033B8021" w14:textId="77777777" w:rsidR="008A5AAB" w:rsidRDefault="008A5AAB" w:rsidP="008A5AAB">
      <w:pPr>
        <w:spacing w:before="60" w:after="60"/>
        <w:ind w:left="720" w:hanging="720"/>
        <w:rPr>
          <w:b/>
          <w:bCs/>
        </w:rPr>
      </w:pPr>
      <w:r>
        <w:rPr>
          <w:b/>
          <w:bCs/>
        </w:rPr>
        <w:t>1</w:t>
      </w:r>
      <w:r>
        <w:rPr>
          <w:b/>
          <w:bCs/>
        </w:rPr>
        <w:tab/>
        <w:t>Name of instrument</w:t>
      </w:r>
    </w:p>
    <w:p w14:paraId="1CAF3055" w14:textId="7B8A2940" w:rsidR="008A5AAB" w:rsidRPr="00A004C6" w:rsidRDefault="008A5AAB" w:rsidP="008A5AAB">
      <w:pPr>
        <w:spacing w:before="140"/>
        <w:ind w:left="720"/>
        <w:rPr>
          <w:rFonts w:ascii="Times New Roman" w:hAnsi="Times New Roman"/>
          <w:b/>
          <w:i/>
          <w:iCs/>
          <w:sz w:val="24"/>
        </w:rPr>
      </w:pPr>
      <w:r w:rsidRPr="00074050">
        <w:rPr>
          <w:rFonts w:ascii="Times New Roman" w:eastAsia="Times New Roman" w:hAnsi="Times New Roman" w:cs="Times New Roman"/>
          <w:sz w:val="24"/>
          <w:szCs w:val="20"/>
          <w:lang w:val="en-AU"/>
        </w:rPr>
        <w:t xml:space="preserve">This instrument is the </w:t>
      </w:r>
      <w:r w:rsidRPr="00A004C6">
        <w:rPr>
          <w:rFonts w:ascii="Times New Roman" w:hAnsi="Times New Roman"/>
          <w:bCs/>
          <w:i/>
          <w:iCs/>
          <w:sz w:val="24"/>
        </w:rPr>
        <w:t xml:space="preserve">Civil Law (Wrongs) </w:t>
      </w:r>
      <w:r>
        <w:rPr>
          <w:rFonts w:ascii="Times New Roman" w:hAnsi="Times New Roman"/>
          <w:bCs/>
          <w:i/>
          <w:iCs/>
          <w:sz w:val="24"/>
        </w:rPr>
        <w:t>Victorian</w:t>
      </w:r>
      <w:r w:rsidRPr="00A004C6">
        <w:rPr>
          <w:rFonts w:ascii="Times New Roman" w:hAnsi="Times New Roman"/>
          <w:bCs/>
          <w:i/>
          <w:iCs/>
          <w:sz w:val="24"/>
        </w:rPr>
        <w:t xml:space="preserve"> Bar Professional Standards Scheme 2025</w:t>
      </w:r>
      <w:r w:rsidR="002141F7">
        <w:rPr>
          <w:rFonts w:ascii="Times New Roman" w:hAnsi="Times New Roman"/>
          <w:bCs/>
          <w:i/>
          <w:iCs/>
          <w:sz w:val="24"/>
        </w:rPr>
        <w:t>.</w:t>
      </w:r>
    </w:p>
    <w:p w14:paraId="07DDE528" w14:textId="77777777" w:rsidR="008A5AAB" w:rsidRDefault="008A5AAB" w:rsidP="008A5AAB">
      <w:pPr>
        <w:spacing w:before="300"/>
        <w:ind w:left="720" w:hanging="720"/>
        <w:rPr>
          <w:b/>
          <w:bCs/>
        </w:rPr>
      </w:pPr>
      <w:r>
        <w:rPr>
          <w:b/>
          <w:bCs/>
        </w:rPr>
        <w:t>2</w:t>
      </w:r>
      <w:r>
        <w:rPr>
          <w:b/>
          <w:bCs/>
        </w:rPr>
        <w:tab/>
        <w:t xml:space="preserve">Commencement </w:t>
      </w:r>
    </w:p>
    <w:p w14:paraId="66ACE374" w14:textId="77777777" w:rsidR="008A5AAB" w:rsidRPr="008A5AAB" w:rsidRDefault="008A5AAB" w:rsidP="008A5AAB">
      <w:pPr>
        <w:spacing w:before="140"/>
        <w:ind w:left="720"/>
        <w:rPr>
          <w:sz w:val="24"/>
          <w:szCs w:val="24"/>
        </w:rPr>
      </w:pPr>
      <w:r w:rsidRPr="008A5AAB">
        <w:rPr>
          <w:rFonts w:ascii="Times New Roman" w:hAnsi="Times New Roman" w:cs="Times New Roman"/>
          <w:sz w:val="24"/>
          <w:szCs w:val="24"/>
        </w:rPr>
        <w:t>This instrument commences on 1 July 2025</w:t>
      </w:r>
      <w:r w:rsidRPr="008A5AAB">
        <w:rPr>
          <w:sz w:val="24"/>
          <w:szCs w:val="24"/>
        </w:rPr>
        <w:t xml:space="preserve">. </w:t>
      </w:r>
    </w:p>
    <w:p w14:paraId="119ED4A0" w14:textId="77777777" w:rsidR="008A5AAB" w:rsidRDefault="008A5AAB" w:rsidP="008A5AAB">
      <w:pPr>
        <w:spacing w:before="300"/>
        <w:ind w:left="720" w:hanging="720"/>
        <w:rPr>
          <w:b/>
          <w:bCs/>
        </w:rPr>
      </w:pPr>
      <w:r>
        <w:rPr>
          <w:b/>
          <w:bCs/>
        </w:rPr>
        <w:t>3</w:t>
      </w:r>
      <w:r>
        <w:rPr>
          <w:b/>
          <w:bCs/>
        </w:rPr>
        <w:tab/>
        <w:t>Notice</w:t>
      </w:r>
    </w:p>
    <w:p w14:paraId="154FBECB" w14:textId="7E5D715C" w:rsidR="008A5AAB" w:rsidRPr="00074050" w:rsidRDefault="008A5AAB" w:rsidP="000B4328">
      <w:pPr>
        <w:widowControl/>
        <w:numPr>
          <w:ilvl w:val="0"/>
          <w:numId w:val="7"/>
        </w:numPr>
        <w:autoSpaceDE/>
        <w:autoSpaceDN/>
        <w:spacing w:before="140"/>
        <w:ind w:left="1064" w:right="-60"/>
        <w:contextualSpacing/>
        <w:rPr>
          <w:rFonts w:ascii="Times New Roman" w:eastAsia="Times New Roman" w:hAnsi="Times New Roman" w:cs="Times New Roman"/>
          <w:sz w:val="24"/>
          <w:szCs w:val="20"/>
          <w:lang w:val="en-AU"/>
        </w:rPr>
      </w:pPr>
      <w:r w:rsidRPr="00074050">
        <w:rPr>
          <w:rFonts w:ascii="Times New Roman" w:eastAsia="Times New Roman" w:hAnsi="Times New Roman" w:cs="Times New Roman"/>
          <w:sz w:val="24"/>
          <w:szCs w:val="20"/>
          <w:lang w:val="en-AU"/>
        </w:rPr>
        <w:t xml:space="preserve">I give notice of the Professional Standards Council of </w:t>
      </w:r>
      <w:r>
        <w:rPr>
          <w:rFonts w:ascii="Times New Roman" w:eastAsia="Times New Roman" w:hAnsi="Times New Roman" w:cs="Times New Roman"/>
          <w:sz w:val="24"/>
          <w:szCs w:val="20"/>
          <w:lang w:val="en-AU"/>
        </w:rPr>
        <w:t>Victoria’s</w:t>
      </w:r>
      <w:r w:rsidRPr="00074050">
        <w:rPr>
          <w:rFonts w:ascii="Times New Roman" w:eastAsia="Times New Roman" w:hAnsi="Times New Roman" w:cs="Times New Roman"/>
          <w:sz w:val="24"/>
          <w:szCs w:val="20"/>
          <w:lang w:val="en-AU"/>
        </w:rPr>
        <w:t xml:space="preserve"> approval of the attached </w:t>
      </w:r>
      <w:r>
        <w:rPr>
          <w:rFonts w:ascii="Times New Roman" w:eastAsia="Times New Roman" w:hAnsi="Times New Roman" w:cs="Times New Roman"/>
          <w:sz w:val="24"/>
          <w:szCs w:val="20"/>
        </w:rPr>
        <w:t>Victorian</w:t>
      </w:r>
      <w:r w:rsidRPr="00A004C6">
        <w:rPr>
          <w:rFonts w:ascii="Times New Roman" w:eastAsia="Times New Roman" w:hAnsi="Times New Roman" w:cs="Times New Roman"/>
          <w:sz w:val="24"/>
          <w:szCs w:val="20"/>
        </w:rPr>
        <w:t xml:space="preserve"> Bar Professional Standards Scheme</w:t>
      </w:r>
      <w:r w:rsidRPr="00074050">
        <w:rPr>
          <w:rFonts w:ascii="Times New Roman" w:eastAsia="Times New Roman" w:hAnsi="Times New Roman" w:cs="Times New Roman"/>
          <w:sz w:val="24"/>
          <w:szCs w:val="20"/>
          <w:lang w:val="en-AU"/>
        </w:rPr>
        <w:t xml:space="preserve">. </w:t>
      </w:r>
    </w:p>
    <w:p w14:paraId="2F571BDB" w14:textId="3B8AB162" w:rsidR="008A5AAB" w:rsidRPr="00A004C6" w:rsidRDefault="008A5AAB" w:rsidP="000B4328">
      <w:pPr>
        <w:widowControl/>
        <w:numPr>
          <w:ilvl w:val="0"/>
          <w:numId w:val="7"/>
        </w:numPr>
        <w:autoSpaceDE/>
        <w:autoSpaceDN/>
        <w:spacing w:before="140"/>
        <w:ind w:left="1064"/>
        <w:contextualSpacing/>
        <w:rPr>
          <w:rFonts w:ascii="Times New Roman" w:eastAsia="Times New Roman" w:hAnsi="Times New Roman" w:cs="Times New Roman"/>
          <w:sz w:val="24"/>
          <w:szCs w:val="20"/>
          <w:lang w:val="en-AU"/>
        </w:rPr>
      </w:pPr>
      <w:r w:rsidRPr="00074050">
        <w:rPr>
          <w:rFonts w:ascii="Times New Roman" w:eastAsia="Times New Roman" w:hAnsi="Times New Roman" w:cs="Times New Roman"/>
          <w:sz w:val="24"/>
          <w:szCs w:val="20"/>
          <w:lang w:val="en-AU"/>
        </w:rPr>
        <w:t>The Scheme is in force until 30 June 20</w:t>
      </w:r>
      <w:r>
        <w:rPr>
          <w:rFonts w:ascii="Times New Roman" w:eastAsia="Times New Roman" w:hAnsi="Times New Roman" w:cs="Times New Roman"/>
          <w:sz w:val="24"/>
          <w:szCs w:val="20"/>
          <w:lang w:val="en-AU"/>
        </w:rPr>
        <w:t>30</w:t>
      </w:r>
      <w:r w:rsidR="00E02B0A">
        <w:rPr>
          <w:rFonts w:ascii="Times New Roman" w:eastAsia="Times New Roman" w:hAnsi="Times New Roman" w:cs="Times New Roman"/>
          <w:sz w:val="24"/>
          <w:szCs w:val="20"/>
          <w:lang w:val="en-AU"/>
        </w:rPr>
        <w:t>.</w:t>
      </w:r>
    </w:p>
    <w:p w14:paraId="3BD47D8C" w14:textId="77777777" w:rsidR="008A5AAB" w:rsidRDefault="008A5AAB" w:rsidP="008A5AAB">
      <w:pPr>
        <w:spacing w:before="300"/>
      </w:pPr>
    </w:p>
    <w:bookmarkEnd w:id="0"/>
    <w:p w14:paraId="61E1274B" w14:textId="3CDFEE92" w:rsidR="008A5AAB" w:rsidRPr="00074050" w:rsidRDefault="008A5AAB" w:rsidP="008A5AAB">
      <w:pPr>
        <w:widowControl/>
        <w:tabs>
          <w:tab w:val="left" w:pos="4320"/>
        </w:tabs>
        <w:autoSpaceDE/>
        <w:autoSpaceDN/>
        <w:spacing w:before="720"/>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Tara Cheyne</w:t>
      </w:r>
      <w:r w:rsidR="004569F0">
        <w:rPr>
          <w:rFonts w:ascii="Times New Roman" w:eastAsia="Times New Roman" w:hAnsi="Times New Roman" w:cs="Times New Roman"/>
          <w:sz w:val="24"/>
          <w:szCs w:val="20"/>
          <w:lang w:val="en-AU"/>
        </w:rPr>
        <w:t xml:space="preserve"> MLA</w:t>
      </w:r>
    </w:p>
    <w:p w14:paraId="15AD545F" w14:textId="77777777" w:rsidR="008A5AAB" w:rsidRPr="00074050" w:rsidRDefault="008A5AAB" w:rsidP="008A5AAB">
      <w:pPr>
        <w:widowControl/>
        <w:tabs>
          <w:tab w:val="left" w:pos="4320"/>
        </w:tabs>
        <w:autoSpaceDE/>
        <w:autoSpaceDN/>
        <w:rPr>
          <w:rFonts w:ascii="Times New Roman" w:eastAsia="Times New Roman" w:hAnsi="Times New Roman" w:cs="Times New Roman"/>
          <w:sz w:val="24"/>
          <w:szCs w:val="20"/>
          <w:lang w:val="en-AU"/>
        </w:rPr>
      </w:pPr>
      <w:r w:rsidRPr="00074050">
        <w:rPr>
          <w:rFonts w:ascii="Times New Roman" w:eastAsia="Times New Roman" w:hAnsi="Times New Roman" w:cs="Times New Roman"/>
          <w:sz w:val="24"/>
          <w:szCs w:val="20"/>
          <w:lang w:val="en-AU"/>
        </w:rPr>
        <w:t>Attorney General</w:t>
      </w:r>
    </w:p>
    <w:p w14:paraId="358A781C" w14:textId="4407B14C" w:rsidR="008A5AAB" w:rsidRPr="00074050" w:rsidRDefault="00D30BAC" w:rsidP="008A5AAB">
      <w:pPr>
        <w:widowControl/>
        <w:tabs>
          <w:tab w:val="left" w:pos="4320"/>
        </w:tabs>
        <w:autoSpaceDE/>
        <w:autoSpaceDN/>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13</w:t>
      </w:r>
      <w:r w:rsidR="00C977E6">
        <w:rPr>
          <w:rFonts w:ascii="Times New Roman" w:eastAsia="Times New Roman" w:hAnsi="Times New Roman" w:cs="Times New Roman"/>
          <w:sz w:val="24"/>
          <w:szCs w:val="20"/>
          <w:lang w:val="en-AU"/>
        </w:rPr>
        <w:t xml:space="preserve"> </w:t>
      </w:r>
      <w:r w:rsidR="00751659">
        <w:rPr>
          <w:rFonts w:ascii="Times New Roman" w:eastAsia="Times New Roman" w:hAnsi="Times New Roman" w:cs="Times New Roman"/>
          <w:sz w:val="24"/>
          <w:szCs w:val="20"/>
          <w:lang w:val="en-AU"/>
        </w:rPr>
        <w:t xml:space="preserve">June </w:t>
      </w:r>
      <w:r w:rsidR="00C977E6">
        <w:rPr>
          <w:rFonts w:ascii="Times New Roman" w:eastAsia="Times New Roman" w:hAnsi="Times New Roman" w:cs="Times New Roman"/>
          <w:sz w:val="24"/>
          <w:szCs w:val="20"/>
          <w:lang w:val="en-AU"/>
        </w:rPr>
        <w:t>2025</w:t>
      </w:r>
    </w:p>
    <w:p w14:paraId="1C2E9B79" w14:textId="77777777" w:rsidR="008A5AAB" w:rsidRDefault="008A5AAB" w:rsidP="008A5AAB">
      <w:pPr>
        <w:pStyle w:val="BodyText"/>
        <w:spacing w:before="119"/>
        <w:rPr>
          <w:rFonts w:ascii="Times New Roman"/>
          <w:sz w:val="24"/>
        </w:rPr>
      </w:pPr>
    </w:p>
    <w:p w14:paraId="28D2E881" w14:textId="77777777" w:rsidR="000B4328" w:rsidRDefault="000B4328" w:rsidP="008A5AAB">
      <w:pPr>
        <w:pStyle w:val="BodyText"/>
        <w:spacing w:before="119"/>
        <w:rPr>
          <w:rFonts w:ascii="Times New Roman"/>
          <w:sz w:val="24"/>
        </w:rPr>
        <w:sectPr w:rsidR="000B4328" w:rsidSect="000B4328">
          <w:headerReference w:type="even" r:id="rId7"/>
          <w:headerReference w:type="default" r:id="rId8"/>
          <w:footerReference w:type="even" r:id="rId9"/>
          <w:footerReference w:type="default" r:id="rId10"/>
          <w:headerReference w:type="first" r:id="rId11"/>
          <w:footerReference w:type="first" r:id="rId12"/>
          <w:pgSz w:w="11907" w:h="16840" w:code="9"/>
          <w:pgMar w:top="1440" w:right="1588" w:bottom="1440" w:left="1588" w:header="567" w:footer="567" w:gutter="0"/>
          <w:cols w:space="720"/>
        </w:sectPr>
      </w:pPr>
    </w:p>
    <w:p w14:paraId="5ADEEE90" w14:textId="67D0C91F" w:rsidR="005C3E15" w:rsidRDefault="008A5AAB">
      <w:pPr>
        <w:pStyle w:val="Title"/>
      </w:pPr>
      <w:r>
        <w:lastRenderedPageBreak/>
        <w:t>THE VICTORIAN BAR PROFESSIONAL</w:t>
      </w:r>
      <w:r>
        <w:rPr>
          <w:spacing w:val="-27"/>
        </w:rPr>
        <w:t xml:space="preserve"> </w:t>
      </w:r>
      <w:r>
        <w:t>STANDARDS</w:t>
      </w:r>
      <w:r>
        <w:rPr>
          <w:spacing w:val="-26"/>
        </w:rPr>
        <w:t xml:space="preserve"> </w:t>
      </w:r>
      <w:r>
        <w:t>SCHEME</w:t>
      </w:r>
    </w:p>
    <w:p w14:paraId="3572F66F" w14:textId="77777777" w:rsidR="005C3E15" w:rsidRDefault="008A5AAB">
      <w:pPr>
        <w:spacing w:before="277"/>
        <w:ind w:left="20" w:right="1"/>
        <w:jc w:val="center"/>
        <w:rPr>
          <w:sz w:val="24"/>
        </w:rPr>
      </w:pPr>
      <w:r>
        <w:rPr>
          <w:sz w:val="24"/>
        </w:rPr>
        <w:t>A</w:t>
      </w:r>
      <w:r>
        <w:rPr>
          <w:spacing w:val="-1"/>
          <w:sz w:val="24"/>
        </w:rPr>
        <w:t xml:space="preserve"> </w:t>
      </w:r>
      <w:r>
        <w:rPr>
          <w:sz w:val="24"/>
        </w:rPr>
        <w:t>scheme</w:t>
      </w:r>
      <w:r>
        <w:rPr>
          <w:spacing w:val="-2"/>
          <w:sz w:val="24"/>
        </w:rPr>
        <w:t xml:space="preserve"> under</w:t>
      </w:r>
    </w:p>
    <w:p w14:paraId="1664DE4A" w14:textId="77777777" w:rsidR="005C3E15" w:rsidRDefault="008A5AAB">
      <w:pPr>
        <w:ind w:left="20"/>
        <w:jc w:val="center"/>
        <w:rPr>
          <w:sz w:val="24"/>
        </w:rPr>
      </w:pPr>
      <w:r>
        <w:rPr>
          <w:sz w:val="24"/>
        </w:rPr>
        <w:t>the</w:t>
      </w:r>
      <w:r>
        <w:rPr>
          <w:spacing w:val="-6"/>
          <w:sz w:val="24"/>
        </w:rPr>
        <w:t xml:space="preserve"> </w:t>
      </w:r>
      <w:r>
        <w:rPr>
          <w:i/>
          <w:sz w:val="24"/>
        </w:rPr>
        <w:t>Professional</w:t>
      </w:r>
      <w:r>
        <w:rPr>
          <w:i/>
          <w:spacing w:val="-7"/>
          <w:sz w:val="24"/>
        </w:rPr>
        <w:t xml:space="preserve"> </w:t>
      </w:r>
      <w:r>
        <w:rPr>
          <w:i/>
          <w:sz w:val="24"/>
        </w:rPr>
        <w:t>Standards</w:t>
      </w:r>
      <w:r>
        <w:rPr>
          <w:i/>
          <w:spacing w:val="-5"/>
          <w:sz w:val="24"/>
        </w:rPr>
        <w:t xml:space="preserve"> </w:t>
      </w:r>
      <w:r>
        <w:rPr>
          <w:i/>
          <w:sz w:val="24"/>
        </w:rPr>
        <w:t>Act</w:t>
      </w:r>
      <w:r>
        <w:rPr>
          <w:i/>
          <w:spacing w:val="-8"/>
          <w:sz w:val="24"/>
        </w:rPr>
        <w:t xml:space="preserve"> </w:t>
      </w:r>
      <w:r>
        <w:rPr>
          <w:i/>
          <w:sz w:val="24"/>
        </w:rPr>
        <w:t>2003</w:t>
      </w:r>
      <w:r>
        <w:rPr>
          <w:i/>
          <w:spacing w:val="-3"/>
          <w:sz w:val="24"/>
        </w:rPr>
        <w:t xml:space="preserve"> </w:t>
      </w:r>
      <w:r>
        <w:rPr>
          <w:spacing w:val="-4"/>
          <w:sz w:val="24"/>
        </w:rPr>
        <w:t>(Vic)</w:t>
      </w:r>
    </w:p>
    <w:p w14:paraId="36B067D1" w14:textId="77777777" w:rsidR="005C3E15" w:rsidRDefault="005C3E15">
      <w:pPr>
        <w:pStyle w:val="BodyText"/>
        <w:rPr>
          <w:sz w:val="24"/>
        </w:rPr>
      </w:pPr>
    </w:p>
    <w:p w14:paraId="288B99D7" w14:textId="77777777" w:rsidR="005C3E15" w:rsidRDefault="008A5AAB">
      <w:pPr>
        <w:pStyle w:val="Heading1"/>
        <w:ind w:left="100" w:firstLine="0"/>
      </w:pPr>
      <w:r>
        <w:rPr>
          <w:spacing w:val="-2"/>
        </w:rPr>
        <w:t>PREAMBLE</w:t>
      </w:r>
    </w:p>
    <w:p w14:paraId="0E998993" w14:textId="77777777" w:rsidR="005C3E15" w:rsidRDefault="005C3E15">
      <w:pPr>
        <w:pStyle w:val="BodyText"/>
        <w:rPr>
          <w:b/>
        </w:rPr>
      </w:pPr>
    </w:p>
    <w:p w14:paraId="333F9648" w14:textId="77777777" w:rsidR="005C3E15" w:rsidRPr="000B4328" w:rsidRDefault="008A5AAB" w:rsidP="000B4328">
      <w:pPr>
        <w:pStyle w:val="ListParagraph"/>
        <w:numPr>
          <w:ilvl w:val="0"/>
          <w:numId w:val="6"/>
        </w:numPr>
        <w:tabs>
          <w:tab w:val="left" w:pos="816"/>
          <w:tab w:val="left" w:pos="820"/>
        </w:tabs>
        <w:spacing w:before="200"/>
        <w:ind w:left="817" w:right="-113" w:hanging="363"/>
        <w:rPr>
          <w:spacing w:val="-2"/>
        </w:rPr>
      </w:pPr>
      <w:r w:rsidRPr="000B4328">
        <w:rPr>
          <w:spacing w:val="-2"/>
        </w:rPr>
        <w:t xml:space="preserve">The Victorian Bar Incorporated (“the Victorian Bar”) is an incorporated association constituted under the </w:t>
      </w:r>
      <w:r w:rsidRPr="000B4328">
        <w:rPr>
          <w:i/>
          <w:spacing w:val="-2"/>
        </w:rPr>
        <w:t xml:space="preserve">Associations Incorporation Reform Act 2012 </w:t>
      </w:r>
      <w:r w:rsidRPr="000B4328">
        <w:rPr>
          <w:spacing w:val="-2"/>
        </w:rPr>
        <w:t xml:space="preserve">(Vic) and is an occupational association within the meaning of the </w:t>
      </w:r>
      <w:r w:rsidRPr="000B4328">
        <w:rPr>
          <w:i/>
          <w:spacing w:val="-2"/>
        </w:rPr>
        <w:t xml:space="preserve">Professional Standards Act 2003 </w:t>
      </w:r>
      <w:r w:rsidRPr="000B4328">
        <w:rPr>
          <w:spacing w:val="-2"/>
        </w:rPr>
        <w:t>(Vic) (“the Act”).</w:t>
      </w:r>
    </w:p>
    <w:p w14:paraId="0E35BED8" w14:textId="77777777" w:rsidR="005C3E15" w:rsidRPr="000B4328" w:rsidRDefault="008A5AAB" w:rsidP="000B4328">
      <w:pPr>
        <w:pStyle w:val="ListParagraph"/>
        <w:numPr>
          <w:ilvl w:val="0"/>
          <w:numId w:val="6"/>
        </w:numPr>
        <w:tabs>
          <w:tab w:val="left" w:pos="817"/>
          <w:tab w:val="left" w:pos="821"/>
        </w:tabs>
        <w:spacing w:before="200"/>
        <w:ind w:left="817" w:right="-113" w:hanging="363"/>
        <w:rPr>
          <w:spacing w:val="-2"/>
        </w:rPr>
      </w:pPr>
      <w:r w:rsidRPr="000B4328">
        <w:rPr>
          <w:spacing w:val="-2"/>
        </w:rPr>
        <w:t>With effect from 1 July 2008, the Victorian Bar has had in operation the Victorian Bar Professional Standards Scheme under the Act, which expires on 30 June 2025.</w:t>
      </w:r>
    </w:p>
    <w:p w14:paraId="461AC7B8" w14:textId="77777777" w:rsidR="005C3E15" w:rsidRDefault="008A5AAB" w:rsidP="000B4328">
      <w:pPr>
        <w:pStyle w:val="ListParagraph"/>
        <w:numPr>
          <w:ilvl w:val="0"/>
          <w:numId w:val="6"/>
        </w:numPr>
        <w:tabs>
          <w:tab w:val="left" w:pos="817"/>
          <w:tab w:val="left" w:pos="821"/>
        </w:tabs>
        <w:spacing w:before="200"/>
        <w:ind w:left="817" w:right="-298" w:hanging="363"/>
      </w:pPr>
      <w:r>
        <w:t>The Victorian Bar has applied for approval and gazettal of the Victorian Bar Professional Standards Scheme for the period 1 July 2025 to 30 June 2030 (“the Scheme”), which is prepared by the Victorian Bar for the purpose of continuing to limit occupational</w:t>
      </w:r>
      <w:r>
        <w:rPr>
          <w:spacing w:val="-4"/>
        </w:rPr>
        <w:t xml:space="preserve"> </w:t>
      </w:r>
      <w:r>
        <w:t>liability</w:t>
      </w:r>
      <w:r>
        <w:rPr>
          <w:spacing w:val="-1"/>
        </w:rPr>
        <w:t xml:space="preserve"> </w:t>
      </w:r>
      <w:r>
        <w:t>to</w:t>
      </w:r>
      <w:r>
        <w:rPr>
          <w:spacing w:val="-9"/>
        </w:rPr>
        <w:t xml:space="preserve"> </w:t>
      </w:r>
      <w:r>
        <w:t>the</w:t>
      </w:r>
      <w:r>
        <w:rPr>
          <w:spacing w:val="-6"/>
        </w:rPr>
        <w:t xml:space="preserve"> </w:t>
      </w:r>
      <w:r>
        <w:t>extent</w:t>
      </w:r>
      <w:r>
        <w:rPr>
          <w:spacing w:val="-7"/>
        </w:rPr>
        <w:t xml:space="preserve"> </w:t>
      </w:r>
      <w:r>
        <w:t>to</w:t>
      </w:r>
      <w:r>
        <w:rPr>
          <w:spacing w:val="-6"/>
        </w:rPr>
        <w:t xml:space="preserve"> </w:t>
      </w:r>
      <w:r>
        <w:t>which</w:t>
      </w:r>
      <w:r>
        <w:rPr>
          <w:spacing w:val="-4"/>
        </w:rPr>
        <w:t xml:space="preserve"> </w:t>
      </w:r>
      <w:r>
        <w:t>such</w:t>
      </w:r>
      <w:r>
        <w:rPr>
          <w:spacing w:val="-4"/>
        </w:rPr>
        <w:t xml:space="preserve"> </w:t>
      </w:r>
      <w:r>
        <w:t>liability</w:t>
      </w:r>
      <w:r>
        <w:rPr>
          <w:spacing w:val="-1"/>
        </w:rPr>
        <w:t xml:space="preserve"> </w:t>
      </w:r>
      <w:r>
        <w:t>may</w:t>
      </w:r>
      <w:r>
        <w:rPr>
          <w:spacing w:val="-4"/>
        </w:rPr>
        <w:t xml:space="preserve"> </w:t>
      </w:r>
      <w:r>
        <w:t>be</w:t>
      </w:r>
      <w:r>
        <w:rPr>
          <w:spacing w:val="-6"/>
        </w:rPr>
        <w:t xml:space="preserve"> </w:t>
      </w:r>
      <w:r>
        <w:t>limited</w:t>
      </w:r>
      <w:r>
        <w:rPr>
          <w:spacing w:val="-9"/>
        </w:rPr>
        <w:t xml:space="preserve"> </w:t>
      </w:r>
      <w:r>
        <w:t>under</w:t>
      </w:r>
      <w:r>
        <w:rPr>
          <w:spacing w:val="-5"/>
        </w:rPr>
        <w:t xml:space="preserve"> </w:t>
      </w:r>
      <w:r>
        <w:t xml:space="preserve">the </w:t>
      </w:r>
      <w:r>
        <w:rPr>
          <w:spacing w:val="-4"/>
        </w:rPr>
        <w:t>Act.</w:t>
      </w:r>
    </w:p>
    <w:p w14:paraId="0C6CB956" w14:textId="77777777" w:rsidR="005C3E15" w:rsidRDefault="008A5AAB" w:rsidP="000B4328">
      <w:pPr>
        <w:pStyle w:val="ListParagraph"/>
        <w:numPr>
          <w:ilvl w:val="0"/>
          <w:numId w:val="6"/>
        </w:numPr>
        <w:tabs>
          <w:tab w:val="left" w:pos="816"/>
          <w:tab w:val="left" w:pos="821"/>
        </w:tabs>
        <w:spacing w:before="200"/>
        <w:ind w:left="817" w:right="-113" w:hanging="363"/>
      </w:pPr>
      <w:r>
        <w:t>The</w:t>
      </w:r>
      <w:r>
        <w:rPr>
          <w:spacing w:val="-4"/>
        </w:rPr>
        <w:t xml:space="preserve"> </w:t>
      </w:r>
      <w:r>
        <w:t>Scheme</w:t>
      </w:r>
      <w:r>
        <w:rPr>
          <w:spacing w:val="-6"/>
        </w:rPr>
        <w:t xml:space="preserve"> </w:t>
      </w:r>
      <w:r>
        <w:t>applies</w:t>
      </w:r>
      <w:r>
        <w:rPr>
          <w:spacing w:val="-3"/>
        </w:rPr>
        <w:t xml:space="preserve"> </w:t>
      </w:r>
      <w:r>
        <w:t>to</w:t>
      </w:r>
      <w:r>
        <w:rPr>
          <w:spacing w:val="-9"/>
        </w:rPr>
        <w:t xml:space="preserve"> </w:t>
      </w:r>
      <w:r>
        <w:t>the</w:t>
      </w:r>
      <w:r>
        <w:rPr>
          <w:spacing w:val="-4"/>
        </w:rPr>
        <w:t xml:space="preserve"> </w:t>
      </w:r>
      <w:r>
        <w:t>persons</w:t>
      </w:r>
      <w:r>
        <w:rPr>
          <w:spacing w:val="-8"/>
        </w:rPr>
        <w:t xml:space="preserve"> </w:t>
      </w:r>
      <w:r>
        <w:t>referred</w:t>
      </w:r>
      <w:r>
        <w:rPr>
          <w:spacing w:val="-9"/>
        </w:rPr>
        <w:t xml:space="preserve"> </w:t>
      </w:r>
      <w:r>
        <w:t>to</w:t>
      </w:r>
      <w:r>
        <w:rPr>
          <w:spacing w:val="-6"/>
        </w:rPr>
        <w:t xml:space="preserve"> </w:t>
      </w:r>
      <w:r>
        <w:t>below</w:t>
      </w:r>
      <w:r>
        <w:rPr>
          <w:spacing w:val="-4"/>
        </w:rPr>
        <w:t xml:space="preserve"> </w:t>
      </w:r>
      <w:r>
        <w:t>in</w:t>
      </w:r>
      <w:r>
        <w:rPr>
          <w:spacing w:val="-1"/>
        </w:rPr>
        <w:t xml:space="preserve"> </w:t>
      </w:r>
      <w:r>
        <w:t>clause</w:t>
      </w:r>
      <w:r>
        <w:rPr>
          <w:spacing w:val="-4"/>
        </w:rPr>
        <w:t xml:space="preserve"> </w:t>
      </w:r>
      <w:r>
        <w:t>2.1.1,</w:t>
      </w:r>
      <w:r>
        <w:rPr>
          <w:spacing w:val="-5"/>
        </w:rPr>
        <w:t xml:space="preserve"> </w:t>
      </w:r>
      <w:r>
        <w:t>including barristers practising in Victoria and in interstate or overseas jurisdictions. The Scheme does not apply to all members of the Victorian Bar.</w:t>
      </w:r>
    </w:p>
    <w:p w14:paraId="4B6B11DF" w14:textId="77777777" w:rsidR="005C3E15" w:rsidRDefault="008A5AAB" w:rsidP="000B4328">
      <w:pPr>
        <w:pStyle w:val="ListParagraph"/>
        <w:numPr>
          <w:ilvl w:val="0"/>
          <w:numId w:val="6"/>
        </w:numPr>
        <w:tabs>
          <w:tab w:val="left" w:pos="816"/>
          <w:tab w:val="left" w:pos="821"/>
        </w:tabs>
        <w:spacing w:before="200"/>
        <w:ind w:left="817" w:right="-113" w:hanging="363"/>
      </w:pPr>
      <w:r>
        <w:t>The Scheme facilitates improvement in the standards of services provided by scheme</w:t>
      </w:r>
      <w:r>
        <w:rPr>
          <w:spacing w:val="-9"/>
        </w:rPr>
        <w:t xml:space="preserve"> </w:t>
      </w:r>
      <w:r>
        <w:t>members</w:t>
      </w:r>
      <w:r>
        <w:rPr>
          <w:spacing w:val="-6"/>
        </w:rPr>
        <w:t xml:space="preserve"> </w:t>
      </w:r>
      <w:r>
        <w:t>who</w:t>
      </w:r>
      <w:r>
        <w:rPr>
          <w:spacing w:val="-6"/>
        </w:rPr>
        <w:t xml:space="preserve"> </w:t>
      </w:r>
      <w:r>
        <w:t>provide</w:t>
      </w:r>
      <w:r>
        <w:rPr>
          <w:spacing w:val="-4"/>
        </w:rPr>
        <w:t xml:space="preserve"> </w:t>
      </w:r>
      <w:r>
        <w:t>services</w:t>
      </w:r>
      <w:r>
        <w:rPr>
          <w:spacing w:val="-8"/>
        </w:rPr>
        <w:t xml:space="preserve"> </w:t>
      </w:r>
      <w:r>
        <w:t>to</w:t>
      </w:r>
      <w:r>
        <w:rPr>
          <w:spacing w:val="-9"/>
        </w:rPr>
        <w:t xml:space="preserve"> </w:t>
      </w:r>
      <w:r>
        <w:t>the</w:t>
      </w:r>
      <w:r>
        <w:rPr>
          <w:spacing w:val="-4"/>
        </w:rPr>
        <w:t xml:space="preserve"> </w:t>
      </w:r>
      <w:r>
        <w:t>public</w:t>
      </w:r>
      <w:r>
        <w:rPr>
          <w:spacing w:val="-1"/>
        </w:rPr>
        <w:t xml:space="preserve"> </w:t>
      </w:r>
      <w:r>
        <w:t>and</w:t>
      </w:r>
      <w:r>
        <w:rPr>
          <w:spacing w:val="-4"/>
        </w:rPr>
        <w:t xml:space="preserve"> </w:t>
      </w:r>
      <w:r>
        <w:t>limits</w:t>
      </w:r>
      <w:r>
        <w:rPr>
          <w:spacing w:val="-8"/>
        </w:rPr>
        <w:t xml:space="preserve"> </w:t>
      </w:r>
      <w:r>
        <w:t>the</w:t>
      </w:r>
      <w:r>
        <w:rPr>
          <w:spacing w:val="-6"/>
        </w:rPr>
        <w:t xml:space="preserve"> </w:t>
      </w:r>
      <w:r>
        <w:t>Occupational Liability of those members.</w:t>
      </w:r>
    </w:p>
    <w:p w14:paraId="65996E7A" w14:textId="77777777" w:rsidR="005C3E15" w:rsidRDefault="008A5AAB" w:rsidP="000B4328">
      <w:pPr>
        <w:pStyle w:val="ListParagraph"/>
        <w:numPr>
          <w:ilvl w:val="0"/>
          <w:numId w:val="6"/>
        </w:numPr>
        <w:tabs>
          <w:tab w:val="left" w:pos="817"/>
          <w:tab w:val="left" w:pos="822"/>
        </w:tabs>
        <w:spacing w:before="200"/>
        <w:ind w:left="817" w:hanging="363"/>
      </w:pPr>
      <w:r>
        <w:t>The</w:t>
      </w:r>
      <w:r>
        <w:rPr>
          <w:spacing w:val="-4"/>
        </w:rPr>
        <w:t xml:space="preserve"> </w:t>
      </w:r>
      <w:r>
        <w:t>purposes</w:t>
      </w:r>
      <w:r>
        <w:rPr>
          <w:spacing w:val="-6"/>
        </w:rPr>
        <w:t xml:space="preserve"> </w:t>
      </w:r>
      <w:r>
        <w:t>of</w:t>
      </w:r>
      <w:r>
        <w:rPr>
          <w:spacing w:val="-5"/>
        </w:rPr>
        <w:t xml:space="preserve"> </w:t>
      </w:r>
      <w:r>
        <w:t>the</w:t>
      </w:r>
      <w:r>
        <w:rPr>
          <w:spacing w:val="-6"/>
        </w:rPr>
        <w:t xml:space="preserve"> </w:t>
      </w:r>
      <w:r>
        <w:t>Victorian</w:t>
      </w:r>
      <w:r>
        <w:rPr>
          <w:spacing w:val="-4"/>
        </w:rPr>
        <w:t xml:space="preserve"> </w:t>
      </w:r>
      <w:r>
        <w:t>Bar</w:t>
      </w:r>
      <w:r>
        <w:rPr>
          <w:spacing w:val="-5"/>
        </w:rPr>
        <w:t xml:space="preserve"> </w:t>
      </w:r>
      <w:r>
        <w:t>are</w:t>
      </w:r>
      <w:r>
        <w:rPr>
          <w:spacing w:val="-6"/>
        </w:rPr>
        <w:t xml:space="preserve"> </w:t>
      </w:r>
      <w:r>
        <w:t>expressed</w:t>
      </w:r>
      <w:r>
        <w:rPr>
          <w:spacing w:val="-9"/>
        </w:rPr>
        <w:t xml:space="preserve"> </w:t>
      </w:r>
      <w:r>
        <w:t>in</w:t>
      </w:r>
      <w:r>
        <w:rPr>
          <w:spacing w:val="-4"/>
        </w:rPr>
        <w:t xml:space="preserve"> </w:t>
      </w:r>
      <w:r>
        <w:t>clause</w:t>
      </w:r>
      <w:r>
        <w:rPr>
          <w:spacing w:val="-4"/>
        </w:rPr>
        <w:t xml:space="preserve"> </w:t>
      </w:r>
      <w:r>
        <w:t>2</w:t>
      </w:r>
      <w:r>
        <w:rPr>
          <w:spacing w:val="-4"/>
        </w:rPr>
        <w:t xml:space="preserve"> </w:t>
      </w:r>
      <w:r>
        <w:t>of</w:t>
      </w:r>
      <w:r>
        <w:rPr>
          <w:spacing w:val="-5"/>
        </w:rPr>
        <w:t xml:space="preserve"> </w:t>
      </w:r>
      <w:r>
        <w:t>the</w:t>
      </w:r>
      <w:r>
        <w:rPr>
          <w:spacing w:val="-4"/>
        </w:rPr>
        <w:t xml:space="preserve"> </w:t>
      </w:r>
      <w:r>
        <w:t>Victorian</w:t>
      </w:r>
      <w:r>
        <w:rPr>
          <w:spacing w:val="-4"/>
        </w:rPr>
        <w:t xml:space="preserve"> </w:t>
      </w:r>
      <w:r>
        <w:t>Bar’s Constitution and are:</w:t>
      </w:r>
    </w:p>
    <w:p w14:paraId="4A302FB0" w14:textId="77777777" w:rsidR="005C3E15" w:rsidRDefault="008A5AAB" w:rsidP="00C16252">
      <w:pPr>
        <w:pStyle w:val="ListParagraph"/>
        <w:numPr>
          <w:ilvl w:val="1"/>
          <w:numId w:val="6"/>
        </w:numPr>
        <w:spacing w:before="200"/>
        <w:ind w:left="1276" w:hanging="454"/>
      </w:pPr>
      <w:r>
        <w:t>to</w:t>
      </w:r>
      <w:r>
        <w:rPr>
          <w:spacing w:val="-9"/>
        </w:rPr>
        <w:t xml:space="preserve"> </w:t>
      </w:r>
      <w:r>
        <w:t>manage,</w:t>
      </w:r>
      <w:r>
        <w:rPr>
          <w:spacing w:val="-4"/>
        </w:rPr>
        <w:t xml:space="preserve"> </w:t>
      </w:r>
      <w:r>
        <w:t>administer</w:t>
      </w:r>
      <w:r>
        <w:rPr>
          <w:spacing w:val="-3"/>
        </w:rPr>
        <w:t xml:space="preserve"> </w:t>
      </w:r>
      <w:r>
        <w:t>and</w:t>
      </w:r>
      <w:r>
        <w:rPr>
          <w:spacing w:val="-7"/>
        </w:rPr>
        <w:t xml:space="preserve"> </w:t>
      </w:r>
      <w:r>
        <w:t>develop</w:t>
      </w:r>
      <w:r>
        <w:rPr>
          <w:spacing w:val="-9"/>
        </w:rPr>
        <w:t xml:space="preserve"> </w:t>
      </w:r>
      <w:r>
        <w:t>the</w:t>
      </w:r>
      <w:r>
        <w:rPr>
          <w:spacing w:val="-5"/>
        </w:rPr>
        <w:t xml:space="preserve"> </w:t>
      </w:r>
      <w:r>
        <w:t>Victorian</w:t>
      </w:r>
      <w:r>
        <w:rPr>
          <w:spacing w:val="-9"/>
        </w:rPr>
        <w:t xml:space="preserve"> </w:t>
      </w:r>
      <w:r>
        <w:t>Bar</w:t>
      </w:r>
      <w:r>
        <w:rPr>
          <w:spacing w:val="-1"/>
        </w:rPr>
        <w:t xml:space="preserve"> </w:t>
      </w:r>
      <w:r>
        <w:t>as</w:t>
      </w:r>
      <w:r>
        <w:rPr>
          <w:spacing w:val="-7"/>
        </w:rPr>
        <w:t xml:space="preserve"> </w:t>
      </w:r>
      <w:r>
        <w:t>an</w:t>
      </w:r>
      <w:r>
        <w:rPr>
          <w:spacing w:val="-7"/>
        </w:rPr>
        <w:t xml:space="preserve"> </w:t>
      </w:r>
      <w:r>
        <w:t>independent professional association for barristers in Victoria, including by:</w:t>
      </w:r>
    </w:p>
    <w:p w14:paraId="2D62ABBC" w14:textId="77777777" w:rsidR="005C3E15" w:rsidRDefault="008A5AAB" w:rsidP="00C16252">
      <w:pPr>
        <w:pStyle w:val="ListParagraph"/>
        <w:numPr>
          <w:ilvl w:val="2"/>
          <w:numId w:val="6"/>
        </w:numPr>
        <w:spacing w:before="200"/>
        <w:ind w:left="1624" w:hanging="434"/>
      </w:pPr>
      <w:r>
        <w:t>setting</w:t>
      </w:r>
      <w:r>
        <w:rPr>
          <w:spacing w:val="-9"/>
        </w:rPr>
        <w:t xml:space="preserve"> </w:t>
      </w:r>
      <w:r>
        <w:t>the</w:t>
      </w:r>
      <w:r>
        <w:rPr>
          <w:spacing w:val="-6"/>
        </w:rPr>
        <w:t xml:space="preserve"> </w:t>
      </w:r>
      <w:r>
        <w:t>requirements</w:t>
      </w:r>
      <w:r>
        <w:rPr>
          <w:spacing w:val="-8"/>
        </w:rPr>
        <w:t xml:space="preserve"> </w:t>
      </w:r>
      <w:r>
        <w:t>for</w:t>
      </w:r>
      <w:r>
        <w:rPr>
          <w:spacing w:val="-5"/>
        </w:rPr>
        <w:t xml:space="preserve"> </w:t>
      </w:r>
      <w:r>
        <w:t>entry</w:t>
      </w:r>
      <w:r>
        <w:rPr>
          <w:spacing w:val="-6"/>
        </w:rPr>
        <w:t xml:space="preserve"> </w:t>
      </w:r>
      <w:r>
        <w:t>onto</w:t>
      </w:r>
      <w:r>
        <w:rPr>
          <w:spacing w:val="-6"/>
        </w:rPr>
        <w:t xml:space="preserve"> </w:t>
      </w:r>
      <w:r>
        <w:t>the</w:t>
      </w:r>
      <w:r>
        <w:rPr>
          <w:spacing w:val="-6"/>
        </w:rPr>
        <w:t xml:space="preserve"> </w:t>
      </w:r>
      <w:r>
        <w:t>Bar</w:t>
      </w:r>
      <w:r>
        <w:rPr>
          <w:spacing w:val="-8"/>
        </w:rPr>
        <w:t xml:space="preserve"> </w:t>
      </w:r>
      <w:r>
        <w:t>Roll</w:t>
      </w:r>
      <w:r>
        <w:rPr>
          <w:spacing w:val="-5"/>
        </w:rPr>
        <w:t xml:space="preserve"> </w:t>
      </w:r>
      <w:r>
        <w:t>and</w:t>
      </w:r>
      <w:r>
        <w:rPr>
          <w:spacing w:val="-4"/>
        </w:rPr>
        <w:t xml:space="preserve"> </w:t>
      </w:r>
      <w:r>
        <w:t>membership</w:t>
      </w:r>
      <w:r>
        <w:rPr>
          <w:spacing w:val="-4"/>
        </w:rPr>
        <w:t xml:space="preserve"> </w:t>
      </w:r>
      <w:r>
        <w:t>of</w:t>
      </w:r>
      <w:r>
        <w:rPr>
          <w:spacing w:val="-5"/>
        </w:rPr>
        <w:t xml:space="preserve"> </w:t>
      </w:r>
      <w:r>
        <w:t xml:space="preserve">the </w:t>
      </w:r>
      <w:r>
        <w:rPr>
          <w:spacing w:val="-2"/>
        </w:rPr>
        <w:t>association;</w:t>
      </w:r>
    </w:p>
    <w:p w14:paraId="3D631C12" w14:textId="77777777" w:rsidR="005C3E15" w:rsidRDefault="008A5AAB" w:rsidP="00C16252">
      <w:pPr>
        <w:pStyle w:val="ListParagraph"/>
        <w:numPr>
          <w:ilvl w:val="2"/>
          <w:numId w:val="6"/>
        </w:numPr>
        <w:spacing w:before="200"/>
        <w:ind w:left="1624" w:hanging="434"/>
      </w:pPr>
      <w:r>
        <w:t>making</w:t>
      </w:r>
      <w:r>
        <w:rPr>
          <w:spacing w:val="-9"/>
        </w:rPr>
        <w:t xml:space="preserve"> </w:t>
      </w:r>
      <w:r>
        <w:t>chambers</w:t>
      </w:r>
      <w:r>
        <w:rPr>
          <w:spacing w:val="-11"/>
        </w:rPr>
        <w:t xml:space="preserve"> </w:t>
      </w:r>
      <w:r>
        <w:t>available,</w:t>
      </w:r>
      <w:r>
        <w:rPr>
          <w:spacing w:val="-5"/>
        </w:rPr>
        <w:t xml:space="preserve"> </w:t>
      </w:r>
      <w:r>
        <w:t>as</w:t>
      </w:r>
      <w:r>
        <w:rPr>
          <w:spacing w:val="-11"/>
        </w:rPr>
        <w:t xml:space="preserve"> </w:t>
      </w:r>
      <w:r>
        <w:t>far</w:t>
      </w:r>
      <w:r>
        <w:rPr>
          <w:spacing w:val="-8"/>
        </w:rPr>
        <w:t xml:space="preserve"> </w:t>
      </w:r>
      <w:r>
        <w:t>as</w:t>
      </w:r>
      <w:r>
        <w:rPr>
          <w:spacing w:val="-10"/>
        </w:rPr>
        <w:t xml:space="preserve"> </w:t>
      </w:r>
      <w:r>
        <w:rPr>
          <w:spacing w:val="-2"/>
        </w:rPr>
        <w:t>practicable;</w:t>
      </w:r>
    </w:p>
    <w:p w14:paraId="7FEC7F95" w14:textId="77777777" w:rsidR="005C3E15" w:rsidRDefault="008A5AAB" w:rsidP="00C16252">
      <w:pPr>
        <w:pStyle w:val="ListParagraph"/>
        <w:numPr>
          <w:ilvl w:val="2"/>
          <w:numId w:val="6"/>
        </w:numPr>
        <w:tabs>
          <w:tab w:val="left" w:pos="1890"/>
        </w:tabs>
        <w:spacing w:before="200"/>
        <w:ind w:left="1624" w:hanging="434"/>
      </w:pPr>
      <w:r>
        <w:t>providing</w:t>
      </w:r>
      <w:r>
        <w:rPr>
          <w:spacing w:val="-16"/>
        </w:rPr>
        <w:t xml:space="preserve"> </w:t>
      </w:r>
      <w:r>
        <w:t>support</w:t>
      </w:r>
      <w:r>
        <w:rPr>
          <w:spacing w:val="-13"/>
        </w:rPr>
        <w:t xml:space="preserve"> </w:t>
      </w:r>
      <w:r>
        <w:t>services;</w:t>
      </w:r>
      <w:r>
        <w:rPr>
          <w:spacing w:val="-11"/>
        </w:rPr>
        <w:t xml:space="preserve"> </w:t>
      </w:r>
      <w:r>
        <w:rPr>
          <w:spacing w:val="-5"/>
        </w:rPr>
        <w:t>and</w:t>
      </w:r>
    </w:p>
    <w:p w14:paraId="7E10E9B2" w14:textId="77777777" w:rsidR="005C3E15" w:rsidRDefault="008A5AAB" w:rsidP="00C16252">
      <w:pPr>
        <w:pStyle w:val="ListParagraph"/>
        <w:numPr>
          <w:ilvl w:val="2"/>
          <w:numId w:val="6"/>
        </w:numPr>
        <w:tabs>
          <w:tab w:val="left" w:pos="1907"/>
        </w:tabs>
        <w:spacing w:before="200"/>
        <w:ind w:left="1624" w:hanging="434"/>
      </w:pPr>
      <w:r>
        <w:t>arranging</w:t>
      </w:r>
      <w:r>
        <w:rPr>
          <w:spacing w:val="-18"/>
        </w:rPr>
        <w:t xml:space="preserve"> </w:t>
      </w:r>
      <w:r>
        <w:t>continuing</w:t>
      </w:r>
      <w:r>
        <w:rPr>
          <w:spacing w:val="-15"/>
        </w:rPr>
        <w:t xml:space="preserve"> </w:t>
      </w:r>
      <w:r>
        <w:t>legal</w:t>
      </w:r>
      <w:r>
        <w:rPr>
          <w:spacing w:val="-15"/>
        </w:rPr>
        <w:t xml:space="preserve"> </w:t>
      </w:r>
      <w:r>
        <w:t>education</w:t>
      </w:r>
      <w:r>
        <w:rPr>
          <w:spacing w:val="-16"/>
        </w:rPr>
        <w:t xml:space="preserve"> </w:t>
      </w:r>
      <w:r>
        <w:t>and</w:t>
      </w:r>
      <w:r>
        <w:rPr>
          <w:spacing w:val="-14"/>
        </w:rPr>
        <w:t xml:space="preserve"> </w:t>
      </w:r>
      <w:r>
        <w:t>professional</w:t>
      </w:r>
      <w:r>
        <w:rPr>
          <w:spacing w:val="-13"/>
        </w:rPr>
        <w:t xml:space="preserve"> </w:t>
      </w:r>
      <w:r>
        <w:rPr>
          <w:spacing w:val="-2"/>
        </w:rPr>
        <w:t>development;</w:t>
      </w:r>
    </w:p>
    <w:p w14:paraId="69E24A99" w14:textId="77777777" w:rsidR="005C3E15" w:rsidRDefault="008A5AAB" w:rsidP="00C16252">
      <w:pPr>
        <w:pStyle w:val="ListParagraph"/>
        <w:numPr>
          <w:ilvl w:val="1"/>
          <w:numId w:val="6"/>
        </w:numPr>
        <w:spacing w:before="200"/>
        <w:ind w:left="1276" w:hanging="455"/>
      </w:pPr>
      <w:r>
        <w:t>to regulate aspects of barristers’ practice (including regulation subject to delegation</w:t>
      </w:r>
      <w:r>
        <w:rPr>
          <w:spacing w:val="-6"/>
        </w:rPr>
        <w:t xml:space="preserve"> </w:t>
      </w:r>
      <w:r>
        <w:t>from</w:t>
      </w:r>
      <w:r>
        <w:rPr>
          <w:spacing w:val="-8"/>
        </w:rPr>
        <w:t xml:space="preserve"> </w:t>
      </w:r>
      <w:r>
        <w:t>the</w:t>
      </w:r>
      <w:r>
        <w:rPr>
          <w:spacing w:val="-8"/>
        </w:rPr>
        <w:t xml:space="preserve"> </w:t>
      </w:r>
      <w:r>
        <w:t>Victorian</w:t>
      </w:r>
      <w:r>
        <w:rPr>
          <w:spacing w:val="-6"/>
        </w:rPr>
        <w:t xml:space="preserve"> </w:t>
      </w:r>
      <w:r>
        <w:t>Legal</w:t>
      </w:r>
      <w:r>
        <w:rPr>
          <w:spacing w:val="-6"/>
        </w:rPr>
        <w:t xml:space="preserve"> </w:t>
      </w:r>
      <w:r>
        <w:t>Services</w:t>
      </w:r>
      <w:r>
        <w:rPr>
          <w:spacing w:val="-8"/>
        </w:rPr>
        <w:t xml:space="preserve"> </w:t>
      </w:r>
      <w:r>
        <w:t>Board)</w:t>
      </w:r>
      <w:r>
        <w:rPr>
          <w:spacing w:val="-2"/>
        </w:rPr>
        <w:t xml:space="preserve"> </w:t>
      </w:r>
      <w:r>
        <w:t>and</w:t>
      </w:r>
      <w:r>
        <w:rPr>
          <w:spacing w:val="-12"/>
        </w:rPr>
        <w:t xml:space="preserve"> </w:t>
      </w:r>
      <w:r>
        <w:t>the</w:t>
      </w:r>
      <w:r>
        <w:rPr>
          <w:spacing w:val="-8"/>
        </w:rPr>
        <w:t xml:space="preserve"> </w:t>
      </w:r>
      <w:r>
        <w:t>professional</w:t>
      </w:r>
      <w:r>
        <w:rPr>
          <w:spacing w:val="-6"/>
        </w:rPr>
        <w:t xml:space="preserve"> </w:t>
      </w:r>
      <w:r>
        <w:t>and related conduct of members;</w:t>
      </w:r>
    </w:p>
    <w:p w14:paraId="30F15A87" w14:textId="77777777" w:rsidR="005C3E15" w:rsidRDefault="008A5AAB" w:rsidP="00C16252">
      <w:pPr>
        <w:pStyle w:val="ListParagraph"/>
        <w:numPr>
          <w:ilvl w:val="1"/>
          <w:numId w:val="6"/>
        </w:numPr>
        <w:spacing w:before="200"/>
        <w:ind w:left="1276" w:hanging="455"/>
      </w:pPr>
      <w:r>
        <w:t>to</w:t>
      </w:r>
      <w:r>
        <w:rPr>
          <w:spacing w:val="-13"/>
        </w:rPr>
        <w:t xml:space="preserve"> </w:t>
      </w:r>
      <w:r>
        <w:t>promote</w:t>
      </w:r>
      <w:r>
        <w:rPr>
          <w:spacing w:val="-11"/>
        </w:rPr>
        <w:t xml:space="preserve"> </w:t>
      </w:r>
      <w:r>
        <w:t>and</w:t>
      </w:r>
      <w:r>
        <w:rPr>
          <w:spacing w:val="-11"/>
        </w:rPr>
        <w:t xml:space="preserve"> </w:t>
      </w:r>
      <w:r>
        <w:t>support</w:t>
      </w:r>
      <w:r>
        <w:rPr>
          <w:spacing w:val="-7"/>
        </w:rPr>
        <w:t xml:space="preserve"> </w:t>
      </w:r>
      <w:r>
        <w:t>the</w:t>
      </w:r>
      <w:r>
        <w:rPr>
          <w:spacing w:val="-8"/>
        </w:rPr>
        <w:t xml:space="preserve"> </w:t>
      </w:r>
      <w:r>
        <w:t>physical</w:t>
      </w:r>
      <w:r>
        <w:rPr>
          <w:spacing w:val="-9"/>
        </w:rPr>
        <w:t xml:space="preserve"> </w:t>
      </w:r>
      <w:r>
        <w:t>and</w:t>
      </w:r>
      <w:r>
        <w:rPr>
          <w:spacing w:val="-11"/>
        </w:rPr>
        <w:t xml:space="preserve"> </w:t>
      </w:r>
      <w:r>
        <w:t>mental</w:t>
      </w:r>
      <w:r>
        <w:rPr>
          <w:spacing w:val="-9"/>
        </w:rPr>
        <w:t xml:space="preserve"> </w:t>
      </w:r>
      <w:r>
        <w:t>well-being</w:t>
      </w:r>
      <w:r>
        <w:rPr>
          <w:spacing w:val="-6"/>
        </w:rPr>
        <w:t xml:space="preserve"> </w:t>
      </w:r>
      <w:r>
        <w:t>of</w:t>
      </w:r>
      <w:r>
        <w:rPr>
          <w:spacing w:val="-7"/>
        </w:rPr>
        <w:t xml:space="preserve"> </w:t>
      </w:r>
      <w:r>
        <w:rPr>
          <w:spacing w:val="-2"/>
        </w:rPr>
        <w:t>barristers;</w:t>
      </w:r>
    </w:p>
    <w:p w14:paraId="1F707C8E" w14:textId="77777777" w:rsidR="005C3E15" w:rsidRDefault="008A5AAB" w:rsidP="00C16252">
      <w:pPr>
        <w:pStyle w:val="ListParagraph"/>
        <w:numPr>
          <w:ilvl w:val="1"/>
          <w:numId w:val="6"/>
        </w:numPr>
        <w:spacing w:before="200"/>
        <w:ind w:left="1276" w:hanging="455"/>
      </w:pPr>
      <w:r>
        <w:t>to</w:t>
      </w:r>
      <w:r>
        <w:rPr>
          <w:spacing w:val="-15"/>
        </w:rPr>
        <w:t xml:space="preserve"> </w:t>
      </w:r>
      <w:r>
        <w:t>maintain</w:t>
      </w:r>
      <w:r>
        <w:rPr>
          <w:spacing w:val="-11"/>
        </w:rPr>
        <w:t xml:space="preserve"> </w:t>
      </w:r>
      <w:r>
        <w:t>a</w:t>
      </w:r>
      <w:r>
        <w:rPr>
          <w:spacing w:val="-8"/>
        </w:rPr>
        <w:t xml:space="preserve"> </w:t>
      </w:r>
      <w:r>
        <w:t>strong</w:t>
      </w:r>
      <w:r>
        <w:rPr>
          <w:spacing w:val="-11"/>
        </w:rPr>
        <w:t xml:space="preserve"> </w:t>
      </w:r>
      <w:r>
        <w:t>and</w:t>
      </w:r>
      <w:r>
        <w:rPr>
          <w:spacing w:val="-8"/>
        </w:rPr>
        <w:t xml:space="preserve"> </w:t>
      </w:r>
      <w:r>
        <w:t>independent</w:t>
      </w:r>
      <w:r>
        <w:rPr>
          <w:spacing w:val="-4"/>
        </w:rPr>
        <w:t xml:space="preserve"> </w:t>
      </w:r>
      <w:r>
        <w:t>bar</w:t>
      </w:r>
      <w:r>
        <w:rPr>
          <w:spacing w:val="-6"/>
        </w:rPr>
        <w:t xml:space="preserve"> </w:t>
      </w:r>
      <w:r>
        <w:t>in</w:t>
      </w:r>
      <w:r>
        <w:rPr>
          <w:spacing w:val="-10"/>
        </w:rPr>
        <w:t xml:space="preserve"> </w:t>
      </w:r>
      <w:r>
        <w:t>Victoria</w:t>
      </w:r>
      <w:r>
        <w:rPr>
          <w:spacing w:val="-7"/>
        </w:rPr>
        <w:t xml:space="preserve"> </w:t>
      </w:r>
      <w:r>
        <w:t>by,</w:t>
      </w:r>
      <w:r>
        <w:rPr>
          <w:spacing w:val="-7"/>
        </w:rPr>
        <w:t xml:space="preserve"> </w:t>
      </w:r>
      <w:r>
        <w:t>among</w:t>
      </w:r>
      <w:r>
        <w:rPr>
          <w:spacing w:val="-11"/>
        </w:rPr>
        <w:t xml:space="preserve"> </w:t>
      </w:r>
      <w:r>
        <w:t>other</w:t>
      </w:r>
      <w:r>
        <w:rPr>
          <w:spacing w:val="-8"/>
        </w:rPr>
        <w:t xml:space="preserve"> </w:t>
      </w:r>
      <w:r>
        <w:rPr>
          <w:spacing w:val="-2"/>
        </w:rPr>
        <w:t>things:</w:t>
      </w:r>
    </w:p>
    <w:p w14:paraId="43B71DC2" w14:textId="77777777" w:rsidR="005C3E15" w:rsidRDefault="008A5AAB" w:rsidP="00C16252">
      <w:pPr>
        <w:pStyle w:val="ListParagraph"/>
        <w:keepNext/>
        <w:numPr>
          <w:ilvl w:val="2"/>
          <w:numId w:val="6"/>
        </w:numPr>
        <w:tabs>
          <w:tab w:val="left" w:pos="1840"/>
          <w:tab w:val="left" w:pos="1842"/>
        </w:tabs>
        <w:spacing w:before="200"/>
        <w:ind w:left="1628" w:right="56" w:hanging="437"/>
      </w:pPr>
      <w:r>
        <w:lastRenderedPageBreak/>
        <w:t>promoting</w:t>
      </w:r>
      <w:r>
        <w:rPr>
          <w:spacing w:val="-7"/>
        </w:rPr>
        <w:t xml:space="preserve"> </w:t>
      </w:r>
      <w:r>
        <w:t>the</w:t>
      </w:r>
      <w:r>
        <w:rPr>
          <w:spacing w:val="-5"/>
        </w:rPr>
        <w:t xml:space="preserve"> </w:t>
      </w:r>
      <w:r>
        <w:t>Victorian</w:t>
      </w:r>
      <w:r>
        <w:rPr>
          <w:spacing w:val="-7"/>
        </w:rPr>
        <w:t xml:space="preserve"> </w:t>
      </w:r>
      <w:r>
        <w:t>Bar,</w:t>
      </w:r>
      <w:r>
        <w:rPr>
          <w:spacing w:val="-6"/>
        </w:rPr>
        <w:t xml:space="preserve"> </w:t>
      </w:r>
      <w:r>
        <w:t>and</w:t>
      </w:r>
      <w:r>
        <w:rPr>
          <w:spacing w:val="-10"/>
        </w:rPr>
        <w:t xml:space="preserve"> </w:t>
      </w:r>
      <w:r>
        <w:t>the</w:t>
      </w:r>
      <w:r>
        <w:rPr>
          <w:spacing w:val="-10"/>
        </w:rPr>
        <w:t xml:space="preserve"> </w:t>
      </w:r>
      <w:r>
        <w:t>distinctive</w:t>
      </w:r>
      <w:r>
        <w:rPr>
          <w:spacing w:val="-10"/>
        </w:rPr>
        <w:t xml:space="preserve"> </w:t>
      </w:r>
      <w:r>
        <w:t>competencies</w:t>
      </w:r>
      <w:r>
        <w:rPr>
          <w:spacing w:val="-7"/>
        </w:rPr>
        <w:t xml:space="preserve"> </w:t>
      </w:r>
      <w:r>
        <w:t>of barristers, to users of legal services and to the community; and</w:t>
      </w:r>
    </w:p>
    <w:p w14:paraId="2D8DD880" w14:textId="77777777" w:rsidR="005C3E15" w:rsidRPr="000B4328" w:rsidRDefault="008A5AAB" w:rsidP="00C16252">
      <w:pPr>
        <w:pStyle w:val="ListParagraph"/>
        <w:numPr>
          <w:ilvl w:val="2"/>
          <w:numId w:val="6"/>
        </w:numPr>
        <w:tabs>
          <w:tab w:val="left" w:pos="1839"/>
          <w:tab w:val="left" w:pos="1842"/>
        </w:tabs>
        <w:spacing w:before="200"/>
        <w:ind w:left="1628" w:right="198" w:hanging="437"/>
        <w:rPr>
          <w:spacing w:val="-2"/>
        </w:rPr>
      </w:pPr>
      <w:r w:rsidRPr="000B4328">
        <w:rPr>
          <w:spacing w:val="-2"/>
        </w:rPr>
        <w:t>enhancing relationships between the Victorian Bar and others (including governments, the judiciary, the broader legal profession, other professional associations and the community); and</w:t>
      </w:r>
    </w:p>
    <w:p w14:paraId="35B76F8E" w14:textId="77777777" w:rsidR="005C3E15" w:rsidRDefault="008A5AAB" w:rsidP="00C16252">
      <w:pPr>
        <w:pStyle w:val="ListParagraph"/>
        <w:numPr>
          <w:ilvl w:val="1"/>
          <w:numId w:val="6"/>
        </w:numPr>
        <w:spacing w:before="200"/>
        <w:ind w:left="1276" w:right="-86" w:hanging="454"/>
      </w:pPr>
      <w:r>
        <w:t>to</w:t>
      </w:r>
      <w:r>
        <w:rPr>
          <w:spacing w:val="-1"/>
        </w:rPr>
        <w:t xml:space="preserve"> </w:t>
      </w:r>
      <w:r>
        <w:t>promote</w:t>
      </w:r>
      <w:r>
        <w:rPr>
          <w:spacing w:val="-3"/>
        </w:rPr>
        <w:t xml:space="preserve"> </w:t>
      </w:r>
      <w:r>
        <w:t>the</w:t>
      </w:r>
      <w:r>
        <w:rPr>
          <w:spacing w:val="-1"/>
        </w:rPr>
        <w:t xml:space="preserve"> </w:t>
      </w:r>
      <w:r>
        <w:t>administration of and access</w:t>
      </w:r>
      <w:r>
        <w:rPr>
          <w:spacing w:val="-2"/>
        </w:rPr>
        <w:t xml:space="preserve"> </w:t>
      </w:r>
      <w:r>
        <w:t>to</w:t>
      </w:r>
      <w:r>
        <w:rPr>
          <w:spacing w:val="-1"/>
        </w:rPr>
        <w:t xml:space="preserve"> </w:t>
      </w:r>
      <w:r>
        <w:t>justice and</w:t>
      </w:r>
      <w:r>
        <w:rPr>
          <w:spacing w:val="-1"/>
        </w:rPr>
        <w:t xml:space="preserve"> </w:t>
      </w:r>
      <w:r>
        <w:t>to</w:t>
      </w:r>
      <w:r>
        <w:rPr>
          <w:spacing w:val="-3"/>
        </w:rPr>
        <w:t xml:space="preserve"> </w:t>
      </w:r>
      <w:r>
        <w:t>uphold the</w:t>
      </w:r>
      <w:r>
        <w:rPr>
          <w:spacing w:val="-1"/>
        </w:rPr>
        <w:t xml:space="preserve"> </w:t>
      </w:r>
      <w:r>
        <w:t>rule of law and democracy.</w:t>
      </w:r>
    </w:p>
    <w:p w14:paraId="593F783F" w14:textId="77777777" w:rsidR="005C3E15" w:rsidRPr="000B4328" w:rsidRDefault="008A5AAB" w:rsidP="000B4328">
      <w:pPr>
        <w:pStyle w:val="ListParagraph"/>
        <w:numPr>
          <w:ilvl w:val="0"/>
          <w:numId w:val="6"/>
        </w:numPr>
        <w:tabs>
          <w:tab w:val="left" w:pos="817"/>
          <w:tab w:val="left" w:pos="819"/>
        </w:tabs>
        <w:spacing w:before="200"/>
        <w:ind w:left="817" w:right="-158" w:hanging="363"/>
        <w:rPr>
          <w:spacing w:val="-2"/>
        </w:rPr>
      </w:pPr>
      <w:r w:rsidRPr="000B4328">
        <w:rPr>
          <w:spacing w:val="-2"/>
        </w:rPr>
        <w:t>The Scheme will have force in Victoria, New South Wales, Queensland, South Australia, Western Australia, the Northern Territory, Tasmania and the Australian Capital Territory. To the extent that the Scheme applies to limit liability in jurisdictions other than Victoria, it is subject to the professional standards legislations of those jurisdictions.</w:t>
      </w:r>
    </w:p>
    <w:p w14:paraId="37F587E1" w14:textId="77777777" w:rsidR="005C3E15" w:rsidRPr="000B4328" w:rsidRDefault="008A5AAB" w:rsidP="000B4328">
      <w:pPr>
        <w:pStyle w:val="ListParagraph"/>
        <w:numPr>
          <w:ilvl w:val="0"/>
          <w:numId w:val="6"/>
        </w:numPr>
        <w:tabs>
          <w:tab w:val="left" w:pos="815"/>
          <w:tab w:val="left" w:pos="820"/>
        </w:tabs>
        <w:spacing w:before="200"/>
        <w:ind w:left="817" w:right="-113" w:hanging="363"/>
        <w:rPr>
          <w:spacing w:val="-2"/>
        </w:rPr>
      </w:pPr>
      <w:r w:rsidRPr="000B4328">
        <w:rPr>
          <w:spacing w:val="-2"/>
        </w:rPr>
        <w:t>The Victorian Bar furnished the Professional Standards Councils (“the Council”) with a detailed list of the risk management strategies to be implemented in respect of Victorian Bar members and the means by which those strategies are to be implemented.</w:t>
      </w:r>
    </w:p>
    <w:p w14:paraId="53251E81" w14:textId="77777777" w:rsidR="005C3E15" w:rsidRPr="000B4328" w:rsidRDefault="008A5AAB" w:rsidP="000B4328">
      <w:pPr>
        <w:pStyle w:val="ListParagraph"/>
        <w:numPr>
          <w:ilvl w:val="0"/>
          <w:numId w:val="6"/>
        </w:numPr>
        <w:tabs>
          <w:tab w:val="left" w:pos="820"/>
        </w:tabs>
        <w:spacing w:before="200"/>
        <w:ind w:left="817" w:right="-113" w:hanging="363"/>
        <w:rPr>
          <w:spacing w:val="-2"/>
        </w:rPr>
      </w:pPr>
      <w:r w:rsidRPr="000B4328">
        <w:rPr>
          <w:spacing w:val="-2"/>
        </w:rPr>
        <w:t>The Victorian Bar has furnished the Council with details of its insurance standards and professional indemnity insurance claims monitoring process. The Victorian Bar will not amend these insurance standards while the Scheme is in force without prior approval of the Council.</w:t>
      </w:r>
    </w:p>
    <w:p w14:paraId="52101E24" w14:textId="77777777" w:rsidR="005C3E15" w:rsidRPr="000B4328" w:rsidRDefault="008A5AAB" w:rsidP="000B4328">
      <w:pPr>
        <w:pStyle w:val="ListParagraph"/>
        <w:numPr>
          <w:ilvl w:val="0"/>
          <w:numId w:val="6"/>
        </w:numPr>
        <w:tabs>
          <w:tab w:val="left" w:pos="816"/>
          <w:tab w:val="left" w:pos="820"/>
        </w:tabs>
        <w:spacing w:before="200"/>
        <w:ind w:left="817" w:right="-186" w:hanging="363"/>
        <w:rPr>
          <w:spacing w:val="-2"/>
        </w:rPr>
      </w:pPr>
      <w:r w:rsidRPr="000B4328">
        <w:rPr>
          <w:spacing w:val="-2"/>
        </w:rPr>
        <w:t>The Victorian Bar has advised its members to whom the Scheme applies that they must have the benefit of a professional indemnity policy that complies with the Victorian Bar’s insurance standards and that they remain liable for the amount of any difference between the amount payable to a plaintiff under the policy and the monetary ceiling specified in the Scheme.</w:t>
      </w:r>
    </w:p>
    <w:p w14:paraId="4F613EC4" w14:textId="77777777" w:rsidR="005C3E15" w:rsidRPr="000B4328" w:rsidRDefault="008A5AAB" w:rsidP="000B4328">
      <w:pPr>
        <w:pStyle w:val="ListParagraph"/>
        <w:numPr>
          <w:ilvl w:val="0"/>
          <w:numId w:val="6"/>
        </w:numPr>
        <w:tabs>
          <w:tab w:val="left" w:pos="817"/>
          <w:tab w:val="left" w:pos="821"/>
        </w:tabs>
        <w:spacing w:before="200"/>
        <w:ind w:left="817" w:right="-113" w:hanging="363"/>
        <w:rPr>
          <w:i/>
          <w:spacing w:val="-2"/>
        </w:rPr>
      </w:pPr>
      <w:r w:rsidRPr="000B4328">
        <w:rPr>
          <w:spacing w:val="-2"/>
        </w:rPr>
        <w:t xml:space="preserve">The Victorian Bar has furnished the Council with details of the complaints and disciplinary system to which its members are subject, as set out in the </w:t>
      </w:r>
      <w:r w:rsidRPr="000B4328">
        <w:rPr>
          <w:i/>
          <w:spacing w:val="-2"/>
        </w:rPr>
        <w:t>Legal Profession Uniform Law.</w:t>
      </w:r>
    </w:p>
    <w:p w14:paraId="2095BCAB" w14:textId="77777777" w:rsidR="005C3E15" w:rsidRPr="000B4328" w:rsidRDefault="008A5AAB" w:rsidP="000B4328">
      <w:pPr>
        <w:pStyle w:val="ListParagraph"/>
        <w:numPr>
          <w:ilvl w:val="0"/>
          <w:numId w:val="6"/>
        </w:numPr>
        <w:tabs>
          <w:tab w:val="left" w:pos="817"/>
          <w:tab w:val="left" w:pos="821"/>
        </w:tabs>
        <w:spacing w:before="200"/>
        <w:ind w:left="817" w:right="-113" w:hanging="363"/>
        <w:rPr>
          <w:spacing w:val="-2"/>
        </w:rPr>
      </w:pPr>
      <w:r w:rsidRPr="000B4328">
        <w:rPr>
          <w:spacing w:val="-2"/>
        </w:rPr>
        <w:t>The Victorian Bar and its members to whom the Scheme applies have undertaken to comply with all reporting obligations associated with the Scheme, in furtherance of the statutory objects of improvement of the occupational standards of its members, and protection of the consumers of such members’ services.</w:t>
      </w:r>
    </w:p>
    <w:p w14:paraId="2B73A225" w14:textId="77777777" w:rsidR="005C3E15" w:rsidRPr="000B4328" w:rsidRDefault="008A5AAB" w:rsidP="000B4328">
      <w:pPr>
        <w:pStyle w:val="ListParagraph"/>
        <w:numPr>
          <w:ilvl w:val="0"/>
          <w:numId w:val="6"/>
        </w:numPr>
        <w:tabs>
          <w:tab w:val="left" w:pos="813"/>
          <w:tab w:val="left" w:pos="821"/>
        </w:tabs>
        <w:spacing w:before="200"/>
        <w:ind w:left="817" w:right="-113" w:hanging="363"/>
        <w:rPr>
          <w:spacing w:val="-2"/>
        </w:rPr>
      </w:pPr>
      <w:r w:rsidRPr="000B4328">
        <w:rPr>
          <w:spacing w:val="-2"/>
        </w:rPr>
        <w:t xml:space="preserve">The Victorian Bar has undertaken to remit all fees payable under the </w:t>
      </w:r>
      <w:r w:rsidRPr="000B4328">
        <w:rPr>
          <w:i/>
          <w:spacing w:val="-2"/>
        </w:rPr>
        <w:t xml:space="preserve">Professional Standards Regulations 2017 </w:t>
      </w:r>
      <w:r w:rsidRPr="000B4328">
        <w:rPr>
          <w:spacing w:val="-2"/>
        </w:rPr>
        <w:t>(Vic) to the Council as and when these become due.</w:t>
      </w:r>
    </w:p>
    <w:p w14:paraId="05F1E14A" w14:textId="77777777" w:rsidR="005C3E15" w:rsidRPr="000B4328" w:rsidRDefault="008A5AAB" w:rsidP="000B4328">
      <w:pPr>
        <w:pStyle w:val="ListParagraph"/>
        <w:numPr>
          <w:ilvl w:val="0"/>
          <w:numId w:val="6"/>
        </w:numPr>
        <w:tabs>
          <w:tab w:val="left" w:pos="815"/>
          <w:tab w:val="left" w:pos="821"/>
        </w:tabs>
        <w:spacing w:before="200"/>
        <w:ind w:left="817" w:right="-113" w:hanging="363"/>
        <w:jc w:val="both"/>
        <w:rPr>
          <w:spacing w:val="-2"/>
        </w:rPr>
      </w:pPr>
      <w:r w:rsidRPr="000B4328">
        <w:rPr>
          <w:spacing w:val="-2"/>
        </w:rPr>
        <w:t>The Scheme is intended to commence on 1 July 2025 and remain in force for five years from its commencement unless, prior to that time, it is revoked, its operation ceases, or it is extended.</w:t>
      </w:r>
    </w:p>
    <w:p w14:paraId="17ECC428" w14:textId="77777777" w:rsidR="005C3E15" w:rsidRDefault="008A5AAB" w:rsidP="000B4328">
      <w:pPr>
        <w:pStyle w:val="ListParagraph"/>
        <w:numPr>
          <w:ilvl w:val="0"/>
          <w:numId w:val="6"/>
        </w:numPr>
        <w:tabs>
          <w:tab w:val="left" w:pos="817"/>
          <w:tab w:val="left" w:pos="819"/>
        </w:tabs>
        <w:spacing w:before="200"/>
        <w:ind w:left="817" w:right="-113" w:hanging="363"/>
      </w:pPr>
      <w:r w:rsidRPr="000B4328">
        <w:rPr>
          <w:spacing w:val="-2"/>
        </w:rPr>
        <w:t xml:space="preserve">Sections 12GNA(2) of the </w:t>
      </w:r>
      <w:r w:rsidRPr="000B4328">
        <w:rPr>
          <w:i/>
          <w:spacing w:val="-2"/>
        </w:rPr>
        <w:t>Australian</w:t>
      </w:r>
      <w:r>
        <w:rPr>
          <w:i/>
        </w:rPr>
        <w:t xml:space="preserve"> Securities and Investments Commission Act 2001 </w:t>
      </w:r>
      <w:r>
        <w:t>(Cth),</w:t>
      </w:r>
      <w:r>
        <w:rPr>
          <w:spacing w:val="-1"/>
        </w:rPr>
        <w:t xml:space="preserve"> </w:t>
      </w:r>
      <w:r>
        <w:t>137(2) of</w:t>
      </w:r>
      <w:r>
        <w:rPr>
          <w:spacing w:val="-1"/>
        </w:rPr>
        <w:t xml:space="preserve"> </w:t>
      </w:r>
      <w:r>
        <w:t>the</w:t>
      </w:r>
      <w:r>
        <w:rPr>
          <w:spacing w:val="-5"/>
        </w:rPr>
        <w:t xml:space="preserve"> </w:t>
      </w:r>
      <w:r>
        <w:rPr>
          <w:i/>
        </w:rPr>
        <w:t>Competition and</w:t>
      </w:r>
      <w:r>
        <w:rPr>
          <w:i/>
          <w:spacing w:val="-2"/>
        </w:rPr>
        <w:t xml:space="preserve"> </w:t>
      </w:r>
      <w:r>
        <w:rPr>
          <w:i/>
        </w:rPr>
        <w:t>Consumer</w:t>
      </w:r>
      <w:r>
        <w:rPr>
          <w:i/>
          <w:spacing w:val="-1"/>
        </w:rPr>
        <w:t xml:space="preserve"> </w:t>
      </w:r>
      <w:r>
        <w:rPr>
          <w:i/>
        </w:rPr>
        <w:t>Act</w:t>
      </w:r>
      <w:r>
        <w:rPr>
          <w:i/>
          <w:spacing w:val="-1"/>
        </w:rPr>
        <w:t xml:space="preserve"> </w:t>
      </w:r>
      <w:r>
        <w:rPr>
          <w:i/>
        </w:rPr>
        <w:t>2010</w:t>
      </w:r>
      <w:r>
        <w:rPr>
          <w:i/>
          <w:spacing w:val="-5"/>
        </w:rPr>
        <w:t xml:space="preserve"> </w:t>
      </w:r>
      <w:r>
        <w:t>(Cth),</w:t>
      </w:r>
      <w:r>
        <w:rPr>
          <w:spacing w:val="-1"/>
        </w:rPr>
        <w:t xml:space="preserve"> </w:t>
      </w:r>
      <w:r>
        <w:t>and</w:t>
      </w:r>
      <w:r>
        <w:rPr>
          <w:spacing w:val="-7"/>
        </w:rPr>
        <w:t xml:space="preserve"> </w:t>
      </w:r>
      <w:r>
        <w:t xml:space="preserve">1044B(2) of the </w:t>
      </w:r>
      <w:r>
        <w:rPr>
          <w:i/>
        </w:rPr>
        <w:t xml:space="preserve">Corporations Act 2001 </w:t>
      </w:r>
      <w:r>
        <w:t>(Cth) provide for limited liability where a Professional Standards Scheme is prescribed in the relevant regulation. The Scheme does not apply to</w:t>
      </w:r>
      <w:r>
        <w:rPr>
          <w:spacing w:val="-2"/>
        </w:rPr>
        <w:t xml:space="preserve"> </w:t>
      </w:r>
      <w:r>
        <w:t>limit any</w:t>
      </w:r>
      <w:r>
        <w:rPr>
          <w:spacing w:val="-2"/>
        </w:rPr>
        <w:t xml:space="preserve"> </w:t>
      </w:r>
      <w:r>
        <w:t>liability</w:t>
      </w:r>
      <w:r>
        <w:rPr>
          <w:spacing w:val="-2"/>
        </w:rPr>
        <w:t xml:space="preserve"> </w:t>
      </w:r>
      <w:r>
        <w:t>under a</w:t>
      </w:r>
      <w:r>
        <w:rPr>
          <w:spacing w:val="-5"/>
        </w:rPr>
        <w:t xml:space="preserve"> </w:t>
      </w:r>
      <w:r>
        <w:t>Commonwealth</w:t>
      </w:r>
      <w:r>
        <w:rPr>
          <w:spacing w:val="-2"/>
        </w:rPr>
        <w:t xml:space="preserve"> </w:t>
      </w:r>
      <w:r>
        <w:t>law</w:t>
      </w:r>
      <w:r>
        <w:rPr>
          <w:spacing w:val="-1"/>
        </w:rPr>
        <w:t xml:space="preserve"> </w:t>
      </w:r>
      <w:r>
        <w:t>unless it</w:t>
      </w:r>
      <w:r>
        <w:rPr>
          <w:spacing w:val="-1"/>
        </w:rPr>
        <w:t xml:space="preserve"> </w:t>
      </w:r>
      <w:r>
        <w:t>has been</w:t>
      </w:r>
      <w:r>
        <w:rPr>
          <w:spacing w:val="-2"/>
        </w:rPr>
        <w:t xml:space="preserve"> </w:t>
      </w:r>
      <w:r>
        <w:t>prescribed under regulations by the Commonwealth.</w:t>
      </w:r>
    </w:p>
    <w:p w14:paraId="0B087371" w14:textId="77777777" w:rsidR="005C3E15" w:rsidRDefault="008A5AAB" w:rsidP="000B4328">
      <w:pPr>
        <w:keepLines/>
        <w:spacing w:before="240"/>
        <w:ind w:left="170" w:right="340"/>
        <w:jc w:val="center"/>
        <w:rPr>
          <w:b/>
          <w:sz w:val="34"/>
        </w:rPr>
      </w:pPr>
      <w:r>
        <w:rPr>
          <w:b/>
          <w:sz w:val="34"/>
        </w:rPr>
        <w:lastRenderedPageBreak/>
        <w:t>THE</w:t>
      </w:r>
      <w:r>
        <w:rPr>
          <w:b/>
          <w:spacing w:val="-8"/>
          <w:sz w:val="34"/>
        </w:rPr>
        <w:t xml:space="preserve"> </w:t>
      </w:r>
      <w:r>
        <w:rPr>
          <w:b/>
          <w:sz w:val="34"/>
        </w:rPr>
        <w:t>VICTORIAN</w:t>
      </w:r>
      <w:r>
        <w:rPr>
          <w:b/>
          <w:spacing w:val="-7"/>
          <w:sz w:val="34"/>
        </w:rPr>
        <w:t xml:space="preserve"> </w:t>
      </w:r>
      <w:r>
        <w:rPr>
          <w:b/>
          <w:sz w:val="34"/>
        </w:rPr>
        <w:t>BAR</w:t>
      </w:r>
      <w:r>
        <w:rPr>
          <w:b/>
          <w:spacing w:val="-10"/>
          <w:sz w:val="34"/>
        </w:rPr>
        <w:t xml:space="preserve"> </w:t>
      </w:r>
      <w:r>
        <w:rPr>
          <w:b/>
          <w:sz w:val="34"/>
        </w:rPr>
        <w:t>PROFESSIONAL STANDARDS SCHEME</w:t>
      </w:r>
    </w:p>
    <w:p w14:paraId="5E41736A" w14:textId="77777777" w:rsidR="005C3E15" w:rsidRDefault="008A5AAB" w:rsidP="000B4328">
      <w:pPr>
        <w:pStyle w:val="Heading1"/>
        <w:numPr>
          <w:ilvl w:val="0"/>
          <w:numId w:val="5"/>
        </w:numPr>
        <w:tabs>
          <w:tab w:val="left" w:pos="813"/>
        </w:tabs>
        <w:spacing w:before="200"/>
        <w:ind w:left="357" w:hanging="357"/>
      </w:pPr>
      <w:r>
        <w:rPr>
          <w:spacing w:val="-2"/>
        </w:rPr>
        <w:t>Occupational</w:t>
      </w:r>
      <w:r>
        <w:rPr>
          <w:spacing w:val="8"/>
        </w:rPr>
        <w:t xml:space="preserve"> </w:t>
      </w:r>
      <w:r>
        <w:rPr>
          <w:spacing w:val="-2"/>
        </w:rPr>
        <w:t>association</w:t>
      </w:r>
    </w:p>
    <w:p w14:paraId="5D20AC70" w14:textId="77777777" w:rsidR="005C3E15" w:rsidRDefault="008A5AAB" w:rsidP="000B4328">
      <w:pPr>
        <w:pStyle w:val="ListParagraph"/>
        <w:numPr>
          <w:ilvl w:val="1"/>
          <w:numId w:val="5"/>
        </w:numPr>
        <w:spacing w:before="200"/>
        <w:ind w:left="993" w:hanging="567"/>
      </w:pPr>
      <w:r>
        <w:t>The Victorian Bar Inc Professional Standards Scheme (“the Scheme”) is a scheme</w:t>
      </w:r>
      <w:r>
        <w:rPr>
          <w:spacing w:val="-2"/>
        </w:rPr>
        <w:t xml:space="preserve"> </w:t>
      </w:r>
      <w:r>
        <w:t>under</w:t>
      </w:r>
      <w:r>
        <w:rPr>
          <w:spacing w:val="-2"/>
        </w:rPr>
        <w:t xml:space="preserve"> </w:t>
      </w:r>
      <w:r>
        <w:t>the</w:t>
      </w:r>
      <w:r>
        <w:rPr>
          <w:spacing w:val="-2"/>
        </w:rPr>
        <w:t xml:space="preserve"> </w:t>
      </w:r>
      <w:bookmarkStart w:id="3" w:name="_Hlk193269636"/>
      <w:r>
        <w:rPr>
          <w:i/>
        </w:rPr>
        <w:t>Professional</w:t>
      </w:r>
      <w:r>
        <w:rPr>
          <w:i/>
          <w:spacing w:val="-1"/>
        </w:rPr>
        <w:t xml:space="preserve"> </w:t>
      </w:r>
      <w:r>
        <w:rPr>
          <w:i/>
        </w:rPr>
        <w:t>Standards</w:t>
      </w:r>
      <w:r>
        <w:rPr>
          <w:i/>
          <w:spacing w:val="-2"/>
        </w:rPr>
        <w:t xml:space="preserve"> </w:t>
      </w:r>
      <w:r>
        <w:rPr>
          <w:i/>
        </w:rPr>
        <w:t>Act</w:t>
      </w:r>
      <w:r>
        <w:rPr>
          <w:i/>
          <w:spacing w:val="-1"/>
        </w:rPr>
        <w:t xml:space="preserve"> </w:t>
      </w:r>
      <w:r>
        <w:rPr>
          <w:i/>
        </w:rPr>
        <w:t xml:space="preserve">2003 </w:t>
      </w:r>
      <w:r>
        <w:t>(Vic)</w:t>
      </w:r>
      <w:r>
        <w:rPr>
          <w:spacing w:val="-2"/>
        </w:rPr>
        <w:t xml:space="preserve"> </w:t>
      </w:r>
      <w:bookmarkEnd w:id="3"/>
      <w:r>
        <w:t>(“the</w:t>
      </w:r>
      <w:r>
        <w:rPr>
          <w:spacing w:val="-2"/>
        </w:rPr>
        <w:t xml:space="preserve"> </w:t>
      </w:r>
      <w:r>
        <w:t>Act”)</w:t>
      </w:r>
      <w:r>
        <w:rPr>
          <w:spacing w:val="-2"/>
        </w:rPr>
        <w:t xml:space="preserve"> </w:t>
      </w:r>
      <w:r>
        <w:t>prepared by the</w:t>
      </w:r>
      <w:r>
        <w:rPr>
          <w:spacing w:val="-4"/>
        </w:rPr>
        <w:t xml:space="preserve"> </w:t>
      </w:r>
      <w:r>
        <w:t>Victorian</w:t>
      </w:r>
      <w:r>
        <w:rPr>
          <w:spacing w:val="-4"/>
        </w:rPr>
        <w:t xml:space="preserve"> </w:t>
      </w:r>
      <w:r>
        <w:t>Bar</w:t>
      </w:r>
      <w:r>
        <w:rPr>
          <w:spacing w:val="-8"/>
        </w:rPr>
        <w:t xml:space="preserve"> </w:t>
      </w:r>
      <w:r>
        <w:t>Inc</w:t>
      </w:r>
      <w:r>
        <w:rPr>
          <w:spacing w:val="-8"/>
        </w:rPr>
        <w:t xml:space="preserve"> </w:t>
      </w:r>
      <w:r>
        <w:t>(“the</w:t>
      </w:r>
      <w:r>
        <w:rPr>
          <w:spacing w:val="-4"/>
        </w:rPr>
        <w:t xml:space="preserve"> </w:t>
      </w:r>
      <w:r>
        <w:t>Victorian</w:t>
      </w:r>
      <w:r>
        <w:rPr>
          <w:spacing w:val="-6"/>
        </w:rPr>
        <w:t xml:space="preserve"> </w:t>
      </w:r>
      <w:r>
        <w:t>Bar”).</w:t>
      </w:r>
      <w:r>
        <w:rPr>
          <w:spacing w:val="-5"/>
        </w:rPr>
        <w:t xml:space="preserve"> </w:t>
      </w:r>
      <w:r>
        <w:t>The</w:t>
      </w:r>
      <w:r>
        <w:rPr>
          <w:spacing w:val="-9"/>
        </w:rPr>
        <w:t xml:space="preserve"> </w:t>
      </w:r>
      <w:r>
        <w:t>registered</w:t>
      </w:r>
      <w:r>
        <w:rPr>
          <w:spacing w:val="-6"/>
        </w:rPr>
        <w:t xml:space="preserve"> </w:t>
      </w:r>
      <w:r>
        <w:t>address</w:t>
      </w:r>
      <w:r>
        <w:rPr>
          <w:spacing w:val="-8"/>
        </w:rPr>
        <w:t xml:space="preserve"> </w:t>
      </w:r>
      <w:r>
        <w:t>of</w:t>
      </w:r>
      <w:r>
        <w:rPr>
          <w:spacing w:val="-5"/>
        </w:rPr>
        <w:t xml:space="preserve"> </w:t>
      </w:r>
      <w:r>
        <w:t>the</w:t>
      </w:r>
      <w:r>
        <w:rPr>
          <w:spacing w:val="-9"/>
        </w:rPr>
        <w:t xml:space="preserve"> </w:t>
      </w:r>
      <w:r>
        <w:t xml:space="preserve">Victorian Bar is Level 5, Owen Dixon Chambers East, 205 William Street, Melbourne, </w:t>
      </w:r>
      <w:r>
        <w:rPr>
          <w:spacing w:val="-2"/>
        </w:rPr>
        <w:t>Victoria.</w:t>
      </w:r>
    </w:p>
    <w:p w14:paraId="49841E00" w14:textId="77777777" w:rsidR="005C3E15" w:rsidRDefault="008A5AAB" w:rsidP="000B4328">
      <w:pPr>
        <w:pStyle w:val="Heading1"/>
        <w:numPr>
          <w:ilvl w:val="0"/>
          <w:numId w:val="5"/>
        </w:numPr>
        <w:tabs>
          <w:tab w:val="left" w:pos="813"/>
        </w:tabs>
        <w:spacing w:before="200"/>
        <w:ind w:left="357" w:hanging="357"/>
      </w:pPr>
      <w:r>
        <w:t>Persons</w:t>
      </w:r>
      <w:r>
        <w:rPr>
          <w:spacing w:val="-8"/>
        </w:rPr>
        <w:t xml:space="preserve"> </w:t>
      </w:r>
      <w:r>
        <w:t>to</w:t>
      </w:r>
      <w:r>
        <w:rPr>
          <w:spacing w:val="-10"/>
        </w:rPr>
        <w:t xml:space="preserve"> </w:t>
      </w:r>
      <w:r>
        <w:t>whom</w:t>
      </w:r>
      <w:r>
        <w:rPr>
          <w:spacing w:val="-7"/>
        </w:rPr>
        <w:t xml:space="preserve"> </w:t>
      </w:r>
      <w:r>
        <w:t>the</w:t>
      </w:r>
      <w:r>
        <w:rPr>
          <w:spacing w:val="-7"/>
        </w:rPr>
        <w:t xml:space="preserve"> </w:t>
      </w:r>
      <w:r>
        <w:t>Scheme</w:t>
      </w:r>
      <w:r>
        <w:rPr>
          <w:spacing w:val="-5"/>
        </w:rPr>
        <w:t xml:space="preserve"> </w:t>
      </w:r>
      <w:r>
        <w:rPr>
          <w:spacing w:val="-2"/>
        </w:rPr>
        <w:t>applies</w:t>
      </w:r>
    </w:p>
    <w:p w14:paraId="7EE64AA2" w14:textId="77777777" w:rsidR="005C3E15" w:rsidRDefault="008A5AAB" w:rsidP="000B4328">
      <w:pPr>
        <w:pStyle w:val="ListParagraph"/>
        <w:numPr>
          <w:ilvl w:val="1"/>
          <w:numId w:val="5"/>
        </w:numPr>
        <w:tabs>
          <w:tab w:val="left" w:pos="1175"/>
        </w:tabs>
        <w:spacing w:before="200"/>
        <w:ind w:left="992" w:hanging="567"/>
      </w:pPr>
      <w:r>
        <w:t>The</w:t>
      </w:r>
      <w:r>
        <w:rPr>
          <w:spacing w:val="-9"/>
        </w:rPr>
        <w:t xml:space="preserve"> </w:t>
      </w:r>
      <w:r>
        <w:t>Scheme</w:t>
      </w:r>
      <w:r>
        <w:rPr>
          <w:spacing w:val="-11"/>
        </w:rPr>
        <w:t xml:space="preserve"> </w:t>
      </w:r>
      <w:r>
        <w:t>applies</w:t>
      </w:r>
      <w:r>
        <w:rPr>
          <w:spacing w:val="-8"/>
        </w:rPr>
        <w:t xml:space="preserve"> </w:t>
      </w:r>
      <w:r>
        <w:rPr>
          <w:spacing w:val="-5"/>
        </w:rPr>
        <w:t>to:</w:t>
      </w:r>
    </w:p>
    <w:p w14:paraId="5B796825" w14:textId="77777777" w:rsidR="005C3E15" w:rsidRDefault="008A5AAB" w:rsidP="000B4328">
      <w:pPr>
        <w:pStyle w:val="ListParagraph"/>
        <w:numPr>
          <w:ilvl w:val="2"/>
          <w:numId w:val="5"/>
        </w:numPr>
        <w:spacing w:before="200"/>
        <w:ind w:left="1736"/>
      </w:pPr>
      <w:r>
        <w:t>the</w:t>
      </w:r>
      <w:r>
        <w:rPr>
          <w:spacing w:val="-7"/>
        </w:rPr>
        <w:t xml:space="preserve"> </w:t>
      </w:r>
      <w:r>
        <w:t>class</w:t>
      </w:r>
      <w:r>
        <w:rPr>
          <w:spacing w:val="-7"/>
        </w:rPr>
        <w:t xml:space="preserve"> </w:t>
      </w:r>
      <w:r>
        <w:t>of</w:t>
      </w:r>
      <w:r>
        <w:rPr>
          <w:spacing w:val="-3"/>
        </w:rPr>
        <w:t xml:space="preserve"> </w:t>
      </w:r>
      <w:r>
        <w:t>persons</w:t>
      </w:r>
      <w:r>
        <w:rPr>
          <w:spacing w:val="-7"/>
        </w:rPr>
        <w:t xml:space="preserve"> </w:t>
      </w:r>
      <w:r>
        <w:t>within</w:t>
      </w:r>
      <w:r>
        <w:rPr>
          <w:spacing w:val="-5"/>
        </w:rPr>
        <w:t xml:space="preserve"> </w:t>
      </w:r>
      <w:r>
        <w:t>the</w:t>
      </w:r>
      <w:r>
        <w:rPr>
          <w:spacing w:val="-7"/>
        </w:rPr>
        <w:t xml:space="preserve"> </w:t>
      </w:r>
      <w:r>
        <w:t>Victorian</w:t>
      </w:r>
      <w:r>
        <w:rPr>
          <w:spacing w:val="-5"/>
        </w:rPr>
        <w:t xml:space="preserve"> </w:t>
      </w:r>
      <w:r>
        <w:t>Bar,</w:t>
      </w:r>
      <w:r>
        <w:rPr>
          <w:spacing w:val="-8"/>
        </w:rPr>
        <w:t xml:space="preserve"> </w:t>
      </w:r>
      <w:r>
        <w:t>more</w:t>
      </w:r>
      <w:r>
        <w:rPr>
          <w:spacing w:val="-7"/>
        </w:rPr>
        <w:t xml:space="preserve"> </w:t>
      </w:r>
      <w:r>
        <w:t>particularly</w:t>
      </w:r>
      <w:r>
        <w:rPr>
          <w:spacing w:val="-4"/>
        </w:rPr>
        <w:t xml:space="preserve"> </w:t>
      </w:r>
      <w:r>
        <w:t>specified</w:t>
      </w:r>
      <w:r>
        <w:rPr>
          <w:spacing w:val="-10"/>
        </w:rPr>
        <w:t xml:space="preserve"> </w:t>
      </w:r>
      <w:r>
        <w:t>in sub-clause 2.2 of this Scheme document; and</w:t>
      </w:r>
    </w:p>
    <w:p w14:paraId="5B9D3B4A" w14:textId="77777777" w:rsidR="005C3E15" w:rsidRDefault="008A5AAB" w:rsidP="000B4328">
      <w:pPr>
        <w:pStyle w:val="ListParagraph"/>
        <w:numPr>
          <w:ilvl w:val="2"/>
          <w:numId w:val="5"/>
        </w:numPr>
        <w:spacing w:before="200"/>
        <w:ind w:left="1736"/>
      </w:pPr>
      <w:r>
        <w:t>to</w:t>
      </w:r>
      <w:r>
        <w:rPr>
          <w:spacing w:val="-4"/>
        </w:rPr>
        <w:t xml:space="preserve"> </w:t>
      </w:r>
      <w:r>
        <w:t>persons</w:t>
      </w:r>
      <w:r>
        <w:rPr>
          <w:spacing w:val="-6"/>
        </w:rPr>
        <w:t xml:space="preserve"> </w:t>
      </w:r>
      <w:r>
        <w:t>to</w:t>
      </w:r>
      <w:r>
        <w:rPr>
          <w:spacing w:val="-6"/>
        </w:rPr>
        <w:t xml:space="preserve"> </w:t>
      </w:r>
      <w:r>
        <w:t>whom</w:t>
      </w:r>
      <w:r>
        <w:rPr>
          <w:spacing w:val="-5"/>
        </w:rPr>
        <w:t xml:space="preserve"> </w:t>
      </w:r>
      <w:r>
        <w:t>the</w:t>
      </w:r>
      <w:r>
        <w:rPr>
          <w:spacing w:val="-11"/>
        </w:rPr>
        <w:t xml:space="preserve"> </w:t>
      </w:r>
      <w:r>
        <w:t>Scheme</w:t>
      </w:r>
      <w:r>
        <w:rPr>
          <w:spacing w:val="-4"/>
        </w:rPr>
        <w:t xml:space="preserve"> </w:t>
      </w:r>
      <w:r>
        <w:t>applies</w:t>
      </w:r>
      <w:r>
        <w:rPr>
          <w:spacing w:val="-3"/>
        </w:rPr>
        <w:t xml:space="preserve"> </w:t>
      </w:r>
      <w:r>
        <w:t>by</w:t>
      </w:r>
      <w:r>
        <w:rPr>
          <w:spacing w:val="-6"/>
        </w:rPr>
        <w:t xml:space="preserve"> </w:t>
      </w:r>
      <w:r>
        <w:t>virtue</w:t>
      </w:r>
      <w:r>
        <w:rPr>
          <w:spacing w:val="-6"/>
        </w:rPr>
        <w:t xml:space="preserve"> </w:t>
      </w:r>
      <w:r>
        <w:t>of</w:t>
      </w:r>
      <w:r>
        <w:rPr>
          <w:spacing w:val="-3"/>
        </w:rPr>
        <w:t xml:space="preserve"> </w:t>
      </w:r>
      <w:r>
        <w:t>sections</w:t>
      </w:r>
      <w:r>
        <w:rPr>
          <w:spacing w:val="-6"/>
        </w:rPr>
        <w:t xml:space="preserve"> </w:t>
      </w:r>
      <w:r>
        <w:t>20,</w:t>
      </w:r>
      <w:r>
        <w:rPr>
          <w:spacing w:val="-3"/>
        </w:rPr>
        <w:t xml:space="preserve"> </w:t>
      </w:r>
      <w:r>
        <w:t>21</w:t>
      </w:r>
      <w:r>
        <w:rPr>
          <w:spacing w:val="-6"/>
        </w:rPr>
        <w:t xml:space="preserve"> </w:t>
      </w:r>
      <w:r>
        <w:t>and 22 of the Act.</w:t>
      </w:r>
    </w:p>
    <w:p w14:paraId="0CD29BF6" w14:textId="77777777" w:rsidR="005C3E15" w:rsidRDefault="008A5AAB" w:rsidP="000B4328">
      <w:pPr>
        <w:pStyle w:val="ListParagraph"/>
        <w:numPr>
          <w:ilvl w:val="1"/>
          <w:numId w:val="5"/>
        </w:numPr>
        <w:tabs>
          <w:tab w:val="left" w:pos="1175"/>
          <w:tab w:val="left" w:pos="1178"/>
        </w:tabs>
        <w:spacing w:before="200"/>
        <w:ind w:left="992" w:hanging="567"/>
      </w:pPr>
      <w:r>
        <w:t>The</w:t>
      </w:r>
      <w:r>
        <w:rPr>
          <w:spacing w:val="-4"/>
        </w:rPr>
        <w:t xml:space="preserve"> </w:t>
      </w:r>
      <w:r>
        <w:t>class</w:t>
      </w:r>
      <w:r>
        <w:rPr>
          <w:spacing w:val="-4"/>
        </w:rPr>
        <w:t xml:space="preserve"> </w:t>
      </w:r>
      <w:r>
        <w:t>of</w:t>
      </w:r>
      <w:r>
        <w:rPr>
          <w:spacing w:val="-3"/>
        </w:rPr>
        <w:t xml:space="preserve"> </w:t>
      </w:r>
      <w:r>
        <w:t>Scheme</w:t>
      </w:r>
      <w:r>
        <w:rPr>
          <w:spacing w:val="-9"/>
        </w:rPr>
        <w:t xml:space="preserve"> </w:t>
      </w:r>
      <w:r>
        <w:t>members</w:t>
      </w:r>
      <w:r>
        <w:rPr>
          <w:spacing w:val="-8"/>
        </w:rPr>
        <w:t xml:space="preserve"> </w:t>
      </w:r>
      <w:r>
        <w:t>referred</w:t>
      </w:r>
      <w:r>
        <w:rPr>
          <w:spacing w:val="-9"/>
        </w:rPr>
        <w:t xml:space="preserve"> </w:t>
      </w:r>
      <w:r>
        <w:t>to</w:t>
      </w:r>
      <w:r>
        <w:rPr>
          <w:spacing w:val="-6"/>
        </w:rPr>
        <w:t xml:space="preserve"> </w:t>
      </w:r>
      <w:r>
        <w:t>in</w:t>
      </w:r>
      <w:r>
        <w:rPr>
          <w:spacing w:val="-6"/>
        </w:rPr>
        <w:t xml:space="preserve"> </w:t>
      </w:r>
      <w:r>
        <w:t>sub-clause</w:t>
      </w:r>
      <w:r>
        <w:rPr>
          <w:spacing w:val="-4"/>
        </w:rPr>
        <w:t xml:space="preserve"> </w:t>
      </w:r>
      <w:r>
        <w:t>2.1.1</w:t>
      </w:r>
      <w:r>
        <w:rPr>
          <w:spacing w:val="-6"/>
        </w:rPr>
        <w:t xml:space="preserve"> </w:t>
      </w:r>
      <w:r>
        <w:t>comprises</w:t>
      </w:r>
      <w:r>
        <w:rPr>
          <w:spacing w:val="-11"/>
        </w:rPr>
        <w:t xml:space="preserve"> </w:t>
      </w:r>
      <w:r>
        <w:t>the members of the Victorian Bar:</w:t>
      </w:r>
    </w:p>
    <w:p w14:paraId="0D5B907C" w14:textId="77777777" w:rsidR="005C3E15" w:rsidRDefault="008A5AAB" w:rsidP="000B4328">
      <w:pPr>
        <w:pStyle w:val="ListParagraph"/>
        <w:numPr>
          <w:ilvl w:val="0"/>
          <w:numId w:val="4"/>
        </w:numPr>
        <w:spacing w:before="200"/>
        <w:ind w:left="1512" w:hanging="460"/>
      </w:pPr>
      <w:bookmarkStart w:id="4" w:name="_Hlk193269318"/>
      <w:r>
        <w:t>who</w:t>
      </w:r>
      <w:r>
        <w:rPr>
          <w:spacing w:val="-5"/>
        </w:rPr>
        <w:t xml:space="preserve"> </w:t>
      </w:r>
      <w:r>
        <w:t>hold</w:t>
      </w:r>
      <w:r>
        <w:rPr>
          <w:spacing w:val="-5"/>
        </w:rPr>
        <w:t xml:space="preserve"> </w:t>
      </w:r>
      <w:r>
        <w:t>a</w:t>
      </w:r>
      <w:r>
        <w:rPr>
          <w:spacing w:val="-7"/>
        </w:rPr>
        <w:t xml:space="preserve"> </w:t>
      </w:r>
      <w:r>
        <w:t>current</w:t>
      </w:r>
      <w:r>
        <w:rPr>
          <w:spacing w:val="-1"/>
        </w:rPr>
        <w:t xml:space="preserve"> </w:t>
      </w:r>
      <w:r>
        <w:t>Barrister’s</w:t>
      </w:r>
      <w:r>
        <w:rPr>
          <w:spacing w:val="-5"/>
        </w:rPr>
        <w:t xml:space="preserve"> </w:t>
      </w:r>
      <w:r>
        <w:t>practising</w:t>
      </w:r>
      <w:r>
        <w:rPr>
          <w:spacing w:val="-7"/>
        </w:rPr>
        <w:t xml:space="preserve"> </w:t>
      </w:r>
      <w:r>
        <w:t>certificate</w:t>
      </w:r>
      <w:r>
        <w:rPr>
          <w:spacing w:val="-9"/>
        </w:rPr>
        <w:t xml:space="preserve"> </w:t>
      </w:r>
      <w:r>
        <w:t>issued</w:t>
      </w:r>
      <w:r>
        <w:rPr>
          <w:spacing w:val="-5"/>
        </w:rPr>
        <w:t xml:space="preserve"> </w:t>
      </w:r>
      <w:r>
        <w:t>by</w:t>
      </w:r>
      <w:r>
        <w:rPr>
          <w:spacing w:val="-9"/>
        </w:rPr>
        <w:t xml:space="preserve"> </w:t>
      </w:r>
      <w:r>
        <w:t>the</w:t>
      </w:r>
      <w:r>
        <w:rPr>
          <w:spacing w:val="-9"/>
        </w:rPr>
        <w:t xml:space="preserve"> </w:t>
      </w:r>
      <w:r>
        <w:t>Victorian Legal Services Board or the Victorian Bar;</w:t>
      </w:r>
    </w:p>
    <w:p w14:paraId="2187512A" w14:textId="77777777" w:rsidR="005C3E15" w:rsidRDefault="008A5AAB" w:rsidP="000B4328">
      <w:pPr>
        <w:pStyle w:val="ListParagraph"/>
        <w:numPr>
          <w:ilvl w:val="0"/>
          <w:numId w:val="4"/>
        </w:numPr>
        <w:spacing w:before="200"/>
        <w:ind w:left="1512" w:right="-142" w:hanging="460"/>
      </w:pPr>
      <w:r>
        <w:t>who</w:t>
      </w:r>
      <w:r>
        <w:rPr>
          <w:spacing w:val="-4"/>
        </w:rPr>
        <w:t xml:space="preserve"> </w:t>
      </w:r>
      <w:r>
        <w:t>are</w:t>
      </w:r>
      <w:r>
        <w:rPr>
          <w:spacing w:val="-4"/>
        </w:rPr>
        <w:t xml:space="preserve"> </w:t>
      </w:r>
      <w:r>
        <w:t>admitted</w:t>
      </w:r>
      <w:r>
        <w:rPr>
          <w:spacing w:val="-9"/>
        </w:rPr>
        <w:t xml:space="preserve"> </w:t>
      </w:r>
      <w:r>
        <w:t>to</w:t>
      </w:r>
      <w:r>
        <w:rPr>
          <w:spacing w:val="-9"/>
        </w:rPr>
        <w:t xml:space="preserve"> </w:t>
      </w:r>
      <w:r>
        <w:t>membership</w:t>
      </w:r>
      <w:r>
        <w:rPr>
          <w:spacing w:val="-6"/>
        </w:rPr>
        <w:t xml:space="preserve"> </w:t>
      </w:r>
      <w:r>
        <w:t>of</w:t>
      </w:r>
      <w:r>
        <w:rPr>
          <w:spacing w:val="-5"/>
        </w:rPr>
        <w:t xml:space="preserve"> </w:t>
      </w:r>
      <w:r>
        <w:t>the</w:t>
      </w:r>
      <w:r>
        <w:rPr>
          <w:spacing w:val="-6"/>
        </w:rPr>
        <w:t xml:space="preserve"> </w:t>
      </w:r>
      <w:r>
        <w:t>Scheme</w:t>
      </w:r>
      <w:r>
        <w:rPr>
          <w:spacing w:val="-11"/>
        </w:rPr>
        <w:t xml:space="preserve"> </w:t>
      </w:r>
      <w:r>
        <w:t>by</w:t>
      </w:r>
      <w:r>
        <w:rPr>
          <w:spacing w:val="-4"/>
        </w:rPr>
        <w:t xml:space="preserve"> </w:t>
      </w:r>
      <w:r>
        <w:t>resolution</w:t>
      </w:r>
      <w:r>
        <w:rPr>
          <w:spacing w:val="-4"/>
        </w:rPr>
        <w:t xml:space="preserve"> </w:t>
      </w:r>
      <w:r>
        <w:t>of</w:t>
      </w:r>
      <w:r>
        <w:rPr>
          <w:spacing w:val="-2"/>
        </w:rPr>
        <w:t xml:space="preserve"> </w:t>
      </w:r>
      <w:r>
        <w:t>the</w:t>
      </w:r>
      <w:r>
        <w:rPr>
          <w:spacing w:val="-9"/>
        </w:rPr>
        <w:t xml:space="preserve"> </w:t>
      </w:r>
      <w:r>
        <w:t>Victorian Bar Council; and</w:t>
      </w:r>
    </w:p>
    <w:p w14:paraId="5F416CEE" w14:textId="77777777" w:rsidR="005C3E15" w:rsidRDefault="008A5AAB" w:rsidP="000B4328">
      <w:pPr>
        <w:pStyle w:val="ListParagraph"/>
        <w:numPr>
          <w:ilvl w:val="0"/>
          <w:numId w:val="4"/>
        </w:numPr>
        <w:spacing w:before="200"/>
        <w:ind w:left="1512" w:right="-142" w:hanging="460"/>
      </w:pPr>
      <w:r>
        <w:t>whose</w:t>
      </w:r>
      <w:r>
        <w:rPr>
          <w:spacing w:val="-4"/>
        </w:rPr>
        <w:t xml:space="preserve"> </w:t>
      </w:r>
      <w:r>
        <w:t>names</w:t>
      </w:r>
      <w:r>
        <w:rPr>
          <w:spacing w:val="-8"/>
        </w:rPr>
        <w:t xml:space="preserve"> </w:t>
      </w:r>
      <w:r>
        <w:t>remain</w:t>
      </w:r>
      <w:r>
        <w:rPr>
          <w:spacing w:val="-4"/>
        </w:rPr>
        <w:t xml:space="preserve"> </w:t>
      </w:r>
      <w:r>
        <w:t>on</w:t>
      </w:r>
      <w:r>
        <w:rPr>
          <w:spacing w:val="-9"/>
        </w:rPr>
        <w:t xml:space="preserve"> </w:t>
      </w:r>
      <w:r>
        <w:t>the</w:t>
      </w:r>
      <w:r>
        <w:rPr>
          <w:spacing w:val="-6"/>
        </w:rPr>
        <w:t xml:space="preserve"> </w:t>
      </w:r>
      <w:r>
        <w:t>Scheme</w:t>
      </w:r>
      <w:r>
        <w:rPr>
          <w:spacing w:val="-9"/>
        </w:rPr>
        <w:t xml:space="preserve"> </w:t>
      </w:r>
      <w:r>
        <w:t>register</w:t>
      </w:r>
      <w:r>
        <w:rPr>
          <w:spacing w:val="-5"/>
        </w:rPr>
        <w:t xml:space="preserve"> </w:t>
      </w:r>
      <w:r>
        <w:t>maintained</w:t>
      </w:r>
      <w:r>
        <w:rPr>
          <w:spacing w:val="-4"/>
        </w:rPr>
        <w:t xml:space="preserve"> </w:t>
      </w:r>
      <w:r>
        <w:t>by</w:t>
      </w:r>
      <w:r>
        <w:rPr>
          <w:spacing w:val="-8"/>
        </w:rPr>
        <w:t xml:space="preserve"> </w:t>
      </w:r>
      <w:r>
        <w:t>the</w:t>
      </w:r>
      <w:r>
        <w:rPr>
          <w:spacing w:val="-6"/>
        </w:rPr>
        <w:t xml:space="preserve"> </w:t>
      </w:r>
      <w:r>
        <w:t>Victorian</w:t>
      </w:r>
      <w:r>
        <w:rPr>
          <w:spacing w:val="-9"/>
        </w:rPr>
        <w:t xml:space="preserve"> </w:t>
      </w:r>
      <w:r>
        <w:t xml:space="preserve">Bar </w:t>
      </w:r>
      <w:r>
        <w:rPr>
          <w:spacing w:val="-2"/>
        </w:rPr>
        <w:t>Council</w:t>
      </w:r>
      <w:bookmarkEnd w:id="4"/>
      <w:r>
        <w:rPr>
          <w:spacing w:val="-2"/>
        </w:rPr>
        <w:t>.</w:t>
      </w:r>
    </w:p>
    <w:p w14:paraId="6BFCDAE6" w14:textId="77777777" w:rsidR="005C3E15" w:rsidRDefault="008A5AAB" w:rsidP="000B4328">
      <w:pPr>
        <w:pStyle w:val="ListParagraph"/>
        <w:numPr>
          <w:ilvl w:val="1"/>
          <w:numId w:val="5"/>
        </w:numPr>
        <w:tabs>
          <w:tab w:val="left" w:pos="1173"/>
          <w:tab w:val="left" w:pos="1178"/>
        </w:tabs>
        <w:spacing w:before="200"/>
        <w:ind w:left="992" w:right="56" w:hanging="567"/>
      </w:pPr>
      <w:r>
        <w:t>Participation in</w:t>
      </w:r>
      <w:r>
        <w:rPr>
          <w:spacing w:val="-8"/>
        </w:rPr>
        <w:t xml:space="preserve"> </w:t>
      </w:r>
      <w:r>
        <w:t>the</w:t>
      </w:r>
      <w:r>
        <w:rPr>
          <w:spacing w:val="-3"/>
        </w:rPr>
        <w:t xml:space="preserve"> </w:t>
      </w:r>
      <w:r>
        <w:t>Scheme</w:t>
      </w:r>
      <w:r>
        <w:rPr>
          <w:spacing w:val="-3"/>
        </w:rPr>
        <w:t xml:space="preserve"> </w:t>
      </w:r>
      <w:r>
        <w:t>is</w:t>
      </w:r>
      <w:r>
        <w:rPr>
          <w:spacing w:val="-5"/>
        </w:rPr>
        <w:t xml:space="preserve"> </w:t>
      </w:r>
      <w:r>
        <w:t>voluntary</w:t>
      </w:r>
      <w:r>
        <w:rPr>
          <w:spacing w:val="-5"/>
        </w:rPr>
        <w:t xml:space="preserve"> </w:t>
      </w:r>
      <w:r>
        <w:t>for</w:t>
      </w:r>
      <w:r>
        <w:rPr>
          <w:spacing w:val="-6"/>
        </w:rPr>
        <w:t xml:space="preserve"> </w:t>
      </w:r>
      <w:r>
        <w:t>members</w:t>
      </w:r>
      <w:r>
        <w:rPr>
          <w:spacing w:val="-2"/>
        </w:rPr>
        <w:t xml:space="preserve"> </w:t>
      </w:r>
      <w:r>
        <w:t>of</w:t>
      </w:r>
      <w:r>
        <w:rPr>
          <w:spacing w:val="-4"/>
        </w:rPr>
        <w:t xml:space="preserve"> </w:t>
      </w:r>
      <w:r>
        <w:t>the</w:t>
      </w:r>
      <w:r>
        <w:rPr>
          <w:spacing w:val="-5"/>
        </w:rPr>
        <w:t xml:space="preserve"> </w:t>
      </w:r>
      <w:r>
        <w:t>Victorian</w:t>
      </w:r>
      <w:r>
        <w:rPr>
          <w:spacing w:val="-3"/>
        </w:rPr>
        <w:t xml:space="preserve"> </w:t>
      </w:r>
      <w:r>
        <w:t>Bar.</w:t>
      </w:r>
      <w:r>
        <w:rPr>
          <w:spacing w:val="-4"/>
        </w:rPr>
        <w:t xml:space="preserve"> </w:t>
      </w:r>
      <w:r>
        <w:t>Once admitted to</w:t>
      </w:r>
      <w:r>
        <w:rPr>
          <w:spacing w:val="-2"/>
        </w:rPr>
        <w:t xml:space="preserve"> </w:t>
      </w:r>
      <w:r>
        <w:t>the membership of the Scheme, a member may notify the Victorian Bar in writing of their intention to discontinue their membership of the Scheme, in accordance with clause 2.4.</w:t>
      </w:r>
    </w:p>
    <w:p w14:paraId="1F583998" w14:textId="77777777" w:rsidR="005C3E15" w:rsidRDefault="008A5AAB" w:rsidP="000B4328">
      <w:pPr>
        <w:pStyle w:val="ListParagraph"/>
        <w:numPr>
          <w:ilvl w:val="1"/>
          <w:numId w:val="5"/>
        </w:numPr>
        <w:tabs>
          <w:tab w:val="left" w:pos="1176"/>
          <w:tab w:val="left" w:pos="1179"/>
        </w:tabs>
        <w:spacing w:before="200"/>
        <w:ind w:left="992" w:hanging="567"/>
      </w:pPr>
      <w:r>
        <w:t>A</w:t>
      </w:r>
      <w:r>
        <w:rPr>
          <w:spacing w:val="-3"/>
        </w:rPr>
        <w:t xml:space="preserve"> </w:t>
      </w:r>
      <w:r>
        <w:t>person</w:t>
      </w:r>
      <w:r>
        <w:rPr>
          <w:spacing w:val="-8"/>
        </w:rPr>
        <w:t xml:space="preserve"> </w:t>
      </w:r>
      <w:r>
        <w:t>referred</w:t>
      </w:r>
      <w:r>
        <w:rPr>
          <w:spacing w:val="-8"/>
        </w:rPr>
        <w:t xml:space="preserve"> </w:t>
      </w:r>
      <w:r>
        <w:t>to</w:t>
      </w:r>
      <w:r>
        <w:rPr>
          <w:spacing w:val="-3"/>
        </w:rPr>
        <w:t xml:space="preserve"> </w:t>
      </w:r>
      <w:r>
        <w:t>in</w:t>
      </w:r>
      <w:r>
        <w:rPr>
          <w:spacing w:val="-5"/>
        </w:rPr>
        <w:t xml:space="preserve"> </w:t>
      </w:r>
      <w:r>
        <w:t>clause</w:t>
      </w:r>
      <w:r>
        <w:rPr>
          <w:spacing w:val="-3"/>
        </w:rPr>
        <w:t xml:space="preserve"> </w:t>
      </w:r>
      <w:r>
        <w:t>2.1.1</w:t>
      </w:r>
      <w:r>
        <w:rPr>
          <w:spacing w:val="-8"/>
        </w:rPr>
        <w:t xml:space="preserve"> </w:t>
      </w:r>
      <w:r>
        <w:t>may,</w:t>
      </w:r>
      <w:r>
        <w:rPr>
          <w:spacing w:val="-1"/>
        </w:rPr>
        <w:t xml:space="preserve"> </w:t>
      </w:r>
      <w:r>
        <w:t>on</w:t>
      </w:r>
      <w:r>
        <w:rPr>
          <w:spacing w:val="-5"/>
        </w:rPr>
        <w:t xml:space="preserve"> </w:t>
      </w:r>
      <w:r>
        <w:t>application, be</w:t>
      </w:r>
      <w:r>
        <w:rPr>
          <w:spacing w:val="-8"/>
        </w:rPr>
        <w:t xml:space="preserve"> </w:t>
      </w:r>
      <w:r>
        <w:t>exempted</w:t>
      </w:r>
      <w:r>
        <w:rPr>
          <w:spacing w:val="-8"/>
        </w:rPr>
        <w:t xml:space="preserve"> </w:t>
      </w:r>
      <w:r>
        <w:t>from</w:t>
      </w:r>
      <w:r>
        <w:rPr>
          <w:spacing w:val="-4"/>
        </w:rPr>
        <w:t xml:space="preserve"> </w:t>
      </w:r>
      <w:r>
        <w:t>the participation in the Scheme by the Victorian Bar with effect from the date specified by the Victorian Bar.</w:t>
      </w:r>
    </w:p>
    <w:p w14:paraId="027D5A73" w14:textId="77777777" w:rsidR="005C3E15" w:rsidRDefault="008A5AAB" w:rsidP="000B4328">
      <w:pPr>
        <w:pStyle w:val="Heading1"/>
        <w:numPr>
          <w:ilvl w:val="0"/>
          <w:numId w:val="5"/>
        </w:numPr>
        <w:tabs>
          <w:tab w:val="left" w:pos="815"/>
        </w:tabs>
        <w:spacing w:before="200"/>
        <w:ind w:left="357" w:hanging="357"/>
      </w:pPr>
      <w:r>
        <w:rPr>
          <w:spacing w:val="-2"/>
        </w:rPr>
        <w:t>Jurisdiction</w:t>
      </w:r>
    </w:p>
    <w:p w14:paraId="0C28ADF9" w14:textId="77777777" w:rsidR="005C3E15" w:rsidRDefault="008A5AAB" w:rsidP="000B4328">
      <w:pPr>
        <w:pStyle w:val="ListParagraph"/>
        <w:numPr>
          <w:ilvl w:val="1"/>
          <w:numId w:val="5"/>
        </w:numPr>
        <w:tabs>
          <w:tab w:val="left" w:pos="1177"/>
        </w:tabs>
        <w:spacing w:before="200"/>
        <w:ind w:left="992" w:hanging="567"/>
      </w:pPr>
      <w:r>
        <w:t>The</w:t>
      </w:r>
      <w:r>
        <w:rPr>
          <w:spacing w:val="-8"/>
        </w:rPr>
        <w:t xml:space="preserve"> </w:t>
      </w:r>
      <w:r>
        <w:t>Scheme</w:t>
      </w:r>
      <w:r>
        <w:rPr>
          <w:spacing w:val="-11"/>
        </w:rPr>
        <w:t xml:space="preserve"> </w:t>
      </w:r>
      <w:r>
        <w:t>applies</w:t>
      </w:r>
      <w:r>
        <w:rPr>
          <w:spacing w:val="-8"/>
        </w:rPr>
        <w:t xml:space="preserve"> </w:t>
      </w:r>
      <w:r>
        <w:t>in</w:t>
      </w:r>
      <w:r>
        <w:rPr>
          <w:spacing w:val="-8"/>
        </w:rPr>
        <w:t xml:space="preserve"> </w:t>
      </w:r>
      <w:r>
        <w:t>Victoria</w:t>
      </w:r>
      <w:r>
        <w:rPr>
          <w:spacing w:val="-8"/>
        </w:rPr>
        <w:t xml:space="preserve"> </w:t>
      </w:r>
      <w:r>
        <w:t>in</w:t>
      </w:r>
      <w:r>
        <w:rPr>
          <w:spacing w:val="-8"/>
        </w:rPr>
        <w:t xml:space="preserve"> </w:t>
      </w:r>
      <w:r>
        <w:t>accordance</w:t>
      </w:r>
      <w:r>
        <w:rPr>
          <w:spacing w:val="-11"/>
        </w:rPr>
        <w:t xml:space="preserve"> </w:t>
      </w:r>
      <w:r>
        <w:t>with</w:t>
      </w:r>
      <w:r>
        <w:rPr>
          <w:spacing w:val="-11"/>
        </w:rPr>
        <w:t xml:space="preserve"> </w:t>
      </w:r>
      <w:r>
        <w:t>the</w:t>
      </w:r>
      <w:r>
        <w:rPr>
          <w:spacing w:val="-10"/>
        </w:rPr>
        <w:t xml:space="preserve"> </w:t>
      </w:r>
      <w:r>
        <w:rPr>
          <w:spacing w:val="-4"/>
        </w:rPr>
        <w:t>Act.</w:t>
      </w:r>
    </w:p>
    <w:p w14:paraId="0F5F8F89" w14:textId="77777777" w:rsidR="005C3E15" w:rsidRDefault="008A5AAB" w:rsidP="000B4328">
      <w:pPr>
        <w:pStyle w:val="ListParagraph"/>
        <w:numPr>
          <w:ilvl w:val="1"/>
          <w:numId w:val="5"/>
        </w:numPr>
        <w:tabs>
          <w:tab w:val="left" w:pos="1175"/>
          <w:tab w:val="left" w:pos="1178"/>
        </w:tabs>
        <w:spacing w:before="200"/>
        <w:ind w:left="992" w:hanging="567"/>
      </w:pPr>
      <w:r>
        <w:t>In</w:t>
      </w:r>
      <w:r>
        <w:rPr>
          <w:spacing w:val="-3"/>
        </w:rPr>
        <w:t xml:space="preserve"> </w:t>
      </w:r>
      <w:r>
        <w:t>addition</w:t>
      </w:r>
      <w:r>
        <w:rPr>
          <w:spacing w:val="-8"/>
        </w:rPr>
        <w:t xml:space="preserve"> </w:t>
      </w:r>
      <w:r>
        <w:t>to</w:t>
      </w:r>
      <w:r>
        <w:rPr>
          <w:spacing w:val="-5"/>
        </w:rPr>
        <w:t xml:space="preserve"> </w:t>
      </w:r>
      <w:r>
        <w:t>Victoria,</w:t>
      </w:r>
      <w:r>
        <w:rPr>
          <w:spacing w:val="-1"/>
        </w:rPr>
        <w:t xml:space="preserve"> </w:t>
      </w:r>
      <w:r>
        <w:t>the</w:t>
      </w:r>
      <w:r>
        <w:rPr>
          <w:spacing w:val="-3"/>
        </w:rPr>
        <w:t xml:space="preserve"> </w:t>
      </w:r>
      <w:r>
        <w:t>Scheme</w:t>
      </w:r>
      <w:r>
        <w:rPr>
          <w:spacing w:val="-5"/>
        </w:rPr>
        <w:t xml:space="preserve"> </w:t>
      </w:r>
      <w:r>
        <w:t>is</w:t>
      </w:r>
      <w:r>
        <w:rPr>
          <w:spacing w:val="-2"/>
        </w:rPr>
        <w:t xml:space="preserve"> </w:t>
      </w:r>
      <w:r>
        <w:t>intended</w:t>
      </w:r>
      <w:r>
        <w:rPr>
          <w:spacing w:val="-8"/>
        </w:rPr>
        <w:t xml:space="preserve"> </w:t>
      </w:r>
      <w:r>
        <w:t>to</w:t>
      </w:r>
      <w:r>
        <w:rPr>
          <w:spacing w:val="-10"/>
        </w:rPr>
        <w:t xml:space="preserve"> </w:t>
      </w:r>
      <w:r>
        <w:t>operate</w:t>
      </w:r>
      <w:r>
        <w:rPr>
          <w:spacing w:val="-5"/>
        </w:rPr>
        <w:t xml:space="preserve"> </w:t>
      </w:r>
      <w:r>
        <w:t>in</w:t>
      </w:r>
      <w:r>
        <w:rPr>
          <w:spacing w:val="-5"/>
        </w:rPr>
        <w:t xml:space="preserve"> </w:t>
      </w:r>
      <w:r>
        <w:t>the</w:t>
      </w:r>
      <w:r>
        <w:rPr>
          <w:spacing w:val="-5"/>
        </w:rPr>
        <w:t xml:space="preserve"> </w:t>
      </w:r>
      <w:r>
        <w:t>Australian</w:t>
      </w:r>
      <w:r>
        <w:rPr>
          <w:spacing w:val="-8"/>
        </w:rPr>
        <w:t xml:space="preserve"> </w:t>
      </w:r>
      <w:r>
        <w:t>Capital Territory,</w:t>
      </w:r>
      <w:r>
        <w:rPr>
          <w:spacing w:val="-5"/>
        </w:rPr>
        <w:t xml:space="preserve"> </w:t>
      </w:r>
      <w:r>
        <w:t>New</w:t>
      </w:r>
      <w:r>
        <w:rPr>
          <w:spacing w:val="-5"/>
        </w:rPr>
        <w:t xml:space="preserve"> </w:t>
      </w:r>
      <w:r>
        <w:t>South</w:t>
      </w:r>
      <w:r>
        <w:rPr>
          <w:spacing w:val="-9"/>
        </w:rPr>
        <w:t xml:space="preserve"> </w:t>
      </w:r>
      <w:r>
        <w:t>Wales,</w:t>
      </w:r>
      <w:r>
        <w:rPr>
          <w:spacing w:val="-3"/>
        </w:rPr>
        <w:t xml:space="preserve"> </w:t>
      </w:r>
      <w:r>
        <w:t>the</w:t>
      </w:r>
      <w:r>
        <w:rPr>
          <w:spacing w:val="-6"/>
        </w:rPr>
        <w:t xml:space="preserve"> </w:t>
      </w:r>
      <w:r>
        <w:t>Northern</w:t>
      </w:r>
      <w:r>
        <w:rPr>
          <w:spacing w:val="-9"/>
        </w:rPr>
        <w:t xml:space="preserve"> </w:t>
      </w:r>
      <w:r>
        <w:t>Territory,</w:t>
      </w:r>
      <w:r>
        <w:rPr>
          <w:spacing w:val="-5"/>
        </w:rPr>
        <w:t xml:space="preserve"> </w:t>
      </w:r>
      <w:r>
        <w:t>Queensland,</w:t>
      </w:r>
      <w:r>
        <w:rPr>
          <w:spacing w:val="-5"/>
        </w:rPr>
        <w:t xml:space="preserve"> </w:t>
      </w:r>
      <w:r>
        <w:t>South</w:t>
      </w:r>
      <w:r>
        <w:rPr>
          <w:spacing w:val="-6"/>
        </w:rPr>
        <w:t xml:space="preserve"> </w:t>
      </w:r>
      <w:r>
        <w:t>Australia, Tasmania, and Western Australia, in accordance with the professional standards legislation of those states and territories and subject to the requirements of that legislation (“the Corresponding Laws”), so that references to a provision of the Act,</w:t>
      </w:r>
      <w:r>
        <w:rPr>
          <w:spacing w:val="-4"/>
        </w:rPr>
        <w:t xml:space="preserve"> </w:t>
      </w:r>
      <w:r>
        <w:t>the</w:t>
      </w:r>
      <w:r>
        <w:rPr>
          <w:spacing w:val="-3"/>
        </w:rPr>
        <w:t xml:space="preserve"> </w:t>
      </w:r>
      <w:r>
        <w:t>application</w:t>
      </w:r>
      <w:r>
        <w:rPr>
          <w:spacing w:val="-3"/>
        </w:rPr>
        <w:t xml:space="preserve"> </w:t>
      </w:r>
      <w:r>
        <w:t>of</w:t>
      </w:r>
      <w:r>
        <w:rPr>
          <w:spacing w:val="-4"/>
        </w:rPr>
        <w:t xml:space="preserve"> </w:t>
      </w:r>
      <w:r>
        <w:t>the</w:t>
      </w:r>
      <w:r>
        <w:rPr>
          <w:spacing w:val="-1"/>
        </w:rPr>
        <w:t xml:space="preserve"> </w:t>
      </w:r>
      <w:r>
        <w:t>Scheme</w:t>
      </w:r>
      <w:r>
        <w:rPr>
          <w:spacing w:val="-5"/>
        </w:rPr>
        <w:t xml:space="preserve"> </w:t>
      </w:r>
      <w:r>
        <w:t>to</w:t>
      </w:r>
      <w:r>
        <w:rPr>
          <w:spacing w:val="-5"/>
        </w:rPr>
        <w:t xml:space="preserve"> </w:t>
      </w:r>
      <w:r>
        <w:t>a</w:t>
      </w:r>
      <w:r>
        <w:rPr>
          <w:spacing w:val="-3"/>
        </w:rPr>
        <w:t xml:space="preserve"> </w:t>
      </w:r>
      <w:r>
        <w:t>liability,</w:t>
      </w:r>
      <w:r>
        <w:rPr>
          <w:spacing w:val="-1"/>
        </w:rPr>
        <w:t xml:space="preserve"> </w:t>
      </w:r>
      <w:r>
        <w:t>the</w:t>
      </w:r>
      <w:r>
        <w:rPr>
          <w:spacing w:val="-1"/>
        </w:rPr>
        <w:t xml:space="preserve"> </w:t>
      </w:r>
      <w:r>
        <w:t>limit</w:t>
      </w:r>
      <w:r>
        <w:rPr>
          <w:spacing w:val="-1"/>
        </w:rPr>
        <w:t xml:space="preserve"> </w:t>
      </w:r>
      <w:r>
        <w:t>of</w:t>
      </w:r>
      <w:r>
        <w:rPr>
          <w:spacing w:val="-1"/>
        </w:rPr>
        <w:t xml:space="preserve"> </w:t>
      </w:r>
      <w:r>
        <w:t>a</w:t>
      </w:r>
      <w:r>
        <w:rPr>
          <w:spacing w:val="-3"/>
        </w:rPr>
        <w:t xml:space="preserve"> </w:t>
      </w:r>
      <w:r>
        <w:t>liability under</w:t>
      </w:r>
      <w:r>
        <w:rPr>
          <w:spacing w:val="-6"/>
        </w:rPr>
        <w:t xml:space="preserve"> </w:t>
      </w:r>
      <w:r>
        <w:t>the</w:t>
      </w:r>
      <w:r>
        <w:rPr>
          <w:spacing w:val="-3"/>
        </w:rPr>
        <w:t xml:space="preserve"> </w:t>
      </w:r>
      <w:r>
        <w:t>Act or what constitutes Occupational Liability are intended to pick up the relevant provisions of the Corresponding Laws, apply mutatis mutandis, to</w:t>
      </w:r>
      <w:r>
        <w:rPr>
          <w:spacing w:val="-1"/>
        </w:rPr>
        <w:t xml:space="preserve"> </w:t>
      </w:r>
      <w:r>
        <w:t>the extent that is necessary for the</w:t>
      </w:r>
      <w:r>
        <w:rPr>
          <w:spacing w:val="-2"/>
        </w:rPr>
        <w:t xml:space="preserve"> </w:t>
      </w:r>
      <w:r>
        <w:t>application of the Scheme in any of those</w:t>
      </w:r>
      <w:r>
        <w:rPr>
          <w:spacing w:val="-2"/>
        </w:rPr>
        <w:t xml:space="preserve"> </w:t>
      </w:r>
      <w:r>
        <w:t>jurisdictions as an interstate Scheme.</w:t>
      </w:r>
    </w:p>
    <w:p w14:paraId="33A4C2A6" w14:textId="77777777" w:rsidR="005C3E15" w:rsidRDefault="008A5AAB" w:rsidP="000B4328">
      <w:pPr>
        <w:pStyle w:val="Heading1"/>
        <w:numPr>
          <w:ilvl w:val="0"/>
          <w:numId w:val="5"/>
        </w:numPr>
        <w:tabs>
          <w:tab w:val="left" w:pos="813"/>
        </w:tabs>
        <w:spacing w:before="78"/>
        <w:ind w:left="357" w:hanging="357"/>
      </w:pPr>
      <w:r>
        <w:lastRenderedPageBreak/>
        <w:t>Limitation</w:t>
      </w:r>
      <w:r>
        <w:rPr>
          <w:spacing w:val="-10"/>
        </w:rPr>
        <w:t xml:space="preserve"> </w:t>
      </w:r>
      <w:r>
        <w:t>of</w:t>
      </w:r>
      <w:r>
        <w:rPr>
          <w:spacing w:val="-5"/>
        </w:rPr>
        <w:t xml:space="preserve"> </w:t>
      </w:r>
      <w:r>
        <w:rPr>
          <w:spacing w:val="-2"/>
        </w:rPr>
        <w:t>liability</w:t>
      </w:r>
    </w:p>
    <w:p w14:paraId="7B55EB03" w14:textId="77777777" w:rsidR="005C3E15" w:rsidRDefault="008A5AAB" w:rsidP="000B4328">
      <w:pPr>
        <w:pStyle w:val="ListParagraph"/>
        <w:numPr>
          <w:ilvl w:val="1"/>
          <w:numId w:val="5"/>
        </w:numPr>
        <w:tabs>
          <w:tab w:val="left" w:pos="1175"/>
          <w:tab w:val="left" w:pos="1178"/>
        </w:tabs>
        <w:spacing w:before="200"/>
        <w:ind w:left="992" w:hanging="567"/>
      </w:pPr>
      <w:r>
        <w:t>This</w:t>
      </w:r>
      <w:r>
        <w:rPr>
          <w:spacing w:val="-4"/>
        </w:rPr>
        <w:t xml:space="preserve"> </w:t>
      </w:r>
      <w:r>
        <w:t>Scheme</w:t>
      </w:r>
      <w:r>
        <w:rPr>
          <w:spacing w:val="-9"/>
        </w:rPr>
        <w:t xml:space="preserve"> </w:t>
      </w:r>
      <w:r>
        <w:t>only</w:t>
      </w:r>
      <w:r>
        <w:rPr>
          <w:spacing w:val="-3"/>
        </w:rPr>
        <w:t xml:space="preserve"> </w:t>
      </w:r>
      <w:r>
        <w:t>affects</w:t>
      </w:r>
      <w:r>
        <w:rPr>
          <w:spacing w:val="-6"/>
        </w:rPr>
        <w:t xml:space="preserve"> </w:t>
      </w:r>
      <w:r>
        <w:t>the</w:t>
      </w:r>
      <w:r>
        <w:rPr>
          <w:spacing w:val="-9"/>
        </w:rPr>
        <w:t xml:space="preserve"> </w:t>
      </w:r>
      <w:r>
        <w:t>liability</w:t>
      </w:r>
      <w:r>
        <w:rPr>
          <w:spacing w:val="-3"/>
        </w:rPr>
        <w:t xml:space="preserve"> </w:t>
      </w:r>
      <w:r>
        <w:t>for</w:t>
      </w:r>
      <w:r>
        <w:rPr>
          <w:spacing w:val="-5"/>
        </w:rPr>
        <w:t xml:space="preserve"> </w:t>
      </w:r>
      <w:r>
        <w:t>Damages</w:t>
      </w:r>
      <w:r>
        <w:rPr>
          <w:spacing w:val="-6"/>
        </w:rPr>
        <w:t xml:space="preserve"> </w:t>
      </w:r>
      <w:r>
        <w:t>from</w:t>
      </w:r>
      <w:r>
        <w:rPr>
          <w:spacing w:val="-5"/>
        </w:rPr>
        <w:t xml:space="preserve"> </w:t>
      </w:r>
      <w:r>
        <w:t>a</w:t>
      </w:r>
      <w:r>
        <w:rPr>
          <w:spacing w:val="-9"/>
        </w:rPr>
        <w:t xml:space="preserve"> </w:t>
      </w:r>
      <w:r>
        <w:t>single</w:t>
      </w:r>
      <w:r>
        <w:rPr>
          <w:spacing w:val="-4"/>
        </w:rPr>
        <w:t xml:space="preserve"> </w:t>
      </w:r>
      <w:r>
        <w:t>cause</w:t>
      </w:r>
      <w:r>
        <w:rPr>
          <w:spacing w:val="-6"/>
        </w:rPr>
        <w:t xml:space="preserve"> </w:t>
      </w:r>
      <w:r>
        <w:t>of</w:t>
      </w:r>
      <w:r>
        <w:rPr>
          <w:spacing w:val="-7"/>
        </w:rPr>
        <w:t xml:space="preserve"> </w:t>
      </w:r>
      <w:r>
        <w:t>action to the extent to which the liability results in Damages exceeding $2 million.</w:t>
      </w:r>
    </w:p>
    <w:p w14:paraId="06D0A6B5" w14:textId="77777777" w:rsidR="005C3E15" w:rsidRDefault="008A5AAB" w:rsidP="000B4328">
      <w:pPr>
        <w:pStyle w:val="ListParagraph"/>
        <w:numPr>
          <w:ilvl w:val="1"/>
          <w:numId w:val="5"/>
        </w:numPr>
        <w:tabs>
          <w:tab w:val="left" w:pos="1175"/>
          <w:tab w:val="left" w:pos="1178"/>
        </w:tabs>
        <w:spacing w:before="200"/>
        <w:ind w:left="992" w:hanging="567"/>
      </w:pPr>
      <w:r>
        <w:t>If a person who is, or was, at the time of the act or omission giving rise to Occupational Liability, a person to whom the Scheme applies, or applied, and against</w:t>
      </w:r>
      <w:r>
        <w:rPr>
          <w:spacing w:val="-1"/>
        </w:rPr>
        <w:t xml:space="preserve"> </w:t>
      </w:r>
      <w:r>
        <w:t>whom</w:t>
      </w:r>
      <w:r>
        <w:rPr>
          <w:spacing w:val="-6"/>
        </w:rPr>
        <w:t xml:space="preserve"> </w:t>
      </w:r>
      <w:r>
        <w:t>a</w:t>
      </w:r>
      <w:r>
        <w:rPr>
          <w:spacing w:val="-7"/>
        </w:rPr>
        <w:t xml:space="preserve"> </w:t>
      </w:r>
      <w:r>
        <w:t>proceeding</w:t>
      </w:r>
      <w:r>
        <w:rPr>
          <w:spacing w:val="-5"/>
        </w:rPr>
        <w:t xml:space="preserve"> </w:t>
      </w:r>
      <w:r>
        <w:t>relating</w:t>
      </w:r>
      <w:r>
        <w:rPr>
          <w:spacing w:val="-10"/>
        </w:rPr>
        <w:t xml:space="preserve"> </w:t>
      </w:r>
      <w:r>
        <w:t>to</w:t>
      </w:r>
      <w:r>
        <w:rPr>
          <w:spacing w:val="-12"/>
        </w:rPr>
        <w:t xml:space="preserve"> </w:t>
      </w:r>
      <w:r>
        <w:t>Occupational</w:t>
      </w:r>
      <w:r>
        <w:rPr>
          <w:spacing w:val="-5"/>
        </w:rPr>
        <w:t xml:space="preserve"> </w:t>
      </w:r>
      <w:r>
        <w:t>Liability</w:t>
      </w:r>
      <w:r>
        <w:rPr>
          <w:spacing w:val="-4"/>
        </w:rPr>
        <w:t xml:space="preserve"> </w:t>
      </w:r>
      <w:r>
        <w:t>is</w:t>
      </w:r>
      <w:r>
        <w:rPr>
          <w:spacing w:val="-5"/>
        </w:rPr>
        <w:t xml:space="preserve"> </w:t>
      </w:r>
      <w:r>
        <w:t>brought,</w:t>
      </w:r>
      <w:r>
        <w:rPr>
          <w:spacing w:val="-3"/>
        </w:rPr>
        <w:t xml:space="preserve"> </w:t>
      </w:r>
      <w:r>
        <w:t>is</w:t>
      </w:r>
      <w:r>
        <w:rPr>
          <w:spacing w:val="-9"/>
        </w:rPr>
        <w:t xml:space="preserve"> </w:t>
      </w:r>
      <w:r>
        <w:t>able</w:t>
      </w:r>
      <w:r>
        <w:rPr>
          <w:spacing w:val="-5"/>
        </w:rPr>
        <w:t xml:space="preserve"> </w:t>
      </w:r>
      <w:r>
        <w:t>to satisfy the court that such person has the benefit of an insurance policy:</w:t>
      </w:r>
    </w:p>
    <w:p w14:paraId="0D981039" w14:textId="77777777" w:rsidR="005C3E15" w:rsidRDefault="008A5AAB" w:rsidP="000B4328">
      <w:pPr>
        <w:pStyle w:val="ListParagraph"/>
        <w:numPr>
          <w:ilvl w:val="0"/>
          <w:numId w:val="3"/>
        </w:numPr>
        <w:tabs>
          <w:tab w:val="left" w:pos="1892"/>
          <w:tab w:val="left" w:pos="1898"/>
        </w:tabs>
        <w:spacing w:before="200"/>
        <w:ind w:left="1514" w:hanging="459"/>
      </w:pPr>
      <w:r>
        <w:t>of</w:t>
      </w:r>
      <w:r>
        <w:rPr>
          <w:spacing w:val="-1"/>
        </w:rPr>
        <w:t xml:space="preserve"> </w:t>
      </w:r>
      <w:r>
        <w:t>a</w:t>
      </w:r>
      <w:r>
        <w:rPr>
          <w:spacing w:val="-6"/>
        </w:rPr>
        <w:t xml:space="preserve"> </w:t>
      </w:r>
      <w:r>
        <w:t>kind</w:t>
      </w:r>
      <w:r>
        <w:rPr>
          <w:spacing w:val="-4"/>
        </w:rPr>
        <w:t xml:space="preserve"> </w:t>
      </w:r>
      <w:r>
        <w:t>which</w:t>
      </w:r>
      <w:r>
        <w:rPr>
          <w:spacing w:val="-6"/>
        </w:rPr>
        <w:t xml:space="preserve"> </w:t>
      </w:r>
      <w:r>
        <w:t>complies</w:t>
      </w:r>
      <w:r>
        <w:rPr>
          <w:spacing w:val="-8"/>
        </w:rPr>
        <w:t xml:space="preserve"> </w:t>
      </w:r>
      <w:r>
        <w:t>with</w:t>
      </w:r>
      <w:r>
        <w:rPr>
          <w:spacing w:val="-4"/>
        </w:rPr>
        <w:t xml:space="preserve"> </w:t>
      </w:r>
      <w:r>
        <w:t>the</w:t>
      </w:r>
      <w:r>
        <w:rPr>
          <w:spacing w:val="-6"/>
        </w:rPr>
        <w:t xml:space="preserve"> </w:t>
      </w:r>
      <w:r>
        <w:t>standards</w:t>
      </w:r>
      <w:r>
        <w:rPr>
          <w:spacing w:val="-6"/>
        </w:rPr>
        <w:t xml:space="preserve"> </w:t>
      </w:r>
      <w:r>
        <w:t>determined</w:t>
      </w:r>
      <w:r>
        <w:rPr>
          <w:spacing w:val="-2"/>
        </w:rPr>
        <w:t xml:space="preserve"> </w:t>
      </w:r>
      <w:r>
        <w:t>by</w:t>
      </w:r>
      <w:r>
        <w:rPr>
          <w:spacing w:val="-8"/>
        </w:rPr>
        <w:t xml:space="preserve"> </w:t>
      </w:r>
      <w:r>
        <w:t>the</w:t>
      </w:r>
      <w:r>
        <w:rPr>
          <w:spacing w:val="-6"/>
        </w:rPr>
        <w:t xml:space="preserve"> </w:t>
      </w:r>
      <w:r>
        <w:t xml:space="preserve">Victorian </w:t>
      </w:r>
      <w:r>
        <w:rPr>
          <w:spacing w:val="-4"/>
        </w:rPr>
        <w:t>Bar;</w:t>
      </w:r>
    </w:p>
    <w:p w14:paraId="7C644E04" w14:textId="77777777" w:rsidR="005C3E15" w:rsidRDefault="008A5AAB" w:rsidP="000B4328">
      <w:pPr>
        <w:pStyle w:val="ListParagraph"/>
        <w:numPr>
          <w:ilvl w:val="0"/>
          <w:numId w:val="3"/>
        </w:numPr>
        <w:tabs>
          <w:tab w:val="left" w:pos="1892"/>
        </w:tabs>
        <w:spacing w:before="200"/>
        <w:ind w:left="1514" w:hanging="459"/>
      </w:pPr>
      <w:r>
        <w:t>insuring</w:t>
      </w:r>
      <w:r>
        <w:rPr>
          <w:spacing w:val="-4"/>
        </w:rPr>
        <w:t xml:space="preserve"> </w:t>
      </w:r>
      <w:r>
        <w:t>such</w:t>
      </w:r>
      <w:r>
        <w:rPr>
          <w:spacing w:val="-6"/>
        </w:rPr>
        <w:t xml:space="preserve"> </w:t>
      </w:r>
      <w:r>
        <w:t>person</w:t>
      </w:r>
      <w:r>
        <w:rPr>
          <w:spacing w:val="-6"/>
        </w:rPr>
        <w:t xml:space="preserve"> </w:t>
      </w:r>
      <w:r>
        <w:t>against</w:t>
      </w:r>
      <w:r>
        <w:rPr>
          <w:spacing w:val="-3"/>
        </w:rPr>
        <w:t xml:space="preserve"> </w:t>
      </w:r>
      <w:r>
        <w:t>the</w:t>
      </w:r>
      <w:r>
        <w:rPr>
          <w:spacing w:val="-11"/>
        </w:rPr>
        <w:t xml:space="preserve"> </w:t>
      </w:r>
      <w:r>
        <w:t>Occupational</w:t>
      </w:r>
      <w:r>
        <w:rPr>
          <w:spacing w:val="-4"/>
        </w:rPr>
        <w:t xml:space="preserve"> </w:t>
      </w:r>
      <w:r>
        <w:t>Liability</w:t>
      </w:r>
      <w:r>
        <w:rPr>
          <w:spacing w:val="-4"/>
        </w:rPr>
        <w:t xml:space="preserve"> </w:t>
      </w:r>
      <w:r>
        <w:t>to</w:t>
      </w:r>
      <w:r>
        <w:rPr>
          <w:spacing w:val="-4"/>
        </w:rPr>
        <w:t xml:space="preserve"> </w:t>
      </w:r>
      <w:r>
        <w:t>which</w:t>
      </w:r>
      <w:r>
        <w:rPr>
          <w:spacing w:val="-9"/>
        </w:rPr>
        <w:t xml:space="preserve"> </w:t>
      </w:r>
      <w:r>
        <w:t>the</w:t>
      </w:r>
      <w:r>
        <w:rPr>
          <w:spacing w:val="-9"/>
        </w:rPr>
        <w:t xml:space="preserve"> </w:t>
      </w:r>
      <w:r>
        <w:t>cause of action relates; and</w:t>
      </w:r>
    </w:p>
    <w:p w14:paraId="2F11DBBA" w14:textId="77777777" w:rsidR="005C3E15" w:rsidRDefault="008A5AAB" w:rsidP="000B4328">
      <w:pPr>
        <w:pStyle w:val="ListParagraph"/>
        <w:numPr>
          <w:ilvl w:val="0"/>
          <w:numId w:val="3"/>
        </w:numPr>
        <w:tabs>
          <w:tab w:val="left" w:pos="1892"/>
          <w:tab w:val="left" w:pos="1897"/>
        </w:tabs>
        <w:spacing w:before="200"/>
        <w:ind w:left="1514" w:right="198" w:hanging="459"/>
      </w:pPr>
      <w:r>
        <w:t>under which</w:t>
      </w:r>
      <w:r>
        <w:rPr>
          <w:spacing w:val="-4"/>
        </w:rPr>
        <w:t xml:space="preserve"> </w:t>
      </w:r>
      <w:r>
        <w:t>the</w:t>
      </w:r>
      <w:r>
        <w:rPr>
          <w:spacing w:val="-2"/>
        </w:rPr>
        <w:t xml:space="preserve"> </w:t>
      </w:r>
      <w:r>
        <w:t>amount</w:t>
      </w:r>
      <w:r>
        <w:rPr>
          <w:spacing w:val="-2"/>
        </w:rPr>
        <w:t xml:space="preserve"> </w:t>
      </w:r>
      <w:r>
        <w:t>payable in respect of that Occupational Liability is not less</w:t>
      </w:r>
      <w:r>
        <w:rPr>
          <w:spacing w:val="-6"/>
        </w:rPr>
        <w:t xml:space="preserve"> </w:t>
      </w:r>
      <w:r>
        <w:t>than</w:t>
      </w:r>
      <w:r>
        <w:rPr>
          <w:spacing w:val="-9"/>
        </w:rPr>
        <w:t xml:space="preserve"> </w:t>
      </w:r>
      <w:r>
        <w:t>the</w:t>
      </w:r>
      <w:r>
        <w:rPr>
          <w:spacing w:val="-2"/>
        </w:rPr>
        <w:t xml:space="preserve"> </w:t>
      </w:r>
      <w:r>
        <w:t>applicable</w:t>
      </w:r>
      <w:r>
        <w:rPr>
          <w:spacing w:val="-1"/>
        </w:rPr>
        <w:t xml:space="preserve"> </w:t>
      </w:r>
      <w:r>
        <w:t>monetary</w:t>
      </w:r>
      <w:r>
        <w:rPr>
          <w:spacing w:val="-4"/>
        </w:rPr>
        <w:t xml:space="preserve"> </w:t>
      </w:r>
      <w:r>
        <w:t>ceiling specified in</w:t>
      </w:r>
      <w:r>
        <w:rPr>
          <w:spacing w:val="-2"/>
        </w:rPr>
        <w:t xml:space="preserve"> </w:t>
      </w:r>
      <w:r>
        <w:t>clause</w:t>
      </w:r>
      <w:r>
        <w:rPr>
          <w:spacing w:val="-2"/>
        </w:rPr>
        <w:t xml:space="preserve"> </w:t>
      </w:r>
      <w:r>
        <w:t>4.3</w:t>
      </w:r>
      <w:r>
        <w:rPr>
          <w:spacing w:val="-2"/>
        </w:rPr>
        <w:t xml:space="preserve"> </w:t>
      </w:r>
      <w:r>
        <w:t>of this Scheme,</w:t>
      </w:r>
    </w:p>
    <w:p w14:paraId="5B27342D" w14:textId="77777777" w:rsidR="005C3E15" w:rsidRDefault="008A5AAB" w:rsidP="000B4328">
      <w:pPr>
        <w:pStyle w:val="BodyText"/>
        <w:spacing w:before="200"/>
        <w:ind w:left="993" w:hanging="1"/>
      </w:pPr>
      <w:r>
        <w:t>then</w:t>
      </w:r>
      <w:r>
        <w:rPr>
          <w:spacing w:val="-5"/>
        </w:rPr>
        <w:t xml:space="preserve"> </w:t>
      </w:r>
      <w:r>
        <w:t>the</w:t>
      </w:r>
      <w:r>
        <w:rPr>
          <w:spacing w:val="-5"/>
        </w:rPr>
        <w:t xml:space="preserve"> </w:t>
      </w:r>
      <w:r>
        <w:t>person</w:t>
      </w:r>
      <w:r>
        <w:rPr>
          <w:spacing w:val="-5"/>
        </w:rPr>
        <w:t xml:space="preserve"> </w:t>
      </w:r>
      <w:r>
        <w:t>is</w:t>
      </w:r>
      <w:r>
        <w:rPr>
          <w:spacing w:val="-5"/>
        </w:rPr>
        <w:t xml:space="preserve"> </w:t>
      </w:r>
      <w:r>
        <w:t>not</w:t>
      </w:r>
      <w:r>
        <w:rPr>
          <w:spacing w:val="-4"/>
        </w:rPr>
        <w:t xml:space="preserve"> </w:t>
      </w:r>
      <w:r>
        <w:t>liable</w:t>
      </w:r>
      <w:r>
        <w:rPr>
          <w:spacing w:val="-3"/>
        </w:rPr>
        <w:t xml:space="preserve"> </w:t>
      </w:r>
      <w:r>
        <w:t>in</w:t>
      </w:r>
      <w:r>
        <w:rPr>
          <w:spacing w:val="-3"/>
        </w:rPr>
        <w:t xml:space="preserve"> </w:t>
      </w:r>
      <w:r>
        <w:t>Damages</w:t>
      </w:r>
      <w:r>
        <w:rPr>
          <w:spacing w:val="-5"/>
        </w:rPr>
        <w:t xml:space="preserve"> </w:t>
      </w:r>
      <w:r>
        <w:t>in</w:t>
      </w:r>
      <w:r>
        <w:rPr>
          <w:spacing w:val="-3"/>
        </w:rPr>
        <w:t xml:space="preserve"> </w:t>
      </w:r>
      <w:r>
        <w:t>relation</w:t>
      </w:r>
      <w:r>
        <w:rPr>
          <w:spacing w:val="-3"/>
        </w:rPr>
        <w:t xml:space="preserve"> </w:t>
      </w:r>
      <w:r>
        <w:t>to</w:t>
      </w:r>
      <w:r>
        <w:rPr>
          <w:spacing w:val="-8"/>
        </w:rPr>
        <w:t xml:space="preserve"> </w:t>
      </w:r>
      <w:r>
        <w:t>that</w:t>
      </w:r>
      <w:r>
        <w:rPr>
          <w:spacing w:val="-1"/>
        </w:rPr>
        <w:t xml:space="preserve"> </w:t>
      </w:r>
      <w:r>
        <w:t>cause</w:t>
      </w:r>
      <w:r>
        <w:rPr>
          <w:spacing w:val="-3"/>
        </w:rPr>
        <w:t xml:space="preserve"> </w:t>
      </w:r>
      <w:r>
        <w:t>of</w:t>
      </w:r>
      <w:r>
        <w:rPr>
          <w:spacing w:val="-1"/>
        </w:rPr>
        <w:t xml:space="preserve"> </w:t>
      </w:r>
      <w:r>
        <w:t>action</w:t>
      </w:r>
      <w:r>
        <w:rPr>
          <w:spacing w:val="-8"/>
        </w:rPr>
        <w:t xml:space="preserve"> </w:t>
      </w:r>
      <w:r>
        <w:t>above the monetary ceiling specified in clause 4.3 of this Scheme.</w:t>
      </w:r>
    </w:p>
    <w:p w14:paraId="2D353DD6" w14:textId="77777777" w:rsidR="005C3E15" w:rsidRDefault="008A5AAB" w:rsidP="000B4328">
      <w:pPr>
        <w:pStyle w:val="ListParagraph"/>
        <w:numPr>
          <w:ilvl w:val="1"/>
          <w:numId w:val="5"/>
        </w:numPr>
        <w:tabs>
          <w:tab w:val="left" w:pos="358"/>
        </w:tabs>
        <w:spacing w:before="200"/>
        <w:ind w:left="992" w:hanging="567"/>
      </w:pPr>
      <w:r>
        <w:t>The</w:t>
      </w:r>
      <w:r>
        <w:rPr>
          <w:spacing w:val="-9"/>
        </w:rPr>
        <w:t xml:space="preserve"> </w:t>
      </w:r>
      <w:r>
        <w:t>monetary</w:t>
      </w:r>
      <w:r>
        <w:rPr>
          <w:spacing w:val="-8"/>
        </w:rPr>
        <w:t xml:space="preserve"> </w:t>
      </w:r>
      <w:r>
        <w:t>ceiling</w:t>
      </w:r>
      <w:r>
        <w:rPr>
          <w:spacing w:val="-9"/>
        </w:rPr>
        <w:t xml:space="preserve"> </w:t>
      </w:r>
      <w:r>
        <w:t>is</w:t>
      </w:r>
      <w:r>
        <w:rPr>
          <w:spacing w:val="-6"/>
        </w:rPr>
        <w:t xml:space="preserve"> </w:t>
      </w:r>
      <w:r>
        <w:t>$2</w:t>
      </w:r>
      <w:r>
        <w:rPr>
          <w:spacing w:val="-8"/>
        </w:rPr>
        <w:t xml:space="preserve"> </w:t>
      </w:r>
      <w:r>
        <w:rPr>
          <w:spacing w:val="-2"/>
        </w:rPr>
        <w:t>million.</w:t>
      </w:r>
    </w:p>
    <w:p w14:paraId="758585CA" w14:textId="77777777" w:rsidR="005C3E15" w:rsidRDefault="008A5AAB" w:rsidP="000B4328">
      <w:pPr>
        <w:pStyle w:val="ListParagraph"/>
        <w:numPr>
          <w:ilvl w:val="1"/>
          <w:numId w:val="5"/>
        </w:numPr>
        <w:tabs>
          <w:tab w:val="left" w:pos="1175"/>
          <w:tab w:val="left" w:pos="1178"/>
        </w:tabs>
        <w:spacing w:before="200"/>
        <w:ind w:left="992" w:hanging="567"/>
      </w:pPr>
      <w:r>
        <w:t>Clause</w:t>
      </w:r>
      <w:r>
        <w:rPr>
          <w:spacing w:val="-4"/>
        </w:rPr>
        <w:t xml:space="preserve"> </w:t>
      </w:r>
      <w:r>
        <w:t>4.2</w:t>
      </w:r>
      <w:r>
        <w:rPr>
          <w:spacing w:val="-4"/>
        </w:rPr>
        <w:t xml:space="preserve"> </w:t>
      </w:r>
      <w:r>
        <w:t>does</w:t>
      </w:r>
      <w:r>
        <w:rPr>
          <w:spacing w:val="-6"/>
        </w:rPr>
        <w:t xml:space="preserve"> </w:t>
      </w:r>
      <w:r>
        <w:t>not limit</w:t>
      </w:r>
      <w:r>
        <w:rPr>
          <w:spacing w:val="-5"/>
        </w:rPr>
        <w:t xml:space="preserve"> </w:t>
      </w:r>
      <w:r>
        <w:t>the</w:t>
      </w:r>
      <w:r>
        <w:rPr>
          <w:spacing w:val="-6"/>
        </w:rPr>
        <w:t xml:space="preserve"> </w:t>
      </w:r>
      <w:r>
        <w:t>amount</w:t>
      </w:r>
      <w:r>
        <w:rPr>
          <w:spacing w:val="-2"/>
        </w:rPr>
        <w:t xml:space="preserve"> </w:t>
      </w:r>
      <w:r>
        <w:t>of</w:t>
      </w:r>
      <w:r>
        <w:rPr>
          <w:spacing w:val="-2"/>
        </w:rPr>
        <w:t xml:space="preserve"> </w:t>
      </w:r>
      <w:r>
        <w:t>Damages</w:t>
      </w:r>
      <w:r>
        <w:rPr>
          <w:spacing w:val="-8"/>
        </w:rPr>
        <w:t xml:space="preserve"> </w:t>
      </w:r>
      <w:r>
        <w:t>to</w:t>
      </w:r>
      <w:r>
        <w:rPr>
          <w:spacing w:val="-6"/>
        </w:rPr>
        <w:t xml:space="preserve"> </w:t>
      </w:r>
      <w:r>
        <w:t>which</w:t>
      </w:r>
      <w:r>
        <w:rPr>
          <w:spacing w:val="-4"/>
        </w:rPr>
        <w:t xml:space="preserve"> </w:t>
      </w:r>
      <w:r>
        <w:t>a</w:t>
      </w:r>
      <w:r>
        <w:rPr>
          <w:spacing w:val="-4"/>
        </w:rPr>
        <w:t xml:space="preserve"> </w:t>
      </w:r>
      <w:r>
        <w:t>person</w:t>
      </w:r>
      <w:r>
        <w:rPr>
          <w:spacing w:val="-9"/>
        </w:rPr>
        <w:t xml:space="preserve"> </w:t>
      </w:r>
      <w:r>
        <w:t>to</w:t>
      </w:r>
      <w:r>
        <w:rPr>
          <w:spacing w:val="-6"/>
        </w:rPr>
        <w:t xml:space="preserve"> </w:t>
      </w:r>
      <w:r>
        <w:t>whom</w:t>
      </w:r>
      <w:r>
        <w:rPr>
          <w:spacing w:val="-5"/>
        </w:rPr>
        <w:t xml:space="preserve"> </w:t>
      </w:r>
      <w:r>
        <w:t>the Scheme applies is liable, if the amount is less than the amount specified for the purpose in this Scheme in relation to a person to whom the Scheme applies.</w:t>
      </w:r>
    </w:p>
    <w:p w14:paraId="1E6A898D" w14:textId="77777777" w:rsidR="005C3E15" w:rsidRDefault="008A5AAB" w:rsidP="000B4328">
      <w:pPr>
        <w:pStyle w:val="ListParagraph"/>
        <w:numPr>
          <w:ilvl w:val="1"/>
          <w:numId w:val="5"/>
        </w:numPr>
        <w:tabs>
          <w:tab w:val="left" w:pos="1175"/>
          <w:tab w:val="left" w:pos="1178"/>
        </w:tabs>
        <w:spacing w:before="200"/>
        <w:ind w:left="992" w:hanging="567"/>
      </w:pPr>
      <w:r>
        <w:t>The Scheme limits the Occupational Liability in respect of a cause of action founded</w:t>
      </w:r>
      <w:r>
        <w:rPr>
          <w:spacing w:val="-4"/>
        </w:rPr>
        <w:t xml:space="preserve"> </w:t>
      </w:r>
      <w:r>
        <w:t>on</w:t>
      </w:r>
      <w:r>
        <w:rPr>
          <w:spacing w:val="-6"/>
        </w:rPr>
        <w:t xml:space="preserve"> </w:t>
      </w:r>
      <w:r>
        <w:t>an</w:t>
      </w:r>
      <w:r>
        <w:rPr>
          <w:spacing w:val="-6"/>
        </w:rPr>
        <w:t xml:space="preserve"> </w:t>
      </w:r>
      <w:r>
        <w:t>act</w:t>
      </w:r>
      <w:r>
        <w:rPr>
          <w:spacing w:val="-5"/>
        </w:rPr>
        <w:t xml:space="preserve"> </w:t>
      </w:r>
      <w:r>
        <w:t>or</w:t>
      </w:r>
      <w:r>
        <w:rPr>
          <w:spacing w:val="-5"/>
        </w:rPr>
        <w:t xml:space="preserve"> </w:t>
      </w:r>
      <w:r>
        <w:t>omission</w:t>
      </w:r>
      <w:r>
        <w:rPr>
          <w:spacing w:val="-4"/>
        </w:rPr>
        <w:t xml:space="preserve"> </w:t>
      </w:r>
      <w:r>
        <w:t>during</w:t>
      </w:r>
      <w:r>
        <w:rPr>
          <w:spacing w:val="-6"/>
        </w:rPr>
        <w:t xml:space="preserve"> </w:t>
      </w:r>
      <w:r>
        <w:t>the</w:t>
      </w:r>
      <w:r>
        <w:rPr>
          <w:spacing w:val="-6"/>
        </w:rPr>
        <w:t xml:space="preserve"> </w:t>
      </w:r>
      <w:r>
        <w:t>period</w:t>
      </w:r>
      <w:r>
        <w:rPr>
          <w:spacing w:val="-4"/>
        </w:rPr>
        <w:t xml:space="preserve"> </w:t>
      </w:r>
      <w:r>
        <w:t>when</w:t>
      </w:r>
      <w:r>
        <w:rPr>
          <w:spacing w:val="-4"/>
        </w:rPr>
        <w:t xml:space="preserve"> </w:t>
      </w:r>
      <w:r>
        <w:t>the</w:t>
      </w:r>
      <w:r>
        <w:rPr>
          <w:spacing w:val="-6"/>
        </w:rPr>
        <w:t xml:space="preserve"> </w:t>
      </w:r>
      <w:r>
        <w:t>Scheme</w:t>
      </w:r>
      <w:r>
        <w:rPr>
          <w:spacing w:val="-6"/>
        </w:rPr>
        <w:t xml:space="preserve"> </w:t>
      </w:r>
      <w:r>
        <w:t>was</w:t>
      </w:r>
      <w:r>
        <w:rPr>
          <w:spacing w:val="-3"/>
        </w:rPr>
        <w:t xml:space="preserve"> </w:t>
      </w:r>
      <w:r>
        <w:t>in</w:t>
      </w:r>
      <w:r>
        <w:rPr>
          <w:spacing w:val="-6"/>
        </w:rPr>
        <w:t xml:space="preserve"> </w:t>
      </w:r>
      <w:r>
        <w:t xml:space="preserve">force of any person to whom the Scheme applied at the time the act or omission </w:t>
      </w:r>
      <w:r>
        <w:rPr>
          <w:spacing w:val="-2"/>
        </w:rPr>
        <w:t>occurred.</w:t>
      </w:r>
    </w:p>
    <w:p w14:paraId="782BA0BD" w14:textId="77777777" w:rsidR="005C3E15" w:rsidRDefault="008A5AAB" w:rsidP="000B4328">
      <w:pPr>
        <w:pStyle w:val="ListParagraph"/>
        <w:numPr>
          <w:ilvl w:val="1"/>
          <w:numId w:val="5"/>
        </w:numPr>
        <w:tabs>
          <w:tab w:val="left" w:pos="1174"/>
          <w:tab w:val="left" w:pos="1179"/>
        </w:tabs>
        <w:spacing w:before="200"/>
        <w:ind w:left="992" w:right="-86" w:hanging="567"/>
      </w:pPr>
      <w:r>
        <w:t>Notwithstanding</w:t>
      </w:r>
      <w:r>
        <w:rPr>
          <w:spacing w:val="-6"/>
        </w:rPr>
        <w:t xml:space="preserve"> </w:t>
      </w:r>
      <w:r>
        <w:t>anything</w:t>
      </w:r>
      <w:r>
        <w:rPr>
          <w:spacing w:val="-6"/>
        </w:rPr>
        <w:t xml:space="preserve"> </w:t>
      </w:r>
      <w:r>
        <w:t>to</w:t>
      </w:r>
      <w:r>
        <w:rPr>
          <w:spacing w:val="-9"/>
        </w:rPr>
        <w:t xml:space="preserve"> </w:t>
      </w:r>
      <w:r>
        <w:t>the</w:t>
      </w:r>
      <w:r>
        <w:rPr>
          <w:spacing w:val="-9"/>
        </w:rPr>
        <w:t xml:space="preserve"> </w:t>
      </w:r>
      <w:r>
        <w:t>contrary</w:t>
      </w:r>
      <w:r>
        <w:rPr>
          <w:spacing w:val="-4"/>
        </w:rPr>
        <w:t xml:space="preserve"> </w:t>
      </w:r>
      <w:r>
        <w:t>contained</w:t>
      </w:r>
      <w:r>
        <w:rPr>
          <w:spacing w:val="-5"/>
        </w:rPr>
        <w:t xml:space="preserve"> </w:t>
      </w:r>
      <w:r>
        <w:t>in</w:t>
      </w:r>
      <w:r>
        <w:rPr>
          <w:spacing w:val="-6"/>
        </w:rPr>
        <w:t xml:space="preserve"> </w:t>
      </w:r>
      <w:r>
        <w:t>this</w:t>
      </w:r>
      <w:r>
        <w:rPr>
          <w:spacing w:val="-6"/>
        </w:rPr>
        <w:t xml:space="preserve"> </w:t>
      </w:r>
      <w:r>
        <w:t>Scheme,</w:t>
      </w:r>
      <w:r>
        <w:rPr>
          <w:spacing w:val="-3"/>
        </w:rPr>
        <w:t xml:space="preserve"> </w:t>
      </w:r>
      <w:r>
        <w:t>if,</w:t>
      </w:r>
      <w:r>
        <w:rPr>
          <w:spacing w:val="-5"/>
        </w:rPr>
        <w:t xml:space="preserve"> </w:t>
      </w:r>
      <w:r>
        <w:t>in</w:t>
      </w:r>
      <w:r>
        <w:rPr>
          <w:spacing w:val="-9"/>
        </w:rPr>
        <w:t xml:space="preserve"> </w:t>
      </w:r>
      <w:r>
        <w:t>particular circumstances</w:t>
      </w:r>
      <w:r>
        <w:rPr>
          <w:spacing w:val="-1"/>
        </w:rPr>
        <w:t xml:space="preserve"> </w:t>
      </w:r>
      <w:r>
        <w:t>giving rise to</w:t>
      </w:r>
      <w:r>
        <w:rPr>
          <w:spacing w:val="-1"/>
        </w:rPr>
        <w:t xml:space="preserve"> </w:t>
      </w:r>
      <w:r>
        <w:t>Occupational Liability, the liability of any</w:t>
      </w:r>
      <w:r>
        <w:rPr>
          <w:spacing w:val="-1"/>
        </w:rPr>
        <w:t xml:space="preserve"> </w:t>
      </w:r>
      <w:r>
        <w:t>person who is subject to this Scheme should be capped both by this Scheme and also by another scheme under the professional standards legislation (whether of this jurisdiction or under the law of any other Australian state or territory) and, if the amount of such caps should differ, then the cap on the liability of such person arising from such circumstances which is higher will be the applicable cap.</w:t>
      </w:r>
    </w:p>
    <w:p w14:paraId="3CC26D8B" w14:textId="77777777" w:rsidR="005C3E15" w:rsidRDefault="008A5AAB" w:rsidP="000B4328">
      <w:pPr>
        <w:pStyle w:val="ListParagraph"/>
        <w:numPr>
          <w:ilvl w:val="1"/>
          <w:numId w:val="5"/>
        </w:numPr>
        <w:tabs>
          <w:tab w:val="left" w:pos="1177"/>
          <w:tab w:val="left" w:pos="1180"/>
        </w:tabs>
        <w:spacing w:before="200"/>
        <w:ind w:left="992" w:hanging="567"/>
      </w:pPr>
      <w:r>
        <w:t>A</w:t>
      </w:r>
      <w:r>
        <w:rPr>
          <w:spacing w:val="-4"/>
        </w:rPr>
        <w:t xml:space="preserve"> </w:t>
      </w:r>
      <w:r>
        <w:t>reference</w:t>
      </w:r>
      <w:r>
        <w:rPr>
          <w:spacing w:val="-6"/>
        </w:rPr>
        <w:t xml:space="preserve"> </w:t>
      </w:r>
      <w:r>
        <w:t>in</w:t>
      </w:r>
      <w:r>
        <w:rPr>
          <w:spacing w:val="-4"/>
        </w:rPr>
        <w:t xml:space="preserve"> </w:t>
      </w:r>
      <w:r>
        <w:t>clause</w:t>
      </w:r>
      <w:r>
        <w:rPr>
          <w:spacing w:val="-6"/>
        </w:rPr>
        <w:t xml:space="preserve"> </w:t>
      </w:r>
      <w:r>
        <w:t>4.2</w:t>
      </w:r>
      <w:r>
        <w:rPr>
          <w:spacing w:val="-9"/>
        </w:rPr>
        <w:t xml:space="preserve"> </w:t>
      </w:r>
      <w:r>
        <w:t>to</w:t>
      </w:r>
      <w:r>
        <w:rPr>
          <w:spacing w:val="-6"/>
        </w:rPr>
        <w:t xml:space="preserve"> </w:t>
      </w:r>
      <w:r>
        <w:t>the</w:t>
      </w:r>
      <w:r>
        <w:rPr>
          <w:spacing w:val="-9"/>
        </w:rPr>
        <w:t xml:space="preserve"> </w:t>
      </w:r>
      <w:r>
        <w:t>amount payable</w:t>
      </w:r>
      <w:r>
        <w:rPr>
          <w:spacing w:val="-4"/>
        </w:rPr>
        <w:t xml:space="preserve"> </w:t>
      </w:r>
      <w:r>
        <w:t>under an</w:t>
      </w:r>
      <w:r>
        <w:rPr>
          <w:spacing w:val="-6"/>
        </w:rPr>
        <w:t xml:space="preserve"> </w:t>
      </w:r>
      <w:r>
        <w:t>insurance</w:t>
      </w:r>
      <w:r>
        <w:rPr>
          <w:spacing w:val="-6"/>
        </w:rPr>
        <w:t xml:space="preserve"> </w:t>
      </w:r>
      <w:r>
        <w:t>policy</w:t>
      </w:r>
      <w:r>
        <w:rPr>
          <w:spacing w:val="-8"/>
        </w:rPr>
        <w:t xml:space="preserve"> </w:t>
      </w:r>
      <w:r>
        <w:t>in respect of Occupational Liability includes a reference to –</w:t>
      </w:r>
    </w:p>
    <w:p w14:paraId="07A98729" w14:textId="77777777" w:rsidR="005C3E15" w:rsidRDefault="008A5AAB" w:rsidP="000B4328">
      <w:pPr>
        <w:pStyle w:val="ListParagraph"/>
        <w:numPr>
          <w:ilvl w:val="0"/>
          <w:numId w:val="2"/>
        </w:numPr>
        <w:tabs>
          <w:tab w:val="left" w:pos="1892"/>
          <w:tab w:val="left" w:pos="1897"/>
        </w:tabs>
        <w:spacing w:before="200"/>
        <w:ind w:left="1514" w:right="198" w:hanging="459"/>
      </w:pPr>
      <w:r>
        <w:t>defence costs</w:t>
      </w:r>
      <w:r>
        <w:rPr>
          <w:spacing w:val="-1"/>
        </w:rPr>
        <w:t xml:space="preserve"> </w:t>
      </w:r>
      <w:r>
        <w:t>payable in respect of a</w:t>
      </w:r>
      <w:r>
        <w:rPr>
          <w:spacing w:val="-2"/>
        </w:rPr>
        <w:t xml:space="preserve"> </w:t>
      </w:r>
      <w:r>
        <w:t>claim, or</w:t>
      </w:r>
      <w:r>
        <w:rPr>
          <w:spacing w:val="-1"/>
        </w:rPr>
        <w:t xml:space="preserve"> </w:t>
      </w:r>
      <w:r>
        <w:t>notification</w:t>
      </w:r>
      <w:r>
        <w:rPr>
          <w:spacing w:val="-2"/>
        </w:rPr>
        <w:t xml:space="preserve"> </w:t>
      </w:r>
      <w:r>
        <w:t>that</w:t>
      </w:r>
      <w:r>
        <w:rPr>
          <w:spacing w:val="-1"/>
        </w:rPr>
        <w:t xml:space="preserve"> </w:t>
      </w:r>
      <w:r>
        <w:t>may</w:t>
      </w:r>
      <w:r>
        <w:rPr>
          <w:spacing w:val="-2"/>
        </w:rPr>
        <w:t xml:space="preserve"> </w:t>
      </w:r>
      <w:r>
        <w:t>lead to a claim (other than reimbursement of the defendant for time spent in relation to the claim), but only if those costs are payable out of the one sum</w:t>
      </w:r>
      <w:r>
        <w:rPr>
          <w:spacing w:val="-4"/>
        </w:rPr>
        <w:t xml:space="preserve"> </w:t>
      </w:r>
      <w:r>
        <w:t>insured</w:t>
      </w:r>
      <w:r>
        <w:rPr>
          <w:spacing w:val="-5"/>
        </w:rPr>
        <w:t xml:space="preserve"> </w:t>
      </w:r>
      <w:r>
        <w:t>under</w:t>
      </w:r>
      <w:r>
        <w:rPr>
          <w:spacing w:val="-8"/>
        </w:rPr>
        <w:t xml:space="preserve"> </w:t>
      </w:r>
      <w:r>
        <w:t>the</w:t>
      </w:r>
      <w:r>
        <w:rPr>
          <w:spacing w:val="-5"/>
        </w:rPr>
        <w:t xml:space="preserve"> </w:t>
      </w:r>
      <w:r>
        <w:t>policy</w:t>
      </w:r>
      <w:r>
        <w:rPr>
          <w:spacing w:val="-4"/>
        </w:rPr>
        <w:t xml:space="preserve"> </w:t>
      </w:r>
      <w:r>
        <w:t>in</w:t>
      </w:r>
      <w:r>
        <w:rPr>
          <w:spacing w:val="-5"/>
        </w:rPr>
        <w:t xml:space="preserve"> </w:t>
      </w:r>
      <w:r>
        <w:t>respect</w:t>
      </w:r>
      <w:r>
        <w:rPr>
          <w:spacing w:val="-3"/>
        </w:rPr>
        <w:t xml:space="preserve"> </w:t>
      </w:r>
      <w:r>
        <w:t>of</w:t>
      </w:r>
      <w:r>
        <w:rPr>
          <w:spacing w:val="-6"/>
        </w:rPr>
        <w:t xml:space="preserve"> </w:t>
      </w:r>
      <w:r>
        <w:t>the</w:t>
      </w:r>
      <w:r>
        <w:rPr>
          <w:spacing w:val="-12"/>
        </w:rPr>
        <w:t xml:space="preserve"> </w:t>
      </w:r>
      <w:r>
        <w:t>Occupational</w:t>
      </w:r>
      <w:r>
        <w:rPr>
          <w:spacing w:val="-5"/>
        </w:rPr>
        <w:t xml:space="preserve"> </w:t>
      </w:r>
      <w:r>
        <w:t>Liability;</w:t>
      </w:r>
      <w:r>
        <w:rPr>
          <w:spacing w:val="-3"/>
        </w:rPr>
        <w:t xml:space="preserve"> </w:t>
      </w:r>
      <w:r>
        <w:t>and</w:t>
      </w:r>
    </w:p>
    <w:p w14:paraId="0DB2E386" w14:textId="77777777" w:rsidR="005C3E15" w:rsidRDefault="008A5AAB" w:rsidP="000B4328">
      <w:pPr>
        <w:pStyle w:val="ListParagraph"/>
        <w:numPr>
          <w:ilvl w:val="0"/>
          <w:numId w:val="2"/>
        </w:numPr>
        <w:tabs>
          <w:tab w:val="left" w:pos="1893"/>
        </w:tabs>
        <w:spacing w:before="200"/>
        <w:ind w:left="1514" w:hanging="459"/>
      </w:pPr>
      <w:r>
        <w:t>the</w:t>
      </w:r>
      <w:r>
        <w:rPr>
          <w:spacing w:val="-10"/>
        </w:rPr>
        <w:t xml:space="preserve"> </w:t>
      </w:r>
      <w:r>
        <w:t>amount</w:t>
      </w:r>
      <w:r>
        <w:rPr>
          <w:spacing w:val="-6"/>
        </w:rPr>
        <w:t xml:space="preserve"> </w:t>
      </w:r>
      <w:r>
        <w:t>payable</w:t>
      </w:r>
      <w:r>
        <w:rPr>
          <w:spacing w:val="-5"/>
        </w:rPr>
        <w:t xml:space="preserve"> </w:t>
      </w:r>
      <w:r>
        <w:t>in</w:t>
      </w:r>
      <w:r>
        <w:rPr>
          <w:spacing w:val="-10"/>
        </w:rPr>
        <w:t xml:space="preserve"> </w:t>
      </w:r>
      <w:r>
        <w:t>relation</w:t>
      </w:r>
      <w:r>
        <w:rPr>
          <w:spacing w:val="-7"/>
        </w:rPr>
        <w:t xml:space="preserve"> </w:t>
      </w:r>
      <w:r>
        <w:t>to</w:t>
      </w:r>
      <w:r>
        <w:rPr>
          <w:spacing w:val="-10"/>
        </w:rPr>
        <w:t xml:space="preserve"> </w:t>
      </w:r>
      <w:r>
        <w:t>the</w:t>
      </w:r>
      <w:r>
        <w:rPr>
          <w:spacing w:val="-7"/>
        </w:rPr>
        <w:t xml:space="preserve"> </w:t>
      </w:r>
      <w:r>
        <w:t>policy</w:t>
      </w:r>
      <w:r>
        <w:rPr>
          <w:spacing w:val="-5"/>
        </w:rPr>
        <w:t xml:space="preserve"> </w:t>
      </w:r>
      <w:r>
        <w:t>by</w:t>
      </w:r>
      <w:r>
        <w:rPr>
          <w:spacing w:val="-7"/>
        </w:rPr>
        <w:t xml:space="preserve"> </w:t>
      </w:r>
      <w:r>
        <w:t>way</w:t>
      </w:r>
      <w:r>
        <w:rPr>
          <w:spacing w:val="-7"/>
        </w:rPr>
        <w:t xml:space="preserve"> </w:t>
      </w:r>
      <w:r>
        <w:t>of</w:t>
      </w:r>
      <w:r>
        <w:rPr>
          <w:spacing w:val="-5"/>
        </w:rPr>
        <w:t xml:space="preserve"> </w:t>
      </w:r>
      <w:r>
        <w:rPr>
          <w:spacing w:val="-2"/>
        </w:rPr>
        <w:t>excess.</w:t>
      </w:r>
    </w:p>
    <w:p w14:paraId="04940940" w14:textId="77777777" w:rsidR="005C3E15" w:rsidRDefault="008A5AAB" w:rsidP="000B4328">
      <w:pPr>
        <w:pStyle w:val="Heading1"/>
        <w:numPr>
          <w:ilvl w:val="0"/>
          <w:numId w:val="5"/>
        </w:numPr>
        <w:tabs>
          <w:tab w:val="left" w:pos="356"/>
        </w:tabs>
        <w:spacing w:before="200"/>
        <w:ind w:left="357" w:hanging="357"/>
      </w:pPr>
      <w:r>
        <w:t>Conferral</w:t>
      </w:r>
      <w:r>
        <w:rPr>
          <w:spacing w:val="-14"/>
        </w:rPr>
        <w:t xml:space="preserve"> </w:t>
      </w:r>
      <w:r>
        <w:t>of</w:t>
      </w:r>
      <w:r>
        <w:rPr>
          <w:spacing w:val="-12"/>
        </w:rPr>
        <w:t xml:space="preserve"> </w:t>
      </w:r>
      <w:r>
        <w:t>discretionary</w:t>
      </w:r>
      <w:r>
        <w:rPr>
          <w:spacing w:val="-12"/>
        </w:rPr>
        <w:t xml:space="preserve"> </w:t>
      </w:r>
      <w:r>
        <w:rPr>
          <w:spacing w:val="-2"/>
        </w:rPr>
        <w:t>authority</w:t>
      </w:r>
    </w:p>
    <w:p w14:paraId="3E3384DD" w14:textId="77777777" w:rsidR="005C3E15" w:rsidRDefault="008A5AAB" w:rsidP="000B4328">
      <w:pPr>
        <w:pStyle w:val="ListParagraph"/>
        <w:numPr>
          <w:ilvl w:val="1"/>
          <w:numId w:val="5"/>
        </w:numPr>
        <w:tabs>
          <w:tab w:val="left" w:pos="1175"/>
          <w:tab w:val="left" w:pos="1178"/>
        </w:tabs>
        <w:spacing w:before="200"/>
        <w:ind w:left="992" w:hanging="567"/>
      </w:pPr>
      <w:r>
        <w:t>The</w:t>
      </w:r>
      <w:r>
        <w:rPr>
          <w:spacing w:val="-4"/>
        </w:rPr>
        <w:t xml:space="preserve"> </w:t>
      </w:r>
      <w:r>
        <w:t>Victorian</w:t>
      </w:r>
      <w:r>
        <w:rPr>
          <w:spacing w:val="-6"/>
        </w:rPr>
        <w:t xml:space="preserve"> </w:t>
      </w:r>
      <w:r>
        <w:t>Bar</w:t>
      </w:r>
      <w:r>
        <w:rPr>
          <w:spacing w:val="-3"/>
        </w:rPr>
        <w:t xml:space="preserve"> </w:t>
      </w:r>
      <w:r>
        <w:t>has</w:t>
      </w:r>
      <w:r>
        <w:rPr>
          <w:spacing w:val="-8"/>
        </w:rPr>
        <w:t xml:space="preserve"> </w:t>
      </w:r>
      <w:r>
        <w:t>discretionary</w:t>
      </w:r>
      <w:r>
        <w:rPr>
          <w:spacing w:val="-6"/>
        </w:rPr>
        <w:t xml:space="preserve"> </w:t>
      </w:r>
      <w:r>
        <w:t>authority,</w:t>
      </w:r>
      <w:r>
        <w:rPr>
          <w:spacing w:val="-5"/>
        </w:rPr>
        <w:t xml:space="preserve"> </w:t>
      </w:r>
      <w:r>
        <w:t>on</w:t>
      </w:r>
      <w:r>
        <w:rPr>
          <w:spacing w:val="-6"/>
        </w:rPr>
        <w:t xml:space="preserve"> </w:t>
      </w:r>
      <w:r>
        <w:t>application</w:t>
      </w:r>
      <w:r>
        <w:rPr>
          <w:spacing w:val="-4"/>
        </w:rPr>
        <w:t xml:space="preserve"> </w:t>
      </w:r>
      <w:r>
        <w:t>by</w:t>
      </w:r>
      <w:r>
        <w:rPr>
          <w:spacing w:val="-4"/>
        </w:rPr>
        <w:t xml:space="preserve"> </w:t>
      </w:r>
      <w:r>
        <w:t>a</w:t>
      </w:r>
      <w:r>
        <w:rPr>
          <w:spacing w:val="-6"/>
        </w:rPr>
        <w:t xml:space="preserve"> </w:t>
      </w:r>
      <w:r>
        <w:t>person</w:t>
      </w:r>
      <w:r>
        <w:rPr>
          <w:spacing w:val="-11"/>
        </w:rPr>
        <w:t xml:space="preserve"> </w:t>
      </w:r>
      <w:r>
        <w:t>referred to in clause</w:t>
      </w:r>
      <w:r>
        <w:rPr>
          <w:spacing w:val="-2"/>
        </w:rPr>
        <w:t xml:space="preserve"> </w:t>
      </w:r>
      <w:r>
        <w:t>2.1.1, to</w:t>
      </w:r>
      <w:r>
        <w:rPr>
          <w:spacing w:val="-2"/>
        </w:rPr>
        <w:t xml:space="preserve"> </w:t>
      </w:r>
      <w:r>
        <w:t>specify in</w:t>
      </w:r>
      <w:r>
        <w:rPr>
          <w:spacing w:val="-2"/>
        </w:rPr>
        <w:t xml:space="preserve"> </w:t>
      </w:r>
      <w:r>
        <w:t>relation</w:t>
      </w:r>
      <w:r>
        <w:rPr>
          <w:spacing w:val="-2"/>
        </w:rPr>
        <w:t xml:space="preserve"> </w:t>
      </w:r>
      <w:r>
        <w:t>to</w:t>
      </w:r>
      <w:r>
        <w:rPr>
          <w:spacing w:val="-4"/>
        </w:rPr>
        <w:t xml:space="preserve"> </w:t>
      </w:r>
      <w:r>
        <w:t>that person a higher</w:t>
      </w:r>
      <w:r>
        <w:rPr>
          <w:spacing w:val="-3"/>
        </w:rPr>
        <w:t xml:space="preserve"> </w:t>
      </w:r>
      <w:r>
        <w:t>maximum amount of liability than would otherwise apply under the Scheme in relation to that person, either in all cases or in any specified case or class of case.</w:t>
      </w:r>
    </w:p>
    <w:p w14:paraId="2550BDC5" w14:textId="77777777" w:rsidR="005C3E15" w:rsidRDefault="008A5AAB" w:rsidP="000B4328">
      <w:pPr>
        <w:pStyle w:val="Heading1"/>
        <w:numPr>
          <w:ilvl w:val="0"/>
          <w:numId w:val="5"/>
        </w:numPr>
        <w:tabs>
          <w:tab w:val="left" w:pos="356"/>
        </w:tabs>
        <w:spacing w:before="200"/>
        <w:ind w:left="357" w:hanging="357"/>
      </w:pPr>
      <w:r>
        <w:lastRenderedPageBreak/>
        <w:t>Commencement</w:t>
      </w:r>
      <w:r>
        <w:rPr>
          <w:spacing w:val="-10"/>
        </w:rPr>
        <w:t xml:space="preserve"> </w:t>
      </w:r>
      <w:r>
        <w:t>and</w:t>
      </w:r>
      <w:r>
        <w:rPr>
          <w:spacing w:val="-15"/>
        </w:rPr>
        <w:t xml:space="preserve"> </w:t>
      </w:r>
      <w:r>
        <w:rPr>
          <w:spacing w:val="-2"/>
        </w:rPr>
        <w:t>Duration</w:t>
      </w:r>
    </w:p>
    <w:p w14:paraId="2A667F0C" w14:textId="77777777" w:rsidR="005C3E15" w:rsidRDefault="008A5AAB" w:rsidP="000B4328">
      <w:pPr>
        <w:pStyle w:val="ListParagraph"/>
        <w:numPr>
          <w:ilvl w:val="1"/>
          <w:numId w:val="5"/>
        </w:numPr>
        <w:tabs>
          <w:tab w:val="left" w:pos="358"/>
        </w:tabs>
        <w:spacing w:before="200"/>
        <w:ind w:left="992" w:hanging="567"/>
      </w:pPr>
      <w:r>
        <w:t>The</w:t>
      </w:r>
      <w:r>
        <w:rPr>
          <w:spacing w:val="-8"/>
        </w:rPr>
        <w:t xml:space="preserve"> </w:t>
      </w:r>
      <w:r>
        <w:t>Scheme</w:t>
      </w:r>
      <w:r>
        <w:rPr>
          <w:spacing w:val="-11"/>
        </w:rPr>
        <w:t xml:space="preserve"> </w:t>
      </w:r>
      <w:r>
        <w:t>will</w:t>
      </w:r>
      <w:r>
        <w:rPr>
          <w:spacing w:val="-5"/>
        </w:rPr>
        <w:t xml:space="preserve"> </w:t>
      </w:r>
      <w:r>
        <w:rPr>
          <w:spacing w:val="-2"/>
        </w:rPr>
        <w:t>commence:</w:t>
      </w:r>
    </w:p>
    <w:p w14:paraId="50845B03" w14:textId="77777777" w:rsidR="005C3E15" w:rsidRDefault="008A5AAB" w:rsidP="000B4328">
      <w:pPr>
        <w:pStyle w:val="ListParagraph"/>
        <w:numPr>
          <w:ilvl w:val="0"/>
          <w:numId w:val="1"/>
        </w:numPr>
        <w:tabs>
          <w:tab w:val="left" w:pos="1531"/>
          <w:tab w:val="left" w:pos="1537"/>
        </w:tabs>
        <w:spacing w:before="200"/>
        <w:ind w:left="1514" w:hanging="459"/>
      </w:pPr>
      <w:r>
        <w:t>in</w:t>
      </w:r>
      <w:r>
        <w:rPr>
          <w:spacing w:val="-5"/>
        </w:rPr>
        <w:t xml:space="preserve"> </w:t>
      </w:r>
      <w:r>
        <w:t>Victoria,</w:t>
      </w:r>
      <w:r>
        <w:rPr>
          <w:spacing w:val="-6"/>
        </w:rPr>
        <w:t xml:space="preserve"> </w:t>
      </w:r>
      <w:r>
        <w:t>New</w:t>
      </w:r>
      <w:r>
        <w:rPr>
          <w:spacing w:val="-6"/>
        </w:rPr>
        <w:t xml:space="preserve"> </w:t>
      </w:r>
      <w:r>
        <w:t>South</w:t>
      </w:r>
      <w:r>
        <w:rPr>
          <w:spacing w:val="-10"/>
        </w:rPr>
        <w:t xml:space="preserve"> </w:t>
      </w:r>
      <w:r>
        <w:t>Wales,</w:t>
      </w:r>
      <w:r>
        <w:rPr>
          <w:spacing w:val="-3"/>
        </w:rPr>
        <w:t xml:space="preserve"> </w:t>
      </w:r>
      <w:r>
        <w:t>the</w:t>
      </w:r>
      <w:r>
        <w:rPr>
          <w:spacing w:val="-7"/>
        </w:rPr>
        <w:t xml:space="preserve"> </w:t>
      </w:r>
      <w:r>
        <w:t>Northern</w:t>
      </w:r>
      <w:r>
        <w:rPr>
          <w:spacing w:val="-7"/>
        </w:rPr>
        <w:t xml:space="preserve"> </w:t>
      </w:r>
      <w:r>
        <w:t>Territory,</w:t>
      </w:r>
      <w:r>
        <w:rPr>
          <w:spacing w:val="-6"/>
        </w:rPr>
        <w:t xml:space="preserve"> </w:t>
      </w:r>
      <w:r>
        <w:t>Tasmania,</w:t>
      </w:r>
      <w:r>
        <w:rPr>
          <w:spacing w:val="-8"/>
        </w:rPr>
        <w:t xml:space="preserve"> </w:t>
      </w:r>
      <w:r>
        <w:t>Western Australia, Victoria and Queensland, on 1 July 2025; and</w:t>
      </w:r>
    </w:p>
    <w:p w14:paraId="00A46BD1" w14:textId="77777777" w:rsidR="005C3E15" w:rsidRDefault="008A5AAB" w:rsidP="000B4328">
      <w:pPr>
        <w:pStyle w:val="ListParagraph"/>
        <w:numPr>
          <w:ilvl w:val="0"/>
          <w:numId w:val="1"/>
        </w:numPr>
        <w:tabs>
          <w:tab w:val="left" w:pos="1533"/>
          <w:tab w:val="left" w:pos="1539"/>
        </w:tabs>
        <w:spacing w:before="200"/>
        <w:ind w:left="1514" w:hanging="459"/>
      </w:pPr>
      <w:r>
        <w:t>in</w:t>
      </w:r>
      <w:r>
        <w:rPr>
          <w:spacing w:val="-4"/>
        </w:rPr>
        <w:t xml:space="preserve"> </w:t>
      </w:r>
      <w:r>
        <w:t>the</w:t>
      </w:r>
      <w:r>
        <w:rPr>
          <w:spacing w:val="-4"/>
        </w:rPr>
        <w:t xml:space="preserve"> </w:t>
      </w:r>
      <w:r>
        <w:t>Australian</w:t>
      </w:r>
      <w:r>
        <w:rPr>
          <w:spacing w:val="-4"/>
        </w:rPr>
        <w:t xml:space="preserve"> </w:t>
      </w:r>
      <w:r>
        <w:t>Capital</w:t>
      </w:r>
      <w:r>
        <w:rPr>
          <w:spacing w:val="-9"/>
        </w:rPr>
        <w:t xml:space="preserve"> </w:t>
      </w:r>
      <w:r>
        <w:t>Territory</w:t>
      </w:r>
      <w:r>
        <w:rPr>
          <w:spacing w:val="-3"/>
        </w:rPr>
        <w:t xml:space="preserve"> </w:t>
      </w:r>
      <w:r>
        <w:t>and</w:t>
      </w:r>
      <w:r>
        <w:rPr>
          <w:spacing w:val="-6"/>
        </w:rPr>
        <w:t xml:space="preserve"> </w:t>
      </w:r>
      <w:r>
        <w:t>in</w:t>
      </w:r>
      <w:r>
        <w:rPr>
          <w:spacing w:val="-4"/>
        </w:rPr>
        <w:t xml:space="preserve"> </w:t>
      </w:r>
      <w:r>
        <w:t>South</w:t>
      </w:r>
      <w:r>
        <w:rPr>
          <w:spacing w:val="-9"/>
        </w:rPr>
        <w:t xml:space="preserve"> </w:t>
      </w:r>
      <w:r>
        <w:t>Australia,</w:t>
      </w:r>
      <w:r>
        <w:rPr>
          <w:spacing w:val="-2"/>
        </w:rPr>
        <w:t xml:space="preserve"> </w:t>
      </w:r>
      <w:r>
        <w:t>on</w:t>
      </w:r>
      <w:r>
        <w:rPr>
          <w:spacing w:val="-9"/>
        </w:rPr>
        <w:t xml:space="preserve"> </w:t>
      </w:r>
      <w:r>
        <w:t>this</w:t>
      </w:r>
      <w:r>
        <w:rPr>
          <w:spacing w:val="-4"/>
        </w:rPr>
        <w:t xml:space="preserve"> </w:t>
      </w:r>
      <w:r>
        <w:t>same</w:t>
      </w:r>
      <w:r>
        <w:rPr>
          <w:spacing w:val="-4"/>
        </w:rPr>
        <w:t xml:space="preserve"> </w:t>
      </w:r>
      <w:r>
        <w:t>date, or such other later date, provided the date is specified in the relevant Minister’s notice in relation to the Scheme; or</w:t>
      </w:r>
    </w:p>
    <w:p w14:paraId="3DA12190" w14:textId="77777777" w:rsidR="005C3E15" w:rsidRDefault="008A5AAB" w:rsidP="000B4328">
      <w:pPr>
        <w:pStyle w:val="ListParagraph"/>
        <w:numPr>
          <w:ilvl w:val="0"/>
          <w:numId w:val="1"/>
        </w:numPr>
        <w:tabs>
          <w:tab w:val="left" w:pos="1533"/>
          <w:tab w:val="left" w:pos="1539"/>
        </w:tabs>
        <w:spacing w:before="200"/>
        <w:ind w:left="1514" w:hanging="459"/>
      </w:pPr>
      <w:r>
        <w:t>in</w:t>
      </w:r>
      <w:r>
        <w:rPr>
          <w:spacing w:val="-5"/>
        </w:rPr>
        <w:t xml:space="preserve"> </w:t>
      </w:r>
      <w:r>
        <w:t>all</w:t>
      </w:r>
      <w:r>
        <w:rPr>
          <w:spacing w:val="-6"/>
        </w:rPr>
        <w:t xml:space="preserve"> </w:t>
      </w:r>
      <w:r>
        <w:t>other</w:t>
      </w:r>
      <w:r>
        <w:rPr>
          <w:spacing w:val="-6"/>
        </w:rPr>
        <w:t xml:space="preserve"> </w:t>
      </w:r>
      <w:r>
        <w:t>cases,</w:t>
      </w:r>
      <w:r>
        <w:rPr>
          <w:spacing w:val="-3"/>
        </w:rPr>
        <w:t xml:space="preserve"> </w:t>
      </w:r>
      <w:r>
        <w:t>subject</w:t>
      </w:r>
      <w:r>
        <w:rPr>
          <w:spacing w:val="-6"/>
        </w:rPr>
        <w:t xml:space="preserve"> </w:t>
      </w:r>
      <w:r>
        <w:t>to</w:t>
      </w:r>
      <w:r>
        <w:rPr>
          <w:spacing w:val="-10"/>
        </w:rPr>
        <w:t xml:space="preserve"> </w:t>
      </w:r>
      <w:r>
        <w:t>the</w:t>
      </w:r>
      <w:r>
        <w:rPr>
          <w:spacing w:val="-7"/>
        </w:rPr>
        <w:t xml:space="preserve"> </w:t>
      </w:r>
      <w:r>
        <w:t>statutory</w:t>
      </w:r>
      <w:r>
        <w:rPr>
          <w:spacing w:val="-5"/>
        </w:rPr>
        <w:t xml:space="preserve"> </w:t>
      </w:r>
      <w:r>
        <w:t>provisions</w:t>
      </w:r>
      <w:r>
        <w:rPr>
          <w:spacing w:val="-4"/>
        </w:rPr>
        <w:t xml:space="preserve"> </w:t>
      </w:r>
      <w:r>
        <w:t>of</w:t>
      </w:r>
      <w:r>
        <w:rPr>
          <w:spacing w:val="-6"/>
        </w:rPr>
        <w:t xml:space="preserve"> </w:t>
      </w:r>
      <w:r>
        <w:t>each</w:t>
      </w:r>
      <w:r>
        <w:rPr>
          <w:spacing w:val="-10"/>
        </w:rPr>
        <w:t xml:space="preserve"> </w:t>
      </w:r>
      <w:r>
        <w:t xml:space="preserve">applicable </w:t>
      </w:r>
      <w:r>
        <w:rPr>
          <w:spacing w:val="-2"/>
        </w:rPr>
        <w:t>jurisdiction.</w:t>
      </w:r>
    </w:p>
    <w:p w14:paraId="69916DB2" w14:textId="77777777" w:rsidR="005C3E15" w:rsidRDefault="008A5AAB" w:rsidP="000B4328">
      <w:pPr>
        <w:pStyle w:val="ListParagraph"/>
        <w:numPr>
          <w:ilvl w:val="1"/>
          <w:numId w:val="5"/>
        </w:numPr>
        <w:tabs>
          <w:tab w:val="left" w:pos="1176"/>
          <w:tab w:val="left" w:pos="1179"/>
        </w:tabs>
        <w:spacing w:before="200"/>
        <w:ind w:left="992" w:right="198" w:hanging="567"/>
      </w:pPr>
      <w:r>
        <w:t>The</w:t>
      </w:r>
      <w:r>
        <w:rPr>
          <w:spacing w:val="-4"/>
        </w:rPr>
        <w:t xml:space="preserve"> </w:t>
      </w:r>
      <w:r>
        <w:t>Scheme</w:t>
      </w:r>
      <w:r>
        <w:rPr>
          <w:spacing w:val="-6"/>
        </w:rPr>
        <w:t xml:space="preserve"> </w:t>
      </w:r>
      <w:r>
        <w:t>will</w:t>
      </w:r>
      <w:r>
        <w:rPr>
          <w:spacing w:val="-4"/>
        </w:rPr>
        <w:t xml:space="preserve"> </w:t>
      </w:r>
      <w:r>
        <w:t>remain</w:t>
      </w:r>
      <w:r>
        <w:rPr>
          <w:spacing w:val="-6"/>
        </w:rPr>
        <w:t xml:space="preserve"> </w:t>
      </w:r>
      <w:r>
        <w:t>in</w:t>
      </w:r>
      <w:r>
        <w:rPr>
          <w:spacing w:val="-4"/>
        </w:rPr>
        <w:t xml:space="preserve"> </w:t>
      </w:r>
      <w:r>
        <w:t>force</w:t>
      </w:r>
      <w:r>
        <w:rPr>
          <w:spacing w:val="-4"/>
        </w:rPr>
        <w:t xml:space="preserve"> </w:t>
      </w:r>
      <w:r>
        <w:t>in</w:t>
      </w:r>
      <w:r>
        <w:rPr>
          <w:spacing w:val="-4"/>
        </w:rPr>
        <w:t xml:space="preserve"> </w:t>
      </w:r>
      <w:r>
        <w:t>all</w:t>
      </w:r>
      <w:r>
        <w:rPr>
          <w:spacing w:val="-5"/>
        </w:rPr>
        <w:t xml:space="preserve"> </w:t>
      </w:r>
      <w:r>
        <w:t>applicable</w:t>
      </w:r>
      <w:r>
        <w:rPr>
          <w:spacing w:val="-4"/>
        </w:rPr>
        <w:t xml:space="preserve"> </w:t>
      </w:r>
      <w:r>
        <w:t>jurisdictions</w:t>
      </w:r>
      <w:r>
        <w:rPr>
          <w:spacing w:val="-3"/>
        </w:rPr>
        <w:t xml:space="preserve"> </w:t>
      </w:r>
      <w:r>
        <w:t>for</w:t>
      </w:r>
      <w:r>
        <w:rPr>
          <w:spacing w:val="-5"/>
        </w:rPr>
        <w:t xml:space="preserve"> </w:t>
      </w:r>
      <w:r>
        <w:t>five</w:t>
      </w:r>
      <w:r>
        <w:rPr>
          <w:spacing w:val="-6"/>
        </w:rPr>
        <w:t xml:space="preserve"> </w:t>
      </w:r>
      <w:r>
        <w:t>years from the date of its commencement in Victoria.</w:t>
      </w:r>
    </w:p>
    <w:p w14:paraId="0B2A4472" w14:textId="2EFAB627" w:rsidR="005C3E15" w:rsidRDefault="008A5AAB" w:rsidP="000B4328">
      <w:pPr>
        <w:pStyle w:val="ListParagraph"/>
        <w:numPr>
          <w:ilvl w:val="1"/>
          <w:numId w:val="5"/>
        </w:numPr>
        <w:tabs>
          <w:tab w:val="left" w:pos="1177"/>
          <w:tab w:val="left" w:pos="1180"/>
        </w:tabs>
        <w:spacing w:before="200"/>
        <w:ind w:left="992" w:right="481" w:hanging="567"/>
      </w:pPr>
      <w:r>
        <w:t>Clause</w:t>
      </w:r>
      <w:r>
        <w:rPr>
          <w:spacing w:val="-6"/>
        </w:rPr>
        <w:t xml:space="preserve"> </w:t>
      </w:r>
      <w:r>
        <w:t>6.2</w:t>
      </w:r>
      <w:r>
        <w:rPr>
          <w:spacing w:val="-6"/>
        </w:rPr>
        <w:t xml:space="preserve"> </w:t>
      </w:r>
      <w:r>
        <w:t>is</w:t>
      </w:r>
      <w:r>
        <w:rPr>
          <w:spacing w:val="-8"/>
        </w:rPr>
        <w:t xml:space="preserve"> </w:t>
      </w:r>
      <w:r>
        <w:t>subject</w:t>
      </w:r>
      <w:r>
        <w:rPr>
          <w:spacing w:val="-7"/>
        </w:rPr>
        <w:t xml:space="preserve"> </w:t>
      </w:r>
      <w:r>
        <w:t>to</w:t>
      </w:r>
      <w:r>
        <w:rPr>
          <w:spacing w:val="-11"/>
        </w:rPr>
        <w:t xml:space="preserve"> </w:t>
      </w:r>
      <w:r>
        <w:t>the</w:t>
      </w:r>
      <w:r>
        <w:rPr>
          <w:spacing w:val="-6"/>
        </w:rPr>
        <w:t xml:space="preserve"> </w:t>
      </w:r>
      <w:r>
        <w:t>provisions</w:t>
      </w:r>
      <w:r>
        <w:rPr>
          <w:spacing w:val="-5"/>
        </w:rPr>
        <w:t xml:space="preserve"> </w:t>
      </w:r>
      <w:r>
        <w:t>of</w:t>
      </w:r>
      <w:r>
        <w:rPr>
          <w:spacing w:val="-7"/>
        </w:rPr>
        <w:t xml:space="preserve"> </w:t>
      </w:r>
      <w:r>
        <w:t>the</w:t>
      </w:r>
      <w:r>
        <w:rPr>
          <w:spacing w:val="-6"/>
        </w:rPr>
        <w:t xml:space="preserve"> </w:t>
      </w:r>
      <w:r>
        <w:t>Act</w:t>
      </w:r>
      <w:r>
        <w:rPr>
          <w:spacing w:val="-5"/>
        </w:rPr>
        <w:t xml:space="preserve"> </w:t>
      </w:r>
      <w:r>
        <w:t>or</w:t>
      </w:r>
      <w:r>
        <w:rPr>
          <w:spacing w:val="-7"/>
        </w:rPr>
        <w:t xml:space="preserve"> </w:t>
      </w:r>
      <w:r>
        <w:t>the</w:t>
      </w:r>
      <w:r>
        <w:rPr>
          <w:spacing w:val="-6"/>
        </w:rPr>
        <w:t xml:space="preserve"> </w:t>
      </w:r>
      <w:r>
        <w:t>Corresponding Laws</w:t>
      </w:r>
      <w:r w:rsidR="000B4328">
        <w:t> </w:t>
      </w:r>
      <w:r>
        <w:t>of each jurisdiction in relation to the revocation, extension, or cessation of a scheme.</w:t>
      </w:r>
    </w:p>
    <w:p w14:paraId="17027242" w14:textId="77777777" w:rsidR="005C3E15" w:rsidRDefault="008A5AAB" w:rsidP="000B4328">
      <w:pPr>
        <w:pStyle w:val="Heading1"/>
        <w:numPr>
          <w:ilvl w:val="0"/>
          <w:numId w:val="5"/>
        </w:numPr>
        <w:tabs>
          <w:tab w:val="left" w:pos="816"/>
        </w:tabs>
        <w:spacing w:before="200"/>
        <w:ind w:left="357" w:hanging="357"/>
      </w:pPr>
      <w:r>
        <w:rPr>
          <w:spacing w:val="-2"/>
        </w:rPr>
        <w:t>Definitions</w:t>
      </w:r>
    </w:p>
    <w:p w14:paraId="3CC96EAC" w14:textId="77777777" w:rsidR="005C3E15" w:rsidRDefault="008A5AAB" w:rsidP="000B4328">
      <w:pPr>
        <w:pStyle w:val="ListParagraph"/>
        <w:numPr>
          <w:ilvl w:val="1"/>
          <w:numId w:val="5"/>
        </w:numPr>
        <w:tabs>
          <w:tab w:val="left" w:pos="1175"/>
        </w:tabs>
        <w:spacing w:before="200"/>
        <w:ind w:left="992" w:hanging="567"/>
      </w:pPr>
      <w:r>
        <w:t>Relevant</w:t>
      </w:r>
      <w:r>
        <w:rPr>
          <w:spacing w:val="-9"/>
        </w:rPr>
        <w:t xml:space="preserve"> </w:t>
      </w:r>
      <w:r>
        <w:t>definitions</w:t>
      </w:r>
      <w:r>
        <w:rPr>
          <w:spacing w:val="-10"/>
        </w:rPr>
        <w:t xml:space="preserve"> </w:t>
      </w:r>
      <w:r>
        <w:t>for</w:t>
      </w:r>
      <w:r>
        <w:rPr>
          <w:spacing w:val="-9"/>
        </w:rPr>
        <w:t xml:space="preserve"> </w:t>
      </w:r>
      <w:r>
        <w:t>the</w:t>
      </w:r>
      <w:r>
        <w:rPr>
          <w:spacing w:val="-8"/>
        </w:rPr>
        <w:t xml:space="preserve"> </w:t>
      </w:r>
      <w:r>
        <w:t>purpose</w:t>
      </w:r>
      <w:r>
        <w:rPr>
          <w:spacing w:val="-10"/>
        </w:rPr>
        <w:t xml:space="preserve"> </w:t>
      </w:r>
      <w:r>
        <w:t>of</w:t>
      </w:r>
      <w:r>
        <w:rPr>
          <w:spacing w:val="-9"/>
        </w:rPr>
        <w:t xml:space="preserve"> </w:t>
      </w:r>
      <w:r>
        <w:t>this</w:t>
      </w:r>
      <w:r>
        <w:rPr>
          <w:spacing w:val="-10"/>
        </w:rPr>
        <w:t xml:space="preserve"> </w:t>
      </w:r>
      <w:r>
        <w:t>Scheme</w:t>
      </w:r>
      <w:r>
        <w:rPr>
          <w:spacing w:val="-6"/>
        </w:rPr>
        <w:t xml:space="preserve"> </w:t>
      </w:r>
      <w:r>
        <w:t>are</w:t>
      </w:r>
      <w:r>
        <w:rPr>
          <w:spacing w:val="-8"/>
        </w:rPr>
        <w:t xml:space="preserve"> </w:t>
      </w:r>
      <w:r>
        <w:t>as</w:t>
      </w:r>
      <w:r>
        <w:rPr>
          <w:spacing w:val="-9"/>
        </w:rPr>
        <w:t xml:space="preserve"> </w:t>
      </w:r>
      <w:r>
        <w:rPr>
          <w:spacing w:val="-2"/>
        </w:rPr>
        <w:t>follows:</w:t>
      </w:r>
    </w:p>
    <w:p w14:paraId="341C9866" w14:textId="77777777" w:rsidR="005C3E15" w:rsidRDefault="008A5AAB" w:rsidP="000B4328">
      <w:pPr>
        <w:pStyle w:val="BodyText"/>
        <w:spacing w:before="200"/>
        <w:ind w:left="992" w:right="-86"/>
      </w:pPr>
      <w:r>
        <w:t>“Barrister” means an Australian legal practitioner who engages in legal practice solely</w:t>
      </w:r>
      <w:r>
        <w:rPr>
          <w:spacing w:val="-1"/>
        </w:rPr>
        <w:t xml:space="preserve"> </w:t>
      </w:r>
      <w:r>
        <w:t>as</w:t>
      </w:r>
      <w:r>
        <w:rPr>
          <w:spacing w:val="-4"/>
        </w:rPr>
        <w:t xml:space="preserve"> </w:t>
      </w:r>
      <w:r>
        <w:t>a</w:t>
      </w:r>
      <w:r>
        <w:rPr>
          <w:spacing w:val="-4"/>
        </w:rPr>
        <w:t xml:space="preserve"> </w:t>
      </w:r>
      <w:r>
        <w:t>barrister</w:t>
      </w:r>
      <w:r>
        <w:rPr>
          <w:spacing w:val="-5"/>
        </w:rPr>
        <w:t xml:space="preserve"> </w:t>
      </w:r>
      <w:r>
        <w:t>pursuant</w:t>
      </w:r>
      <w:r>
        <w:rPr>
          <w:spacing w:val="-5"/>
        </w:rPr>
        <w:t xml:space="preserve"> </w:t>
      </w:r>
      <w:r>
        <w:t>to</w:t>
      </w:r>
      <w:r>
        <w:rPr>
          <w:spacing w:val="-4"/>
        </w:rPr>
        <w:t xml:space="preserve"> </w:t>
      </w:r>
      <w:r>
        <w:t>sections</w:t>
      </w:r>
      <w:r>
        <w:rPr>
          <w:spacing w:val="-4"/>
        </w:rPr>
        <w:t xml:space="preserve"> </w:t>
      </w:r>
      <w:r>
        <w:t>43</w:t>
      </w:r>
      <w:r>
        <w:rPr>
          <w:spacing w:val="-6"/>
        </w:rPr>
        <w:t xml:space="preserve"> </w:t>
      </w:r>
      <w:r>
        <w:t>and</w:t>
      </w:r>
      <w:r>
        <w:rPr>
          <w:spacing w:val="-9"/>
        </w:rPr>
        <w:t xml:space="preserve"> </w:t>
      </w:r>
      <w:r>
        <w:t>47(1)(b) of</w:t>
      </w:r>
      <w:r>
        <w:rPr>
          <w:spacing w:val="-5"/>
        </w:rPr>
        <w:t xml:space="preserve"> </w:t>
      </w:r>
      <w:r>
        <w:t>the</w:t>
      </w:r>
      <w:r>
        <w:rPr>
          <w:spacing w:val="-9"/>
        </w:rPr>
        <w:t xml:space="preserve"> </w:t>
      </w:r>
      <w:r>
        <w:t>LPUL, and</w:t>
      </w:r>
      <w:r>
        <w:rPr>
          <w:spacing w:val="-9"/>
        </w:rPr>
        <w:t xml:space="preserve"> </w:t>
      </w:r>
      <w:r>
        <w:t>whose Australian practising certificate is subject to a condition that the holder is authorised to engage in legal practice as or in the manner of a barrister only;</w:t>
      </w:r>
    </w:p>
    <w:p w14:paraId="480F43D1" w14:textId="77777777" w:rsidR="005C3E15" w:rsidRDefault="008A5AAB" w:rsidP="000B4328">
      <w:pPr>
        <w:spacing w:before="200"/>
        <w:ind w:left="992"/>
      </w:pPr>
      <w:r>
        <w:t xml:space="preserve">“Corresponding Laws” means the </w:t>
      </w:r>
      <w:r>
        <w:rPr>
          <w:i/>
        </w:rPr>
        <w:t xml:space="preserve">Professional Standards Act 1994 </w:t>
      </w:r>
      <w:r>
        <w:t xml:space="preserve">(NSW); the </w:t>
      </w:r>
      <w:r>
        <w:rPr>
          <w:i/>
        </w:rPr>
        <w:t xml:space="preserve">Professional Standards Act 2004 </w:t>
      </w:r>
      <w:r>
        <w:t xml:space="preserve">(Qld); the </w:t>
      </w:r>
      <w:r>
        <w:rPr>
          <w:i/>
        </w:rPr>
        <w:t xml:space="preserve">Professional Standards Act 2004 </w:t>
      </w:r>
      <w:r>
        <w:t>(SA),</w:t>
      </w:r>
      <w:r>
        <w:rPr>
          <w:spacing w:val="-6"/>
        </w:rPr>
        <w:t xml:space="preserve"> </w:t>
      </w:r>
      <w:r>
        <w:t>the</w:t>
      </w:r>
      <w:r>
        <w:rPr>
          <w:spacing w:val="-7"/>
        </w:rPr>
        <w:t xml:space="preserve"> </w:t>
      </w:r>
      <w:r>
        <w:rPr>
          <w:i/>
        </w:rPr>
        <w:t>Professional</w:t>
      </w:r>
      <w:r>
        <w:rPr>
          <w:i/>
          <w:spacing w:val="-5"/>
        </w:rPr>
        <w:t xml:space="preserve"> </w:t>
      </w:r>
      <w:r>
        <w:rPr>
          <w:i/>
        </w:rPr>
        <w:t>Standards</w:t>
      </w:r>
      <w:r>
        <w:rPr>
          <w:i/>
          <w:spacing w:val="-5"/>
        </w:rPr>
        <w:t xml:space="preserve"> </w:t>
      </w:r>
      <w:r>
        <w:rPr>
          <w:i/>
        </w:rPr>
        <w:t>Act</w:t>
      </w:r>
      <w:r>
        <w:rPr>
          <w:i/>
          <w:spacing w:val="-4"/>
        </w:rPr>
        <w:t xml:space="preserve"> </w:t>
      </w:r>
      <w:r>
        <w:rPr>
          <w:i/>
        </w:rPr>
        <w:t>1997</w:t>
      </w:r>
      <w:r>
        <w:rPr>
          <w:i/>
          <w:spacing w:val="-9"/>
        </w:rPr>
        <w:t xml:space="preserve"> </w:t>
      </w:r>
      <w:r>
        <w:t>(WA),</w:t>
      </w:r>
      <w:r>
        <w:rPr>
          <w:spacing w:val="-11"/>
        </w:rPr>
        <w:t xml:space="preserve"> </w:t>
      </w:r>
      <w:r>
        <w:t>the</w:t>
      </w:r>
      <w:r>
        <w:rPr>
          <w:spacing w:val="-5"/>
        </w:rPr>
        <w:t xml:space="preserve"> </w:t>
      </w:r>
      <w:r>
        <w:rPr>
          <w:i/>
        </w:rPr>
        <w:t>Professional</w:t>
      </w:r>
      <w:r>
        <w:rPr>
          <w:i/>
          <w:spacing w:val="-5"/>
        </w:rPr>
        <w:t xml:space="preserve"> </w:t>
      </w:r>
      <w:r>
        <w:rPr>
          <w:i/>
        </w:rPr>
        <w:t>Standards</w:t>
      </w:r>
      <w:r>
        <w:rPr>
          <w:i/>
          <w:spacing w:val="-5"/>
        </w:rPr>
        <w:t xml:space="preserve"> </w:t>
      </w:r>
      <w:r>
        <w:rPr>
          <w:i/>
        </w:rPr>
        <w:t xml:space="preserve">Act 2005 </w:t>
      </w:r>
      <w:r>
        <w:t xml:space="preserve">(Tas), the </w:t>
      </w:r>
      <w:r>
        <w:rPr>
          <w:i/>
        </w:rPr>
        <w:t xml:space="preserve">Professional Standards Act 2004 </w:t>
      </w:r>
      <w:r>
        <w:t xml:space="preserve">(NT), and the </w:t>
      </w:r>
      <w:r>
        <w:rPr>
          <w:i/>
        </w:rPr>
        <w:t xml:space="preserve">Civil Law (Wrongs) Act 2002 </w:t>
      </w:r>
      <w:r>
        <w:t>(ACT).</w:t>
      </w:r>
    </w:p>
    <w:p w14:paraId="0CA97CB3" w14:textId="77777777" w:rsidR="005C3E15" w:rsidRDefault="008A5AAB" w:rsidP="000B4328">
      <w:pPr>
        <w:pStyle w:val="BodyText"/>
        <w:spacing w:before="200"/>
        <w:ind w:left="992"/>
      </w:pPr>
      <w:r>
        <w:t>“Damages”</w:t>
      </w:r>
      <w:r>
        <w:rPr>
          <w:spacing w:val="-4"/>
        </w:rPr>
        <w:t xml:space="preserve"> </w:t>
      </w:r>
      <w:r>
        <w:t>has</w:t>
      </w:r>
      <w:r>
        <w:rPr>
          <w:spacing w:val="-9"/>
        </w:rPr>
        <w:t xml:space="preserve"> </w:t>
      </w:r>
      <w:r>
        <w:t>the</w:t>
      </w:r>
      <w:r>
        <w:rPr>
          <w:spacing w:val="-10"/>
        </w:rPr>
        <w:t xml:space="preserve"> </w:t>
      </w:r>
      <w:r>
        <w:t>same</w:t>
      </w:r>
      <w:r>
        <w:rPr>
          <w:spacing w:val="-8"/>
        </w:rPr>
        <w:t xml:space="preserve"> </w:t>
      </w:r>
      <w:r>
        <w:t>meaning</w:t>
      </w:r>
      <w:r>
        <w:rPr>
          <w:spacing w:val="-5"/>
        </w:rPr>
        <w:t xml:space="preserve"> </w:t>
      </w:r>
      <w:r>
        <w:t>as</w:t>
      </w:r>
      <w:r>
        <w:rPr>
          <w:spacing w:val="-5"/>
        </w:rPr>
        <w:t xml:space="preserve"> </w:t>
      </w:r>
      <w:r>
        <w:t>it</w:t>
      </w:r>
      <w:r>
        <w:rPr>
          <w:spacing w:val="-7"/>
        </w:rPr>
        <w:t xml:space="preserve"> </w:t>
      </w:r>
      <w:r>
        <w:t>has</w:t>
      </w:r>
      <w:r>
        <w:rPr>
          <w:spacing w:val="-9"/>
        </w:rPr>
        <w:t xml:space="preserve"> </w:t>
      </w:r>
      <w:r>
        <w:t>in</w:t>
      </w:r>
      <w:r>
        <w:rPr>
          <w:spacing w:val="-7"/>
        </w:rPr>
        <w:t xml:space="preserve"> </w:t>
      </w:r>
      <w:r>
        <w:t>the</w:t>
      </w:r>
      <w:r>
        <w:rPr>
          <w:spacing w:val="-5"/>
        </w:rPr>
        <w:t xml:space="preserve"> </w:t>
      </w:r>
      <w:r>
        <w:rPr>
          <w:spacing w:val="-4"/>
        </w:rPr>
        <w:t>Act;</w:t>
      </w:r>
    </w:p>
    <w:p w14:paraId="6C6B6B9E" w14:textId="77777777" w:rsidR="005C3E15" w:rsidRDefault="008A5AAB" w:rsidP="000B4328">
      <w:pPr>
        <w:pStyle w:val="BodyText"/>
        <w:spacing w:before="200"/>
        <w:ind w:left="992" w:right="-86"/>
      </w:pPr>
      <w:r>
        <w:t>“Legal</w:t>
      </w:r>
      <w:r>
        <w:rPr>
          <w:spacing w:val="-4"/>
        </w:rPr>
        <w:t xml:space="preserve"> </w:t>
      </w:r>
      <w:r>
        <w:t>services”</w:t>
      </w:r>
      <w:r>
        <w:rPr>
          <w:spacing w:val="-7"/>
        </w:rPr>
        <w:t xml:space="preserve"> </w:t>
      </w:r>
      <w:r>
        <w:t>means</w:t>
      </w:r>
      <w:r>
        <w:rPr>
          <w:spacing w:val="-13"/>
        </w:rPr>
        <w:t xml:space="preserve"> </w:t>
      </w:r>
      <w:r>
        <w:t>work</w:t>
      </w:r>
      <w:r>
        <w:rPr>
          <w:spacing w:val="-3"/>
        </w:rPr>
        <w:t xml:space="preserve"> </w:t>
      </w:r>
      <w:r>
        <w:t>done,</w:t>
      </w:r>
      <w:r>
        <w:rPr>
          <w:spacing w:val="-2"/>
        </w:rPr>
        <w:t xml:space="preserve"> </w:t>
      </w:r>
      <w:r>
        <w:t>or</w:t>
      </w:r>
      <w:r>
        <w:rPr>
          <w:spacing w:val="-2"/>
        </w:rPr>
        <w:t xml:space="preserve"> </w:t>
      </w:r>
      <w:r>
        <w:t>business</w:t>
      </w:r>
      <w:r>
        <w:rPr>
          <w:spacing w:val="-8"/>
        </w:rPr>
        <w:t xml:space="preserve"> </w:t>
      </w:r>
      <w:r>
        <w:t>transacted,</w:t>
      </w:r>
      <w:r>
        <w:rPr>
          <w:spacing w:val="-2"/>
        </w:rPr>
        <w:t xml:space="preserve"> </w:t>
      </w:r>
      <w:r>
        <w:t>in</w:t>
      </w:r>
      <w:r>
        <w:rPr>
          <w:spacing w:val="-9"/>
        </w:rPr>
        <w:t xml:space="preserve"> </w:t>
      </w:r>
      <w:r>
        <w:t>the</w:t>
      </w:r>
      <w:r>
        <w:rPr>
          <w:spacing w:val="-9"/>
        </w:rPr>
        <w:t xml:space="preserve"> </w:t>
      </w:r>
      <w:r>
        <w:t>ordinary</w:t>
      </w:r>
      <w:r>
        <w:rPr>
          <w:spacing w:val="-6"/>
        </w:rPr>
        <w:t xml:space="preserve"> </w:t>
      </w:r>
      <w:r>
        <w:t>course of legal practice;</w:t>
      </w:r>
    </w:p>
    <w:p w14:paraId="700C8900" w14:textId="77777777" w:rsidR="005C3E15" w:rsidRDefault="008A5AAB" w:rsidP="000B4328">
      <w:pPr>
        <w:spacing w:before="200"/>
        <w:ind w:left="992"/>
      </w:pPr>
      <w:r>
        <w:t>“LPUL”</w:t>
      </w:r>
      <w:r>
        <w:rPr>
          <w:spacing w:val="-6"/>
        </w:rPr>
        <w:t xml:space="preserve"> </w:t>
      </w:r>
      <w:r>
        <w:t>means</w:t>
      </w:r>
      <w:r>
        <w:rPr>
          <w:spacing w:val="-9"/>
        </w:rPr>
        <w:t xml:space="preserve"> </w:t>
      </w:r>
      <w:r>
        <w:t>the</w:t>
      </w:r>
      <w:r>
        <w:rPr>
          <w:spacing w:val="-7"/>
        </w:rPr>
        <w:t xml:space="preserve"> </w:t>
      </w:r>
      <w:r>
        <w:rPr>
          <w:i/>
        </w:rPr>
        <w:t>Legal</w:t>
      </w:r>
      <w:r>
        <w:rPr>
          <w:i/>
          <w:spacing w:val="-10"/>
        </w:rPr>
        <w:t xml:space="preserve"> </w:t>
      </w:r>
      <w:r>
        <w:rPr>
          <w:i/>
        </w:rPr>
        <w:t>Profession</w:t>
      </w:r>
      <w:r>
        <w:rPr>
          <w:i/>
          <w:spacing w:val="-7"/>
        </w:rPr>
        <w:t xml:space="preserve"> </w:t>
      </w:r>
      <w:r>
        <w:rPr>
          <w:i/>
        </w:rPr>
        <w:t>Uniform</w:t>
      </w:r>
      <w:r>
        <w:rPr>
          <w:i/>
          <w:spacing w:val="-4"/>
        </w:rPr>
        <w:t xml:space="preserve"> </w:t>
      </w:r>
      <w:r>
        <w:rPr>
          <w:i/>
        </w:rPr>
        <w:t>Law</w:t>
      </w:r>
      <w:r>
        <w:rPr>
          <w:i/>
          <w:spacing w:val="-10"/>
        </w:rPr>
        <w:t xml:space="preserve"> </w:t>
      </w:r>
      <w:r>
        <w:t>(Victoria),</w:t>
      </w:r>
      <w:r>
        <w:rPr>
          <w:spacing w:val="-3"/>
        </w:rPr>
        <w:t xml:space="preserve"> </w:t>
      </w:r>
      <w:r>
        <w:t>being</w:t>
      </w:r>
      <w:r>
        <w:rPr>
          <w:spacing w:val="-7"/>
        </w:rPr>
        <w:t xml:space="preserve"> </w:t>
      </w:r>
      <w:r>
        <w:t>Schedule</w:t>
      </w:r>
      <w:r>
        <w:rPr>
          <w:spacing w:val="-5"/>
        </w:rPr>
        <w:t xml:space="preserve"> </w:t>
      </w:r>
      <w:r>
        <w:t>1</w:t>
      </w:r>
      <w:r>
        <w:rPr>
          <w:spacing w:val="-7"/>
        </w:rPr>
        <w:t xml:space="preserve"> </w:t>
      </w:r>
      <w:r>
        <w:t xml:space="preserve">of the </w:t>
      </w:r>
      <w:r>
        <w:rPr>
          <w:i/>
        </w:rPr>
        <w:t xml:space="preserve">Legal Profession Uniform Law Application Act 2014 </w:t>
      </w:r>
      <w:r>
        <w:t>(Vic);</w:t>
      </w:r>
    </w:p>
    <w:p w14:paraId="4F31A8FB" w14:textId="77777777" w:rsidR="005C3E15" w:rsidRDefault="008A5AAB" w:rsidP="000B4328">
      <w:pPr>
        <w:pStyle w:val="BodyText"/>
        <w:spacing w:before="200"/>
        <w:ind w:left="992"/>
      </w:pPr>
      <w:r>
        <w:t>“Occupational</w:t>
      </w:r>
      <w:r>
        <w:rPr>
          <w:spacing w:val="-11"/>
        </w:rPr>
        <w:t xml:space="preserve"> </w:t>
      </w:r>
      <w:r>
        <w:t>Liability”</w:t>
      </w:r>
      <w:r>
        <w:rPr>
          <w:spacing w:val="-5"/>
        </w:rPr>
        <w:t xml:space="preserve"> </w:t>
      </w:r>
      <w:r>
        <w:t>has</w:t>
      </w:r>
      <w:r>
        <w:rPr>
          <w:spacing w:val="-4"/>
        </w:rPr>
        <w:t xml:space="preserve"> </w:t>
      </w:r>
      <w:r>
        <w:t>the</w:t>
      </w:r>
      <w:r>
        <w:rPr>
          <w:spacing w:val="-11"/>
        </w:rPr>
        <w:t xml:space="preserve"> </w:t>
      </w:r>
      <w:r>
        <w:t>same</w:t>
      </w:r>
      <w:r>
        <w:rPr>
          <w:spacing w:val="-10"/>
        </w:rPr>
        <w:t xml:space="preserve"> </w:t>
      </w:r>
      <w:r>
        <w:t>meaning</w:t>
      </w:r>
      <w:r>
        <w:rPr>
          <w:spacing w:val="-8"/>
        </w:rPr>
        <w:t xml:space="preserve"> </w:t>
      </w:r>
      <w:r>
        <w:t>as</w:t>
      </w:r>
      <w:r>
        <w:rPr>
          <w:spacing w:val="-12"/>
        </w:rPr>
        <w:t xml:space="preserve"> </w:t>
      </w:r>
      <w:r>
        <w:t>it</w:t>
      </w:r>
      <w:r>
        <w:rPr>
          <w:spacing w:val="-4"/>
        </w:rPr>
        <w:t xml:space="preserve"> </w:t>
      </w:r>
      <w:r>
        <w:t>has</w:t>
      </w:r>
      <w:r>
        <w:rPr>
          <w:spacing w:val="-8"/>
        </w:rPr>
        <w:t xml:space="preserve"> </w:t>
      </w:r>
      <w:r>
        <w:t>in</w:t>
      </w:r>
      <w:r>
        <w:rPr>
          <w:spacing w:val="-12"/>
        </w:rPr>
        <w:t xml:space="preserve"> </w:t>
      </w:r>
      <w:r>
        <w:t>the</w:t>
      </w:r>
      <w:r>
        <w:rPr>
          <w:spacing w:val="-5"/>
        </w:rPr>
        <w:t xml:space="preserve"> </w:t>
      </w:r>
      <w:r>
        <w:rPr>
          <w:spacing w:val="-4"/>
        </w:rPr>
        <w:t>Act;</w:t>
      </w:r>
    </w:p>
    <w:p w14:paraId="2ACF66CF" w14:textId="77777777" w:rsidR="005C3E15" w:rsidRDefault="008A5AAB" w:rsidP="000B4328">
      <w:pPr>
        <w:pStyle w:val="BodyText"/>
        <w:spacing w:before="200"/>
        <w:ind w:left="992"/>
      </w:pPr>
      <w:r>
        <w:t>“Scheme</w:t>
      </w:r>
      <w:r>
        <w:rPr>
          <w:spacing w:val="-9"/>
        </w:rPr>
        <w:t xml:space="preserve"> </w:t>
      </w:r>
      <w:r>
        <w:t>register”</w:t>
      </w:r>
      <w:r>
        <w:rPr>
          <w:spacing w:val="-7"/>
        </w:rPr>
        <w:t xml:space="preserve"> </w:t>
      </w:r>
      <w:r>
        <w:t>means</w:t>
      </w:r>
      <w:r>
        <w:rPr>
          <w:spacing w:val="-4"/>
        </w:rPr>
        <w:t xml:space="preserve"> </w:t>
      </w:r>
      <w:r>
        <w:t>the</w:t>
      </w:r>
      <w:r>
        <w:rPr>
          <w:spacing w:val="-9"/>
        </w:rPr>
        <w:t xml:space="preserve"> </w:t>
      </w:r>
      <w:r>
        <w:t>register</w:t>
      </w:r>
      <w:r>
        <w:rPr>
          <w:spacing w:val="-5"/>
        </w:rPr>
        <w:t xml:space="preserve"> </w:t>
      </w:r>
      <w:r>
        <w:t>of</w:t>
      </w:r>
      <w:r>
        <w:rPr>
          <w:spacing w:val="-5"/>
        </w:rPr>
        <w:t xml:space="preserve"> </w:t>
      </w:r>
      <w:r>
        <w:t>members</w:t>
      </w:r>
      <w:r>
        <w:rPr>
          <w:spacing w:val="-5"/>
        </w:rPr>
        <w:t xml:space="preserve"> </w:t>
      </w:r>
      <w:r>
        <w:t>to</w:t>
      </w:r>
      <w:r>
        <w:rPr>
          <w:spacing w:val="-9"/>
        </w:rPr>
        <w:t xml:space="preserve"> </w:t>
      </w:r>
      <w:r>
        <w:t>whom</w:t>
      </w:r>
      <w:r>
        <w:rPr>
          <w:spacing w:val="-7"/>
        </w:rPr>
        <w:t xml:space="preserve"> </w:t>
      </w:r>
      <w:r>
        <w:t>the</w:t>
      </w:r>
      <w:r>
        <w:rPr>
          <w:spacing w:val="-9"/>
        </w:rPr>
        <w:t xml:space="preserve"> </w:t>
      </w:r>
      <w:r>
        <w:t>Scheme</w:t>
      </w:r>
      <w:r>
        <w:rPr>
          <w:spacing w:val="-6"/>
        </w:rPr>
        <w:t xml:space="preserve"> </w:t>
      </w:r>
      <w:r>
        <w:t>applies maintained by the Victorian Bar Council.</w:t>
      </w:r>
    </w:p>
    <w:p w14:paraId="71A7D3A3" w14:textId="77777777" w:rsidR="005C3E15" w:rsidRDefault="008A5AAB" w:rsidP="000B4328">
      <w:pPr>
        <w:spacing w:before="200"/>
        <w:ind w:left="992" w:right="-86"/>
      </w:pPr>
      <w:r>
        <w:t>“the</w:t>
      </w:r>
      <w:r>
        <w:rPr>
          <w:spacing w:val="-6"/>
        </w:rPr>
        <w:t xml:space="preserve"> </w:t>
      </w:r>
      <w:r>
        <w:t>Act”</w:t>
      </w:r>
      <w:r>
        <w:rPr>
          <w:spacing w:val="-8"/>
        </w:rPr>
        <w:t xml:space="preserve"> </w:t>
      </w:r>
      <w:r>
        <w:t>means</w:t>
      </w:r>
      <w:r>
        <w:rPr>
          <w:spacing w:val="-8"/>
        </w:rPr>
        <w:t xml:space="preserve"> </w:t>
      </w:r>
      <w:r>
        <w:t>the</w:t>
      </w:r>
      <w:r>
        <w:rPr>
          <w:spacing w:val="-6"/>
        </w:rPr>
        <w:t xml:space="preserve"> </w:t>
      </w:r>
      <w:r>
        <w:rPr>
          <w:i/>
        </w:rPr>
        <w:t>Professional</w:t>
      </w:r>
      <w:r>
        <w:rPr>
          <w:i/>
          <w:spacing w:val="-4"/>
        </w:rPr>
        <w:t xml:space="preserve"> </w:t>
      </w:r>
      <w:r>
        <w:rPr>
          <w:i/>
        </w:rPr>
        <w:t>Standards</w:t>
      </w:r>
      <w:r>
        <w:rPr>
          <w:i/>
          <w:spacing w:val="-6"/>
        </w:rPr>
        <w:t xml:space="preserve"> </w:t>
      </w:r>
      <w:r>
        <w:rPr>
          <w:i/>
        </w:rPr>
        <w:t>Act</w:t>
      </w:r>
      <w:r>
        <w:rPr>
          <w:i/>
          <w:spacing w:val="-2"/>
        </w:rPr>
        <w:t xml:space="preserve"> </w:t>
      </w:r>
      <w:r>
        <w:rPr>
          <w:i/>
        </w:rPr>
        <w:t>2003</w:t>
      </w:r>
      <w:r>
        <w:rPr>
          <w:i/>
          <w:spacing w:val="-1"/>
        </w:rPr>
        <w:t xml:space="preserve"> </w:t>
      </w:r>
      <w:r>
        <w:t>(Vic)</w:t>
      </w:r>
      <w:r>
        <w:rPr>
          <w:spacing w:val="-3"/>
        </w:rPr>
        <w:t xml:space="preserve"> </w:t>
      </w:r>
      <w:r>
        <w:t>as</w:t>
      </w:r>
      <w:r>
        <w:rPr>
          <w:spacing w:val="-4"/>
        </w:rPr>
        <w:t xml:space="preserve"> </w:t>
      </w:r>
      <w:r>
        <w:t>amended</w:t>
      </w:r>
      <w:r>
        <w:rPr>
          <w:spacing w:val="-8"/>
        </w:rPr>
        <w:t xml:space="preserve"> </w:t>
      </w:r>
      <w:r>
        <w:t>from</w:t>
      </w:r>
      <w:r>
        <w:rPr>
          <w:spacing w:val="-5"/>
        </w:rPr>
        <w:t xml:space="preserve"> </w:t>
      </w:r>
      <w:r>
        <w:t>time to time.</w:t>
      </w:r>
    </w:p>
    <w:sectPr w:rsidR="005C3E15" w:rsidSect="000B4328">
      <w:pgSz w:w="11907" w:h="16840" w:code="9"/>
      <w:pgMar w:top="1440" w:right="1531" w:bottom="1440" w:left="153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432F4" w14:textId="77777777" w:rsidR="00BD63D0" w:rsidRDefault="00BD63D0" w:rsidP="00BD63D0">
      <w:r>
        <w:separator/>
      </w:r>
    </w:p>
  </w:endnote>
  <w:endnote w:type="continuationSeparator" w:id="0">
    <w:p w14:paraId="147B2420" w14:textId="77777777" w:rsidR="00BD63D0" w:rsidRDefault="00BD63D0" w:rsidP="00BD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B2F3" w14:textId="77777777" w:rsidR="00BD63D0" w:rsidRDefault="00BD6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43ED" w14:textId="1184461E" w:rsidR="00BD63D0" w:rsidRPr="00BD63D0" w:rsidRDefault="00BD63D0" w:rsidP="00BD63D0">
    <w:pPr>
      <w:pStyle w:val="Footer"/>
      <w:jc w:val="center"/>
      <w:rPr>
        <w:sz w:val="14"/>
      </w:rPr>
    </w:pPr>
    <w:r w:rsidRPr="00BD63D0">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71B04" w14:textId="77777777" w:rsidR="00BD63D0" w:rsidRDefault="00BD6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2BCDA" w14:textId="77777777" w:rsidR="00BD63D0" w:rsidRDefault="00BD63D0" w:rsidP="00BD63D0">
      <w:r>
        <w:separator/>
      </w:r>
    </w:p>
  </w:footnote>
  <w:footnote w:type="continuationSeparator" w:id="0">
    <w:p w14:paraId="78CF1179" w14:textId="77777777" w:rsidR="00BD63D0" w:rsidRDefault="00BD63D0" w:rsidP="00BD6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2A96" w14:textId="77777777" w:rsidR="00BD63D0" w:rsidRDefault="00BD6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B9BA" w14:textId="77777777" w:rsidR="00BD63D0" w:rsidRDefault="00BD6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3429" w14:textId="77777777" w:rsidR="00BD63D0" w:rsidRDefault="00BD6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8C3"/>
    <w:multiLevelType w:val="hybridMultilevel"/>
    <w:tmpl w:val="E9ECB124"/>
    <w:lvl w:ilvl="0" w:tplc="58D69466">
      <w:start w:val="1"/>
      <w:numFmt w:val="lowerLetter"/>
      <w:lvlText w:val="(%1)"/>
      <w:lvlJc w:val="left"/>
      <w:pPr>
        <w:ind w:left="1537" w:hanging="358"/>
        <w:jc w:val="left"/>
      </w:pPr>
      <w:rPr>
        <w:rFonts w:ascii="Arial" w:eastAsia="Arial" w:hAnsi="Arial" w:cs="Arial" w:hint="default"/>
        <w:b w:val="0"/>
        <w:bCs w:val="0"/>
        <w:i w:val="0"/>
        <w:iCs w:val="0"/>
        <w:spacing w:val="-3"/>
        <w:w w:val="100"/>
        <w:sz w:val="22"/>
        <w:szCs w:val="22"/>
        <w:lang w:val="en-US" w:eastAsia="en-US" w:bidi="ar-SA"/>
      </w:rPr>
    </w:lvl>
    <w:lvl w:ilvl="1" w:tplc="AB5A1A6A">
      <w:numFmt w:val="bullet"/>
      <w:lvlText w:val="•"/>
      <w:lvlJc w:val="left"/>
      <w:pPr>
        <w:ind w:left="2307" w:hanging="358"/>
      </w:pPr>
      <w:rPr>
        <w:rFonts w:hint="default"/>
        <w:lang w:val="en-US" w:eastAsia="en-US" w:bidi="ar-SA"/>
      </w:rPr>
    </w:lvl>
    <w:lvl w:ilvl="2" w:tplc="BAEA3AE6">
      <w:numFmt w:val="bullet"/>
      <w:lvlText w:val="•"/>
      <w:lvlJc w:val="left"/>
      <w:pPr>
        <w:ind w:left="3074" w:hanging="358"/>
      </w:pPr>
      <w:rPr>
        <w:rFonts w:hint="default"/>
        <w:lang w:val="en-US" w:eastAsia="en-US" w:bidi="ar-SA"/>
      </w:rPr>
    </w:lvl>
    <w:lvl w:ilvl="3" w:tplc="EC749CDE">
      <w:numFmt w:val="bullet"/>
      <w:lvlText w:val="•"/>
      <w:lvlJc w:val="left"/>
      <w:pPr>
        <w:ind w:left="3841" w:hanging="358"/>
      </w:pPr>
      <w:rPr>
        <w:rFonts w:hint="default"/>
        <w:lang w:val="en-US" w:eastAsia="en-US" w:bidi="ar-SA"/>
      </w:rPr>
    </w:lvl>
    <w:lvl w:ilvl="4" w:tplc="69A41F0E">
      <w:numFmt w:val="bullet"/>
      <w:lvlText w:val="•"/>
      <w:lvlJc w:val="left"/>
      <w:pPr>
        <w:ind w:left="4608" w:hanging="358"/>
      </w:pPr>
      <w:rPr>
        <w:rFonts w:hint="default"/>
        <w:lang w:val="en-US" w:eastAsia="en-US" w:bidi="ar-SA"/>
      </w:rPr>
    </w:lvl>
    <w:lvl w:ilvl="5" w:tplc="E2F0BED4">
      <w:numFmt w:val="bullet"/>
      <w:lvlText w:val="•"/>
      <w:lvlJc w:val="left"/>
      <w:pPr>
        <w:ind w:left="5375" w:hanging="358"/>
      </w:pPr>
      <w:rPr>
        <w:rFonts w:hint="default"/>
        <w:lang w:val="en-US" w:eastAsia="en-US" w:bidi="ar-SA"/>
      </w:rPr>
    </w:lvl>
    <w:lvl w:ilvl="6" w:tplc="63C86434">
      <w:numFmt w:val="bullet"/>
      <w:lvlText w:val="•"/>
      <w:lvlJc w:val="left"/>
      <w:pPr>
        <w:ind w:left="6142" w:hanging="358"/>
      </w:pPr>
      <w:rPr>
        <w:rFonts w:hint="default"/>
        <w:lang w:val="en-US" w:eastAsia="en-US" w:bidi="ar-SA"/>
      </w:rPr>
    </w:lvl>
    <w:lvl w:ilvl="7" w:tplc="8408C0AA">
      <w:numFmt w:val="bullet"/>
      <w:lvlText w:val="•"/>
      <w:lvlJc w:val="left"/>
      <w:pPr>
        <w:ind w:left="6909" w:hanging="358"/>
      </w:pPr>
      <w:rPr>
        <w:rFonts w:hint="default"/>
        <w:lang w:val="en-US" w:eastAsia="en-US" w:bidi="ar-SA"/>
      </w:rPr>
    </w:lvl>
    <w:lvl w:ilvl="8" w:tplc="B524D974">
      <w:numFmt w:val="bullet"/>
      <w:lvlText w:val="•"/>
      <w:lvlJc w:val="left"/>
      <w:pPr>
        <w:ind w:left="7676" w:hanging="358"/>
      </w:pPr>
      <w:rPr>
        <w:rFonts w:hint="default"/>
        <w:lang w:val="en-US" w:eastAsia="en-US" w:bidi="ar-SA"/>
      </w:rPr>
    </w:lvl>
  </w:abstractNum>
  <w:abstractNum w:abstractNumId="1" w15:restartNumberingAfterBreak="0">
    <w:nsid w:val="18B2285B"/>
    <w:multiLevelType w:val="hybridMultilevel"/>
    <w:tmpl w:val="AFAA8102"/>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1FD0315D"/>
    <w:multiLevelType w:val="hybridMultilevel"/>
    <w:tmpl w:val="D87A66EC"/>
    <w:lvl w:ilvl="0" w:tplc="082494C2">
      <w:start w:val="1"/>
      <w:numFmt w:val="lowerRoman"/>
      <w:lvlText w:val="(%1)"/>
      <w:lvlJc w:val="left"/>
      <w:pPr>
        <w:ind w:left="1897" w:hanging="358"/>
        <w:jc w:val="left"/>
      </w:pPr>
      <w:rPr>
        <w:rFonts w:ascii="Arial" w:eastAsia="Arial" w:hAnsi="Arial" w:cs="Arial" w:hint="default"/>
        <w:b w:val="0"/>
        <w:bCs w:val="0"/>
        <w:i w:val="0"/>
        <w:iCs w:val="0"/>
        <w:spacing w:val="-4"/>
        <w:w w:val="100"/>
        <w:sz w:val="22"/>
        <w:szCs w:val="22"/>
        <w:lang w:val="en-US" w:eastAsia="en-US" w:bidi="ar-SA"/>
      </w:rPr>
    </w:lvl>
    <w:lvl w:ilvl="1" w:tplc="5DCCC4B4">
      <w:numFmt w:val="bullet"/>
      <w:lvlText w:val="•"/>
      <w:lvlJc w:val="left"/>
      <w:pPr>
        <w:ind w:left="2631" w:hanging="358"/>
      </w:pPr>
      <w:rPr>
        <w:rFonts w:hint="default"/>
        <w:lang w:val="en-US" w:eastAsia="en-US" w:bidi="ar-SA"/>
      </w:rPr>
    </w:lvl>
    <w:lvl w:ilvl="2" w:tplc="D71CD7CC">
      <w:numFmt w:val="bullet"/>
      <w:lvlText w:val="•"/>
      <w:lvlJc w:val="left"/>
      <w:pPr>
        <w:ind w:left="3362" w:hanging="358"/>
      </w:pPr>
      <w:rPr>
        <w:rFonts w:hint="default"/>
        <w:lang w:val="en-US" w:eastAsia="en-US" w:bidi="ar-SA"/>
      </w:rPr>
    </w:lvl>
    <w:lvl w:ilvl="3" w:tplc="2C9CA946">
      <w:numFmt w:val="bullet"/>
      <w:lvlText w:val="•"/>
      <w:lvlJc w:val="left"/>
      <w:pPr>
        <w:ind w:left="4093" w:hanging="358"/>
      </w:pPr>
      <w:rPr>
        <w:rFonts w:hint="default"/>
        <w:lang w:val="en-US" w:eastAsia="en-US" w:bidi="ar-SA"/>
      </w:rPr>
    </w:lvl>
    <w:lvl w:ilvl="4" w:tplc="8278ADEA">
      <w:numFmt w:val="bullet"/>
      <w:lvlText w:val="•"/>
      <w:lvlJc w:val="left"/>
      <w:pPr>
        <w:ind w:left="4824" w:hanging="358"/>
      </w:pPr>
      <w:rPr>
        <w:rFonts w:hint="default"/>
        <w:lang w:val="en-US" w:eastAsia="en-US" w:bidi="ar-SA"/>
      </w:rPr>
    </w:lvl>
    <w:lvl w:ilvl="5" w:tplc="59C685FE">
      <w:numFmt w:val="bullet"/>
      <w:lvlText w:val="•"/>
      <w:lvlJc w:val="left"/>
      <w:pPr>
        <w:ind w:left="5555" w:hanging="358"/>
      </w:pPr>
      <w:rPr>
        <w:rFonts w:hint="default"/>
        <w:lang w:val="en-US" w:eastAsia="en-US" w:bidi="ar-SA"/>
      </w:rPr>
    </w:lvl>
    <w:lvl w:ilvl="6" w:tplc="EED60B60">
      <w:numFmt w:val="bullet"/>
      <w:lvlText w:val="•"/>
      <w:lvlJc w:val="left"/>
      <w:pPr>
        <w:ind w:left="6286" w:hanging="358"/>
      </w:pPr>
      <w:rPr>
        <w:rFonts w:hint="default"/>
        <w:lang w:val="en-US" w:eastAsia="en-US" w:bidi="ar-SA"/>
      </w:rPr>
    </w:lvl>
    <w:lvl w:ilvl="7" w:tplc="E2DC8D26">
      <w:numFmt w:val="bullet"/>
      <w:lvlText w:val="•"/>
      <w:lvlJc w:val="left"/>
      <w:pPr>
        <w:ind w:left="7017" w:hanging="358"/>
      </w:pPr>
      <w:rPr>
        <w:rFonts w:hint="default"/>
        <w:lang w:val="en-US" w:eastAsia="en-US" w:bidi="ar-SA"/>
      </w:rPr>
    </w:lvl>
    <w:lvl w:ilvl="8" w:tplc="523652F4">
      <w:numFmt w:val="bullet"/>
      <w:lvlText w:val="•"/>
      <w:lvlJc w:val="left"/>
      <w:pPr>
        <w:ind w:left="7748" w:hanging="358"/>
      </w:pPr>
      <w:rPr>
        <w:rFonts w:hint="default"/>
        <w:lang w:val="en-US" w:eastAsia="en-US" w:bidi="ar-SA"/>
      </w:rPr>
    </w:lvl>
  </w:abstractNum>
  <w:abstractNum w:abstractNumId="3" w15:restartNumberingAfterBreak="0">
    <w:nsid w:val="2F093580"/>
    <w:multiLevelType w:val="multilevel"/>
    <w:tmpl w:val="4EFA3082"/>
    <w:lvl w:ilvl="0">
      <w:start w:val="1"/>
      <w:numFmt w:val="decimal"/>
      <w:lvlText w:val="%1."/>
      <w:lvlJc w:val="left"/>
      <w:pPr>
        <w:ind w:left="815" w:hanging="358"/>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177" w:hanging="361"/>
        <w:jc w:val="left"/>
      </w:pPr>
      <w:rPr>
        <w:rFonts w:ascii="Arial" w:eastAsia="Arial" w:hAnsi="Arial" w:cs="Arial" w:hint="default"/>
        <w:b w:val="0"/>
        <w:bCs w:val="0"/>
        <w:i w:val="0"/>
        <w:iCs w:val="0"/>
        <w:spacing w:val="-2"/>
        <w:w w:val="100"/>
        <w:sz w:val="22"/>
        <w:szCs w:val="22"/>
        <w:lang w:val="en-US" w:eastAsia="en-US" w:bidi="ar-SA"/>
      </w:rPr>
    </w:lvl>
    <w:lvl w:ilvl="2">
      <w:start w:val="1"/>
      <w:numFmt w:val="decimal"/>
      <w:lvlText w:val="%1.%2.%3"/>
      <w:lvlJc w:val="left"/>
      <w:pPr>
        <w:ind w:left="1898" w:hanging="721"/>
        <w:jc w:val="left"/>
      </w:pPr>
      <w:rPr>
        <w:rFonts w:ascii="Arial" w:eastAsia="Arial" w:hAnsi="Arial" w:cs="Arial" w:hint="default"/>
        <w:b w:val="0"/>
        <w:bCs w:val="0"/>
        <w:i w:val="0"/>
        <w:iCs w:val="0"/>
        <w:spacing w:val="-3"/>
        <w:w w:val="100"/>
        <w:sz w:val="22"/>
        <w:szCs w:val="22"/>
        <w:lang w:val="en-US" w:eastAsia="en-US" w:bidi="ar-SA"/>
      </w:rPr>
    </w:lvl>
    <w:lvl w:ilvl="3">
      <w:numFmt w:val="bullet"/>
      <w:lvlText w:val="•"/>
      <w:lvlJc w:val="left"/>
      <w:pPr>
        <w:ind w:left="2813" w:hanging="721"/>
      </w:pPr>
      <w:rPr>
        <w:rFonts w:hint="default"/>
        <w:lang w:val="en-US" w:eastAsia="en-US" w:bidi="ar-SA"/>
      </w:rPr>
    </w:lvl>
    <w:lvl w:ilvl="4">
      <w:numFmt w:val="bullet"/>
      <w:lvlText w:val="•"/>
      <w:lvlJc w:val="left"/>
      <w:pPr>
        <w:ind w:left="3727" w:hanging="721"/>
      </w:pPr>
      <w:rPr>
        <w:rFonts w:hint="default"/>
        <w:lang w:val="en-US" w:eastAsia="en-US" w:bidi="ar-SA"/>
      </w:rPr>
    </w:lvl>
    <w:lvl w:ilvl="5">
      <w:numFmt w:val="bullet"/>
      <w:lvlText w:val="•"/>
      <w:lvlJc w:val="left"/>
      <w:pPr>
        <w:ind w:left="4641" w:hanging="721"/>
      </w:pPr>
      <w:rPr>
        <w:rFonts w:hint="default"/>
        <w:lang w:val="en-US" w:eastAsia="en-US" w:bidi="ar-SA"/>
      </w:rPr>
    </w:lvl>
    <w:lvl w:ilvl="6">
      <w:numFmt w:val="bullet"/>
      <w:lvlText w:val="•"/>
      <w:lvlJc w:val="left"/>
      <w:pPr>
        <w:ind w:left="5555" w:hanging="721"/>
      </w:pPr>
      <w:rPr>
        <w:rFonts w:hint="default"/>
        <w:lang w:val="en-US" w:eastAsia="en-US" w:bidi="ar-SA"/>
      </w:rPr>
    </w:lvl>
    <w:lvl w:ilvl="7">
      <w:numFmt w:val="bullet"/>
      <w:lvlText w:val="•"/>
      <w:lvlJc w:val="left"/>
      <w:pPr>
        <w:ind w:left="6469" w:hanging="721"/>
      </w:pPr>
      <w:rPr>
        <w:rFonts w:hint="default"/>
        <w:lang w:val="en-US" w:eastAsia="en-US" w:bidi="ar-SA"/>
      </w:rPr>
    </w:lvl>
    <w:lvl w:ilvl="8">
      <w:numFmt w:val="bullet"/>
      <w:lvlText w:val="•"/>
      <w:lvlJc w:val="left"/>
      <w:pPr>
        <w:ind w:left="7383" w:hanging="721"/>
      </w:pPr>
      <w:rPr>
        <w:rFonts w:hint="default"/>
        <w:lang w:val="en-US" w:eastAsia="en-US" w:bidi="ar-SA"/>
      </w:rPr>
    </w:lvl>
  </w:abstractNum>
  <w:abstractNum w:abstractNumId="4" w15:restartNumberingAfterBreak="0">
    <w:nsid w:val="3D5F3827"/>
    <w:multiLevelType w:val="hybridMultilevel"/>
    <w:tmpl w:val="E1EE08FC"/>
    <w:lvl w:ilvl="0" w:tplc="ED6C0774">
      <w:start w:val="1"/>
      <w:numFmt w:val="lowerLetter"/>
      <w:lvlText w:val="(%1)"/>
      <w:lvlJc w:val="left"/>
      <w:pPr>
        <w:ind w:left="1539" w:hanging="358"/>
        <w:jc w:val="left"/>
      </w:pPr>
      <w:rPr>
        <w:rFonts w:ascii="Arial" w:eastAsia="Arial" w:hAnsi="Arial" w:cs="Arial" w:hint="default"/>
        <w:b w:val="0"/>
        <w:bCs w:val="0"/>
        <w:i w:val="0"/>
        <w:iCs w:val="0"/>
        <w:spacing w:val="-3"/>
        <w:w w:val="100"/>
        <w:sz w:val="22"/>
        <w:szCs w:val="22"/>
        <w:lang w:val="en-US" w:eastAsia="en-US" w:bidi="ar-SA"/>
      </w:rPr>
    </w:lvl>
    <w:lvl w:ilvl="1" w:tplc="4606B192">
      <w:numFmt w:val="bullet"/>
      <w:lvlText w:val="•"/>
      <w:lvlJc w:val="left"/>
      <w:pPr>
        <w:ind w:left="2307" w:hanging="358"/>
      </w:pPr>
      <w:rPr>
        <w:rFonts w:hint="default"/>
        <w:lang w:val="en-US" w:eastAsia="en-US" w:bidi="ar-SA"/>
      </w:rPr>
    </w:lvl>
    <w:lvl w:ilvl="2" w:tplc="B85C15E2">
      <w:numFmt w:val="bullet"/>
      <w:lvlText w:val="•"/>
      <w:lvlJc w:val="left"/>
      <w:pPr>
        <w:ind w:left="3074" w:hanging="358"/>
      </w:pPr>
      <w:rPr>
        <w:rFonts w:hint="default"/>
        <w:lang w:val="en-US" w:eastAsia="en-US" w:bidi="ar-SA"/>
      </w:rPr>
    </w:lvl>
    <w:lvl w:ilvl="3" w:tplc="C6E25DEA">
      <w:numFmt w:val="bullet"/>
      <w:lvlText w:val="•"/>
      <w:lvlJc w:val="left"/>
      <w:pPr>
        <w:ind w:left="3841" w:hanging="358"/>
      </w:pPr>
      <w:rPr>
        <w:rFonts w:hint="default"/>
        <w:lang w:val="en-US" w:eastAsia="en-US" w:bidi="ar-SA"/>
      </w:rPr>
    </w:lvl>
    <w:lvl w:ilvl="4" w:tplc="3FDAFA5C">
      <w:numFmt w:val="bullet"/>
      <w:lvlText w:val="•"/>
      <w:lvlJc w:val="left"/>
      <w:pPr>
        <w:ind w:left="4608" w:hanging="358"/>
      </w:pPr>
      <w:rPr>
        <w:rFonts w:hint="default"/>
        <w:lang w:val="en-US" w:eastAsia="en-US" w:bidi="ar-SA"/>
      </w:rPr>
    </w:lvl>
    <w:lvl w:ilvl="5" w:tplc="4B72A5F0">
      <w:numFmt w:val="bullet"/>
      <w:lvlText w:val="•"/>
      <w:lvlJc w:val="left"/>
      <w:pPr>
        <w:ind w:left="5375" w:hanging="358"/>
      </w:pPr>
      <w:rPr>
        <w:rFonts w:hint="default"/>
        <w:lang w:val="en-US" w:eastAsia="en-US" w:bidi="ar-SA"/>
      </w:rPr>
    </w:lvl>
    <w:lvl w:ilvl="6" w:tplc="9A0C6E12">
      <w:numFmt w:val="bullet"/>
      <w:lvlText w:val="•"/>
      <w:lvlJc w:val="left"/>
      <w:pPr>
        <w:ind w:left="6142" w:hanging="358"/>
      </w:pPr>
      <w:rPr>
        <w:rFonts w:hint="default"/>
        <w:lang w:val="en-US" w:eastAsia="en-US" w:bidi="ar-SA"/>
      </w:rPr>
    </w:lvl>
    <w:lvl w:ilvl="7" w:tplc="2C261F72">
      <w:numFmt w:val="bullet"/>
      <w:lvlText w:val="•"/>
      <w:lvlJc w:val="left"/>
      <w:pPr>
        <w:ind w:left="6909" w:hanging="358"/>
      </w:pPr>
      <w:rPr>
        <w:rFonts w:hint="default"/>
        <w:lang w:val="en-US" w:eastAsia="en-US" w:bidi="ar-SA"/>
      </w:rPr>
    </w:lvl>
    <w:lvl w:ilvl="8" w:tplc="DEFAC56A">
      <w:numFmt w:val="bullet"/>
      <w:lvlText w:val="•"/>
      <w:lvlJc w:val="left"/>
      <w:pPr>
        <w:ind w:left="7676" w:hanging="358"/>
      </w:pPr>
      <w:rPr>
        <w:rFonts w:hint="default"/>
        <w:lang w:val="en-US" w:eastAsia="en-US" w:bidi="ar-SA"/>
      </w:rPr>
    </w:lvl>
  </w:abstractNum>
  <w:abstractNum w:abstractNumId="5" w15:restartNumberingAfterBreak="0">
    <w:nsid w:val="6D495DF3"/>
    <w:multiLevelType w:val="hybridMultilevel"/>
    <w:tmpl w:val="E65AB87A"/>
    <w:lvl w:ilvl="0" w:tplc="98244544">
      <w:start w:val="1"/>
      <w:numFmt w:val="upperLetter"/>
      <w:lvlText w:val="%1."/>
      <w:lvlJc w:val="left"/>
      <w:pPr>
        <w:ind w:left="820" w:hanging="361"/>
        <w:jc w:val="left"/>
      </w:pPr>
      <w:rPr>
        <w:rFonts w:ascii="Arial" w:eastAsia="Arial" w:hAnsi="Arial" w:cs="Arial" w:hint="default"/>
        <w:b w:val="0"/>
        <w:bCs w:val="0"/>
        <w:i w:val="0"/>
        <w:iCs w:val="0"/>
        <w:spacing w:val="-1"/>
        <w:w w:val="100"/>
        <w:sz w:val="22"/>
        <w:szCs w:val="22"/>
        <w:lang w:val="en-US" w:eastAsia="en-US" w:bidi="ar-SA"/>
      </w:rPr>
    </w:lvl>
    <w:lvl w:ilvl="1" w:tplc="C2826C5C">
      <w:start w:val="1"/>
      <w:numFmt w:val="lowerLetter"/>
      <w:lvlText w:val="(%2)"/>
      <w:lvlJc w:val="left"/>
      <w:pPr>
        <w:ind w:left="1134" w:hanging="313"/>
        <w:jc w:val="left"/>
      </w:pPr>
      <w:rPr>
        <w:rFonts w:ascii="Arial" w:eastAsia="Arial" w:hAnsi="Arial" w:cs="Arial" w:hint="default"/>
        <w:b w:val="0"/>
        <w:bCs w:val="0"/>
        <w:i w:val="0"/>
        <w:iCs w:val="0"/>
        <w:spacing w:val="-3"/>
        <w:w w:val="100"/>
        <w:sz w:val="22"/>
        <w:szCs w:val="22"/>
        <w:lang w:val="en-US" w:eastAsia="en-US" w:bidi="ar-SA"/>
      </w:rPr>
    </w:lvl>
    <w:lvl w:ilvl="2" w:tplc="8312DB2E">
      <w:start w:val="1"/>
      <w:numFmt w:val="lowerRoman"/>
      <w:lvlText w:val="(%3)"/>
      <w:lvlJc w:val="left"/>
      <w:pPr>
        <w:ind w:left="1845" w:hanging="303"/>
        <w:jc w:val="left"/>
      </w:pPr>
      <w:rPr>
        <w:rFonts w:ascii="Arial" w:eastAsia="Arial" w:hAnsi="Arial" w:cs="Arial" w:hint="default"/>
        <w:b w:val="0"/>
        <w:bCs w:val="0"/>
        <w:i w:val="0"/>
        <w:iCs w:val="0"/>
        <w:spacing w:val="-4"/>
        <w:w w:val="100"/>
        <w:sz w:val="22"/>
        <w:szCs w:val="22"/>
        <w:lang w:val="en-US" w:eastAsia="en-US" w:bidi="ar-SA"/>
      </w:rPr>
    </w:lvl>
    <w:lvl w:ilvl="3" w:tplc="1454522C">
      <w:numFmt w:val="bullet"/>
      <w:lvlText w:val="•"/>
      <w:lvlJc w:val="left"/>
      <w:pPr>
        <w:ind w:left="2761" w:hanging="303"/>
      </w:pPr>
      <w:rPr>
        <w:rFonts w:hint="default"/>
        <w:lang w:val="en-US" w:eastAsia="en-US" w:bidi="ar-SA"/>
      </w:rPr>
    </w:lvl>
    <w:lvl w:ilvl="4" w:tplc="F1B4311C">
      <w:numFmt w:val="bullet"/>
      <w:lvlText w:val="•"/>
      <w:lvlJc w:val="left"/>
      <w:pPr>
        <w:ind w:left="3682" w:hanging="303"/>
      </w:pPr>
      <w:rPr>
        <w:rFonts w:hint="default"/>
        <w:lang w:val="en-US" w:eastAsia="en-US" w:bidi="ar-SA"/>
      </w:rPr>
    </w:lvl>
    <w:lvl w:ilvl="5" w:tplc="5980D5AE">
      <w:numFmt w:val="bullet"/>
      <w:lvlText w:val="•"/>
      <w:lvlJc w:val="left"/>
      <w:pPr>
        <w:ind w:left="4604" w:hanging="303"/>
      </w:pPr>
      <w:rPr>
        <w:rFonts w:hint="default"/>
        <w:lang w:val="en-US" w:eastAsia="en-US" w:bidi="ar-SA"/>
      </w:rPr>
    </w:lvl>
    <w:lvl w:ilvl="6" w:tplc="208605BE">
      <w:numFmt w:val="bullet"/>
      <w:lvlText w:val="•"/>
      <w:lvlJc w:val="left"/>
      <w:pPr>
        <w:ind w:left="5525" w:hanging="303"/>
      </w:pPr>
      <w:rPr>
        <w:rFonts w:hint="default"/>
        <w:lang w:val="en-US" w:eastAsia="en-US" w:bidi="ar-SA"/>
      </w:rPr>
    </w:lvl>
    <w:lvl w:ilvl="7" w:tplc="B778095E">
      <w:numFmt w:val="bullet"/>
      <w:lvlText w:val="•"/>
      <w:lvlJc w:val="left"/>
      <w:pPr>
        <w:ind w:left="6447" w:hanging="303"/>
      </w:pPr>
      <w:rPr>
        <w:rFonts w:hint="default"/>
        <w:lang w:val="en-US" w:eastAsia="en-US" w:bidi="ar-SA"/>
      </w:rPr>
    </w:lvl>
    <w:lvl w:ilvl="8" w:tplc="B3F2DA70">
      <w:numFmt w:val="bullet"/>
      <w:lvlText w:val="•"/>
      <w:lvlJc w:val="left"/>
      <w:pPr>
        <w:ind w:left="7368" w:hanging="303"/>
      </w:pPr>
      <w:rPr>
        <w:rFonts w:hint="default"/>
        <w:lang w:val="en-US" w:eastAsia="en-US" w:bidi="ar-SA"/>
      </w:rPr>
    </w:lvl>
  </w:abstractNum>
  <w:abstractNum w:abstractNumId="6" w15:restartNumberingAfterBreak="0">
    <w:nsid w:val="7F5E00FD"/>
    <w:multiLevelType w:val="hybridMultilevel"/>
    <w:tmpl w:val="3A96D63C"/>
    <w:lvl w:ilvl="0" w:tplc="60D67EE8">
      <w:start w:val="1"/>
      <w:numFmt w:val="lowerLetter"/>
      <w:lvlText w:val="(%1)"/>
      <w:lvlJc w:val="left"/>
      <w:pPr>
        <w:ind w:left="1898" w:hanging="358"/>
        <w:jc w:val="left"/>
      </w:pPr>
      <w:rPr>
        <w:rFonts w:ascii="Arial" w:eastAsia="Arial" w:hAnsi="Arial" w:cs="Arial" w:hint="default"/>
        <w:b w:val="0"/>
        <w:bCs w:val="0"/>
        <w:i w:val="0"/>
        <w:iCs w:val="0"/>
        <w:spacing w:val="-3"/>
        <w:w w:val="100"/>
        <w:sz w:val="22"/>
        <w:szCs w:val="22"/>
        <w:lang w:val="en-US" w:eastAsia="en-US" w:bidi="ar-SA"/>
      </w:rPr>
    </w:lvl>
    <w:lvl w:ilvl="1" w:tplc="13865832">
      <w:numFmt w:val="bullet"/>
      <w:lvlText w:val="•"/>
      <w:lvlJc w:val="left"/>
      <w:pPr>
        <w:ind w:left="2631" w:hanging="358"/>
      </w:pPr>
      <w:rPr>
        <w:rFonts w:hint="default"/>
        <w:lang w:val="en-US" w:eastAsia="en-US" w:bidi="ar-SA"/>
      </w:rPr>
    </w:lvl>
    <w:lvl w:ilvl="2" w:tplc="D8E083C6">
      <w:numFmt w:val="bullet"/>
      <w:lvlText w:val="•"/>
      <w:lvlJc w:val="left"/>
      <w:pPr>
        <w:ind w:left="3362" w:hanging="358"/>
      </w:pPr>
      <w:rPr>
        <w:rFonts w:hint="default"/>
        <w:lang w:val="en-US" w:eastAsia="en-US" w:bidi="ar-SA"/>
      </w:rPr>
    </w:lvl>
    <w:lvl w:ilvl="3" w:tplc="DA50DA0C">
      <w:numFmt w:val="bullet"/>
      <w:lvlText w:val="•"/>
      <w:lvlJc w:val="left"/>
      <w:pPr>
        <w:ind w:left="4093" w:hanging="358"/>
      </w:pPr>
      <w:rPr>
        <w:rFonts w:hint="default"/>
        <w:lang w:val="en-US" w:eastAsia="en-US" w:bidi="ar-SA"/>
      </w:rPr>
    </w:lvl>
    <w:lvl w:ilvl="4" w:tplc="8BE67214">
      <w:numFmt w:val="bullet"/>
      <w:lvlText w:val="•"/>
      <w:lvlJc w:val="left"/>
      <w:pPr>
        <w:ind w:left="4824" w:hanging="358"/>
      </w:pPr>
      <w:rPr>
        <w:rFonts w:hint="default"/>
        <w:lang w:val="en-US" w:eastAsia="en-US" w:bidi="ar-SA"/>
      </w:rPr>
    </w:lvl>
    <w:lvl w:ilvl="5" w:tplc="D5F842DA">
      <w:numFmt w:val="bullet"/>
      <w:lvlText w:val="•"/>
      <w:lvlJc w:val="left"/>
      <w:pPr>
        <w:ind w:left="5555" w:hanging="358"/>
      </w:pPr>
      <w:rPr>
        <w:rFonts w:hint="default"/>
        <w:lang w:val="en-US" w:eastAsia="en-US" w:bidi="ar-SA"/>
      </w:rPr>
    </w:lvl>
    <w:lvl w:ilvl="6" w:tplc="1BBA21B2">
      <w:numFmt w:val="bullet"/>
      <w:lvlText w:val="•"/>
      <w:lvlJc w:val="left"/>
      <w:pPr>
        <w:ind w:left="6286" w:hanging="358"/>
      </w:pPr>
      <w:rPr>
        <w:rFonts w:hint="default"/>
        <w:lang w:val="en-US" w:eastAsia="en-US" w:bidi="ar-SA"/>
      </w:rPr>
    </w:lvl>
    <w:lvl w:ilvl="7" w:tplc="15FA9C16">
      <w:numFmt w:val="bullet"/>
      <w:lvlText w:val="•"/>
      <w:lvlJc w:val="left"/>
      <w:pPr>
        <w:ind w:left="7017" w:hanging="358"/>
      </w:pPr>
      <w:rPr>
        <w:rFonts w:hint="default"/>
        <w:lang w:val="en-US" w:eastAsia="en-US" w:bidi="ar-SA"/>
      </w:rPr>
    </w:lvl>
    <w:lvl w:ilvl="8" w:tplc="61B85226">
      <w:numFmt w:val="bullet"/>
      <w:lvlText w:val="•"/>
      <w:lvlJc w:val="left"/>
      <w:pPr>
        <w:ind w:left="7748" w:hanging="358"/>
      </w:pPr>
      <w:rPr>
        <w:rFonts w:hint="default"/>
        <w:lang w:val="en-US" w:eastAsia="en-US" w:bidi="ar-SA"/>
      </w:rPr>
    </w:lvl>
  </w:abstractNum>
  <w:num w:numId="1" w16cid:durableId="1817799757">
    <w:abstractNumId w:val="0"/>
  </w:num>
  <w:num w:numId="2" w16cid:durableId="650522434">
    <w:abstractNumId w:val="2"/>
  </w:num>
  <w:num w:numId="3" w16cid:durableId="761682849">
    <w:abstractNumId w:val="6"/>
  </w:num>
  <w:num w:numId="4" w16cid:durableId="1939097777">
    <w:abstractNumId w:val="4"/>
  </w:num>
  <w:num w:numId="5" w16cid:durableId="751464023">
    <w:abstractNumId w:val="3"/>
  </w:num>
  <w:num w:numId="6" w16cid:durableId="1598249577">
    <w:abstractNumId w:val="5"/>
  </w:num>
  <w:num w:numId="7" w16cid:durableId="712996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C3E15"/>
    <w:rsid w:val="00032BAA"/>
    <w:rsid w:val="000B4328"/>
    <w:rsid w:val="001248C4"/>
    <w:rsid w:val="001A3B55"/>
    <w:rsid w:val="001E5163"/>
    <w:rsid w:val="002141F7"/>
    <w:rsid w:val="002C7757"/>
    <w:rsid w:val="004569F0"/>
    <w:rsid w:val="005B62D2"/>
    <w:rsid w:val="005C3E15"/>
    <w:rsid w:val="00751659"/>
    <w:rsid w:val="008A5AAB"/>
    <w:rsid w:val="008A68BF"/>
    <w:rsid w:val="009A26BE"/>
    <w:rsid w:val="009E00FC"/>
    <w:rsid w:val="00BD229F"/>
    <w:rsid w:val="00BD63D0"/>
    <w:rsid w:val="00C16252"/>
    <w:rsid w:val="00C977E6"/>
    <w:rsid w:val="00D143B6"/>
    <w:rsid w:val="00D30BAC"/>
    <w:rsid w:val="00E02B0A"/>
    <w:rsid w:val="00FD65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757EE"/>
  <w15:docId w15:val="{C377BDFC-B86A-4AD4-B78F-42B1FF9A9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13" w:hanging="35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7"/>
      <w:ind w:left="1000" w:firstLine="1670"/>
    </w:pPr>
    <w:rPr>
      <w:b/>
      <w:bCs/>
      <w:sz w:val="38"/>
      <w:szCs w:val="38"/>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 w:type="paragraph" w:customStyle="1" w:styleId="Billname">
    <w:name w:val="Billname"/>
    <w:basedOn w:val="Normal"/>
    <w:rsid w:val="008A5AAB"/>
    <w:pPr>
      <w:widowControl/>
      <w:tabs>
        <w:tab w:val="left" w:pos="2400"/>
        <w:tab w:val="left" w:pos="2880"/>
      </w:tabs>
      <w:autoSpaceDE/>
      <w:autoSpaceDN/>
      <w:spacing w:before="1220" w:after="100"/>
    </w:pPr>
    <w:rPr>
      <w:rFonts w:eastAsia="Times New Roman" w:cs="Times New Roman"/>
      <w:b/>
      <w:sz w:val="40"/>
      <w:szCs w:val="20"/>
      <w:lang w:val="en-AU"/>
    </w:rPr>
  </w:style>
  <w:style w:type="paragraph" w:customStyle="1" w:styleId="N-line3">
    <w:name w:val="N-line3"/>
    <w:basedOn w:val="Normal"/>
    <w:next w:val="Normal"/>
    <w:rsid w:val="008A5AAB"/>
    <w:pPr>
      <w:widowControl/>
      <w:pBdr>
        <w:bottom w:val="single" w:sz="12" w:space="1" w:color="auto"/>
      </w:pBdr>
      <w:autoSpaceDE/>
      <w:autoSpaceDN/>
      <w:jc w:val="both"/>
    </w:pPr>
    <w:rPr>
      <w:rFonts w:ascii="Times New Roman" w:eastAsia="Times New Roman" w:hAnsi="Times New Roman" w:cs="Times New Roman"/>
      <w:sz w:val="24"/>
      <w:szCs w:val="20"/>
      <w:lang w:val="en-AU"/>
    </w:rPr>
  </w:style>
  <w:style w:type="paragraph" w:customStyle="1" w:styleId="madeunder">
    <w:name w:val="made under"/>
    <w:basedOn w:val="Normal"/>
    <w:rsid w:val="008A5AAB"/>
    <w:pPr>
      <w:widowControl/>
      <w:autoSpaceDE/>
      <w:autoSpaceDN/>
      <w:spacing w:before="180" w:after="60"/>
      <w:jc w:val="both"/>
    </w:pPr>
    <w:rPr>
      <w:rFonts w:ascii="Times New Roman" w:eastAsia="Times New Roman" w:hAnsi="Times New Roman" w:cs="Times New Roman"/>
      <w:sz w:val="24"/>
      <w:szCs w:val="20"/>
      <w:lang w:val="en-AU"/>
    </w:rPr>
  </w:style>
  <w:style w:type="paragraph" w:customStyle="1" w:styleId="CoverActName">
    <w:name w:val="CoverActName"/>
    <w:basedOn w:val="Normal"/>
    <w:rsid w:val="008A5AAB"/>
    <w:pPr>
      <w:widowControl/>
      <w:tabs>
        <w:tab w:val="left" w:pos="2600"/>
      </w:tabs>
      <w:autoSpaceDE/>
      <w:autoSpaceDN/>
      <w:spacing w:before="200" w:after="60"/>
      <w:jc w:val="both"/>
    </w:pPr>
    <w:rPr>
      <w:rFonts w:eastAsia="Times New Roman" w:cs="Times New Roman"/>
      <w:b/>
      <w:sz w:val="24"/>
      <w:szCs w:val="20"/>
      <w:lang w:val="en-AU"/>
    </w:rPr>
  </w:style>
  <w:style w:type="paragraph" w:styleId="Header">
    <w:name w:val="header"/>
    <w:basedOn w:val="Normal"/>
    <w:link w:val="HeaderChar"/>
    <w:uiPriority w:val="99"/>
    <w:unhideWhenUsed/>
    <w:rsid w:val="00BD63D0"/>
    <w:pPr>
      <w:tabs>
        <w:tab w:val="center" w:pos="4513"/>
        <w:tab w:val="right" w:pos="9026"/>
      </w:tabs>
    </w:pPr>
  </w:style>
  <w:style w:type="character" w:customStyle="1" w:styleId="HeaderChar">
    <w:name w:val="Header Char"/>
    <w:basedOn w:val="DefaultParagraphFont"/>
    <w:link w:val="Header"/>
    <w:uiPriority w:val="99"/>
    <w:rsid w:val="00BD63D0"/>
    <w:rPr>
      <w:rFonts w:ascii="Arial" w:eastAsia="Arial" w:hAnsi="Arial" w:cs="Arial"/>
    </w:rPr>
  </w:style>
  <w:style w:type="paragraph" w:styleId="Footer">
    <w:name w:val="footer"/>
    <w:basedOn w:val="Normal"/>
    <w:link w:val="FooterChar"/>
    <w:uiPriority w:val="99"/>
    <w:unhideWhenUsed/>
    <w:rsid w:val="00BD63D0"/>
    <w:pPr>
      <w:tabs>
        <w:tab w:val="center" w:pos="4513"/>
        <w:tab w:val="right" w:pos="9026"/>
      </w:tabs>
    </w:pPr>
  </w:style>
  <w:style w:type="character" w:customStyle="1" w:styleId="FooterChar">
    <w:name w:val="Footer Char"/>
    <w:basedOn w:val="DefaultParagraphFont"/>
    <w:link w:val="Footer"/>
    <w:uiPriority w:val="99"/>
    <w:rsid w:val="00BD63D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2133</Words>
  <Characters>11097</Characters>
  <Application>Microsoft Office Word</Application>
  <DocSecurity>0</DocSecurity>
  <Lines>223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PCODCS</cp:lastModifiedBy>
  <cp:revision>4</cp:revision>
  <dcterms:created xsi:type="dcterms:W3CDTF">2025-06-16T05:50:00Z</dcterms:created>
  <dcterms:modified xsi:type="dcterms:W3CDTF">2025-06-16T05:50:00Z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2025-03-18T06:18:22Z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389b48c7-4cf3-4cef-b18d-96408cd5de52</vt:lpwstr>
  </property>
  <property fmtid="{D5CDD505-2E9C-101B-9397-08002B2CF9AE}" pid="8" name="MSIP_Label_69af8531-eb46-4968-8cb3-105d2f5ea87e_ContentBits">
    <vt:lpwstr>0</vt:lpwstr>
  </property>
</Properties>
</file>