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CDAD" w14:textId="77777777" w:rsidR="004D0CA3" w:rsidRDefault="004D0CA3" w:rsidP="004D0CA3">
      <w:pPr>
        <w:spacing w:before="120"/>
        <w:rPr>
          <w:rFonts w:ascii="Arial" w:hAnsi="Arial" w:cs="Arial"/>
        </w:rPr>
      </w:pPr>
      <w:bookmarkStart w:id="0" w:name="_Toc44738651"/>
      <w:r>
        <w:rPr>
          <w:rFonts w:ascii="Arial" w:hAnsi="Arial" w:cs="Arial"/>
        </w:rPr>
        <w:t>Australian Capital Territory</w:t>
      </w:r>
    </w:p>
    <w:p w14:paraId="3A841773" w14:textId="44C68EC1" w:rsidR="004D0CA3" w:rsidRDefault="004D0CA3" w:rsidP="004D0CA3">
      <w:pPr>
        <w:pStyle w:val="Billname"/>
        <w:spacing w:before="700"/>
      </w:pPr>
      <w:bookmarkStart w:id="1" w:name="_Hlk193210424"/>
      <w:r w:rsidRPr="00A004C6">
        <w:t xml:space="preserve">Civil Law (Wrongs) </w:t>
      </w:r>
      <w:bookmarkStart w:id="2" w:name="_Hlk193269829"/>
      <w:r w:rsidRPr="004D0CA3">
        <w:t xml:space="preserve">Western Australian Bar Association Professional Standards Scheme </w:t>
      </w:r>
      <w:bookmarkEnd w:id="2"/>
      <w:r w:rsidRPr="00A004C6">
        <w:t>202</w:t>
      </w:r>
      <w:r>
        <w:t>5</w:t>
      </w:r>
    </w:p>
    <w:bookmarkEnd w:id="1"/>
    <w:p w14:paraId="78847A0E" w14:textId="0E326C1E" w:rsidR="004D0CA3" w:rsidRDefault="004D0CA3" w:rsidP="004D0CA3">
      <w:pPr>
        <w:spacing w:before="340"/>
        <w:rPr>
          <w:rFonts w:ascii="Arial" w:hAnsi="Arial" w:cs="Arial"/>
          <w:b/>
          <w:bCs/>
        </w:rPr>
      </w:pPr>
      <w:r>
        <w:rPr>
          <w:rFonts w:ascii="Arial" w:hAnsi="Arial" w:cs="Arial"/>
          <w:b/>
          <w:bCs/>
        </w:rPr>
        <w:t>Disallowable instrument DI</w:t>
      </w:r>
      <w:r>
        <w:rPr>
          <w:b/>
          <w:bCs/>
        </w:rPr>
        <w:t>2025</w:t>
      </w:r>
      <w:r>
        <w:rPr>
          <w:rFonts w:ascii="Arial" w:hAnsi="Arial" w:cs="Arial"/>
          <w:b/>
          <w:bCs/>
        </w:rPr>
        <w:t>–</w:t>
      </w:r>
      <w:r w:rsidR="00311E61">
        <w:rPr>
          <w:rFonts w:ascii="Arial" w:hAnsi="Arial" w:cs="Arial"/>
          <w:b/>
          <w:bCs/>
        </w:rPr>
        <w:t>85</w:t>
      </w:r>
    </w:p>
    <w:p w14:paraId="0D4B5EC7" w14:textId="77777777" w:rsidR="004D0CA3" w:rsidRDefault="004D0CA3" w:rsidP="004D0CA3">
      <w:pPr>
        <w:pStyle w:val="madeunder"/>
        <w:spacing w:before="300" w:after="0"/>
      </w:pPr>
      <w:r>
        <w:t xml:space="preserve">made under the  </w:t>
      </w:r>
    </w:p>
    <w:p w14:paraId="1F7FBD28" w14:textId="1A06DD48" w:rsidR="004D0CA3" w:rsidRDefault="004D0CA3" w:rsidP="004D0CA3">
      <w:pPr>
        <w:pStyle w:val="CoverActName"/>
        <w:spacing w:before="320" w:after="0"/>
        <w:rPr>
          <w:rFonts w:cs="Arial"/>
          <w:sz w:val="20"/>
        </w:rPr>
      </w:pPr>
      <w:r w:rsidRPr="00A004C6">
        <w:rPr>
          <w:rFonts w:cs="Arial"/>
          <w:sz w:val="20"/>
        </w:rPr>
        <w:t xml:space="preserve">Civil Law (Wrongs) Act 2002, </w:t>
      </w:r>
      <w:r w:rsidR="00921A82">
        <w:rPr>
          <w:rFonts w:cs="Arial"/>
          <w:sz w:val="20"/>
        </w:rPr>
        <w:t xml:space="preserve">schedule 4, section 4.10 </w:t>
      </w:r>
      <w:r w:rsidRPr="00A004C6">
        <w:rPr>
          <w:rFonts w:cs="Arial"/>
          <w:sz w:val="20"/>
        </w:rPr>
        <w:t>(Schemes are subject to disallowance</w:t>
      </w:r>
      <w:r>
        <w:rPr>
          <w:rFonts w:cs="Arial"/>
          <w:sz w:val="20"/>
        </w:rPr>
        <w:t>)</w:t>
      </w:r>
    </w:p>
    <w:p w14:paraId="0288583D" w14:textId="77777777" w:rsidR="004D0CA3" w:rsidRDefault="004D0CA3" w:rsidP="004D0CA3">
      <w:pPr>
        <w:pStyle w:val="N-line3"/>
        <w:pBdr>
          <w:bottom w:val="none" w:sz="0" w:space="0" w:color="auto"/>
        </w:pBdr>
        <w:spacing w:before="60"/>
      </w:pPr>
    </w:p>
    <w:p w14:paraId="43ADD22F" w14:textId="77777777" w:rsidR="004D0CA3" w:rsidRDefault="004D0CA3" w:rsidP="004D0CA3">
      <w:pPr>
        <w:pStyle w:val="N-line3"/>
        <w:pBdr>
          <w:top w:val="single" w:sz="12" w:space="1" w:color="auto"/>
          <w:bottom w:val="none" w:sz="0" w:space="0" w:color="auto"/>
        </w:pBdr>
      </w:pPr>
    </w:p>
    <w:p w14:paraId="7E652D7D" w14:textId="77777777" w:rsidR="004D0CA3" w:rsidRDefault="004D0CA3" w:rsidP="004D0CA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A8F1225" w14:textId="3609A94C" w:rsidR="004D0CA3" w:rsidRPr="00A004C6" w:rsidRDefault="004D0CA3" w:rsidP="004D0CA3">
      <w:pPr>
        <w:spacing w:before="140"/>
        <w:ind w:left="720"/>
        <w:rPr>
          <w:rFonts w:ascii="Times New Roman" w:hAnsi="Times New Roman"/>
          <w:b/>
          <w:i/>
          <w:iCs/>
          <w:sz w:val="24"/>
        </w:rPr>
      </w:pPr>
      <w:r w:rsidRPr="00074050">
        <w:rPr>
          <w:rFonts w:ascii="Times New Roman" w:eastAsia="Times New Roman" w:hAnsi="Times New Roman" w:cs="Times New Roman"/>
          <w:sz w:val="24"/>
          <w:szCs w:val="20"/>
          <w:lang w:val="en-AU"/>
        </w:rPr>
        <w:t xml:space="preserve">This instrument is the </w:t>
      </w:r>
      <w:r w:rsidRPr="00A004C6">
        <w:rPr>
          <w:rFonts w:ascii="Times New Roman" w:hAnsi="Times New Roman"/>
          <w:bCs/>
          <w:i/>
          <w:iCs/>
          <w:sz w:val="24"/>
        </w:rPr>
        <w:t>Civil Law (Wrongs)</w:t>
      </w:r>
      <w:r w:rsidR="000A1A77">
        <w:rPr>
          <w:rFonts w:ascii="Times New Roman" w:hAnsi="Times New Roman"/>
          <w:bCs/>
          <w:i/>
          <w:iCs/>
          <w:sz w:val="24"/>
        </w:rPr>
        <w:t xml:space="preserve"> </w:t>
      </w:r>
      <w:r w:rsidRPr="004D0CA3">
        <w:rPr>
          <w:rFonts w:ascii="Times New Roman" w:hAnsi="Times New Roman"/>
          <w:bCs/>
          <w:i/>
          <w:iCs/>
          <w:sz w:val="24"/>
        </w:rPr>
        <w:t xml:space="preserve">Western Australian Bar Association Professional Standards Scheme </w:t>
      </w:r>
      <w:r w:rsidRPr="00A004C6">
        <w:rPr>
          <w:rFonts w:ascii="Times New Roman" w:hAnsi="Times New Roman"/>
          <w:bCs/>
          <w:i/>
          <w:iCs/>
          <w:sz w:val="24"/>
        </w:rPr>
        <w:t>2025</w:t>
      </w:r>
      <w:r w:rsidR="008B11D4">
        <w:rPr>
          <w:rFonts w:ascii="Times New Roman" w:hAnsi="Times New Roman"/>
          <w:bCs/>
          <w:i/>
          <w:iCs/>
          <w:sz w:val="24"/>
        </w:rPr>
        <w:t>.</w:t>
      </w:r>
    </w:p>
    <w:p w14:paraId="2DB7C120" w14:textId="77777777" w:rsidR="004D0CA3" w:rsidRDefault="004D0CA3" w:rsidP="004D0CA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7D78BE7D" w14:textId="77777777" w:rsidR="004D0CA3" w:rsidRPr="008A5AAB" w:rsidRDefault="004D0CA3" w:rsidP="004D0CA3">
      <w:pPr>
        <w:spacing w:before="140"/>
        <w:ind w:left="720"/>
        <w:rPr>
          <w:sz w:val="24"/>
          <w:szCs w:val="24"/>
        </w:rPr>
      </w:pPr>
      <w:r w:rsidRPr="008A5AAB">
        <w:rPr>
          <w:rFonts w:ascii="Times New Roman" w:hAnsi="Times New Roman" w:cs="Times New Roman"/>
          <w:sz w:val="24"/>
          <w:szCs w:val="24"/>
        </w:rPr>
        <w:t>This instrument commences on 1 July 2025</w:t>
      </w:r>
      <w:r w:rsidRPr="008A5AAB">
        <w:rPr>
          <w:sz w:val="24"/>
          <w:szCs w:val="24"/>
        </w:rPr>
        <w:t xml:space="preserve">. </w:t>
      </w:r>
    </w:p>
    <w:p w14:paraId="1C30C7C2" w14:textId="77777777" w:rsidR="004D0CA3" w:rsidRDefault="004D0CA3" w:rsidP="004D0CA3">
      <w:pPr>
        <w:spacing w:before="300"/>
        <w:ind w:left="720" w:hanging="720"/>
        <w:rPr>
          <w:rFonts w:ascii="Arial" w:hAnsi="Arial" w:cs="Arial"/>
          <w:b/>
          <w:bCs/>
        </w:rPr>
      </w:pPr>
      <w:r>
        <w:rPr>
          <w:rFonts w:ascii="Arial" w:hAnsi="Arial" w:cs="Arial"/>
          <w:b/>
          <w:bCs/>
        </w:rPr>
        <w:t>3</w:t>
      </w:r>
      <w:r>
        <w:rPr>
          <w:rFonts w:ascii="Arial" w:hAnsi="Arial" w:cs="Arial"/>
          <w:b/>
          <w:bCs/>
        </w:rPr>
        <w:tab/>
      </w:r>
      <w:r>
        <w:rPr>
          <w:b/>
          <w:bCs/>
        </w:rPr>
        <w:t>Notice</w:t>
      </w:r>
    </w:p>
    <w:p w14:paraId="166C2B2E" w14:textId="105F609A" w:rsidR="004D0CA3" w:rsidRPr="00074050" w:rsidRDefault="004D0CA3" w:rsidP="004D0CA3">
      <w:pPr>
        <w:widowControl/>
        <w:numPr>
          <w:ilvl w:val="0"/>
          <w:numId w:val="4"/>
        </w:numPr>
        <w:autoSpaceDE/>
        <w:autoSpaceDN/>
        <w:spacing w:before="140"/>
        <w:contextualSpacing/>
        <w:rPr>
          <w:rFonts w:ascii="Times New Roman" w:eastAsia="Times New Roman" w:hAnsi="Times New Roman" w:cs="Times New Roman"/>
          <w:sz w:val="24"/>
          <w:szCs w:val="20"/>
          <w:lang w:val="en-AU"/>
        </w:rPr>
      </w:pPr>
      <w:r w:rsidRPr="00074050">
        <w:rPr>
          <w:rFonts w:ascii="Times New Roman" w:eastAsia="Times New Roman" w:hAnsi="Times New Roman" w:cs="Times New Roman"/>
          <w:sz w:val="24"/>
          <w:szCs w:val="20"/>
          <w:lang w:val="en-AU"/>
        </w:rPr>
        <w:t xml:space="preserve">I give notice of the Professional Standards Council of </w:t>
      </w:r>
      <w:r>
        <w:rPr>
          <w:rFonts w:ascii="Times New Roman" w:eastAsia="Times New Roman" w:hAnsi="Times New Roman" w:cs="Times New Roman"/>
          <w:sz w:val="24"/>
          <w:szCs w:val="20"/>
          <w:lang w:val="en-AU"/>
        </w:rPr>
        <w:t>Western Australia’s</w:t>
      </w:r>
      <w:r w:rsidRPr="00074050">
        <w:rPr>
          <w:rFonts w:ascii="Times New Roman" w:eastAsia="Times New Roman" w:hAnsi="Times New Roman" w:cs="Times New Roman"/>
          <w:sz w:val="24"/>
          <w:szCs w:val="20"/>
          <w:lang w:val="en-AU"/>
        </w:rPr>
        <w:t xml:space="preserve"> approval of the attached </w:t>
      </w:r>
      <w:r>
        <w:rPr>
          <w:rFonts w:ascii="Times New Roman" w:eastAsia="Times New Roman" w:hAnsi="Times New Roman" w:cs="Times New Roman"/>
          <w:sz w:val="24"/>
          <w:szCs w:val="20"/>
        </w:rPr>
        <w:t>Western Australian</w:t>
      </w:r>
      <w:r w:rsidRPr="00A004C6">
        <w:rPr>
          <w:rFonts w:ascii="Times New Roman" w:eastAsia="Times New Roman" w:hAnsi="Times New Roman" w:cs="Times New Roman"/>
          <w:sz w:val="24"/>
          <w:szCs w:val="20"/>
        </w:rPr>
        <w:t xml:space="preserve"> Bar Association Professional Standards Scheme</w:t>
      </w:r>
      <w:r w:rsidRPr="00074050">
        <w:rPr>
          <w:rFonts w:ascii="Times New Roman" w:eastAsia="Times New Roman" w:hAnsi="Times New Roman" w:cs="Times New Roman"/>
          <w:sz w:val="24"/>
          <w:szCs w:val="20"/>
          <w:lang w:val="en-AU"/>
        </w:rPr>
        <w:t xml:space="preserve">. </w:t>
      </w:r>
    </w:p>
    <w:p w14:paraId="4EC1450C" w14:textId="432F9080" w:rsidR="004D0CA3" w:rsidRPr="00A004C6" w:rsidRDefault="004D0CA3" w:rsidP="004D0CA3">
      <w:pPr>
        <w:widowControl/>
        <w:numPr>
          <w:ilvl w:val="0"/>
          <w:numId w:val="4"/>
        </w:numPr>
        <w:autoSpaceDE/>
        <w:autoSpaceDN/>
        <w:spacing w:before="140"/>
        <w:contextualSpacing/>
        <w:rPr>
          <w:rFonts w:ascii="Times New Roman" w:eastAsia="Times New Roman" w:hAnsi="Times New Roman" w:cs="Times New Roman"/>
          <w:sz w:val="24"/>
          <w:szCs w:val="20"/>
          <w:lang w:val="en-AU"/>
        </w:rPr>
      </w:pPr>
      <w:r w:rsidRPr="00074050">
        <w:rPr>
          <w:rFonts w:ascii="Times New Roman" w:eastAsia="Times New Roman" w:hAnsi="Times New Roman" w:cs="Times New Roman"/>
          <w:sz w:val="24"/>
          <w:szCs w:val="20"/>
          <w:lang w:val="en-AU"/>
        </w:rPr>
        <w:t>The Scheme is in force until 30 June 20</w:t>
      </w:r>
      <w:r>
        <w:rPr>
          <w:rFonts w:ascii="Times New Roman" w:eastAsia="Times New Roman" w:hAnsi="Times New Roman" w:cs="Times New Roman"/>
          <w:sz w:val="24"/>
          <w:szCs w:val="20"/>
          <w:lang w:val="en-AU"/>
        </w:rPr>
        <w:t>30</w:t>
      </w:r>
      <w:r w:rsidR="008B11D4">
        <w:rPr>
          <w:rFonts w:ascii="Times New Roman" w:eastAsia="Times New Roman" w:hAnsi="Times New Roman" w:cs="Times New Roman"/>
          <w:sz w:val="24"/>
          <w:szCs w:val="20"/>
          <w:lang w:val="en-AU"/>
        </w:rPr>
        <w:t>.</w:t>
      </w:r>
    </w:p>
    <w:p w14:paraId="6782C62F" w14:textId="77777777" w:rsidR="004D0CA3" w:rsidRDefault="004D0CA3" w:rsidP="004D0CA3">
      <w:pPr>
        <w:spacing w:before="300"/>
      </w:pPr>
    </w:p>
    <w:bookmarkEnd w:id="0"/>
    <w:p w14:paraId="1EF9D756" w14:textId="3B45E64F" w:rsidR="004D0CA3" w:rsidRPr="00074050" w:rsidRDefault="004D0CA3" w:rsidP="004D0CA3">
      <w:pPr>
        <w:widowControl/>
        <w:tabs>
          <w:tab w:val="left" w:pos="4320"/>
        </w:tabs>
        <w:autoSpaceDE/>
        <w:autoSpaceDN/>
        <w:spacing w:before="720"/>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Tara Cheyne</w:t>
      </w:r>
      <w:r w:rsidR="007B717E">
        <w:rPr>
          <w:rFonts w:ascii="Times New Roman" w:eastAsia="Times New Roman" w:hAnsi="Times New Roman" w:cs="Times New Roman"/>
          <w:sz w:val="24"/>
          <w:szCs w:val="20"/>
          <w:lang w:val="en-AU"/>
        </w:rPr>
        <w:t xml:space="preserve"> MLA</w:t>
      </w:r>
    </w:p>
    <w:p w14:paraId="71C6C50C" w14:textId="77777777" w:rsidR="004D0CA3" w:rsidRPr="00074050" w:rsidRDefault="004D0CA3" w:rsidP="004D0CA3">
      <w:pPr>
        <w:widowControl/>
        <w:tabs>
          <w:tab w:val="left" w:pos="4320"/>
        </w:tabs>
        <w:autoSpaceDE/>
        <w:autoSpaceDN/>
        <w:rPr>
          <w:rFonts w:ascii="Times New Roman" w:eastAsia="Times New Roman" w:hAnsi="Times New Roman" w:cs="Times New Roman"/>
          <w:sz w:val="24"/>
          <w:szCs w:val="20"/>
          <w:lang w:val="en-AU"/>
        </w:rPr>
      </w:pPr>
      <w:r w:rsidRPr="00074050">
        <w:rPr>
          <w:rFonts w:ascii="Times New Roman" w:eastAsia="Times New Roman" w:hAnsi="Times New Roman" w:cs="Times New Roman"/>
          <w:sz w:val="24"/>
          <w:szCs w:val="20"/>
          <w:lang w:val="en-AU"/>
        </w:rPr>
        <w:t>Attorney General</w:t>
      </w:r>
    </w:p>
    <w:p w14:paraId="71825026" w14:textId="6FFB39CE" w:rsidR="004D0CA3" w:rsidRPr="00074050" w:rsidRDefault="00311E61" w:rsidP="004D0CA3">
      <w:pPr>
        <w:widowControl/>
        <w:tabs>
          <w:tab w:val="left" w:pos="4320"/>
        </w:tabs>
        <w:autoSpaceDE/>
        <w:autoSpaceDN/>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13</w:t>
      </w:r>
      <w:r w:rsidR="00973A4B">
        <w:rPr>
          <w:rFonts w:ascii="Times New Roman" w:eastAsia="Times New Roman" w:hAnsi="Times New Roman" w:cs="Times New Roman"/>
          <w:sz w:val="24"/>
          <w:szCs w:val="20"/>
          <w:lang w:val="en-AU"/>
        </w:rPr>
        <w:t xml:space="preserve"> </w:t>
      </w:r>
      <w:r w:rsidR="00CA21B0">
        <w:rPr>
          <w:rFonts w:ascii="Times New Roman" w:eastAsia="Times New Roman" w:hAnsi="Times New Roman" w:cs="Times New Roman"/>
          <w:sz w:val="24"/>
          <w:szCs w:val="20"/>
          <w:lang w:val="en-AU"/>
        </w:rPr>
        <w:t xml:space="preserve">June </w:t>
      </w:r>
      <w:r w:rsidR="00973A4B">
        <w:rPr>
          <w:rFonts w:ascii="Times New Roman" w:eastAsia="Times New Roman" w:hAnsi="Times New Roman" w:cs="Times New Roman"/>
          <w:sz w:val="24"/>
          <w:szCs w:val="20"/>
          <w:lang w:val="en-AU"/>
        </w:rPr>
        <w:t>2025</w:t>
      </w:r>
    </w:p>
    <w:p w14:paraId="2F49A623" w14:textId="77777777" w:rsidR="004D0CA3" w:rsidRDefault="004D0CA3" w:rsidP="004D0CA3">
      <w:pPr>
        <w:pStyle w:val="BodyText"/>
        <w:spacing w:before="119"/>
        <w:ind w:left="0" w:firstLine="0"/>
        <w:rPr>
          <w:rFonts w:ascii="Times New Roman"/>
          <w:sz w:val="24"/>
        </w:rPr>
      </w:pPr>
    </w:p>
    <w:p w14:paraId="7FFDC252" w14:textId="77777777" w:rsidR="007B2625" w:rsidRDefault="007B2625" w:rsidP="004D0CA3">
      <w:pPr>
        <w:pStyle w:val="BodyText"/>
        <w:spacing w:before="119"/>
        <w:ind w:left="0" w:firstLine="0"/>
        <w:rPr>
          <w:rFonts w:ascii="Times New Roman"/>
          <w:sz w:val="24"/>
        </w:rPr>
        <w:sectPr w:rsidR="007B2625">
          <w:headerReference w:type="even" r:id="rId7"/>
          <w:headerReference w:type="default" r:id="rId8"/>
          <w:footerReference w:type="even" r:id="rId9"/>
          <w:footerReference w:type="default" r:id="rId10"/>
          <w:headerReference w:type="first" r:id="rId11"/>
          <w:footerReference w:type="first" r:id="rId12"/>
          <w:pgSz w:w="11910" w:h="16840"/>
          <w:pgMar w:top="1340" w:right="960" w:bottom="1200" w:left="980" w:header="0" w:footer="1016" w:gutter="0"/>
          <w:cols w:space="720"/>
        </w:sectPr>
      </w:pPr>
    </w:p>
    <w:p w14:paraId="447D4CBF" w14:textId="5D92F102" w:rsidR="007B2625" w:rsidRDefault="007B2625" w:rsidP="007B2625">
      <w:pPr>
        <w:pStyle w:val="Title"/>
      </w:pPr>
    </w:p>
    <w:p w14:paraId="0D8C2FE7" w14:textId="77777777" w:rsidR="008E1315" w:rsidRDefault="004D0CA3">
      <w:pPr>
        <w:spacing w:before="84"/>
        <w:ind w:left="1661" w:right="1676"/>
        <w:jc w:val="center"/>
        <w:rPr>
          <w:i/>
        </w:rPr>
      </w:pPr>
      <w:r>
        <w:rPr>
          <w:i/>
        </w:rPr>
        <w:t>Professional</w:t>
      </w:r>
      <w:r>
        <w:rPr>
          <w:i/>
          <w:spacing w:val="7"/>
        </w:rPr>
        <w:t xml:space="preserve"> </w:t>
      </w:r>
      <w:r>
        <w:rPr>
          <w:i/>
        </w:rPr>
        <w:t>Standards</w:t>
      </w:r>
      <w:r>
        <w:rPr>
          <w:i/>
          <w:spacing w:val="6"/>
        </w:rPr>
        <w:t xml:space="preserve"> </w:t>
      </w:r>
      <w:r>
        <w:rPr>
          <w:i/>
        </w:rPr>
        <w:t>Act</w:t>
      </w:r>
      <w:r>
        <w:rPr>
          <w:i/>
          <w:spacing w:val="9"/>
        </w:rPr>
        <w:t xml:space="preserve"> </w:t>
      </w:r>
      <w:r>
        <w:rPr>
          <w:i/>
        </w:rPr>
        <w:t>1997</w:t>
      </w:r>
      <w:r>
        <w:rPr>
          <w:i/>
          <w:spacing w:val="10"/>
        </w:rPr>
        <w:t xml:space="preserve"> </w:t>
      </w:r>
      <w:r>
        <w:rPr>
          <w:i/>
          <w:spacing w:val="-4"/>
        </w:rPr>
        <w:t>(WA)</w:t>
      </w:r>
    </w:p>
    <w:p w14:paraId="561658B4" w14:textId="77777777" w:rsidR="008E1315" w:rsidRDefault="008E1315">
      <w:pPr>
        <w:pStyle w:val="BodyText"/>
        <w:spacing w:before="5"/>
        <w:ind w:left="0" w:firstLine="0"/>
        <w:jc w:val="left"/>
        <w:rPr>
          <w:i/>
        </w:rPr>
      </w:pPr>
    </w:p>
    <w:p w14:paraId="3255DC8A" w14:textId="77777777" w:rsidR="008E1315" w:rsidRDefault="004D0CA3">
      <w:pPr>
        <w:pStyle w:val="Heading1"/>
        <w:ind w:left="1656" w:right="1676"/>
        <w:jc w:val="center"/>
      </w:pPr>
      <w:r>
        <w:rPr>
          <w:spacing w:val="-2"/>
          <w:w w:val="110"/>
        </w:rPr>
        <w:t>THE</w:t>
      </w:r>
      <w:r>
        <w:rPr>
          <w:spacing w:val="-19"/>
          <w:w w:val="110"/>
        </w:rPr>
        <w:t xml:space="preserve"> </w:t>
      </w:r>
      <w:bookmarkStart w:id="3" w:name="_Hlk193210915"/>
      <w:r>
        <w:rPr>
          <w:spacing w:val="-2"/>
          <w:w w:val="110"/>
        </w:rPr>
        <w:t>WESTERN</w:t>
      </w:r>
      <w:r>
        <w:rPr>
          <w:spacing w:val="-22"/>
          <w:w w:val="110"/>
        </w:rPr>
        <w:t xml:space="preserve"> </w:t>
      </w:r>
      <w:r>
        <w:rPr>
          <w:spacing w:val="-2"/>
          <w:w w:val="110"/>
        </w:rPr>
        <w:t>AUSTRALIAN</w:t>
      </w:r>
      <w:r>
        <w:rPr>
          <w:spacing w:val="-18"/>
          <w:w w:val="110"/>
        </w:rPr>
        <w:t xml:space="preserve"> </w:t>
      </w:r>
      <w:r>
        <w:rPr>
          <w:spacing w:val="-2"/>
          <w:w w:val="110"/>
        </w:rPr>
        <w:t>BAR</w:t>
      </w:r>
      <w:r>
        <w:rPr>
          <w:spacing w:val="-19"/>
          <w:w w:val="110"/>
        </w:rPr>
        <w:t xml:space="preserve"> </w:t>
      </w:r>
      <w:r>
        <w:rPr>
          <w:spacing w:val="-2"/>
          <w:w w:val="110"/>
        </w:rPr>
        <w:t xml:space="preserve">ASSOCIATION </w:t>
      </w:r>
      <w:r>
        <w:rPr>
          <w:w w:val="110"/>
        </w:rPr>
        <w:t>PROFESSIONAL STANDARDS SCHEME</w:t>
      </w:r>
      <w:bookmarkEnd w:id="3"/>
    </w:p>
    <w:p w14:paraId="22FA6A3C" w14:textId="77777777" w:rsidR="008E1315" w:rsidRDefault="008E1315">
      <w:pPr>
        <w:pStyle w:val="BodyText"/>
        <w:ind w:left="0" w:firstLine="0"/>
        <w:jc w:val="left"/>
        <w:rPr>
          <w:b/>
        </w:rPr>
      </w:pPr>
    </w:p>
    <w:p w14:paraId="7BCA39F0" w14:textId="77777777" w:rsidR="008E1315" w:rsidRDefault="008E1315">
      <w:pPr>
        <w:pStyle w:val="BodyText"/>
        <w:spacing w:before="10"/>
        <w:ind w:left="0" w:firstLine="0"/>
        <w:jc w:val="left"/>
        <w:rPr>
          <w:b/>
        </w:rPr>
      </w:pPr>
    </w:p>
    <w:p w14:paraId="181DAA98" w14:textId="77777777" w:rsidR="008E1315" w:rsidRDefault="004D0CA3">
      <w:pPr>
        <w:ind w:left="100"/>
        <w:rPr>
          <w:b/>
        </w:rPr>
      </w:pPr>
      <w:r>
        <w:rPr>
          <w:b/>
          <w:spacing w:val="-2"/>
          <w:w w:val="110"/>
        </w:rPr>
        <w:t>PREAMBLE</w:t>
      </w:r>
    </w:p>
    <w:p w14:paraId="45264D2E" w14:textId="77777777" w:rsidR="008E1315" w:rsidRDefault="004D0CA3">
      <w:pPr>
        <w:pStyle w:val="ListParagraph"/>
        <w:numPr>
          <w:ilvl w:val="0"/>
          <w:numId w:val="3"/>
        </w:numPr>
        <w:tabs>
          <w:tab w:val="left" w:pos="527"/>
        </w:tabs>
        <w:spacing w:before="165" w:line="242" w:lineRule="auto"/>
        <w:ind w:right="117"/>
        <w:jc w:val="both"/>
      </w:pPr>
      <w:r>
        <w:t xml:space="preserve">The Western Australian Bar Association (Association) is an occupational association for the purposes of the </w:t>
      </w:r>
      <w:bookmarkStart w:id="4" w:name="_Hlk193270086"/>
      <w:r>
        <w:rPr>
          <w:i/>
        </w:rPr>
        <w:t xml:space="preserve">Professional Standards Act 1997 </w:t>
      </w:r>
      <w:r>
        <w:t xml:space="preserve">(WA) </w:t>
      </w:r>
      <w:bookmarkEnd w:id="4"/>
      <w:r>
        <w:t>(the Act).</w:t>
      </w:r>
    </w:p>
    <w:p w14:paraId="696BADE2" w14:textId="77777777" w:rsidR="008E1315" w:rsidRDefault="004D0CA3">
      <w:pPr>
        <w:pStyle w:val="ListParagraph"/>
        <w:numPr>
          <w:ilvl w:val="0"/>
          <w:numId w:val="3"/>
        </w:numPr>
        <w:tabs>
          <w:tab w:val="left" w:pos="525"/>
          <w:tab w:val="left" w:pos="527"/>
        </w:tabs>
        <w:spacing w:before="165" w:line="242" w:lineRule="auto"/>
        <w:ind w:right="115"/>
        <w:jc w:val="both"/>
      </w:pPr>
      <w:r>
        <w:rPr>
          <w:spacing w:val="-2"/>
          <w:w w:val="105"/>
        </w:rPr>
        <w:t>The</w:t>
      </w:r>
      <w:r>
        <w:rPr>
          <w:spacing w:val="-10"/>
          <w:w w:val="105"/>
        </w:rPr>
        <w:t xml:space="preserve"> </w:t>
      </w:r>
      <w:r>
        <w:rPr>
          <w:spacing w:val="-2"/>
          <w:w w:val="105"/>
        </w:rPr>
        <w:t>scheme</w:t>
      </w:r>
      <w:r>
        <w:rPr>
          <w:spacing w:val="-10"/>
          <w:w w:val="105"/>
        </w:rPr>
        <w:t xml:space="preserve"> </w:t>
      </w:r>
      <w:r>
        <w:rPr>
          <w:spacing w:val="-2"/>
          <w:w w:val="105"/>
        </w:rPr>
        <w:t>is</w:t>
      </w:r>
      <w:r>
        <w:rPr>
          <w:spacing w:val="-12"/>
          <w:w w:val="105"/>
        </w:rPr>
        <w:t xml:space="preserve"> </w:t>
      </w:r>
      <w:r>
        <w:rPr>
          <w:spacing w:val="-2"/>
          <w:w w:val="105"/>
        </w:rPr>
        <w:t>prepared</w:t>
      </w:r>
      <w:r>
        <w:rPr>
          <w:spacing w:val="-9"/>
          <w:w w:val="105"/>
        </w:rPr>
        <w:t xml:space="preserve"> </w:t>
      </w:r>
      <w:r>
        <w:rPr>
          <w:spacing w:val="-2"/>
          <w:w w:val="105"/>
        </w:rPr>
        <w:t>by</w:t>
      </w:r>
      <w:r>
        <w:rPr>
          <w:spacing w:val="-10"/>
          <w:w w:val="105"/>
        </w:rPr>
        <w:t xml:space="preserve"> </w:t>
      </w:r>
      <w:r>
        <w:rPr>
          <w:spacing w:val="-2"/>
          <w:w w:val="105"/>
        </w:rPr>
        <w:t>the</w:t>
      </w:r>
      <w:r>
        <w:rPr>
          <w:spacing w:val="-10"/>
          <w:w w:val="105"/>
        </w:rPr>
        <w:t xml:space="preserve"> </w:t>
      </w:r>
      <w:r>
        <w:rPr>
          <w:spacing w:val="-2"/>
          <w:w w:val="105"/>
        </w:rPr>
        <w:t>Association</w:t>
      </w:r>
      <w:r>
        <w:rPr>
          <w:spacing w:val="-14"/>
          <w:w w:val="105"/>
        </w:rPr>
        <w:t xml:space="preserve"> </w:t>
      </w:r>
      <w:r>
        <w:rPr>
          <w:spacing w:val="-2"/>
          <w:w w:val="105"/>
        </w:rPr>
        <w:t>for</w:t>
      </w:r>
      <w:r>
        <w:rPr>
          <w:spacing w:val="-14"/>
          <w:w w:val="105"/>
        </w:rPr>
        <w:t xml:space="preserve"> </w:t>
      </w:r>
      <w:r>
        <w:rPr>
          <w:spacing w:val="-2"/>
          <w:w w:val="105"/>
        </w:rPr>
        <w:t>the</w:t>
      </w:r>
      <w:r>
        <w:rPr>
          <w:spacing w:val="-10"/>
          <w:w w:val="105"/>
        </w:rPr>
        <w:t xml:space="preserve"> </w:t>
      </w:r>
      <w:r>
        <w:rPr>
          <w:spacing w:val="-2"/>
          <w:w w:val="105"/>
        </w:rPr>
        <w:t>purposes</w:t>
      </w:r>
      <w:r>
        <w:rPr>
          <w:spacing w:val="-9"/>
          <w:w w:val="105"/>
        </w:rPr>
        <w:t xml:space="preserve"> </w:t>
      </w:r>
      <w:r>
        <w:rPr>
          <w:spacing w:val="-2"/>
          <w:w w:val="105"/>
        </w:rPr>
        <w:t>of</w:t>
      </w:r>
      <w:r>
        <w:rPr>
          <w:spacing w:val="-7"/>
          <w:w w:val="105"/>
        </w:rPr>
        <w:t xml:space="preserve"> </w:t>
      </w:r>
      <w:r>
        <w:rPr>
          <w:spacing w:val="-2"/>
          <w:w w:val="105"/>
        </w:rPr>
        <w:t>limiting</w:t>
      </w:r>
      <w:r>
        <w:rPr>
          <w:spacing w:val="-10"/>
          <w:w w:val="105"/>
        </w:rPr>
        <w:t xml:space="preserve"> </w:t>
      </w:r>
      <w:r>
        <w:rPr>
          <w:spacing w:val="-2"/>
          <w:w w:val="105"/>
        </w:rPr>
        <w:t>occupational</w:t>
      </w:r>
      <w:r>
        <w:rPr>
          <w:spacing w:val="-10"/>
          <w:w w:val="105"/>
        </w:rPr>
        <w:t xml:space="preserve"> </w:t>
      </w:r>
      <w:r>
        <w:rPr>
          <w:spacing w:val="-2"/>
          <w:w w:val="105"/>
        </w:rPr>
        <w:t xml:space="preserve">liability </w:t>
      </w:r>
      <w:r>
        <w:rPr>
          <w:w w:val="105"/>
        </w:rPr>
        <w:t>to</w:t>
      </w:r>
      <w:r>
        <w:rPr>
          <w:spacing w:val="-10"/>
          <w:w w:val="105"/>
        </w:rPr>
        <w:t xml:space="preserve"> </w:t>
      </w:r>
      <w:r>
        <w:rPr>
          <w:w w:val="105"/>
        </w:rPr>
        <w:t>the</w:t>
      </w:r>
      <w:r>
        <w:rPr>
          <w:spacing w:val="-10"/>
          <w:w w:val="105"/>
        </w:rPr>
        <w:t xml:space="preserve"> </w:t>
      </w:r>
      <w:r>
        <w:rPr>
          <w:w w:val="105"/>
        </w:rPr>
        <w:t>extent</w:t>
      </w:r>
      <w:r>
        <w:rPr>
          <w:spacing w:val="-8"/>
          <w:w w:val="105"/>
        </w:rPr>
        <w:t xml:space="preserve"> </w:t>
      </w:r>
      <w:r>
        <w:rPr>
          <w:w w:val="105"/>
        </w:rPr>
        <w:t>to</w:t>
      </w:r>
      <w:r>
        <w:rPr>
          <w:spacing w:val="-10"/>
          <w:w w:val="105"/>
        </w:rPr>
        <w:t xml:space="preserve"> </w:t>
      </w:r>
      <w:r>
        <w:rPr>
          <w:w w:val="105"/>
        </w:rPr>
        <w:t>which</w:t>
      </w:r>
      <w:r>
        <w:rPr>
          <w:spacing w:val="-10"/>
          <w:w w:val="105"/>
        </w:rPr>
        <w:t xml:space="preserve"> </w:t>
      </w:r>
      <w:r>
        <w:rPr>
          <w:w w:val="105"/>
        </w:rPr>
        <w:t>such</w:t>
      </w:r>
      <w:r>
        <w:rPr>
          <w:spacing w:val="-10"/>
          <w:w w:val="105"/>
        </w:rPr>
        <w:t xml:space="preserve"> </w:t>
      </w:r>
      <w:r>
        <w:rPr>
          <w:w w:val="105"/>
        </w:rPr>
        <w:t>liability</w:t>
      </w:r>
      <w:r>
        <w:rPr>
          <w:spacing w:val="-10"/>
          <w:w w:val="105"/>
        </w:rPr>
        <w:t xml:space="preserve"> </w:t>
      </w:r>
      <w:r>
        <w:rPr>
          <w:w w:val="105"/>
        </w:rPr>
        <w:t>may</w:t>
      </w:r>
      <w:r>
        <w:rPr>
          <w:spacing w:val="-10"/>
          <w:w w:val="105"/>
        </w:rPr>
        <w:t xml:space="preserve"> </w:t>
      </w:r>
      <w:r>
        <w:rPr>
          <w:w w:val="105"/>
        </w:rPr>
        <w:t>be</w:t>
      </w:r>
      <w:r>
        <w:rPr>
          <w:spacing w:val="-8"/>
          <w:w w:val="105"/>
        </w:rPr>
        <w:t xml:space="preserve"> </w:t>
      </w:r>
      <w:r>
        <w:rPr>
          <w:w w:val="105"/>
        </w:rPr>
        <w:t>limited</w:t>
      </w:r>
      <w:r>
        <w:rPr>
          <w:spacing w:val="-9"/>
          <w:w w:val="105"/>
        </w:rPr>
        <w:t xml:space="preserve"> </w:t>
      </w:r>
      <w:r>
        <w:rPr>
          <w:w w:val="105"/>
        </w:rPr>
        <w:t>under</w:t>
      </w:r>
      <w:r>
        <w:rPr>
          <w:spacing w:val="-10"/>
          <w:w w:val="105"/>
        </w:rPr>
        <w:t xml:space="preserve"> </w:t>
      </w:r>
      <w:r>
        <w:rPr>
          <w:w w:val="105"/>
        </w:rPr>
        <w:t>the</w:t>
      </w:r>
      <w:r>
        <w:rPr>
          <w:spacing w:val="-8"/>
          <w:w w:val="105"/>
        </w:rPr>
        <w:t xml:space="preserve"> </w:t>
      </w:r>
      <w:r>
        <w:rPr>
          <w:w w:val="105"/>
        </w:rPr>
        <w:t>Act.</w:t>
      </w:r>
    </w:p>
    <w:p w14:paraId="62FA9E93" w14:textId="77777777" w:rsidR="008E1315" w:rsidRDefault="004D0CA3">
      <w:pPr>
        <w:pStyle w:val="ListParagraph"/>
        <w:numPr>
          <w:ilvl w:val="0"/>
          <w:numId w:val="3"/>
        </w:numPr>
        <w:tabs>
          <w:tab w:val="left" w:pos="527"/>
        </w:tabs>
        <w:spacing w:before="164" w:line="242" w:lineRule="auto"/>
        <w:ind w:right="116"/>
        <w:jc w:val="both"/>
      </w:pPr>
      <w:r>
        <w:rPr>
          <w:w w:val="105"/>
        </w:rPr>
        <w:t>The scheme applies to members of the Association who are based in and practise as independent barristers in Western Australia.</w:t>
      </w:r>
    </w:p>
    <w:p w14:paraId="43A267AF" w14:textId="77777777" w:rsidR="008E1315" w:rsidRDefault="004D0CA3">
      <w:pPr>
        <w:pStyle w:val="ListParagraph"/>
        <w:numPr>
          <w:ilvl w:val="0"/>
          <w:numId w:val="3"/>
        </w:numPr>
        <w:tabs>
          <w:tab w:val="left" w:pos="525"/>
          <w:tab w:val="left" w:pos="527"/>
        </w:tabs>
        <w:spacing w:before="163" w:line="244" w:lineRule="auto"/>
        <w:ind w:right="113"/>
        <w:jc w:val="both"/>
      </w:pPr>
      <w:r>
        <w:t>The scheme will have force in Western Australia, New South Wales, Victoria, Queensland, South Australia, the Australian Capital Territory, the Northern Territory and Tasmania.</w:t>
      </w:r>
      <w:r>
        <w:rPr>
          <w:spacing w:val="80"/>
        </w:rPr>
        <w:t xml:space="preserve"> </w:t>
      </w:r>
      <w:r>
        <w:t>To the extent that the scheme applies to limit liability in other jurisdictions, it is subject to the professional standards legislation of those jurisdictions.</w:t>
      </w:r>
    </w:p>
    <w:p w14:paraId="48708F32" w14:textId="77777777" w:rsidR="008E1315" w:rsidRDefault="004D0CA3">
      <w:pPr>
        <w:pStyle w:val="ListParagraph"/>
        <w:numPr>
          <w:ilvl w:val="0"/>
          <w:numId w:val="3"/>
        </w:numPr>
        <w:tabs>
          <w:tab w:val="left" w:pos="525"/>
          <w:tab w:val="left" w:pos="527"/>
        </w:tabs>
        <w:spacing w:before="158" w:line="244" w:lineRule="auto"/>
        <w:ind w:right="116"/>
        <w:jc w:val="both"/>
      </w:pPr>
      <w:r>
        <w:rPr>
          <w:w w:val="105"/>
        </w:rPr>
        <w:t>The Association has furnished the Council with a detailed list of the risk management strategies to be implemented in respect of its members, and the means by which those strategies are to be implemented.</w:t>
      </w:r>
    </w:p>
    <w:p w14:paraId="21325D36" w14:textId="77777777" w:rsidR="008E1315" w:rsidRDefault="004D0CA3">
      <w:pPr>
        <w:pStyle w:val="ListParagraph"/>
        <w:numPr>
          <w:ilvl w:val="0"/>
          <w:numId w:val="3"/>
        </w:numPr>
        <w:tabs>
          <w:tab w:val="left" w:pos="525"/>
          <w:tab w:val="left" w:pos="527"/>
        </w:tabs>
        <w:spacing w:before="159" w:line="244" w:lineRule="auto"/>
        <w:ind w:right="113"/>
        <w:jc w:val="both"/>
      </w:pPr>
      <w:r>
        <w:rPr>
          <w:w w:val="105"/>
        </w:rPr>
        <w:t>The Association has furnished the Council with details of its insurance standards and professional indemnity insurance claims monitoring process. The Association will not amend</w:t>
      </w:r>
      <w:r>
        <w:rPr>
          <w:spacing w:val="-18"/>
          <w:w w:val="105"/>
        </w:rPr>
        <w:t xml:space="preserve"> </w:t>
      </w:r>
      <w:r>
        <w:rPr>
          <w:w w:val="105"/>
        </w:rPr>
        <w:t>these</w:t>
      </w:r>
      <w:r>
        <w:rPr>
          <w:spacing w:val="-17"/>
          <w:w w:val="105"/>
        </w:rPr>
        <w:t xml:space="preserve"> </w:t>
      </w:r>
      <w:r>
        <w:rPr>
          <w:w w:val="105"/>
        </w:rPr>
        <w:t>insurance</w:t>
      </w:r>
      <w:r>
        <w:rPr>
          <w:spacing w:val="-18"/>
          <w:w w:val="105"/>
        </w:rPr>
        <w:t xml:space="preserve"> </w:t>
      </w:r>
      <w:r>
        <w:rPr>
          <w:w w:val="105"/>
        </w:rPr>
        <w:t>standards</w:t>
      </w:r>
      <w:r>
        <w:rPr>
          <w:spacing w:val="-17"/>
          <w:w w:val="105"/>
        </w:rPr>
        <w:t xml:space="preserve"> </w:t>
      </w:r>
      <w:r>
        <w:rPr>
          <w:w w:val="105"/>
        </w:rPr>
        <w:t>while</w:t>
      </w:r>
      <w:r>
        <w:rPr>
          <w:spacing w:val="-17"/>
          <w:w w:val="105"/>
        </w:rPr>
        <w:t xml:space="preserve"> </w:t>
      </w:r>
      <w:r>
        <w:rPr>
          <w:w w:val="105"/>
        </w:rPr>
        <w:t>the</w:t>
      </w:r>
      <w:r>
        <w:rPr>
          <w:spacing w:val="-18"/>
          <w:w w:val="105"/>
        </w:rPr>
        <w:t xml:space="preserve"> </w:t>
      </w:r>
      <w:r>
        <w:rPr>
          <w:w w:val="105"/>
        </w:rPr>
        <w:t>scheme</w:t>
      </w:r>
      <w:r>
        <w:rPr>
          <w:spacing w:val="-17"/>
          <w:w w:val="105"/>
        </w:rPr>
        <w:t xml:space="preserve"> </w:t>
      </w:r>
      <w:r>
        <w:rPr>
          <w:w w:val="105"/>
        </w:rPr>
        <w:t>is</w:t>
      </w:r>
      <w:r>
        <w:rPr>
          <w:spacing w:val="-18"/>
          <w:w w:val="105"/>
        </w:rPr>
        <w:t xml:space="preserve"> </w:t>
      </w:r>
      <w:r>
        <w:rPr>
          <w:w w:val="105"/>
        </w:rPr>
        <w:t>in</w:t>
      </w:r>
      <w:r>
        <w:rPr>
          <w:spacing w:val="-17"/>
          <w:w w:val="105"/>
        </w:rPr>
        <w:t xml:space="preserve"> </w:t>
      </w:r>
      <w:r>
        <w:rPr>
          <w:w w:val="105"/>
        </w:rPr>
        <w:t>force</w:t>
      </w:r>
      <w:r>
        <w:rPr>
          <w:spacing w:val="-17"/>
          <w:w w:val="105"/>
        </w:rPr>
        <w:t xml:space="preserve"> </w:t>
      </w:r>
      <w:r>
        <w:rPr>
          <w:w w:val="105"/>
        </w:rPr>
        <w:t>without</w:t>
      </w:r>
      <w:r>
        <w:rPr>
          <w:spacing w:val="-16"/>
          <w:w w:val="105"/>
        </w:rPr>
        <w:t xml:space="preserve"> </w:t>
      </w:r>
      <w:r>
        <w:rPr>
          <w:w w:val="105"/>
        </w:rPr>
        <w:t>prior</w:t>
      </w:r>
      <w:r>
        <w:rPr>
          <w:spacing w:val="-17"/>
          <w:w w:val="105"/>
        </w:rPr>
        <w:t xml:space="preserve"> </w:t>
      </w:r>
      <w:r>
        <w:rPr>
          <w:w w:val="105"/>
        </w:rPr>
        <w:t>approval</w:t>
      </w:r>
      <w:r>
        <w:rPr>
          <w:spacing w:val="-18"/>
          <w:w w:val="105"/>
        </w:rPr>
        <w:t xml:space="preserve"> </w:t>
      </w:r>
      <w:r>
        <w:rPr>
          <w:w w:val="105"/>
        </w:rPr>
        <w:t>of</w:t>
      </w:r>
      <w:r>
        <w:rPr>
          <w:spacing w:val="-16"/>
          <w:w w:val="105"/>
        </w:rPr>
        <w:t xml:space="preserve"> </w:t>
      </w:r>
      <w:r>
        <w:rPr>
          <w:w w:val="105"/>
        </w:rPr>
        <w:t xml:space="preserve">the </w:t>
      </w:r>
      <w:r>
        <w:rPr>
          <w:spacing w:val="-2"/>
          <w:w w:val="105"/>
        </w:rPr>
        <w:t>Council.</w:t>
      </w:r>
    </w:p>
    <w:p w14:paraId="242EB79C" w14:textId="77777777" w:rsidR="008E1315" w:rsidRDefault="004D0CA3">
      <w:pPr>
        <w:pStyle w:val="ListParagraph"/>
        <w:numPr>
          <w:ilvl w:val="0"/>
          <w:numId w:val="3"/>
        </w:numPr>
        <w:tabs>
          <w:tab w:val="left" w:pos="525"/>
          <w:tab w:val="left" w:pos="527"/>
        </w:tabs>
        <w:spacing w:before="158" w:line="244" w:lineRule="auto"/>
        <w:ind w:right="112"/>
        <w:jc w:val="both"/>
      </w:pPr>
      <w:r>
        <w:rPr>
          <w:w w:val="105"/>
        </w:rPr>
        <w:t>The</w:t>
      </w:r>
      <w:r>
        <w:rPr>
          <w:spacing w:val="-8"/>
          <w:w w:val="105"/>
        </w:rPr>
        <w:t xml:space="preserve"> </w:t>
      </w:r>
      <w:r>
        <w:rPr>
          <w:w w:val="105"/>
        </w:rPr>
        <w:t>Association</w:t>
      </w:r>
      <w:r>
        <w:rPr>
          <w:spacing w:val="-10"/>
          <w:w w:val="105"/>
        </w:rPr>
        <w:t xml:space="preserve"> </w:t>
      </w:r>
      <w:r>
        <w:rPr>
          <w:w w:val="105"/>
        </w:rPr>
        <w:t>has</w:t>
      </w:r>
      <w:r>
        <w:rPr>
          <w:spacing w:val="-7"/>
          <w:w w:val="105"/>
        </w:rPr>
        <w:t xml:space="preserve"> </w:t>
      </w:r>
      <w:r>
        <w:rPr>
          <w:w w:val="105"/>
        </w:rPr>
        <w:t>advised</w:t>
      </w:r>
      <w:r>
        <w:rPr>
          <w:spacing w:val="-7"/>
          <w:w w:val="105"/>
        </w:rPr>
        <w:t xml:space="preserve"> </w:t>
      </w:r>
      <w:r>
        <w:rPr>
          <w:w w:val="105"/>
        </w:rPr>
        <w:t>its</w:t>
      </w:r>
      <w:r>
        <w:rPr>
          <w:spacing w:val="-7"/>
          <w:w w:val="105"/>
        </w:rPr>
        <w:t xml:space="preserve"> </w:t>
      </w:r>
      <w:r>
        <w:rPr>
          <w:w w:val="105"/>
        </w:rPr>
        <w:t>members</w:t>
      </w:r>
      <w:r>
        <w:rPr>
          <w:spacing w:val="-7"/>
          <w:w w:val="105"/>
        </w:rPr>
        <w:t xml:space="preserve"> </w:t>
      </w:r>
      <w:r>
        <w:rPr>
          <w:w w:val="105"/>
        </w:rPr>
        <w:t>to</w:t>
      </w:r>
      <w:r>
        <w:rPr>
          <w:spacing w:val="-8"/>
          <w:w w:val="105"/>
        </w:rPr>
        <w:t xml:space="preserve"> </w:t>
      </w:r>
      <w:r>
        <w:rPr>
          <w:w w:val="105"/>
        </w:rPr>
        <w:t>whom</w:t>
      </w:r>
      <w:r>
        <w:rPr>
          <w:spacing w:val="-8"/>
          <w:w w:val="105"/>
        </w:rPr>
        <w:t xml:space="preserve"> </w:t>
      </w:r>
      <w:r>
        <w:rPr>
          <w:w w:val="105"/>
        </w:rPr>
        <w:t>the</w:t>
      </w:r>
      <w:r>
        <w:rPr>
          <w:spacing w:val="-7"/>
          <w:w w:val="105"/>
        </w:rPr>
        <w:t xml:space="preserve"> </w:t>
      </w:r>
      <w:r>
        <w:rPr>
          <w:w w:val="105"/>
        </w:rPr>
        <w:t>scheme</w:t>
      </w:r>
      <w:r>
        <w:rPr>
          <w:spacing w:val="-8"/>
          <w:w w:val="105"/>
        </w:rPr>
        <w:t xml:space="preserve"> </w:t>
      </w:r>
      <w:r>
        <w:rPr>
          <w:w w:val="105"/>
        </w:rPr>
        <w:t>applies</w:t>
      </w:r>
      <w:r>
        <w:rPr>
          <w:spacing w:val="-7"/>
          <w:w w:val="105"/>
        </w:rPr>
        <w:t xml:space="preserve"> </w:t>
      </w:r>
      <w:r>
        <w:rPr>
          <w:w w:val="105"/>
        </w:rPr>
        <w:t>that</w:t>
      </w:r>
      <w:r>
        <w:rPr>
          <w:spacing w:val="-8"/>
          <w:w w:val="105"/>
        </w:rPr>
        <w:t xml:space="preserve"> </w:t>
      </w:r>
      <w:r>
        <w:rPr>
          <w:w w:val="105"/>
        </w:rPr>
        <w:t>they</w:t>
      </w:r>
      <w:r>
        <w:rPr>
          <w:spacing w:val="-8"/>
          <w:w w:val="105"/>
        </w:rPr>
        <w:t xml:space="preserve"> </w:t>
      </w:r>
      <w:r>
        <w:rPr>
          <w:w w:val="105"/>
        </w:rPr>
        <w:t>must</w:t>
      </w:r>
      <w:r>
        <w:rPr>
          <w:spacing w:val="-8"/>
          <w:w w:val="105"/>
        </w:rPr>
        <w:t xml:space="preserve"> </w:t>
      </w:r>
      <w:r>
        <w:rPr>
          <w:w w:val="105"/>
        </w:rPr>
        <w:t xml:space="preserve">have </w:t>
      </w:r>
      <w:r>
        <w:t xml:space="preserve">the benefit of a professional indemnity policy that complies with the Association’s insurance standards and that they remain liable for the amount of any difference between the amount </w:t>
      </w:r>
      <w:r>
        <w:rPr>
          <w:w w:val="105"/>
        </w:rPr>
        <w:t>payable</w:t>
      </w:r>
      <w:r>
        <w:rPr>
          <w:spacing w:val="-6"/>
          <w:w w:val="105"/>
        </w:rPr>
        <w:t xml:space="preserve"> </w:t>
      </w:r>
      <w:r>
        <w:rPr>
          <w:w w:val="105"/>
        </w:rPr>
        <w:t>to</w:t>
      </w:r>
      <w:r>
        <w:rPr>
          <w:spacing w:val="-6"/>
          <w:w w:val="105"/>
        </w:rPr>
        <w:t xml:space="preserve"> </w:t>
      </w:r>
      <w:r>
        <w:rPr>
          <w:w w:val="105"/>
        </w:rPr>
        <w:t>a</w:t>
      </w:r>
      <w:r>
        <w:rPr>
          <w:spacing w:val="-5"/>
          <w:w w:val="105"/>
        </w:rPr>
        <w:t xml:space="preserve"> </w:t>
      </w:r>
      <w:r>
        <w:rPr>
          <w:w w:val="105"/>
        </w:rPr>
        <w:t>plaintiff</w:t>
      </w:r>
      <w:r>
        <w:rPr>
          <w:spacing w:val="-4"/>
          <w:w w:val="105"/>
        </w:rPr>
        <w:t xml:space="preserve"> </w:t>
      </w:r>
      <w:r>
        <w:rPr>
          <w:w w:val="105"/>
        </w:rPr>
        <w:t>under</w:t>
      </w:r>
      <w:r>
        <w:rPr>
          <w:spacing w:val="-6"/>
          <w:w w:val="105"/>
        </w:rPr>
        <w:t xml:space="preserve"> </w:t>
      </w:r>
      <w:r>
        <w:rPr>
          <w:w w:val="105"/>
        </w:rPr>
        <w:t>the</w:t>
      </w:r>
      <w:r>
        <w:rPr>
          <w:spacing w:val="-6"/>
          <w:w w:val="105"/>
        </w:rPr>
        <w:t xml:space="preserve"> </w:t>
      </w:r>
      <w:r>
        <w:rPr>
          <w:w w:val="105"/>
        </w:rPr>
        <w:t>policy</w:t>
      </w:r>
      <w:r>
        <w:rPr>
          <w:spacing w:val="-6"/>
          <w:w w:val="105"/>
        </w:rPr>
        <w:t xml:space="preserve"> </w:t>
      </w:r>
      <w:r>
        <w:rPr>
          <w:w w:val="105"/>
        </w:rPr>
        <w:t>and</w:t>
      </w:r>
      <w:r>
        <w:rPr>
          <w:spacing w:val="-6"/>
          <w:w w:val="105"/>
        </w:rPr>
        <w:t xml:space="preserve"> </w:t>
      </w:r>
      <w:r>
        <w:rPr>
          <w:w w:val="105"/>
        </w:rPr>
        <w:t>the</w:t>
      </w:r>
      <w:r>
        <w:rPr>
          <w:spacing w:val="-4"/>
          <w:w w:val="105"/>
        </w:rPr>
        <w:t xml:space="preserve"> </w:t>
      </w:r>
      <w:r>
        <w:rPr>
          <w:w w:val="105"/>
        </w:rPr>
        <w:t>monetary</w:t>
      </w:r>
      <w:r>
        <w:rPr>
          <w:spacing w:val="-6"/>
          <w:w w:val="105"/>
        </w:rPr>
        <w:t xml:space="preserve"> </w:t>
      </w:r>
      <w:r>
        <w:rPr>
          <w:w w:val="105"/>
        </w:rPr>
        <w:t>ceiling</w:t>
      </w:r>
      <w:r>
        <w:rPr>
          <w:spacing w:val="-6"/>
          <w:w w:val="105"/>
        </w:rPr>
        <w:t xml:space="preserve"> </w:t>
      </w:r>
      <w:r>
        <w:rPr>
          <w:w w:val="105"/>
        </w:rPr>
        <w:t>specified</w:t>
      </w:r>
      <w:r>
        <w:rPr>
          <w:spacing w:val="-5"/>
          <w:w w:val="105"/>
        </w:rPr>
        <w:t xml:space="preserve"> </w:t>
      </w:r>
      <w:r>
        <w:rPr>
          <w:w w:val="105"/>
        </w:rPr>
        <w:t>in</w:t>
      </w:r>
      <w:r>
        <w:rPr>
          <w:spacing w:val="-6"/>
          <w:w w:val="105"/>
        </w:rPr>
        <w:t xml:space="preserve"> </w:t>
      </w:r>
      <w:r>
        <w:rPr>
          <w:w w:val="105"/>
        </w:rPr>
        <w:t>the</w:t>
      </w:r>
      <w:r>
        <w:rPr>
          <w:spacing w:val="-5"/>
          <w:w w:val="105"/>
        </w:rPr>
        <w:t xml:space="preserve"> </w:t>
      </w:r>
      <w:r>
        <w:rPr>
          <w:w w:val="105"/>
        </w:rPr>
        <w:t>scheme.</w:t>
      </w:r>
    </w:p>
    <w:p w14:paraId="2F46B117" w14:textId="77777777" w:rsidR="008E1315" w:rsidRDefault="004D0CA3">
      <w:pPr>
        <w:pStyle w:val="ListParagraph"/>
        <w:numPr>
          <w:ilvl w:val="0"/>
          <w:numId w:val="3"/>
        </w:numPr>
        <w:tabs>
          <w:tab w:val="left" w:pos="527"/>
        </w:tabs>
        <w:spacing w:before="158" w:line="242" w:lineRule="auto"/>
        <w:ind w:right="117"/>
        <w:jc w:val="both"/>
      </w:pPr>
      <w:r>
        <w:rPr>
          <w:w w:val="105"/>
        </w:rPr>
        <w:t>The Association has furnished the Council with details of its complaints system and discipline</w:t>
      </w:r>
      <w:r>
        <w:rPr>
          <w:spacing w:val="-2"/>
          <w:w w:val="105"/>
        </w:rPr>
        <w:t xml:space="preserve"> </w:t>
      </w:r>
      <w:r>
        <w:rPr>
          <w:w w:val="105"/>
        </w:rPr>
        <w:t>system.</w:t>
      </w:r>
    </w:p>
    <w:p w14:paraId="46049BE4" w14:textId="77777777" w:rsidR="008E1315" w:rsidRDefault="004D0CA3">
      <w:pPr>
        <w:pStyle w:val="ListParagraph"/>
        <w:numPr>
          <w:ilvl w:val="0"/>
          <w:numId w:val="3"/>
        </w:numPr>
        <w:tabs>
          <w:tab w:val="left" w:pos="527"/>
        </w:tabs>
        <w:spacing w:before="163" w:line="244" w:lineRule="auto"/>
        <w:ind w:right="113"/>
        <w:jc w:val="both"/>
      </w:pPr>
      <w:r>
        <w:rPr>
          <w:w w:val="105"/>
        </w:rPr>
        <w:t>The</w:t>
      </w:r>
      <w:r>
        <w:rPr>
          <w:spacing w:val="-4"/>
          <w:w w:val="105"/>
        </w:rPr>
        <w:t xml:space="preserve"> </w:t>
      </w:r>
      <w:r>
        <w:rPr>
          <w:w w:val="105"/>
        </w:rPr>
        <w:t>Association</w:t>
      </w:r>
      <w:r>
        <w:rPr>
          <w:spacing w:val="-4"/>
          <w:w w:val="105"/>
        </w:rPr>
        <w:t xml:space="preserve"> </w:t>
      </w:r>
      <w:r>
        <w:rPr>
          <w:w w:val="105"/>
        </w:rPr>
        <w:t>and</w:t>
      </w:r>
      <w:r>
        <w:rPr>
          <w:spacing w:val="-3"/>
          <w:w w:val="105"/>
        </w:rPr>
        <w:t xml:space="preserve"> </w:t>
      </w:r>
      <w:r>
        <w:rPr>
          <w:w w:val="105"/>
        </w:rPr>
        <w:t>its</w:t>
      </w:r>
      <w:r>
        <w:rPr>
          <w:spacing w:val="-3"/>
          <w:w w:val="105"/>
        </w:rPr>
        <w:t xml:space="preserve"> </w:t>
      </w:r>
      <w:r>
        <w:rPr>
          <w:w w:val="105"/>
        </w:rPr>
        <w:t>members</w:t>
      </w:r>
      <w:r>
        <w:rPr>
          <w:spacing w:val="-3"/>
          <w:w w:val="105"/>
        </w:rPr>
        <w:t xml:space="preserve"> </w:t>
      </w:r>
      <w:r>
        <w:rPr>
          <w:w w:val="105"/>
        </w:rPr>
        <w:t>to</w:t>
      </w:r>
      <w:r>
        <w:rPr>
          <w:spacing w:val="-3"/>
          <w:w w:val="105"/>
        </w:rPr>
        <w:t xml:space="preserve"> </w:t>
      </w:r>
      <w:r>
        <w:rPr>
          <w:w w:val="105"/>
        </w:rPr>
        <w:t>whom</w:t>
      </w:r>
      <w:r>
        <w:rPr>
          <w:spacing w:val="-3"/>
          <w:w w:val="105"/>
        </w:rPr>
        <w:t xml:space="preserve"> </w:t>
      </w:r>
      <w:r>
        <w:rPr>
          <w:w w:val="105"/>
        </w:rPr>
        <w:t>the scheme</w:t>
      </w:r>
      <w:r>
        <w:rPr>
          <w:spacing w:val="-4"/>
          <w:w w:val="105"/>
        </w:rPr>
        <w:t xml:space="preserve"> </w:t>
      </w:r>
      <w:r>
        <w:rPr>
          <w:w w:val="105"/>
        </w:rPr>
        <w:t>applies</w:t>
      </w:r>
      <w:r>
        <w:rPr>
          <w:spacing w:val="-3"/>
          <w:w w:val="105"/>
        </w:rPr>
        <w:t xml:space="preserve"> </w:t>
      </w:r>
      <w:r>
        <w:rPr>
          <w:w w:val="105"/>
        </w:rPr>
        <w:t>have</w:t>
      </w:r>
      <w:r>
        <w:rPr>
          <w:spacing w:val="-4"/>
          <w:w w:val="105"/>
        </w:rPr>
        <w:t xml:space="preserve"> </w:t>
      </w:r>
      <w:r>
        <w:rPr>
          <w:w w:val="105"/>
        </w:rPr>
        <w:t>undertaken</w:t>
      </w:r>
      <w:r>
        <w:rPr>
          <w:spacing w:val="-4"/>
          <w:w w:val="105"/>
        </w:rPr>
        <w:t xml:space="preserve"> </w:t>
      </w:r>
      <w:r>
        <w:rPr>
          <w:w w:val="105"/>
        </w:rPr>
        <w:t>to</w:t>
      </w:r>
      <w:r>
        <w:rPr>
          <w:spacing w:val="-3"/>
          <w:w w:val="105"/>
        </w:rPr>
        <w:t xml:space="preserve"> </w:t>
      </w:r>
      <w:r>
        <w:rPr>
          <w:w w:val="105"/>
        </w:rPr>
        <w:t>comply with</w:t>
      </w:r>
      <w:r>
        <w:rPr>
          <w:spacing w:val="-1"/>
          <w:w w:val="105"/>
        </w:rPr>
        <w:t xml:space="preserve"> </w:t>
      </w:r>
      <w:r>
        <w:rPr>
          <w:w w:val="105"/>
        </w:rPr>
        <w:t>all</w:t>
      </w:r>
      <w:r>
        <w:rPr>
          <w:spacing w:val="-1"/>
          <w:w w:val="105"/>
        </w:rPr>
        <w:t xml:space="preserve"> </w:t>
      </w:r>
      <w:r>
        <w:rPr>
          <w:w w:val="105"/>
        </w:rPr>
        <w:t>reporting</w:t>
      </w:r>
      <w:r>
        <w:rPr>
          <w:spacing w:val="-1"/>
          <w:w w:val="105"/>
        </w:rPr>
        <w:t xml:space="preserve"> </w:t>
      </w:r>
      <w:r>
        <w:rPr>
          <w:w w:val="105"/>
        </w:rPr>
        <w:t>obligations associated with</w:t>
      </w:r>
      <w:r>
        <w:rPr>
          <w:spacing w:val="-2"/>
          <w:w w:val="105"/>
        </w:rPr>
        <w:t xml:space="preserve"> </w:t>
      </w:r>
      <w:r>
        <w:rPr>
          <w:w w:val="105"/>
        </w:rPr>
        <w:t>the scheme,</w:t>
      </w:r>
      <w:r>
        <w:rPr>
          <w:spacing w:val="-1"/>
          <w:w w:val="105"/>
        </w:rPr>
        <w:t xml:space="preserve"> </w:t>
      </w:r>
      <w:r>
        <w:rPr>
          <w:w w:val="105"/>
        </w:rPr>
        <w:t>in furtherance</w:t>
      </w:r>
      <w:r>
        <w:rPr>
          <w:spacing w:val="-1"/>
          <w:w w:val="105"/>
        </w:rPr>
        <w:t xml:space="preserve"> </w:t>
      </w:r>
      <w:r>
        <w:rPr>
          <w:w w:val="105"/>
        </w:rPr>
        <w:t>of the</w:t>
      </w:r>
      <w:r>
        <w:rPr>
          <w:spacing w:val="-1"/>
          <w:w w:val="105"/>
        </w:rPr>
        <w:t xml:space="preserve"> </w:t>
      </w:r>
      <w:r>
        <w:rPr>
          <w:w w:val="105"/>
        </w:rPr>
        <w:t>statutory objects of improvement of the occupational standards of its members, and protection of the consumers of such members’ services.</w:t>
      </w:r>
    </w:p>
    <w:p w14:paraId="39DD602E" w14:textId="77777777" w:rsidR="008E1315" w:rsidRDefault="004D0CA3">
      <w:pPr>
        <w:pStyle w:val="ListParagraph"/>
        <w:numPr>
          <w:ilvl w:val="0"/>
          <w:numId w:val="3"/>
        </w:numPr>
        <w:tabs>
          <w:tab w:val="left" w:pos="524"/>
          <w:tab w:val="left" w:pos="527"/>
        </w:tabs>
        <w:spacing w:before="156" w:line="242" w:lineRule="auto"/>
        <w:ind w:right="116"/>
        <w:jc w:val="both"/>
      </w:pPr>
      <w:r>
        <w:rPr>
          <w:w w:val="105"/>
        </w:rPr>
        <w:t>The</w:t>
      </w:r>
      <w:r>
        <w:rPr>
          <w:spacing w:val="-11"/>
          <w:w w:val="105"/>
        </w:rPr>
        <w:t xml:space="preserve"> </w:t>
      </w:r>
      <w:r>
        <w:rPr>
          <w:w w:val="105"/>
        </w:rPr>
        <w:t>Association</w:t>
      </w:r>
      <w:r>
        <w:rPr>
          <w:spacing w:val="-12"/>
          <w:w w:val="105"/>
        </w:rPr>
        <w:t xml:space="preserve"> </w:t>
      </w:r>
      <w:r>
        <w:rPr>
          <w:w w:val="105"/>
        </w:rPr>
        <w:t>has</w:t>
      </w:r>
      <w:r>
        <w:rPr>
          <w:spacing w:val="-10"/>
          <w:w w:val="105"/>
        </w:rPr>
        <w:t xml:space="preserve"> </w:t>
      </w:r>
      <w:r>
        <w:rPr>
          <w:w w:val="105"/>
        </w:rPr>
        <w:t>undertaken</w:t>
      </w:r>
      <w:r>
        <w:rPr>
          <w:spacing w:val="-11"/>
          <w:w w:val="105"/>
        </w:rPr>
        <w:t xml:space="preserve"> </w:t>
      </w:r>
      <w:r>
        <w:rPr>
          <w:w w:val="105"/>
        </w:rPr>
        <w:t>to</w:t>
      </w:r>
      <w:r>
        <w:rPr>
          <w:spacing w:val="-11"/>
          <w:w w:val="105"/>
        </w:rPr>
        <w:t xml:space="preserve"> </w:t>
      </w:r>
      <w:r>
        <w:rPr>
          <w:w w:val="105"/>
        </w:rPr>
        <w:t>remit</w:t>
      </w:r>
      <w:r>
        <w:rPr>
          <w:spacing w:val="-9"/>
          <w:w w:val="105"/>
        </w:rPr>
        <w:t xml:space="preserve"> </w:t>
      </w:r>
      <w:r>
        <w:rPr>
          <w:w w:val="105"/>
        </w:rPr>
        <w:t>all</w:t>
      </w:r>
      <w:r>
        <w:rPr>
          <w:spacing w:val="-11"/>
          <w:w w:val="105"/>
        </w:rPr>
        <w:t xml:space="preserve"> </w:t>
      </w:r>
      <w:r>
        <w:rPr>
          <w:w w:val="105"/>
        </w:rPr>
        <w:t>fees</w:t>
      </w:r>
      <w:r>
        <w:rPr>
          <w:spacing w:val="-10"/>
          <w:w w:val="105"/>
        </w:rPr>
        <w:t xml:space="preserve"> </w:t>
      </w:r>
      <w:r>
        <w:rPr>
          <w:w w:val="105"/>
        </w:rPr>
        <w:t>payable</w:t>
      </w:r>
      <w:r>
        <w:rPr>
          <w:spacing w:val="-11"/>
          <w:w w:val="105"/>
        </w:rPr>
        <w:t xml:space="preserve"> </w:t>
      </w:r>
      <w:r>
        <w:rPr>
          <w:w w:val="105"/>
        </w:rPr>
        <w:t>under</w:t>
      </w:r>
      <w:r>
        <w:rPr>
          <w:spacing w:val="-7"/>
          <w:w w:val="105"/>
        </w:rPr>
        <w:t xml:space="preserve"> </w:t>
      </w:r>
      <w:r>
        <w:rPr>
          <w:w w:val="105"/>
        </w:rPr>
        <w:t>the</w:t>
      </w:r>
      <w:r>
        <w:rPr>
          <w:spacing w:val="-9"/>
          <w:w w:val="105"/>
        </w:rPr>
        <w:t xml:space="preserve"> </w:t>
      </w:r>
      <w:r>
        <w:rPr>
          <w:i/>
          <w:w w:val="105"/>
        </w:rPr>
        <w:t>Professional</w:t>
      </w:r>
      <w:r>
        <w:rPr>
          <w:i/>
          <w:spacing w:val="-10"/>
          <w:w w:val="105"/>
        </w:rPr>
        <w:t xml:space="preserve"> </w:t>
      </w:r>
      <w:r>
        <w:rPr>
          <w:i/>
          <w:w w:val="105"/>
        </w:rPr>
        <w:t xml:space="preserve">Standards Regulations 1998 </w:t>
      </w:r>
      <w:r>
        <w:rPr>
          <w:w w:val="105"/>
        </w:rPr>
        <w:t>(WA) to the Council as and when these become due.</w:t>
      </w:r>
    </w:p>
    <w:p w14:paraId="7CBFA331" w14:textId="77777777" w:rsidR="008E1315" w:rsidRDefault="004D0CA3">
      <w:pPr>
        <w:pStyle w:val="ListParagraph"/>
        <w:numPr>
          <w:ilvl w:val="0"/>
          <w:numId w:val="3"/>
        </w:numPr>
        <w:tabs>
          <w:tab w:val="left" w:pos="525"/>
          <w:tab w:val="left" w:pos="527"/>
        </w:tabs>
        <w:spacing w:before="165" w:line="244" w:lineRule="auto"/>
        <w:ind w:right="116"/>
        <w:jc w:val="both"/>
      </w:pPr>
      <w:r>
        <w:t>The</w:t>
      </w:r>
      <w:r>
        <w:rPr>
          <w:spacing w:val="23"/>
        </w:rPr>
        <w:t xml:space="preserve"> </w:t>
      </w:r>
      <w:r>
        <w:t>scheme</w:t>
      </w:r>
      <w:r>
        <w:rPr>
          <w:spacing w:val="23"/>
        </w:rPr>
        <w:t xml:space="preserve"> </w:t>
      </w:r>
      <w:r>
        <w:t>is</w:t>
      </w:r>
      <w:r>
        <w:rPr>
          <w:spacing w:val="23"/>
        </w:rPr>
        <w:t xml:space="preserve"> </w:t>
      </w:r>
      <w:r>
        <w:t>intended</w:t>
      </w:r>
      <w:r>
        <w:rPr>
          <w:spacing w:val="25"/>
        </w:rPr>
        <w:t xml:space="preserve"> </w:t>
      </w:r>
      <w:r>
        <w:t>to</w:t>
      </w:r>
      <w:r>
        <w:rPr>
          <w:spacing w:val="23"/>
        </w:rPr>
        <w:t xml:space="preserve"> </w:t>
      </w:r>
      <w:r>
        <w:t>commence</w:t>
      </w:r>
      <w:r>
        <w:rPr>
          <w:spacing w:val="23"/>
        </w:rPr>
        <w:t xml:space="preserve"> </w:t>
      </w:r>
      <w:r>
        <w:t>on</w:t>
      </w:r>
      <w:r>
        <w:rPr>
          <w:spacing w:val="29"/>
        </w:rPr>
        <w:t xml:space="preserve"> </w:t>
      </w:r>
      <w:r>
        <w:t>1</w:t>
      </w:r>
      <w:r>
        <w:rPr>
          <w:spacing w:val="23"/>
        </w:rPr>
        <w:t xml:space="preserve"> </w:t>
      </w:r>
      <w:r>
        <w:t>July</w:t>
      </w:r>
      <w:r>
        <w:rPr>
          <w:spacing w:val="23"/>
        </w:rPr>
        <w:t xml:space="preserve"> </w:t>
      </w:r>
      <w:r>
        <w:t>2025</w:t>
      </w:r>
      <w:r>
        <w:rPr>
          <w:spacing w:val="23"/>
        </w:rPr>
        <w:t xml:space="preserve"> </w:t>
      </w:r>
      <w:r>
        <w:t>and</w:t>
      </w:r>
      <w:r>
        <w:rPr>
          <w:spacing w:val="23"/>
        </w:rPr>
        <w:t xml:space="preserve"> </w:t>
      </w:r>
      <w:r>
        <w:t>remain</w:t>
      </w:r>
      <w:r>
        <w:rPr>
          <w:spacing w:val="26"/>
        </w:rPr>
        <w:t xml:space="preserve"> </w:t>
      </w:r>
      <w:r>
        <w:t>in</w:t>
      </w:r>
      <w:r>
        <w:rPr>
          <w:spacing w:val="22"/>
        </w:rPr>
        <w:t xml:space="preserve"> </w:t>
      </w:r>
      <w:r>
        <w:t>force</w:t>
      </w:r>
      <w:r>
        <w:rPr>
          <w:spacing w:val="23"/>
        </w:rPr>
        <w:t xml:space="preserve"> </w:t>
      </w:r>
      <w:r>
        <w:t>for</w:t>
      </w:r>
      <w:r>
        <w:rPr>
          <w:spacing w:val="25"/>
        </w:rPr>
        <w:t xml:space="preserve"> </w:t>
      </w:r>
      <w:r>
        <w:t>5</w:t>
      </w:r>
      <w:r>
        <w:rPr>
          <w:spacing w:val="26"/>
        </w:rPr>
        <w:t xml:space="preserve"> </w:t>
      </w:r>
      <w:r>
        <w:t>years</w:t>
      </w:r>
      <w:r>
        <w:rPr>
          <w:spacing w:val="25"/>
        </w:rPr>
        <w:t xml:space="preserve"> </w:t>
      </w:r>
      <w:r>
        <w:t xml:space="preserve">from its commencement unless, prior to that time, it is revoked, its operation ceases, or it is </w:t>
      </w:r>
      <w:r>
        <w:rPr>
          <w:spacing w:val="-2"/>
        </w:rPr>
        <w:t>extended.</w:t>
      </w:r>
    </w:p>
    <w:p w14:paraId="5EE490E0" w14:textId="77777777" w:rsidR="008E1315" w:rsidRDefault="004D0CA3">
      <w:pPr>
        <w:pStyle w:val="ListParagraph"/>
        <w:numPr>
          <w:ilvl w:val="0"/>
          <w:numId w:val="3"/>
        </w:numPr>
        <w:tabs>
          <w:tab w:val="left" w:pos="525"/>
          <w:tab w:val="left" w:pos="527"/>
        </w:tabs>
        <w:spacing w:before="158" w:line="244" w:lineRule="auto"/>
        <w:ind w:right="114"/>
        <w:jc w:val="both"/>
      </w:pPr>
      <w:r>
        <w:rPr>
          <w:spacing w:val="-2"/>
          <w:w w:val="105"/>
        </w:rPr>
        <w:t>Sections</w:t>
      </w:r>
      <w:r>
        <w:rPr>
          <w:spacing w:val="-7"/>
          <w:w w:val="105"/>
        </w:rPr>
        <w:t xml:space="preserve"> </w:t>
      </w:r>
      <w:r>
        <w:rPr>
          <w:spacing w:val="-2"/>
          <w:w w:val="105"/>
        </w:rPr>
        <w:t>12GNA(2)</w:t>
      </w:r>
      <w:r>
        <w:rPr>
          <w:spacing w:val="-8"/>
          <w:w w:val="105"/>
        </w:rPr>
        <w:t xml:space="preserve"> </w:t>
      </w:r>
      <w:r>
        <w:rPr>
          <w:spacing w:val="-2"/>
          <w:w w:val="105"/>
        </w:rPr>
        <w:t>of</w:t>
      </w:r>
      <w:r>
        <w:rPr>
          <w:spacing w:val="-7"/>
          <w:w w:val="105"/>
        </w:rPr>
        <w:t xml:space="preserve"> </w:t>
      </w:r>
      <w:r>
        <w:rPr>
          <w:spacing w:val="-2"/>
          <w:w w:val="105"/>
        </w:rPr>
        <w:t>the</w:t>
      </w:r>
      <w:r>
        <w:rPr>
          <w:spacing w:val="-7"/>
          <w:w w:val="105"/>
        </w:rPr>
        <w:t xml:space="preserve"> </w:t>
      </w:r>
      <w:r>
        <w:rPr>
          <w:i/>
          <w:spacing w:val="-2"/>
          <w:w w:val="105"/>
        </w:rPr>
        <w:t>Australian</w:t>
      </w:r>
      <w:r>
        <w:rPr>
          <w:i/>
          <w:spacing w:val="-7"/>
          <w:w w:val="105"/>
        </w:rPr>
        <w:t xml:space="preserve"> </w:t>
      </w:r>
      <w:r>
        <w:rPr>
          <w:i/>
          <w:spacing w:val="-2"/>
          <w:w w:val="105"/>
        </w:rPr>
        <w:t>Securities</w:t>
      </w:r>
      <w:r>
        <w:rPr>
          <w:i/>
          <w:spacing w:val="-11"/>
          <w:w w:val="105"/>
        </w:rPr>
        <w:t xml:space="preserve"> </w:t>
      </w:r>
      <w:r>
        <w:rPr>
          <w:i/>
          <w:spacing w:val="-2"/>
          <w:w w:val="105"/>
        </w:rPr>
        <w:t>and</w:t>
      </w:r>
      <w:r>
        <w:rPr>
          <w:i/>
          <w:spacing w:val="-9"/>
          <w:w w:val="105"/>
        </w:rPr>
        <w:t xml:space="preserve"> </w:t>
      </w:r>
      <w:r>
        <w:rPr>
          <w:i/>
          <w:spacing w:val="-2"/>
          <w:w w:val="105"/>
        </w:rPr>
        <w:t>Investments</w:t>
      </w:r>
      <w:r>
        <w:rPr>
          <w:i/>
          <w:spacing w:val="-7"/>
          <w:w w:val="105"/>
        </w:rPr>
        <w:t xml:space="preserve"> </w:t>
      </w:r>
      <w:r>
        <w:rPr>
          <w:i/>
          <w:spacing w:val="-2"/>
          <w:w w:val="105"/>
        </w:rPr>
        <w:t>Commission</w:t>
      </w:r>
      <w:r>
        <w:rPr>
          <w:i/>
          <w:spacing w:val="-10"/>
          <w:w w:val="105"/>
        </w:rPr>
        <w:t xml:space="preserve"> </w:t>
      </w:r>
      <w:r>
        <w:rPr>
          <w:i/>
          <w:spacing w:val="-2"/>
          <w:w w:val="105"/>
        </w:rPr>
        <w:t>Act</w:t>
      </w:r>
      <w:r>
        <w:rPr>
          <w:i/>
          <w:spacing w:val="-10"/>
          <w:w w:val="105"/>
        </w:rPr>
        <w:t xml:space="preserve"> </w:t>
      </w:r>
      <w:r>
        <w:rPr>
          <w:i/>
          <w:spacing w:val="-2"/>
          <w:w w:val="105"/>
        </w:rPr>
        <w:t>2001</w:t>
      </w:r>
      <w:r>
        <w:rPr>
          <w:i/>
          <w:spacing w:val="-3"/>
          <w:w w:val="105"/>
        </w:rPr>
        <w:t xml:space="preserve"> </w:t>
      </w:r>
      <w:r>
        <w:rPr>
          <w:spacing w:val="-2"/>
          <w:w w:val="105"/>
        </w:rPr>
        <w:t xml:space="preserve">(Cth), </w:t>
      </w:r>
      <w:r>
        <w:t>137(2)</w:t>
      </w:r>
      <w:r>
        <w:rPr>
          <w:spacing w:val="-6"/>
        </w:rPr>
        <w:t xml:space="preserve"> </w:t>
      </w:r>
      <w:r>
        <w:t>of</w:t>
      </w:r>
      <w:r>
        <w:rPr>
          <w:spacing w:val="-5"/>
        </w:rPr>
        <w:t xml:space="preserve"> </w:t>
      </w:r>
      <w:r>
        <w:t>the</w:t>
      </w:r>
      <w:r>
        <w:rPr>
          <w:spacing w:val="-5"/>
        </w:rPr>
        <w:t xml:space="preserve"> </w:t>
      </w:r>
      <w:r>
        <w:rPr>
          <w:i/>
        </w:rPr>
        <w:t>Competition</w:t>
      </w:r>
      <w:r>
        <w:rPr>
          <w:i/>
          <w:spacing w:val="-6"/>
        </w:rPr>
        <w:t xml:space="preserve"> </w:t>
      </w:r>
      <w:r>
        <w:rPr>
          <w:i/>
        </w:rPr>
        <w:t>and</w:t>
      </w:r>
      <w:r>
        <w:rPr>
          <w:i/>
          <w:spacing w:val="-7"/>
        </w:rPr>
        <w:t xml:space="preserve"> </w:t>
      </w:r>
      <w:r>
        <w:rPr>
          <w:i/>
        </w:rPr>
        <w:t>Consumer</w:t>
      </w:r>
      <w:r>
        <w:rPr>
          <w:i/>
          <w:spacing w:val="-7"/>
        </w:rPr>
        <w:t xml:space="preserve"> </w:t>
      </w:r>
      <w:r>
        <w:rPr>
          <w:i/>
        </w:rPr>
        <w:t>Act</w:t>
      </w:r>
      <w:r>
        <w:rPr>
          <w:i/>
          <w:spacing w:val="-5"/>
        </w:rPr>
        <w:t xml:space="preserve"> </w:t>
      </w:r>
      <w:r>
        <w:rPr>
          <w:i/>
        </w:rPr>
        <w:t>2010</w:t>
      </w:r>
      <w:r>
        <w:rPr>
          <w:i/>
          <w:spacing w:val="-2"/>
        </w:rPr>
        <w:t xml:space="preserve"> </w:t>
      </w:r>
      <w:r>
        <w:t>(Cth),</w:t>
      </w:r>
      <w:r>
        <w:rPr>
          <w:spacing w:val="-6"/>
        </w:rPr>
        <w:t xml:space="preserve"> </w:t>
      </w:r>
      <w:r>
        <w:t>and</w:t>
      </w:r>
      <w:r>
        <w:rPr>
          <w:spacing w:val="-6"/>
        </w:rPr>
        <w:t xml:space="preserve"> </w:t>
      </w:r>
      <w:r>
        <w:t>1044B(2)</w:t>
      </w:r>
      <w:r>
        <w:rPr>
          <w:spacing w:val="-5"/>
        </w:rPr>
        <w:t xml:space="preserve"> </w:t>
      </w:r>
      <w:r>
        <w:t>of</w:t>
      </w:r>
      <w:r>
        <w:rPr>
          <w:spacing w:val="-6"/>
        </w:rPr>
        <w:t xml:space="preserve"> </w:t>
      </w:r>
      <w:r>
        <w:t>the</w:t>
      </w:r>
      <w:r>
        <w:rPr>
          <w:spacing w:val="-5"/>
        </w:rPr>
        <w:t xml:space="preserve"> </w:t>
      </w:r>
      <w:r>
        <w:rPr>
          <w:i/>
        </w:rPr>
        <w:t>Corporations</w:t>
      </w:r>
      <w:r>
        <w:rPr>
          <w:i/>
          <w:spacing w:val="-7"/>
        </w:rPr>
        <w:t xml:space="preserve"> </w:t>
      </w:r>
      <w:r>
        <w:rPr>
          <w:i/>
        </w:rPr>
        <w:t xml:space="preserve">Act </w:t>
      </w:r>
      <w:r>
        <w:rPr>
          <w:i/>
          <w:w w:val="105"/>
        </w:rPr>
        <w:t>2001</w:t>
      </w:r>
      <w:r>
        <w:rPr>
          <w:i/>
          <w:spacing w:val="-16"/>
          <w:w w:val="105"/>
        </w:rPr>
        <w:t xml:space="preserve"> </w:t>
      </w:r>
      <w:r>
        <w:rPr>
          <w:w w:val="105"/>
        </w:rPr>
        <w:t>(Cth)</w:t>
      </w:r>
      <w:r>
        <w:rPr>
          <w:spacing w:val="-17"/>
          <w:w w:val="105"/>
        </w:rPr>
        <w:t xml:space="preserve"> </w:t>
      </w:r>
      <w:r>
        <w:rPr>
          <w:w w:val="105"/>
        </w:rPr>
        <w:t>provide</w:t>
      </w:r>
      <w:r>
        <w:rPr>
          <w:spacing w:val="-17"/>
          <w:w w:val="105"/>
        </w:rPr>
        <w:t xml:space="preserve"> </w:t>
      </w:r>
      <w:r>
        <w:rPr>
          <w:w w:val="105"/>
        </w:rPr>
        <w:t>for</w:t>
      </w:r>
      <w:r>
        <w:rPr>
          <w:spacing w:val="-17"/>
          <w:w w:val="105"/>
        </w:rPr>
        <w:t xml:space="preserve"> </w:t>
      </w:r>
      <w:r>
        <w:rPr>
          <w:w w:val="105"/>
        </w:rPr>
        <w:t>limited</w:t>
      </w:r>
      <w:r>
        <w:rPr>
          <w:spacing w:val="-16"/>
          <w:w w:val="105"/>
        </w:rPr>
        <w:t xml:space="preserve"> </w:t>
      </w:r>
      <w:r>
        <w:rPr>
          <w:w w:val="105"/>
        </w:rPr>
        <w:t>liability</w:t>
      </w:r>
      <w:r>
        <w:rPr>
          <w:spacing w:val="-17"/>
          <w:w w:val="105"/>
        </w:rPr>
        <w:t xml:space="preserve"> </w:t>
      </w:r>
      <w:r>
        <w:rPr>
          <w:w w:val="105"/>
        </w:rPr>
        <w:t>where</w:t>
      </w:r>
      <w:r>
        <w:rPr>
          <w:spacing w:val="-17"/>
          <w:w w:val="105"/>
        </w:rPr>
        <w:t xml:space="preserve"> </w:t>
      </w:r>
      <w:r>
        <w:rPr>
          <w:w w:val="105"/>
        </w:rPr>
        <w:t>a</w:t>
      </w:r>
      <w:r>
        <w:rPr>
          <w:spacing w:val="-12"/>
          <w:w w:val="105"/>
        </w:rPr>
        <w:t xml:space="preserve"> </w:t>
      </w:r>
      <w:r>
        <w:rPr>
          <w:w w:val="105"/>
        </w:rPr>
        <w:t>professional</w:t>
      </w:r>
      <w:r>
        <w:rPr>
          <w:spacing w:val="-17"/>
          <w:w w:val="105"/>
        </w:rPr>
        <w:t xml:space="preserve"> </w:t>
      </w:r>
      <w:r>
        <w:rPr>
          <w:w w:val="105"/>
        </w:rPr>
        <w:t>standards</w:t>
      </w:r>
      <w:r>
        <w:rPr>
          <w:spacing w:val="-18"/>
          <w:w w:val="105"/>
        </w:rPr>
        <w:t xml:space="preserve"> </w:t>
      </w:r>
      <w:r>
        <w:rPr>
          <w:w w:val="105"/>
        </w:rPr>
        <w:t>scheme</w:t>
      </w:r>
      <w:r>
        <w:rPr>
          <w:spacing w:val="-16"/>
          <w:w w:val="105"/>
        </w:rPr>
        <w:t xml:space="preserve"> </w:t>
      </w:r>
      <w:r>
        <w:rPr>
          <w:w w:val="105"/>
        </w:rPr>
        <w:t>is</w:t>
      </w:r>
      <w:r>
        <w:rPr>
          <w:spacing w:val="-17"/>
          <w:w w:val="105"/>
        </w:rPr>
        <w:t xml:space="preserve"> </w:t>
      </w:r>
      <w:r>
        <w:rPr>
          <w:w w:val="105"/>
        </w:rPr>
        <w:t xml:space="preserve">prescribed in the relevant regulation. The scheme does not apply to limit any liability under a Commonwealth law unless it has been prescribed under regulations by the </w:t>
      </w:r>
      <w:r>
        <w:rPr>
          <w:spacing w:val="-2"/>
          <w:w w:val="105"/>
        </w:rPr>
        <w:t>Commonwealth.</w:t>
      </w:r>
    </w:p>
    <w:p w14:paraId="107BE8EE" w14:textId="77777777" w:rsidR="008E1315" w:rsidRDefault="004D0CA3">
      <w:pPr>
        <w:pStyle w:val="Heading1"/>
        <w:spacing w:before="84"/>
      </w:pPr>
      <w:r>
        <w:rPr>
          <w:w w:val="105"/>
        </w:rPr>
        <w:lastRenderedPageBreak/>
        <w:t>The</w:t>
      </w:r>
      <w:r>
        <w:rPr>
          <w:spacing w:val="-9"/>
          <w:w w:val="105"/>
        </w:rPr>
        <w:t xml:space="preserve"> </w:t>
      </w:r>
      <w:r>
        <w:rPr>
          <w:w w:val="105"/>
        </w:rPr>
        <w:t>Western</w:t>
      </w:r>
      <w:r>
        <w:rPr>
          <w:spacing w:val="-11"/>
          <w:w w:val="105"/>
        </w:rPr>
        <w:t xml:space="preserve"> </w:t>
      </w:r>
      <w:r>
        <w:rPr>
          <w:w w:val="105"/>
        </w:rPr>
        <w:t>Australian</w:t>
      </w:r>
      <w:r>
        <w:rPr>
          <w:spacing w:val="-11"/>
          <w:w w:val="105"/>
        </w:rPr>
        <w:t xml:space="preserve"> </w:t>
      </w:r>
      <w:r>
        <w:rPr>
          <w:w w:val="105"/>
        </w:rPr>
        <w:t>Bar</w:t>
      </w:r>
      <w:r>
        <w:rPr>
          <w:spacing w:val="-10"/>
          <w:w w:val="105"/>
        </w:rPr>
        <w:t xml:space="preserve"> </w:t>
      </w:r>
      <w:r>
        <w:rPr>
          <w:w w:val="105"/>
        </w:rPr>
        <w:t>Association</w:t>
      </w:r>
      <w:r>
        <w:rPr>
          <w:spacing w:val="-8"/>
          <w:w w:val="105"/>
        </w:rPr>
        <w:t xml:space="preserve"> </w:t>
      </w:r>
      <w:r>
        <w:rPr>
          <w:w w:val="105"/>
        </w:rPr>
        <w:t>professional</w:t>
      </w:r>
      <w:r>
        <w:rPr>
          <w:spacing w:val="-9"/>
          <w:w w:val="105"/>
        </w:rPr>
        <w:t xml:space="preserve"> </w:t>
      </w:r>
      <w:r>
        <w:rPr>
          <w:w w:val="105"/>
        </w:rPr>
        <w:t>standards</w:t>
      </w:r>
      <w:r>
        <w:rPr>
          <w:spacing w:val="-8"/>
          <w:w w:val="105"/>
        </w:rPr>
        <w:t xml:space="preserve"> </w:t>
      </w:r>
      <w:r>
        <w:rPr>
          <w:spacing w:val="-2"/>
          <w:w w:val="105"/>
        </w:rPr>
        <w:t>scheme</w:t>
      </w:r>
    </w:p>
    <w:p w14:paraId="7CA3A3B0" w14:textId="77777777" w:rsidR="008E1315" w:rsidRDefault="004D0CA3">
      <w:pPr>
        <w:pStyle w:val="ListParagraph"/>
        <w:numPr>
          <w:ilvl w:val="1"/>
          <w:numId w:val="3"/>
        </w:numPr>
        <w:tabs>
          <w:tab w:val="left" w:pos="459"/>
        </w:tabs>
        <w:spacing w:before="244"/>
        <w:ind w:left="459" w:hanging="359"/>
        <w:jc w:val="both"/>
      </w:pPr>
      <w:r>
        <w:rPr>
          <w:w w:val="105"/>
        </w:rPr>
        <w:t>Occupational</w:t>
      </w:r>
      <w:r>
        <w:rPr>
          <w:spacing w:val="-4"/>
          <w:w w:val="105"/>
        </w:rPr>
        <w:t xml:space="preserve"> </w:t>
      </w:r>
      <w:r>
        <w:rPr>
          <w:spacing w:val="-2"/>
          <w:w w:val="105"/>
        </w:rPr>
        <w:t>association</w:t>
      </w:r>
    </w:p>
    <w:p w14:paraId="2CCB893E" w14:textId="77777777" w:rsidR="008E1315" w:rsidRDefault="004D0CA3">
      <w:pPr>
        <w:pStyle w:val="ListParagraph"/>
        <w:numPr>
          <w:ilvl w:val="2"/>
          <w:numId w:val="3"/>
        </w:numPr>
        <w:tabs>
          <w:tab w:val="left" w:pos="926"/>
          <w:tab w:val="left" w:pos="928"/>
        </w:tabs>
        <w:spacing w:line="244" w:lineRule="auto"/>
        <w:ind w:right="113"/>
        <w:jc w:val="both"/>
      </w:pPr>
      <w:r>
        <w:rPr>
          <w:w w:val="105"/>
        </w:rPr>
        <w:t>The Western Australian Bar Association Professional Standards Scheme (the scheme) is</w:t>
      </w:r>
      <w:r>
        <w:rPr>
          <w:spacing w:val="-4"/>
          <w:w w:val="105"/>
        </w:rPr>
        <w:t xml:space="preserve"> </w:t>
      </w:r>
      <w:r>
        <w:rPr>
          <w:w w:val="105"/>
        </w:rPr>
        <w:t>a</w:t>
      </w:r>
      <w:r>
        <w:rPr>
          <w:spacing w:val="-3"/>
          <w:w w:val="105"/>
        </w:rPr>
        <w:t xml:space="preserve"> </w:t>
      </w:r>
      <w:r>
        <w:rPr>
          <w:w w:val="105"/>
        </w:rPr>
        <w:t>scheme</w:t>
      </w:r>
      <w:r>
        <w:rPr>
          <w:spacing w:val="-4"/>
          <w:w w:val="105"/>
        </w:rPr>
        <w:t xml:space="preserve"> </w:t>
      </w:r>
      <w:r>
        <w:rPr>
          <w:w w:val="105"/>
        </w:rPr>
        <w:t>under</w:t>
      </w:r>
      <w:r>
        <w:rPr>
          <w:spacing w:val="-5"/>
          <w:w w:val="105"/>
        </w:rPr>
        <w:t xml:space="preserve"> </w:t>
      </w:r>
      <w:r>
        <w:rPr>
          <w:w w:val="105"/>
        </w:rPr>
        <w:t>the</w:t>
      </w:r>
      <w:r>
        <w:rPr>
          <w:spacing w:val="-3"/>
          <w:w w:val="105"/>
        </w:rPr>
        <w:t xml:space="preserve"> </w:t>
      </w:r>
      <w:r>
        <w:rPr>
          <w:w w:val="105"/>
        </w:rPr>
        <w:t>Professional</w:t>
      </w:r>
      <w:r>
        <w:rPr>
          <w:spacing w:val="-4"/>
          <w:w w:val="105"/>
        </w:rPr>
        <w:t xml:space="preserve"> </w:t>
      </w:r>
      <w:r>
        <w:rPr>
          <w:w w:val="105"/>
        </w:rPr>
        <w:t>Standards</w:t>
      </w:r>
      <w:r>
        <w:rPr>
          <w:spacing w:val="-6"/>
          <w:w w:val="105"/>
        </w:rPr>
        <w:t xml:space="preserve"> </w:t>
      </w:r>
      <w:r>
        <w:rPr>
          <w:w w:val="105"/>
        </w:rPr>
        <w:t>Act</w:t>
      </w:r>
      <w:r>
        <w:rPr>
          <w:spacing w:val="-4"/>
          <w:w w:val="105"/>
        </w:rPr>
        <w:t xml:space="preserve"> </w:t>
      </w:r>
      <w:r>
        <w:rPr>
          <w:w w:val="105"/>
        </w:rPr>
        <w:t>1997</w:t>
      </w:r>
      <w:r>
        <w:rPr>
          <w:spacing w:val="-4"/>
          <w:w w:val="105"/>
        </w:rPr>
        <w:t xml:space="preserve"> </w:t>
      </w:r>
      <w:r>
        <w:rPr>
          <w:w w:val="105"/>
        </w:rPr>
        <w:t>(WA)</w:t>
      </w:r>
      <w:r>
        <w:rPr>
          <w:spacing w:val="-2"/>
          <w:w w:val="105"/>
        </w:rPr>
        <w:t xml:space="preserve"> </w:t>
      </w:r>
      <w:r>
        <w:rPr>
          <w:w w:val="105"/>
        </w:rPr>
        <w:t>(the</w:t>
      </w:r>
      <w:r>
        <w:rPr>
          <w:spacing w:val="-4"/>
          <w:w w:val="105"/>
        </w:rPr>
        <w:t xml:space="preserve"> </w:t>
      </w:r>
      <w:r>
        <w:rPr>
          <w:w w:val="105"/>
        </w:rPr>
        <w:t>Act)</w:t>
      </w:r>
      <w:r>
        <w:rPr>
          <w:spacing w:val="-9"/>
          <w:w w:val="105"/>
        </w:rPr>
        <w:t xml:space="preserve"> </w:t>
      </w:r>
      <w:r>
        <w:rPr>
          <w:w w:val="105"/>
        </w:rPr>
        <w:t>prepared</w:t>
      </w:r>
      <w:r>
        <w:rPr>
          <w:spacing w:val="-3"/>
          <w:w w:val="105"/>
        </w:rPr>
        <w:t xml:space="preserve"> </w:t>
      </w:r>
      <w:r>
        <w:rPr>
          <w:w w:val="105"/>
        </w:rPr>
        <w:t>by</w:t>
      </w:r>
      <w:r>
        <w:rPr>
          <w:spacing w:val="-4"/>
          <w:w w:val="105"/>
        </w:rPr>
        <w:t xml:space="preserve"> </w:t>
      </w:r>
      <w:r>
        <w:rPr>
          <w:w w:val="105"/>
        </w:rPr>
        <w:t>the Association, whose business address is Level 16, Allendale Square, 77 St Georges Terrace, Perth, Western Australia.</w:t>
      </w:r>
    </w:p>
    <w:p w14:paraId="175CD9C8" w14:textId="77777777" w:rsidR="008E1315" w:rsidRDefault="004D0CA3">
      <w:pPr>
        <w:pStyle w:val="ListParagraph"/>
        <w:numPr>
          <w:ilvl w:val="1"/>
          <w:numId w:val="3"/>
        </w:numPr>
        <w:tabs>
          <w:tab w:val="left" w:pos="459"/>
        </w:tabs>
        <w:spacing w:before="237"/>
        <w:ind w:left="459" w:hanging="359"/>
        <w:jc w:val="both"/>
      </w:pPr>
      <w:r>
        <w:rPr>
          <w:w w:val="105"/>
        </w:rPr>
        <w:t>Persons</w:t>
      </w:r>
      <w:r>
        <w:rPr>
          <w:spacing w:val="4"/>
          <w:w w:val="105"/>
        </w:rPr>
        <w:t xml:space="preserve"> </w:t>
      </w:r>
      <w:r>
        <w:rPr>
          <w:w w:val="105"/>
        </w:rPr>
        <w:t>to</w:t>
      </w:r>
      <w:r>
        <w:rPr>
          <w:spacing w:val="8"/>
          <w:w w:val="105"/>
        </w:rPr>
        <w:t xml:space="preserve"> </w:t>
      </w:r>
      <w:r>
        <w:rPr>
          <w:w w:val="105"/>
        </w:rPr>
        <w:t>whom</w:t>
      </w:r>
      <w:r>
        <w:rPr>
          <w:spacing w:val="3"/>
          <w:w w:val="105"/>
        </w:rPr>
        <w:t xml:space="preserve"> </w:t>
      </w:r>
      <w:r>
        <w:rPr>
          <w:w w:val="105"/>
        </w:rPr>
        <w:t>the</w:t>
      </w:r>
      <w:r>
        <w:rPr>
          <w:spacing w:val="4"/>
          <w:w w:val="105"/>
        </w:rPr>
        <w:t xml:space="preserve"> </w:t>
      </w:r>
      <w:r>
        <w:rPr>
          <w:w w:val="105"/>
        </w:rPr>
        <w:t>scheme</w:t>
      </w:r>
      <w:r>
        <w:rPr>
          <w:spacing w:val="7"/>
          <w:w w:val="105"/>
        </w:rPr>
        <w:t xml:space="preserve"> </w:t>
      </w:r>
      <w:r>
        <w:rPr>
          <w:spacing w:val="-2"/>
          <w:w w:val="105"/>
        </w:rPr>
        <w:t>applies</w:t>
      </w:r>
    </w:p>
    <w:p w14:paraId="601B815B" w14:textId="77777777" w:rsidR="008E1315" w:rsidRDefault="004D0CA3">
      <w:pPr>
        <w:pStyle w:val="ListParagraph"/>
        <w:numPr>
          <w:ilvl w:val="2"/>
          <w:numId w:val="3"/>
        </w:numPr>
        <w:tabs>
          <w:tab w:val="left" w:pos="820"/>
        </w:tabs>
        <w:spacing w:before="244" w:line="242" w:lineRule="auto"/>
        <w:ind w:left="820" w:right="115" w:hanging="360"/>
        <w:jc w:val="both"/>
      </w:pPr>
      <w:r>
        <w:rPr>
          <w:w w:val="105"/>
        </w:rPr>
        <w:t xml:space="preserve">The scheme applies to all Members of the Association, </w:t>
      </w:r>
      <w:bookmarkStart w:id="5" w:name="_Hlk193270039"/>
      <w:r>
        <w:rPr>
          <w:w w:val="105"/>
        </w:rPr>
        <w:t>being those members who are based</w:t>
      </w:r>
      <w:r>
        <w:rPr>
          <w:spacing w:val="-3"/>
          <w:w w:val="105"/>
        </w:rPr>
        <w:t xml:space="preserve"> </w:t>
      </w:r>
      <w:r>
        <w:rPr>
          <w:w w:val="105"/>
        </w:rPr>
        <w:t>in</w:t>
      </w:r>
      <w:r>
        <w:rPr>
          <w:spacing w:val="-4"/>
          <w:w w:val="105"/>
        </w:rPr>
        <w:t xml:space="preserve"> </w:t>
      </w:r>
      <w:r>
        <w:rPr>
          <w:w w:val="105"/>
        </w:rPr>
        <w:t>and</w:t>
      </w:r>
      <w:r>
        <w:rPr>
          <w:spacing w:val="-3"/>
          <w:w w:val="105"/>
        </w:rPr>
        <w:t xml:space="preserve"> </w:t>
      </w:r>
      <w:r>
        <w:rPr>
          <w:w w:val="105"/>
        </w:rPr>
        <w:t>practice</w:t>
      </w:r>
      <w:r>
        <w:rPr>
          <w:spacing w:val="-4"/>
          <w:w w:val="105"/>
        </w:rPr>
        <w:t xml:space="preserve"> </w:t>
      </w:r>
      <w:r>
        <w:rPr>
          <w:w w:val="105"/>
        </w:rPr>
        <w:t>as</w:t>
      </w:r>
      <w:r>
        <w:rPr>
          <w:spacing w:val="-3"/>
          <w:w w:val="105"/>
        </w:rPr>
        <w:t xml:space="preserve"> </w:t>
      </w:r>
      <w:r>
        <w:rPr>
          <w:w w:val="105"/>
        </w:rPr>
        <w:t>independent</w:t>
      </w:r>
      <w:r>
        <w:rPr>
          <w:spacing w:val="-4"/>
          <w:w w:val="105"/>
        </w:rPr>
        <w:t xml:space="preserve"> </w:t>
      </w:r>
      <w:r>
        <w:rPr>
          <w:w w:val="105"/>
        </w:rPr>
        <w:t>barristers</w:t>
      </w:r>
      <w:r>
        <w:rPr>
          <w:spacing w:val="-3"/>
          <w:w w:val="105"/>
        </w:rPr>
        <w:t xml:space="preserve"> </w:t>
      </w:r>
      <w:r>
        <w:rPr>
          <w:w w:val="105"/>
        </w:rPr>
        <w:t>in</w:t>
      </w:r>
      <w:r>
        <w:rPr>
          <w:spacing w:val="-4"/>
          <w:w w:val="105"/>
        </w:rPr>
        <w:t xml:space="preserve"> </w:t>
      </w:r>
      <w:r>
        <w:rPr>
          <w:w w:val="105"/>
        </w:rPr>
        <w:t>Western</w:t>
      </w:r>
      <w:r>
        <w:rPr>
          <w:spacing w:val="-4"/>
          <w:w w:val="105"/>
        </w:rPr>
        <w:t xml:space="preserve"> </w:t>
      </w:r>
      <w:r>
        <w:rPr>
          <w:w w:val="105"/>
        </w:rPr>
        <w:t>Australia</w:t>
      </w:r>
      <w:r>
        <w:rPr>
          <w:spacing w:val="-3"/>
          <w:w w:val="105"/>
        </w:rPr>
        <w:t xml:space="preserve"> </w:t>
      </w:r>
      <w:bookmarkEnd w:id="5"/>
      <w:r>
        <w:rPr>
          <w:w w:val="105"/>
        </w:rPr>
        <w:t>as</w:t>
      </w:r>
      <w:r>
        <w:rPr>
          <w:spacing w:val="-3"/>
          <w:w w:val="105"/>
        </w:rPr>
        <w:t xml:space="preserve"> </w:t>
      </w:r>
      <w:r>
        <w:rPr>
          <w:w w:val="105"/>
        </w:rPr>
        <w:t>provided</w:t>
      </w:r>
      <w:r>
        <w:rPr>
          <w:spacing w:val="-3"/>
          <w:w w:val="105"/>
        </w:rPr>
        <w:t xml:space="preserve"> </w:t>
      </w:r>
      <w:r>
        <w:rPr>
          <w:w w:val="105"/>
        </w:rPr>
        <w:t>under clause 4 of the Association’s Constitution.</w:t>
      </w:r>
      <w:r>
        <w:rPr>
          <w:spacing w:val="40"/>
          <w:w w:val="105"/>
        </w:rPr>
        <w:t xml:space="preserve"> </w:t>
      </w:r>
      <w:r>
        <w:rPr>
          <w:w w:val="105"/>
        </w:rPr>
        <w:t>The scheme does not apply to-</w:t>
      </w:r>
    </w:p>
    <w:p w14:paraId="1A3E66A3" w14:textId="77777777" w:rsidR="008E1315" w:rsidRDefault="004D0CA3">
      <w:pPr>
        <w:pStyle w:val="ListParagraph"/>
        <w:numPr>
          <w:ilvl w:val="0"/>
          <w:numId w:val="1"/>
        </w:numPr>
        <w:tabs>
          <w:tab w:val="left" w:pos="1513"/>
        </w:tabs>
        <w:spacing w:before="0" w:line="254" w:lineRule="exact"/>
        <w:ind w:left="1513" w:hanging="525"/>
        <w:jc w:val="both"/>
      </w:pPr>
      <w:r>
        <w:rPr>
          <w:w w:val="105"/>
        </w:rPr>
        <w:t>Members</w:t>
      </w:r>
      <w:r>
        <w:rPr>
          <w:spacing w:val="-21"/>
          <w:w w:val="105"/>
        </w:rPr>
        <w:t xml:space="preserve"> </w:t>
      </w:r>
      <w:r>
        <w:rPr>
          <w:w w:val="105"/>
        </w:rPr>
        <w:t>to</w:t>
      </w:r>
      <w:r>
        <w:rPr>
          <w:spacing w:val="-20"/>
          <w:w w:val="105"/>
        </w:rPr>
        <w:t xml:space="preserve"> </w:t>
      </w:r>
      <w:r>
        <w:rPr>
          <w:w w:val="105"/>
        </w:rPr>
        <w:t>whom</w:t>
      </w:r>
      <w:r>
        <w:rPr>
          <w:spacing w:val="-21"/>
          <w:w w:val="105"/>
        </w:rPr>
        <w:t xml:space="preserve"> </w:t>
      </w:r>
      <w:r>
        <w:rPr>
          <w:w w:val="105"/>
        </w:rPr>
        <w:t>an</w:t>
      </w:r>
      <w:r>
        <w:rPr>
          <w:spacing w:val="-21"/>
          <w:w w:val="105"/>
        </w:rPr>
        <w:t xml:space="preserve"> </w:t>
      </w:r>
      <w:r>
        <w:rPr>
          <w:w w:val="105"/>
        </w:rPr>
        <w:t>exemption</w:t>
      </w:r>
      <w:r>
        <w:rPr>
          <w:spacing w:val="-22"/>
          <w:w w:val="105"/>
        </w:rPr>
        <w:t xml:space="preserve"> </w:t>
      </w:r>
      <w:r>
        <w:rPr>
          <w:w w:val="105"/>
        </w:rPr>
        <w:t>is</w:t>
      </w:r>
      <w:r>
        <w:rPr>
          <w:spacing w:val="-20"/>
          <w:w w:val="105"/>
        </w:rPr>
        <w:t xml:space="preserve"> </w:t>
      </w:r>
      <w:r>
        <w:rPr>
          <w:w w:val="105"/>
        </w:rPr>
        <w:t>granted</w:t>
      </w:r>
      <w:r>
        <w:rPr>
          <w:spacing w:val="-20"/>
          <w:w w:val="105"/>
        </w:rPr>
        <w:t xml:space="preserve"> </w:t>
      </w:r>
      <w:r>
        <w:rPr>
          <w:w w:val="105"/>
        </w:rPr>
        <w:t>by</w:t>
      </w:r>
      <w:r>
        <w:rPr>
          <w:spacing w:val="-18"/>
          <w:w w:val="105"/>
        </w:rPr>
        <w:t xml:space="preserve"> </w:t>
      </w:r>
      <w:r>
        <w:rPr>
          <w:w w:val="105"/>
        </w:rPr>
        <w:t>the</w:t>
      </w:r>
      <w:r>
        <w:rPr>
          <w:spacing w:val="-22"/>
          <w:w w:val="105"/>
        </w:rPr>
        <w:t xml:space="preserve"> </w:t>
      </w:r>
      <w:r>
        <w:rPr>
          <w:w w:val="105"/>
        </w:rPr>
        <w:t>Association’s</w:t>
      </w:r>
      <w:r>
        <w:rPr>
          <w:spacing w:val="-20"/>
          <w:w w:val="105"/>
        </w:rPr>
        <w:t xml:space="preserve"> </w:t>
      </w:r>
      <w:r>
        <w:rPr>
          <w:w w:val="105"/>
        </w:rPr>
        <w:t>Bar</w:t>
      </w:r>
      <w:r>
        <w:rPr>
          <w:spacing w:val="-22"/>
          <w:w w:val="105"/>
        </w:rPr>
        <w:t xml:space="preserve"> </w:t>
      </w:r>
      <w:r>
        <w:rPr>
          <w:w w:val="105"/>
        </w:rPr>
        <w:t>Council</w:t>
      </w:r>
      <w:r>
        <w:rPr>
          <w:spacing w:val="-21"/>
          <w:w w:val="105"/>
        </w:rPr>
        <w:t xml:space="preserve"> </w:t>
      </w:r>
      <w:r>
        <w:rPr>
          <w:spacing w:val="-4"/>
          <w:w w:val="105"/>
        </w:rPr>
        <w:t>under</w:t>
      </w:r>
    </w:p>
    <w:p w14:paraId="66F4483D" w14:textId="77777777" w:rsidR="008E1315" w:rsidRDefault="004D0CA3">
      <w:pPr>
        <w:pStyle w:val="BodyText"/>
        <w:spacing w:before="4"/>
        <w:ind w:left="1516" w:firstLine="0"/>
      </w:pPr>
      <w:r>
        <w:rPr>
          <w:w w:val="90"/>
        </w:rPr>
        <w:t>cl.</w:t>
      </w:r>
      <w:r>
        <w:rPr>
          <w:spacing w:val="-5"/>
          <w:w w:val="90"/>
        </w:rPr>
        <w:t xml:space="preserve"> </w:t>
      </w:r>
      <w:r>
        <w:rPr>
          <w:spacing w:val="-4"/>
          <w:w w:val="95"/>
        </w:rPr>
        <w:t>2.2;</w:t>
      </w:r>
    </w:p>
    <w:p w14:paraId="448441DF" w14:textId="77777777" w:rsidR="008E1315" w:rsidRDefault="004D0CA3">
      <w:pPr>
        <w:pStyle w:val="ListParagraph"/>
        <w:numPr>
          <w:ilvl w:val="0"/>
          <w:numId w:val="1"/>
        </w:numPr>
        <w:tabs>
          <w:tab w:val="left" w:pos="1515"/>
        </w:tabs>
        <w:spacing w:before="4"/>
        <w:ind w:left="1515" w:hanging="541"/>
        <w:jc w:val="both"/>
      </w:pPr>
      <w:r>
        <w:t>Interstate</w:t>
      </w:r>
      <w:r>
        <w:rPr>
          <w:spacing w:val="23"/>
        </w:rPr>
        <w:t xml:space="preserve"> </w:t>
      </w:r>
      <w:r>
        <w:t>Members;</w:t>
      </w:r>
      <w:r>
        <w:rPr>
          <w:spacing w:val="24"/>
        </w:rPr>
        <w:t xml:space="preserve"> </w:t>
      </w:r>
      <w:r>
        <w:rPr>
          <w:spacing w:val="-5"/>
        </w:rPr>
        <w:t>and</w:t>
      </w:r>
    </w:p>
    <w:p w14:paraId="20DFEF91" w14:textId="77777777" w:rsidR="008E1315" w:rsidRDefault="004D0CA3">
      <w:pPr>
        <w:pStyle w:val="ListParagraph"/>
        <w:numPr>
          <w:ilvl w:val="0"/>
          <w:numId w:val="1"/>
        </w:numPr>
        <w:tabs>
          <w:tab w:val="left" w:pos="1513"/>
        </w:tabs>
        <w:spacing w:before="2"/>
        <w:ind w:left="1513" w:hanging="525"/>
        <w:jc w:val="both"/>
      </w:pPr>
      <w:r>
        <w:t>Honorary,</w:t>
      </w:r>
      <w:r>
        <w:rPr>
          <w:spacing w:val="4"/>
        </w:rPr>
        <w:t xml:space="preserve"> </w:t>
      </w:r>
      <w:r>
        <w:t>Judicial,</w:t>
      </w:r>
      <w:r>
        <w:rPr>
          <w:spacing w:val="4"/>
        </w:rPr>
        <w:t xml:space="preserve"> </w:t>
      </w:r>
      <w:r>
        <w:t>Magistrate</w:t>
      </w:r>
      <w:r>
        <w:rPr>
          <w:spacing w:val="4"/>
        </w:rPr>
        <w:t xml:space="preserve"> </w:t>
      </w:r>
      <w:r>
        <w:t>or</w:t>
      </w:r>
      <w:r>
        <w:rPr>
          <w:spacing w:val="5"/>
        </w:rPr>
        <w:t xml:space="preserve"> </w:t>
      </w:r>
      <w:r>
        <w:t>Ex</w:t>
      </w:r>
      <w:r>
        <w:rPr>
          <w:spacing w:val="4"/>
        </w:rPr>
        <w:t xml:space="preserve"> </w:t>
      </w:r>
      <w:r>
        <w:t>Officio</w:t>
      </w:r>
      <w:r>
        <w:rPr>
          <w:spacing w:val="4"/>
        </w:rPr>
        <w:t xml:space="preserve"> </w:t>
      </w:r>
      <w:r>
        <w:rPr>
          <w:spacing w:val="-2"/>
        </w:rPr>
        <w:t>Members.</w:t>
      </w:r>
    </w:p>
    <w:p w14:paraId="49F64233" w14:textId="77777777" w:rsidR="008E1315" w:rsidRDefault="004D0CA3">
      <w:pPr>
        <w:pStyle w:val="ListParagraph"/>
        <w:numPr>
          <w:ilvl w:val="2"/>
          <w:numId w:val="3"/>
        </w:numPr>
        <w:tabs>
          <w:tab w:val="left" w:pos="957"/>
        </w:tabs>
        <w:spacing w:line="244" w:lineRule="auto"/>
        <w:ind w:left="957" w:right="117"/>
        <w:jc w:val="both"/>
      </w:pPr>
      <w:r>
        <w:t>A person referred to in clause 2.1 may, on application, be exempted from participation</w:t>
      </w:r>
      <w:r>
        <w:rPr>
          <w:spacing w:val="40"/>
        </w:rPr>
        <w:t xml:space="preserve"> </w:t>
      </w:r>
      <w:r>
        <w:t>in the scheme by the Association with effect from the date specified by the Association on or after the date on which the exemption is granted.</w:t>
      </w:r>
    </w:p>
    <w:p w14:paraId="07568508" w14:textId="77777777" w:rsidR="008E1315" w:rsidRDefault="004D0CA3">
      <w:pPr>
        <w:pStyle w:val="ListParagraph"/>
        <w:numPr>
          <w:ilvl w:val="2"/>
          <w:numId w:val="3"/>
        </w:numPr>
        <w:tabs>
          <w:tab w:val="left" w:pos="928"/>
        </w:tabs>
        <w:spacing w:before="119" w:line="244" w:lineRule="auto"/>
        <w:ind w:right="118"/>
        <w:jc w:val="both"/>
      </w:pPr>
      <w:r>
        <w:t>The</w:t>
      </w:r>
      <w:r>
        <w:rPr>
          <w:spacing w:val="40"/>
        </w:rPr>
        <w:t xml:space="preserve"> </w:t>
      </w:r>
      <w:r>
        <w:t>Association</w:t>
      </w:r>
      <w:r>
        <w:rPr>
          <w:spacing w:val="40"/>
        </w:rPr>
        <w:t xml:space="preserve"> </w:t>
      </w:r>
      <w:r>
        <w:t>may,</w:t>
      </w:r>
      <w:r>
        <w:rPr>
          <w:spacing w:val="40"/>
        </w:rPr>
        <w:t xml:space="preserve"> </w:t>
      </w:r>
      <w:r>
        <w:t>upon</w:t>
      </w:r>
      <w:r>
        <w:rPr>
          <w:spacing w:val="40"/>
        </w:rPr>
        <w:t xml:space="preserve"> </w:t>
      </w:r>
      <w:r>
        <w:t>application</w:t>
      </w:r>
      <w:r>
        <w:rPr>
          <w:spacing w:val="40"/>
        </w:rPr>
        <w:t xml:space="preserve"> </w:t>
      </w:r>
      <w:r>
        <w:t>by</w:t>
      </w:r>
      <w:r>
        <w:rPr>
          <w:spacing w:val="40"/>
        </w:rPr>
        <w:t xml:space="preserve"> </w:t>
      </w:r>
      <w:r>
        <w:t>a</w:t>
      </w:r>
      <w:r>
        <w:rPr>
          <w:spacing w:val="40"/>
        </w:rPr>
        <w:t xml:space="preserve"> </w:t>
      </w:r>
      <w:r>
        <w:t>Member,</w:t>
      </w:r>
      <w:r>
        <w:rPr>
          <w:spacing w:val="40"/>
        </w:rPr>
        <w:t xml:space="preserve"> </w:t>
      </w:r>
      <w:r>
        <w:t>revoke</w:t>
      </w:r>
      <w:r>
        <w:rPr>
          <w:spacing w:val="40"/>
        </w:rPr>
        <w:t xml:space="preserve"> </w:t>
      </w:r>
      <w:r>
        <w:t>an</w:t>
      </w:r>
      <w:r>
        <w:rPr>
          <w:spacing w:val="40"/>
        </w:rPr>
        <w:t xml:space="preserve"> </w:t>
      </w:r>
      <w:r>
        <w:t>exemption</w:t>
      </w:r>
      <w:r>
        <w:rPr>
          <w:spacing w:val="40"/>
        </w:rPr>
        <w:t xml:space="preserve"> </w:t>
      </w:r>
      <w:r>
        <w:t>of</w:t>
      </w:r>
      <w:r>
        <w:rPr>
          <w:spacing w:val="40"/>
        </w:rPr>
        <w:t xml:space="preserve"> </w:t>
      </w:r>
      <w:r>
        <w:t>that person from participation in the scheme with effect from a date specified by it.</w:t>
      </w:r>
    </w:p>
    <w:p w14:paraId="1D3A49F7" w14:textId="77777777" w:rsidR="008E1315" w:rsidRDefault="004D0CA3">
      <w:pPr>
        <w:pStyle w:val="ListParagraph"/>
        <w:numPr>
          <w:ilvl w:val="2"/>
          <w:numId w:val="3"/>
        </w:numPr>
        <w:tabs>
          <w:tab w:val="left" w:pos="928"/>
        </w:tabs>
        <w:spacing w:before="119" w:line="242" w:lineRule="auto"/>
        <w:ind w:right="119"/>
        <w:jc w:val="both"/>
      </w:pPr>
      <w:r>
        <w:rPr>
          <w:w w:val="105"/>
        </w:rPr>
        <w:t>This scheme also applies to all persons to whom the scheme applied under clause 2.1 at</w:t>
      </w:r>
      <w:r>
        <w:rPr>
          <w:spacing w:val="-13"/>
          <w:w w:val="105"/>
        </w:rPr>
        <w:t xml:space="preserve"> </w:t>
      </w:r>
      <w:r>
        <w:rPr>
          <w:w w:val="105"/>
        </w:rPr>
        <w:t>the</w:t>
      </w:r>
      <w:r>
        <w:rPr>
          <w:spacing w:val="-13"/>
          <w:w w:val="105"/>
        </w:rPr>
        <w:t xml:space="preserve"> </w:t>
      </w:r>
      <w:r>
        <w:rPr>
          <w:w w:val="105"/>
        </w:rPr>
        <w:t>time</w:t>
      </w:r>
      <w:r>
        <w:rPr>
          <w:spacing w:val="-13"/>
          <w:w w:val="105"/>
        </w:rPr>
        <w:t xml:space="preserve"> </w:t>
      </w:r>
      <w:r>
        <w:rPr>
          <w:w w:val="105"/>
        </w:rPr>
        <w:t>of</w:t>
      </w:r>
      <w:r>
        <w:rPr>
          <w:spacing w:val="-11"/>
          <w:w w:val="105"/>
        </w:rPr>
        <w:t xml:space="preserve"> </w:t>
      </w:r>
      <w:r>
        <w:rPr>
          <w:w w:val="105"/>
        </w:rPr>
        <w:t>any</w:t>
      </w:r>
      <w:r>
        <w:rPr>
          <w:spacing w:val="-13"/>
          <w:w w:val="105"/>
        </w:rPr>
        <w:t xml:space="preserve"> </w:t>
      </w:r>
      <w:r>
        <w:rPr>
          <w:w w:val="105"/>
        </w:rPr>
        <w:t>act</w:t>
      </w:r>
      <w:r>
        <w:rPr>
          <w:spacing w:val="-13"/>
          <w:w w:val="105"/>
        </w:rPr>
        <w:t xml:space="preserve"> </w:t>
      </w:r>
      <w:r>
        <w:rPr>
          <w:w w:val="105"/>
        </w:rPr>
        <w:t>or</w:t>
      </w:r>
      <w:r>
        <w:rPr>
          <w:spacing w:val="-11"/>
          <w:w w:val="105"/>
        </w:rPr>
        <w:t xml:space="preserve"> </w:t>
      </w:r>
      <w:r>
        <w:rPr>
          <w:w w:val="105"/>
        </w:rPr>
        <w:t>omission,</w:t>
      </w:r>
      <w:r>
        <w:rPr>
          <w:spacing w:val="-13"/>
          <w:w w:val="105"/>
        </w:rPr>
        <w:t xml:space="preserve"> </w:t>
      </w:r>
      <w:r>
        <w:rPr>
          <w:w w:val="105"/>
        </w:rPr>
        <w:t>giving</w:t>
      </w:r>
      <w:r>
        <w:rPr>
          <w:spacing w:val="-13"/>
          <w:w w:val="105"/>
        </w:rPr>
        <w:t xml:space="preserve"> </w:t>
      </w:r>
      <w:r>
        <w:rPr>
          <w:w w:val="105"/>
        </w:rPr>
        <w:t>rise</w:t>
      </w:r>
      <w:r>
        <w:rPr>
          <w:spacing w:val="-13"/>
          <w:w w:val="105"/>
        </w:rPr>
        <w:t xml:space="preserve"> </w:t>
      </w:r>
      <w:r>
        <w:rPr>
          <w:w w:val="105"/>
        </w:rPr>
        <w:t>to</w:t>
      </w:r>
      <w:r>
        <w:rPr>
          <w:spacing w:val="-11"/>
          <w:w w:val="105"/>
        </w:rPr>
        <w:t xml:space="preserve"> </w:t>
      </w:r>
      <w:r>
        <w:rPr>
          <w:w w:val="105"/>
        </w:rPr>
        <w:t>occupational</w:t>
      </w:r>
      <w:r>
        <w:rPr>
          <w:spacing w:val="-13"/>
          <w:w w:val="105"/>
        </w:rPr>
        <w:t xml:space="preserve"> </w:t>
      </w:r>
      <w:r>
        <w:rPr>
          <w:w w:val="105"/>
        </w:rPr>
        <w:t>liability.</w:t>
      </w:r>
    </w:p>
    <w:p w14:paraId="60345C33" w14:textId="77777777" w:rsidR="008E1315" w:rsidRDefault="004D0CA3">
      <w:pPr>
        <w:pStyle w:val="ListParagraph"/>
        <w:numPr>
          <w:ilvl w:val="1"/>
          <w:numId w:val="3"/>
        </w:numPr>
        <w:tabs>
          <w:tab w:val="left" w:pos="459"/>
        </w:tabs>
        <w:spacing w:before="243"/>
        <w:ind w:left="459" w:hanging="359"/>
        <w:jc w:val="both"/>
      </w:pPr>
      <w:r>
        <w:rPr>
          <w:spacing w:val="-2"/>
        </w:rPr>
        <w:t>Jurisdiction</w:t>
      </w:r>
    </w:p>
    <w:p w14:paraId="53C1F7B4" w14:textId="77777777" w:rsidR="008E1315" w:rsidRDefault="004D0CA3">
      <w:pPr>
        <w:pStyle w:val="ListParagraph"/>
        <w:numPr>
          <w:ilvl w:val="2"/>
          <w:numId w:val="3"/>
        </w:numPr>
        <w:tabs>
          <w:tab w:val="left" w:pos="926"/>
        </w:tabs>
        <w:spacing w:before="124"/>
        <w:ind w:left="926" w:hanging="430"/>
        <w:jc w:val="both"/>
      </w:pPr>
      <w:r>
        <w:rPr>
          <w:w w:val="105"/>
        </w:rPr>
        <w:t>The scheme</w:t>
      </w:r>
      <w:r>
        <w:rPr>
          <w:spacing w:val="1"/>
          <w:w w:val="105"/>
        </w:rPr>
        <w:t xml:space="preserve"> </w:t>
      </w:r>
      <w:r>
        <w:rPr>
          <w:w w:val="105"/>
        </w:rPr>
        <w:t>applies</w:t>
      </w:r>
      <w:r>
        <w:rPr>
          <w:spacing w:val="2"/>
          <w:w w:val="105"/>
        </w:rPr>
        <w:t xml:space="preserve"> </w:t>
      </w:r>
      <w:r>
        <w:rPr>
          <w:w w:val="105"/>
        </w:rPr>
        <w:t>in Western</w:t>
      </w:r>
      <w:r>
        <w:rPr>
          <w:spacing w:val="1"/>
          <w:w w:val="105"/>
        </w:rPr>
        <w:t xml:space="preserve"> </w:t>
      </w:r>
      <w:r>
        <w:rPr>
          <w:spacing w:val="-2"/>
          <w:w w:val="105"/>
        </w:rPr>
        <w:t>Australia.</w:t>
      </w:r>
    </w:p>
    <w:p w14:paraId="534892CD" w14:textId="77777777" w:rsidR="008E1315" w:rsidRDefault="004D0CA3">
      <w:pPr>
        <w:pStyle w:val="ListParagraph"/>
        <w:numPr>
          <w:ilvl w:val="2"/>
          <w:numId w:val="3"/>
        </w:numPr>
        <w:tabs>
          <w:tab w:val="left" w:pos="926"/>
          <w:tab w:val="left" w:pos="928"/>
        </w:tabs>
        <w:spacing w:before="126" w:line="244" w:lineRule="auto"/>
        <w:ind w:right="115"/>
        <w:jc w:val="both"/>
      </w:pPr>
      <w:r>
        <w:t xml:space="preserve">In addition to Western Australia, the scheme is intended to operate in New South Wales, </w:t>
      </w:r>
      <w:r>
        <w:rPr>
          <w:w w:val="105"/>
        </w:rPr>
        <w:t xml:space="preserve">Victoria, Queensland, South Australia, the Australian Capital Territory, the Northern Territory and Tasmania in accordance with the Professional Standards Legislation of those states and territories and subject to the requirements of that legislation (“the </w:t>
      </w:r>
      <w:r>
        <w:t xml:space="preserve">corresponding laws”), so that references to a provision of the Act, the application of the </w:t>
      </w:r>
      <w:r>
        <w:rPr>
          <w:w w:val="105"/>
        </w:rPr>
        <w:t>scheme to a liability, the limit of a liability under the Act, or what constitutes occupational liability, are intended to pick up the relevant provisions of the corresponding laws, applied mutatis mutandis, to the extent that is necessary for</w:t>
      </w:r>
      <w:r>
        <w:rPr>
          <w:spacing w:val="-1"/>
          <w:w w:val="105"/>
        </w:rPr>
        <w:t xml:space="preserve"> </w:t>
      </w:r>
      <w:r>
        <w:rPr>
          <w:w w:val="105"/>
        </w:rPr>
        <w:t>the application</w:t>
      </w:r>
      <w:r>
        <w:rPr>
          <w:spacing w:val="-2"/>
          <w:w w:val="105"/>
        </w:rPr>
        <w:t xml:space="preserve"> </w:t>
      </w:r>
      <w:r>
        <w:rPr>
          <w:w w:val="105"/>
        </w:rPr>
        <w:t>of the</w:t>
      </w:r>
      <w:r>
        <w:rPr>
          <w:spacing w:val="-2"/>
          <w:w w:val="105"/>
        </w:rPr>
        <w:t xml:space="preserve"> </w:t>
      </w:r>
      <w:r>
        <w:rPr>
          <w:w w:val="105"/>
        </w:rPr>
        <w:t>scheme</w:t>
      </w:r>
      <w:r>
        <w:rPr>
          <w:spacing w:val="-2"/>
          <w:w w:val="105"/>
        </w:rPr>
        <w:t xml:space="preserve"> </w:t>
      </w:r>
      <w:r>
        <w:rPr>
          <w:w w:val="105"/>
        </w:rPr>
        <w:t>in</w:t>
      </w:r>
      <w:r>
        <w:rPr>
          <w:spacing w:val="-2"/>
          <w:w w:val="105"/>
        </w:rPr>
        <w:t xml:space="preserve"> </w:t>
      </w:r>
      <w:r>
        <w:rPr>
          <w:w w:val="105"/>
        </w:rPr>
        <w:t>any</w:t>
      </w:r>
      <w:r>
        <w:rPr>
          <w:spacing w:val="-2"/>
          <w:w w:val="105"/>
        </w:rPr>
        <w:t xml:space="preserve"> </w:t>
      </w:r>
      <w:r>
        <w:rPr>
          <w:w w:val="105"/>
        </w:rPr>
        <w:t>of those</w:t>
      </w:r>
      <w:r>
        <w:rPr>
          <w:spacing w:val="-2"/>
          <w:w w:val="105"/>
        </w:rPr>
        <w:t xml:space="preserve"> </w:t>
      </w:r>
      <w:r>
        <w:rPr>
          <w:w w:val="105"/>
        </w:rPr>
        <w:t>jurisdictions.</w:t>
      </w:r>
    </w:p>
    <w:p w14:paraId="22349738" w14:textId="77777777" w:rsidR="008E1315" w:rsidRDefault="004D0CA3">
      <w:pPr>
        <w:pStyle w:val="ListParagraph"/>
        <w:numPr>
          <w:ilvl w:val="1"/>
          <w:numId w:val="3"/>
        </w:numPr>
        <w:tabs>
          <w:tab w:val="left" w:pos="459"/>
        </w:tabs>
        <w:spacing w:before="233"/>
        <w:ind w:left="459" w:hanging="359"/>
        <w:jc w:val="both"/>
      </w:pPr>
      <w:r>
        <w:t>Limitation</w:t>
      </w:r>
      <w:r>
        <w:rPr>
          <w:spacing w:val="-3"/>
        </w:rPr>
        <w:t xml:space="preserve"> </w:t>
      </w:r>
      <w:r>
        <w:t xml:space="preserve">of </w:t>
      </w:r>
      <w:r>
        <w:rPr>
          <w:spacing w:val="-2"/>
        </w:rPr>
        <w:t>liability</w:t>
      </w:r>
    </w:p>
    <w:p w14:paraId="569A0387" w14:textId="77777777" w:rsidR="008E1315" w:rsidRDefault="004D0CA3">
      <w:pPr>
        <w:pStyle w:val="ListParagraph"/>
        <w:numPr>
          <w:ilvl w:val="2"/>
          <w:numId w:val="3"/>
        </w:numPr>
        <w:tabs>
          <w:tab w:val="left" w:pos="926"/>
          <w:tab w:val="left" w:pos="928"/>
        </w:tabs>
        <w:spacing w:line="242" w:lineRule="auto"/>
        <w:ind w:right="117"/>
        <w:jc w:val="both"/>
      </w:pPr>
      <w:r>
        <w:rPr>
          <w:w w:val="105"/>
        </w:rPr>
        <w:t>This</w:t>
      </w:r>
      <w:r>
        <w:rPr>
          <w:spacing w:val="-6"/>
          <w:w w:val="105"/>
        </w:rPr>
        <w:t xml:space="preserve"> </w:t>
      </w:r>
      <w:r>
        <w:rPr>
          <w:w w:val="105"/>
        </w:rPr>
        <w:t>scheme</w:t>
      </w:r>
      <w:r>
        <w:rPr>
          <w:spacing w:val="-7"/>
          <w:w w:val="105"/>
        </w:rPr>
        <w:t xml:space="preserve"> </w:t>
      </w:r>
      <w:r>
        <w:rPr>
          <w:w w:val="105"/>
        </w:rPr>
        <w:t>only</w:t>
      </w:r>
      <w:r>
        <w:rPr>
          <w:spacing w:val="-6"/>
          <w:w w:val="105"/>
        </w:rPr>
        <w:t xml:space="preserve"> </w:t>
      </w:r>
      <w:r>
        <w:rPr>
          <w:w w:val="105"/>
        </w:rPr>
        <w:t>affects</w:t>
      </w:r>
      <w:r>
        <w:rPr>
          <w:spacing w:val="-6"/>
          <w:w w:val="105"/>
        </w:rPr>
        <w:t xml:space="preserve"> </w:t>
      </w:r>
      <w:r>
        <w:rPr>
          <w:w w:val="105"/>
        </w:rPr>
        <w:t>the</w:t>
      </w:r>
      <w:r>
        <w:rPr>
          <w:spacing w:val="-7"/>
          <w:w w:val="105"/>
        </w:rPr>
        <w:t xml:space="preserve"> </w:t>
      </w:r>
      <w:r>
        <w:rPr>
          <w:w w:val="105"/>
        </w:rPr>
        <w:t>liability</w:t>
      </w:r>
      <w:r>
        <w:rPr>
          <w:spacing w:val="-6"/>
          <w:w w:val="105"/>
        </w:rPr>
        <w:t xml:space="preserve"> </w:t>
      </w:r>
      <w:r>
        <w:rPr>
          <w:w w:val="105"/>
        </w:rPr>
        <w:t>for</w:t>
      </w:r>
      <w:r>
        <w:rPr>
          <w:spacing w:val="-7"/>
          <w:w w:val="105"/>
        </w:rPr>
        <w:t xml:space="preserve"> </w:t>
      </w:r>
      <w:r>
        <w:rPr>
          <w:w w:val="105"/>
        </w:rPr>
        <w:t>damages</w:t>
      </w:r>
      <w:r>
        <w:rPr>
          <w:spacing w:val="-6"/>
          <w:w w:val="105"/>
        </w:rPr>
        <w:t xml:space="preserve"> </w:t>
      </w:r>
      <w:r>
        <w:rPr>
          <w:w w:val="105"/>
        </w:rPr>
        <w:t>arising</w:t>
      </w:r>
      <w:r>
        <w:rPr>
          <w:spacing w:val="-7"/>
          <w:w w:val="105"/>
        </w:rPr>
        <w:t xml:space="preserve"> </w:t>
      </w:r>
      <w:r>
        <w:rPr>
          <w:w w:val="105"/>
        </w:rPr>
        <w:t>from</w:t>
      </w:r>
      <w:r>
        <w:rPr>
          <w:spacing w:val="-6"/>
          <w:w w:val="105"/>
        </w:rPr>
        <w:t xml:space="preserve"> </w:t>
      </w:r>
      <w:r>
        <w:rPr>
          <w:w w:val="105"/>
        </w:rPr>
        <w:t>a</w:t>
      </w:r>
      <w:r>
        <w:rPr>
          <w:spacing w:val="-6"/>
          <w:w w:val="105"/>
        </w:rPr>
        <w:t xml:space="preserve"> </w:t>
      </w:r>
      <w:r>
        <w:rPr>
          <w:w w:val="105"/>
        </w:rPr>
        <w:t>single</w:t>
      </w:r>
      <w:r>
        <w:rPr>
          <w:spacing w:val="-7"/>
          <w:w w:val="105"/>
        </w:rPr>
        <w:t xml:space="preserve"> </w:t>
      </w:r>
      <w:r>
        <w:rPr>
          <w:w w:val="105"/>
        </w:rPr>
        <w:t>cause</w:t>
      </w:r>
      <w:r>
        <w:rPr>
          <w:spacing w:val="-7"/>
          <w:w w:val="105"/>
        </w:rPr>
        <w:t xml:space="preserve"> </w:t>
      </w:r>
      <w:r>
        <w:rPr>
          <w:w w:val="105"/>
        </w:rPr>
        <w:t>of</w:t>
      </w:r>
      <w:r>
        <w:rPr>
          <w:spacing w:val="-5"/>
          <w:w w:val="105"/>
        </w:rPr>
        <w:t xml:space="preserve"> </w:t>
      </w:r>
      <w:r>
        <w:rPr>
          <w:w w:val="105"/>
        </w:rPr>
        <w:t>action to</w:t>
      </w:r>
      <w:r>
        <w:rPr>
          <w:spacing w:val="-2"/>
          <w:w w:val="105"/>
        </w:rPr>
        <w:t xml:space="preserve"> </w:t>
      </w:r>
      <w:r>
        <w:rPr>
          <w:w w:val="105"/>
        </w:rPr>
        <w:t>the</w:t>
      </w:r>
      <w:r>
        <w:rPr>
          <w:spacing w:val="-2"/>
          <w:w w:val="105"/>
        </w:rPr>
        <w:t xml:space="preserve"> </w:t>
      </w:r>
      <w:r>
        <w:rPr>
          <w:w w:val="105"/>
        </w:rPr>
        <w:t>extent to</w:t>
      </w:r>
      <w:r>
        <w:rPr>
          <w:spacing w:val="-2"/>
          <w:w w:val="105"/>
        </w:rPr>
        <w:t xml:space="preserve"> </w:t>
      </w:r>
      <w:r>
        <w:rPr>
          <w:w w:val="105"/>
        </w:rPr>
        <w:t>which</w:t>
      </w:r>
      <w:r>
        <w:rPr>
          <w:spacing w:val="-2"/>
          <w:w w:val="105"/>
        </w:rPr>
        <w:t xml:space="preserve"> </w:t>
      </w:r>
      <w:r>
        <w:rPr>
          <w:w w:val="105"/>
        </w:rPr>
        <w:t>the</w:t>
      </w:r>
      <w:r>
        <w:rPr>
          <w:spacing w:val="-2"/>
          <w:w w:val="105"/>
        </w:rPr>
        <w:t xml:space="preserve"> </w:t>
      </w:r>
      <w:r>
        <w:rPr>
          <w:w w:val="105"/>
        </w:rPr>
        <w:t>liability results</w:t>
      </w:r>
      <w:r>
        <w:rPr>
          <w:spacing w:val="-1"/>
          <w:w w:val="105"/>
        </w:rPr>
        <w:t xml:space="preserve"> </w:t>
      </w:r>
      <w:r>
        <w:rPr>
          <w:w w:val="105"/>
        </w:rPr>
        <w:t>in damages</w:t>
      </w:r>
      <w:r>
        <w:rPr>
          <w:spacing w:val="-1"/>
          <w:w w:val="105"/>
        </w:rPr>
        <w:t xml:space="preserve"> </w:t>
      </w:r>
      <w:r>
        <w:rPr>
          <w:w w:val="105"/>
        </w:rPr>
        <w:t>exceeding</w:t>
      </w:r>
      <w:r>
        <w:rPr>
          <w:spacing w:val="-1"/>
          <w:w w:val="105"/>
        </w:rPr>
        <w:t xml:space="preserve"> </w:t>
      </w:r>
      <w:r>
        <w:rPr>
          <w:w w:val="105"/>
        </w:rPr>
        <w:t>$500,000.</w:t>
      </w:r>
    </w:p>
    <w:p w14:paraId="6D86371E" w14:textId="77777777" w:rsidR="008E1315" w:rsidRDefault="004D0CA3">
      <w:pPr>
        <w:pStyle w:val="ListParagraph"/>
        <w:numPr>
          <w:ilvl w:val="2"/>
          <w:numId w:val="3"/>
        </w:numPr>
        <w:tabs>
          <w:tab w:val="left" w:pos="926"/>
          <w:tab w:val="left" w:pos="928"/>
        </w:tabs>
        <w:spacing w:before="125" w:line="244" w:lineRule="auto"/>
        <w:ind w:right="115"/>
        <w:jc w:val="both"/>
      </w:pPr>
      <w:r>
        <w:rPr>
          <w:w w:val="105"/>
        </w:rPr>
        <w:t>If</w:t>
      </w:r>
      <w:r>
        <w:rPr>
          <w:spacing w:val="-11"/>
          <w:w w:val="105"/>
        </w:rPr>
        <w:t xml:space="preserve"> </w:t>
      </w:r>
      <w:r>
        <w:rPr>
          <w:w w:val="105"/>
        </w:rPr>
        <w:t>a</w:t>
      </w:r>
      <w:r>
        <w:rPr>
          <w:spacing w:val="-12"/>
          <w:w w:val="105"/>
        </w:rPr>
        <w:t xml:space="preserve"> </w:t>
      </w:r>
      <w:r>
        <w:rPr>
          <w:w w:val="105"/>
        </w:rPr>
        <w:t>person</w:t>
      </w:r>
      <w:r>
        <w:rPr>
          <w:spacing w:val="-13"/>
          <w:w w:val="105"/>
        </w:rPr>
        <w:t xml:space="preserve"> </w:t>
      </w:r>
      <w:r>
        <w:rPr>
          <w:w w:val="105"/>
        </w:rPr>
        <w:t>who</w:t>
      </w:r>
      <w:r>
        <w:rPr>
          <w:spacing w:val="-12"/>
          <w:w w:val="105"/>
        </w:rPr>
        <w:t xml:space="preserve"> </w:t>
      </w:r>
      <w:r>
        <w:rPr>
          <w:w w:val="105"/>
        </w:rPr>
        <w:t>is,</w:t>
      </w:r>
      <w:r>
        <w:rPr>
          <w:spacing w:val="-13"/>
          <w:w w:val="105"/>
        </w:rPr>
        <w:t xml:space="preserve"> </w:t>
      </w:r>
      <w:r>
        <w:rPr>
          <w:w w:val="105"/>
        </w:rPr>
        <w:t>or</w:t>
      </w:r>
      <w:r>
        <w:rPr>
          <w:spacing w:val="-13"/>
          <w:w w:val="105"/>
        </w:rPr>
        <w:t xml:space="preserve"> </w:t>
      </w:r>
      <w:r>
        <w:rPr>
          <w:w w:val="105"/>
        </w:rPr>
        <w:t>was,</w:t>
      </w:r>
      <w:r>
        <w:rPr>
          <w:spacing w:val="-13"/>
          <w:w w:val="105"/>
        </w:rPr>
        <w:t xml:space="preserve"> </w:t>
      </w:r>
      <w:r>
        <w:rPr>
          <w:w w:val="105"/>
        </w:rPr>
        <w:t>at</w:t>
      </w:r>
      <w:r>
        <w:rPr>
          <w:spacing w:val="-13"/>
          <w:w w:val="105"/>
        </w:rPr>
        <w:t xml:space="preserve"> </w:t>
      </w:r>
      <w:r>
        <w:rPr>
          <w:w w:val="105"/>
        </w:rPr>
        <w:t>the</w:t>
      </w:r>
      <w:r>
        <w:rPr>
          <w:spacing w:val="-13"/>
          <w:w w:val="105"/>
        </w:rPr>
        <w:t xml:space="preserve"> </w:t>
      </w:r>
      <w:r>
        <w:rPr>
          <w:w w:val="105"/>
        </w:rPr>
        <w:t>time</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act</w:t>
      </w:r>
      <w:r>
        <w:rPr>
          <w:spacing w:val="-13"/>
          <w:w w:val="105"/>
        </w:rPr>
        <w:t xml:space="preserve"> </w:t>
      </w:r>
      <w:r>
        <w:rPr>
          <w:w w:val="105"/>
        </w:rPr>
        <w:t>or</w:t>
      </w:r>
      <w:r>
        <w:rPr>
          <w:spacing w:val="-11"/>
          <w:w w:val="105"/>
        </w:rPr>
        <w:t xml:space="preserve"> </w:t>
      </w:r>
      <w:r>
        <w:rPr>
          <w:w w:val="105"/>
        </w:rPr>
        <w:t>omission</w:t>
      </w:r>
      <w:r>
        <w:rPr>
          <w:spacing w:val="-13"/>
          <w:w w:val="105"/>
        </w:rPr>
        <w:t xml:space="preserve"> </w:t>
      </w:r>
      <w:r>
        <w:rPr>
          <w:w w:val="105"/>
        </w:rPr>
        <w:t>giving</w:t>
      </w:r>
      <w:r>
        <w:rPr>
          <w:spacing w:val="-13"/>
          <w:w w:val="105"/>
        </w:rPr>
        <w:t xml:space="preserve"> </w:t>
      </w:r>
      <w:r>
        <w:rPr>
          <w:w w:val="105"/>
        </w:rPr>
        <w:t>rise</w:t>
      </w:r>
      <w:r>
        <w:rPr>
          <w:spacing w:val="-11"/>
          <w:w w:val="105"/>
        </w:rPr>
        <w:t xml:space="preserve"> </w:t>
      </w:r>
      <w:r>
        <w:rPr>
          <w:w w:val="105"/>
        </w:rPr>
        <w:t>to</w:t>
      </w:r>
      <w:r>
        <w:rPr>
          <w:spacing w:val="-12"/>
          <w:w w:val="105"/>
        </w:rPr>
        <w:t xml:space="preserve"> </w:t>
      </w:r>
      <w:r>
        <w:rPr>
          <w:w w:val="105"/>
        </w:rPr>
        <w:t>occupational liability, a person to whom the scheme applies, or applied, and against whom a proceeding</w:t>
      </w:r>
      <w:r>
        <w:rPr>
          <w:spacing w:val="-13"/>
          <w:w w:val="105"/>
        </w:rPr>
        <w:t xml:space="preserve"> </w:t>
      </w:r>
      <w:r>
        <w:rPr>
          <w:w w:val="105"/>
        </w:rPr>
        <w:t>relating</w:t>
      </w:r>
      <w:r>
        <w:rPr>
          <w:spacing w:val="-11"/>
          <w:w w:val="105"/>
        </w:rPr>
        <w:t xml:space="preserve"> </w:t>
      </w:r>
      <w:r>
        <w:rPr>
          <w:w w:val="105"/>
        </w:rPr>
        <w:t>to</w:t>
      </w:r>
      <w:r>
        <w:rPr>
          <w:spacing w:val="-9"/>
          <w:w w:val="105"/>
        </w:rPr>
        <w:t xml:space="preserve"> </w:t>
      </w:r>
      <w:r>
        <w:rPr>
          <w:w w:val="105"/>
        </w:rPr>
        <w:t>occupational</w:t>
      </w:r>
      <w:r>
        <w:rPr>
          <w:spacing w:val="-13"/>
          <w:w w:val="105"/>
        </w:rPr>
        <w:t xml:space="preserve"> </w:t>
      </w:r>
      <w:r>
        <w:rPr>
          <w:w w:val="105"/>
        </w:rPr>
        <w:t>liability</w:t>
      </w:r>
      <w:r>
        <w:rPr>
          <w:spacing w:val="-11"/>
          <w:w w:val="105"/>
        </w:rPr>
        <w:t xml:space="preserve"> </w:t>
      </w:r>
      <w:r>
        <w:rPr>
          <w:w w:val="105"/>
        </w:rPr>
        <w:t>is</w:t>
      </w:r>
      <w:r>
        <w:rPr>
          <w:spacing w:val="-11"/>
          <w:w w:val="105"/>
        </w:rPr>
        <w:t xml:space="preserve"> </w:t>
      </w:r>
      <w:r>
        <w:rPr>
          <w:w w:val="105"/>
        </w:rPr>
        <w:t>brought,</w:t>
      </w:r>
      <w:r>
        <w:rPr>
          <w:spacing w:val="-11"/>
          <w:w w:val="105"/>
        </w:rPr>
        <w:t xml:space="preserve"> </w:t>
      </w:r>
      <w:r>
        <w:rPr>
          <w:w w:val="105"/>
        </w:rPr>
        <w:t>is</w:t>
      </w:r>
      <w:r>
        <w:rPr>
          <w:spacing w:val="-12"/>
          <w:w w:val="105"/>
        </w:rPr>
        <w:t xml:space="preserve"> </w:t>
      </w:r>
      <w:r>
        <w:rPr>
          <w:w w:val="105"/>
        </w:rPr>
        <w:t>able</w:t>
      </w:r>
      <w:r>
        <w:rPr>
          <w:spacing w:val="-11"/>
          <w:w w:val="105"/>
        </w:rPr>
        <w:t xml:space="preserve"> </w:t>
      </w:r>
      <w:r>
        <w:rPr>
          <w:w w:val="105"/>
        </w:rPr>
        <w:t>to</w:t>
      </w:r>
      <w:r>
        <w:rPr>
          <w:spacing w:val="-13"/>
          <w:w w:val="105"/>
        </w:rPr>
        <w:t xml:space="preserve"> </w:t>
      </w:r>
      <w:r>
        <w:rPr>
          <w:w w:val="105"/>
        </w:rPr>
        <w:t>satisfy</w:t>
      </w:r>
      <w:r>
        <w:rPr>
          <w:spacing w:val="-13"/>
          <w:w w:val="105"/>
        </w:rPr>
        <w:t xml:space="preserve"> </w:t>
      </w:r>
      <w:r>
        <w:rPr>
          <w:w w:val="105"/>
        </w:rPr>
        <w:t>the</w:t>
      </w:r>
      <w:r>
        <w:rPr>
          <w:spacing w:val="-13"/>
          <w:w w:val="105"/>
        </w:rPr>
        <w:t xml:space="preserve"> </w:t>
      </w:r>
      <w:r>
        <w:rPr>
          <w:w w:val="105"/>
        </w:rPr>
        <w:t>court</w:t>
      </w:r>
      <w:r>
        <w:rPr>
          <w:spacing w:val="-13"/>
          <w:w w:val="105"/>
        </w:rPr>
        <w:t xml:space="preserve"> </w:t>
      </w:r>
      <w:r>
        <w:rPr>
          <w:w w:val="105"/>
        </w:rPr>
        <w:t>that such person has the benefit of an insurance policy:</w:t>
      </w:r>
    </w:p>
    <w:p w14:paraId="50FD7B60" w14:textId="77777777" w:rsidR="008E1315" w:rsidRDefault="004D0CA3">
      <w:pPr>
        <w:pStyle w:val="ListParagraph"/>
        <w:numPr>
          <w:ilvl w:val="0"/>
          <w:numId w:val="2"/>
        </w:numPr>
        <w:tabs>
          <w:tab w:val="left" w:pos="1375"/>
        </w:tabs>
        <w:spacing w:before="0" w:line="253" w:lineRule="exact"/>
        <w:ind w:left="1375" w:hanging="481"/>
        <w:jc w:val="both"/>
      </w:pPr>
      <w:r>
        <w:rPr>
          <w:w w:val="105"/>
        </w:rPr>
        <w:t>of</w:t>
      </w:r>
      <w:r>
        <w:rPr>
          <w:spacing w:val="-12"/>
          <w:w w:val="105"/>
        </w:rPr>
        <w:t xml:space="preserve"> </w:t>
      </w:r>
      <w:r>
        <w:rPr>
          <w:w w:val="105"/>
        </w:rPr>
        <w:t>a</w:t>
      </w:r>
      <w:r>
        <w:rPr>
          <w:spacing w:val="-13"/>
          <w:w w:val="105"/>
        </w:rPr>
        <w:t xml:space="preserve"> </w:t>
      </w:r>
      <w:r>
        <w:rPr>
          <w:w w:val="105"/>
        </w:rPr>
        <w:t>kind</w:t>
      </w:r>
      <w:r>
        <w:rPr>
          <w:spacing w:val="-15"/>
          <w:w w:val="105"/>
        </w:rPr>
        <w:t xml:space="preserve"> </w:t>
      </w:r>
      <w:r>
        <w:rPr>
          <w:w w:val="105"/>
        </w:rPr>
        <w:t>which</w:t>
      </w:r>
      <w:r>
        <w:rPr>
          <w:spacing w:val="-13"/>
          <w:w w:val="105"/>
        </w:rPr>
        <w:t xml:space="preserve"> </w:t>
      </w:r>
      <w:r>
        <w:rPr>
          <w:w w:val="105"/>
        </w:rPr>
        <w:t>complies</w:t>
      </w:r>
      <w:r>
        <w:rPr>
          <w:spacing w:val="-13"/>
          <w:w w:val="105"/>
        </w:rPr>
        <w:t xml:space="preserve"> </w:t>
      </w:r>
      <w:r>
        <w:rPr>
          <w:w w:val="105"/>
        </w:rPr>
        <w:t>with</w:t>
      </w:r>
      <w:r>
        <w:rPr>
          <w:spacing w:val="-13"/>
          <w:w w:val="105"/>
        </w:rPr>
        <w:t xml:space="preserve"> </w:t>
      </w:r>
      <w:r>
        <w:rPr>
          <w:w w:val="105"/>
        </w:rPr>
        <w:t>the</w:t>
      </w:r>
      <w:r>
        <w:rPr>
          <w:spacing w:val="-13"/>
          <w:w w:val="105"/>
        </w:rPr>
        <w:t xml:space="preserve"> </w:t>
      </w:r>
      <w:r>
        <w:rPr>
          <w:w w:val="105"/>
        </w:rPr>
        <w:t>standards</w:t>
      </w:r>
      <w:r>
        <w:rPr>
          <w:spacing w:val="-12"/>
          <w:w w:val="105"/>
        </w:rPr>
        <w:t xml:space="preserve"> </w:t>
      </w:r>
      <w:r>
        <w:rPr>
          <w:w w:val="105"/>
        </w:rPr>
        <w:t>determined</w:t>
      </w:r>
      <w:r>
        <w:rPr>
          <w:spacing w:val="-13"/>
          <w:w w:val="105"/>
        </w:rPr>
        <w:t xml:space="preserve"> </w:t>
      </w:r>
      <w:r>
        <w:rPr>
          <w:w w:val="105"/>
        </w:rPr>
        <w:t>by</w:t>
      </w:r>
      <w:r>
        <w:rPr>
          <w:spacing w:val="-13"/>
          <w:w w:val="105"/>
        </w:rPr>
        <w:t xml:space="preserve"> </w:t>
      </w:r>
      <w:r>
        <w:rPr>
          <w:w w:val="105"/>
        </w:rPr>
        <w:t>the</w:t>
      </w:r>
      <w:r>
        <w:rPr>
          <w:spacing w:val="-9"/>
          <w:w w:val="105"/>
        </w:rPr>
        <w:t xml:space="preserve"> </w:t>
      </w:r>
      <w:r>
        <w:rPr>
          <w:spacing w:val="-2"/>
          <w:w w:val="105"/>
        </w:rPr>
        <w:t>Association,</w:t>
      </w:r>
    </w:p>
    <w:p w14:paraId="2772E6EC" w14:textId="77777777" w:rsidR="008E1315" w:rsidRDefault="004D0CA3">
      <w:pPr>
        <w:pStyle w:val="ListParagraph"/>
        <w:numPr>
          <w:ilvl w:val="0"/>
          <w:numId w:val="2"/>
        </w:numPr>
        <w:tabs>
          <w:tab w:val="left" w:pos="1375"/>
          <w:tab w:val="left" w:pos="1377"/>
        </w:tabs>
        <w:spacing w:before="4" w:line="244" w:lineRule="auto"/>
        <w:ind w:right="114"/>
        <w:jc w:val="both"/>
      </w:pPr>
      <w:r>
        <w:rPr>
          <w:w w:val="105"/>
        </w:rPr>
        <w:t>insuring</w:t>
      </w:r>
      <w:r>
        <w:rPr>
          <w:spacing w:val="-13"/>
          <w:w w:val="105"/>
        </w:rPr>
        <w:t xml:space="preserve"> </w:t>
      </w:r>
      <w:r>
        <w:rPr>
          <w:w w:val="105"/>
        </w:rPr>
        <w:t>such</w:t>
      </w:r>
      <w:r>
        <w:rPr>
          <w:spacing w:val="-13"/>
          <w:w w:val="105"/>
        </w:rPr>
        <w:t xml:space="preserve"> </w:t>
      </w:r>
      <w:r>
        <w:rPr>
          <w:w w:val="105"/>
        </w:rPr>
        <w:t>person</w:t>
      </w:r>
      <w:r>
        <w:rPr>
          <w:spacing w:val="-13"/>
          <w:w w:val="105"/>
        </w:rPr>
        <w:t xml:space="preserve"> </w:t>
      </w:r>
      <w:r>
        <w:rPr>
          <w:w w:val="105"/>
        </w:rPr>
        <w:t>against</w:t>
      </w:r>
      <w:r>
        <w:rPr>
          <w:spacing w:val="-13"/>
          <w:w w:val="105"/>
        </w:rPr>
        <w:t xml:space="preserve"> </w:t>
      </w:r>
      <w:r>
        <w:rPr>
          <w:w w:val="105"/>
        </w:rPr>
        <w:t>the</w:t>
      </w:r>
      <w:r>
        <w:rPr>
          <w:spacing w:val="-13"/>
          <w:w w:val="105"/>
        </w:rPr>
        <w:t xml:space="preserve"> </w:t>
      </w:r>
      <w:r>
        <w:rPr>
          <w:w w:val="105"/>
        </w:rPr>
        <w:t>occupational</w:t>
      </w:r>
      <w:r>
        <w:rPr>
          <w:spacing w:val="-10"/>
          <w:w w:val="105"/>
        </w:rPr>
        <w:t xml:space="preserve"> </w:t>
      </w:r>
      <w:r>
        <w:rPr>
          <w:w w:val="105"/>
        </w:rPr>
        <w:t>liability</w:t>
      </w:r>
      <w:r>
        <w:rPr>
          <w:spacing w:val="-13"/>
          <w:w w:val="105"/>
        </w:rPr>
        <w:t xml:space="preserve"> </w:t>
      </w:r>
      <w:r>
        <w:rPr>
          <w:w w:val="105"/>
        </w:rPr>
        <w:t>to</w:t>
      </w:r>
      <w:r>
        <w:rPr>
          <w:spacing w:val="-13"/>
          <w:w w:val="105"/>
        </w:rPr>
        <w:t xml:space="preserve"> </w:t>
      </w:r>
      <w:r>
        <w:rPr>
          <w:w w:val="105"/>
        </w:rPr>
        <w:t>which</w:t>
      </w:r>
      <w:r>
        <w:rPr>
          <w:spacing w:val="-13"/>
          <w:w w:val="105"/>
        </w:rPr>
        <w:t xml:space="preserve"> </w:t>
      </w:r>
      <w:r>
        <w:rPr>
          <w:w w:val="105"/>
        </w:rPr>
        <w:t>the</w:t>
      </w:r>
      <w:r>
        <w:rPr>
          <w:spacing w:val="-13"/>
          <w:w w:val="105"/>
        </w:rPr>
        <w:t xml:space="preserve"> </w:t>
      </w:r>
      <w:r>
        <w:rPr>
          <w:w w:val="105"/>
        </w:rPr>
        <w:t>cause</w:t>
      </w:r>
      <w:r>
        <w:rPr>
          <w:spacing w:val="-13"/>
          <w:w w:val="105"/>
        </w:rPr>
        <w:t xml:space="preserve"> </w:t>
      </w:r>
      <w:r>
        <w:rPr>
          <w:w w:val="105"/>
        </w:rPr>
        <w:t>of</w:t>
      </w:r>
      <w:r>
        <w:rPr>
          <w:spacing w:val="-11"/>
          <w:w w:val="105"/>
        </w:rPr>
        <w:t xml:space="preserve"> </w:t>
      </w:r>
      <w:r>
        <w:rPr>
          <w:w w:val="105"/>
        </w:rPr>
        <w:t>action relates,</w:t>
      </w:r>
      <w:r>
        <w:rPr>
          <w:spacing w:val="-2"/>
          <w:w w:val="105"/>
        </w:rPr>
        <w:t xml:space="preserve"> </w:t>
      </w:r>
      <w:r>
        <w:rPr>
          <w:w w:val="105"/>
        </w:rPr>
        <w:t>and</w:t>
      </w:r>
    </w:p>
    <w:p w14:paraId="7E11A56D" w14:textId="77777777" w:rsidR="008E1315" w:rsidRDefault="004D0CA3">
      <w:pPr>
        <w:pStyle w:val="ListParagraph"/>
        <w:numPr>
          <w:ilvl w:val="0"/>
          <w:numId w:val="2"/>
        </w:numPr>
        <w:tabs>
          <w:tab w:val="left" w:pos="1375"/>
          <w:tab w:val="left" w:pos="1377"/>
        </w:tabs>
        <w:spacing w:before="0" w:line="242" w:lineRule="auto"/>
        <w:ind w:right="120"/>
        <w:jc w:val="both"/>
      </w:pPr>
      <w:r>
        <w:rPr>
          <w:w w:val="105"/>
        </w:rPr>
        <w:t>under</w:t>
      </w:r>
      <w:r>
        <w:rPr>
          <w:spacing w:val="-17"/>
          <w:w w:val="105"/>
        </w:rPr>
        <w:t xml:space="preserve"> </w:t>
      </w:r>
      <w:r>
        <w:rPr>
          <w:w w:val="105"/>
        </w:rPr>
        <w:t>which</w:t>
      </w:r>
      <w:r>
        <w:rPr>
          <w:spacing w:val="-17"/>
          <w:w w:val="105"/>
        </w:rPr>
        <w:t xml:space="preserve"> </w:t>
      </w:r>
      <w:r>
        <w:rPr>
          <w:w w:val="105"/>
        </w:rPr>
        <w:t>the</w:t>
      </w:r>
      <w:r>
        <w:rPr>
          <w:spacing w:val="-17"/>
          <w:w w:val="105"/>
        </w:rPr>
        <w:t xml:space="preserve"> </w:t>
      </w:r>
      <w:r>
        <w:rPr>
          <w:w w:val="105"/>
        </w:rPr>
        <w:t>amount</w:t>
      </w:r>
      <w:r>
        <w:rPr>
          <w:spacing w:val="-17"/>
          <w:w w:val="105"/>
        </w:rPr>
        <w:t xml:space="preserve"> </w:t>
      </w:r>
      <w:r>
        <w:rPr>
          <w:w w:val="105"/>
        </w:rPr>
        <w:t>payable</w:t>
      </w:r>
      <w:r>
        <w:rPr>
          <w:spacing w:val="-17"/>
          <w:w w:val="105"/>
        </w:rPr>
        <w:t xml:space="preserve"> </w:t>
      </w:r>
      <w:r>
        <w:rPr>
          <w:w w:val="105"/>
        </w:rPr>
        <w:t>in</w:t>
      </w:r>
      <w:r>
        <w:rPr>
          <w:spacing w:val="-15"/>
          <w:w w:val="105"/>
        </w:rPr>
        <w:t xml:space="preserve"> </w:t>
      </w:r>
      <w:r>
        <w:rPr>
          <w:w w:val="105"/>
        </w:rPr>
        <w:t>respect</w:t>
      </w:r>
      <w:r>
        <w:rPr>
          <w:spacing w:val="-17"/>
          <w:w w:val="105"/>
        </w:rPr>
        <w:t xml:space="preserve"> </w:t>
      </w:r>
      <w:r>
        <w:rPr>
          <w:w w:val="105"/>
        </w:rPr>
        <w:t>of</w:t>
      </w:r>
      <w:r>
        <w:rPr>
          <w:spacing w:val="-15"/>
          <w:w w:val="105"/>
        </w:rPr>
        <w:t xml:space="preserve"> </w:t>
      </w:r>
      <w:r>
        <w:rPr>
          <w:w w:val="105"/>
        </w:rPr>
        <w:t>that</w:t>
      </w:r>
      <w:r>
        <w:rPr>
          <w:spacing w:val="-17"/>
          <w:w w:val="105"/>
        </w:rPr>
        <w:t xml:space="preserve"> </w:t>
      </w:r>
      <w:r>
        <w:rPr>
          <w:w w:val="105"/>
        </w:rPr>
        <w:t>occupational</w:t>
      </w:r>
      <w:r>
        <w:rPr>
          <w:spacing w:val="-17"/>
          <w:w w:val="105"/>
        </w:rPr>
        <w:t xml:space="preserve"> </w:t>
      </w:r>
      <w:r>
        <w:rPr>
          <w:w w:val="105"/>
        </w:rPr>
        <w:t>liability</w:t>
      </w:r>
      <w:r>
        <w:rPr>
          <w:spacing w:val="-17"/>
          <w:w w:val="105"/>
        </w:rPr>
        <w:t xml:space="preserve"> </w:t>
      </w:r>
      <w:r>
        <w:rPr>
          <w:w w:val="105"/>
        </w:rPr>
        <w:t>is</w:t>
      </w:r>
      <w:r>
        <w:rPr>
          <w:spacing w:val="-17"/>
          <w:w w:val="105"/>
        </w:rPr>
        <w:t xml:space="preserve"> </w:t>
      </w:r>
      <w:r>
        <w:rPr>
          <w:w w:val="105"/>
        </w:rPr>
        <w:t>not</w:t>
      </w:r>
      <w:r>
        <w:rPr>
          <w:spacing w:val="-17"/>
          <w:w w:val="105"/>
        </w:rPr>
        <w:t xml:space="preserve"> </w:t>
      </w:r>
      <w:r>
        <w:rPr>
          <w:w w:val="105"/>
        </w:rPr>
        <w:t>less than</w:t>
      </w:r>
      <w:r>
        <w:rPr>
          <w:spacing w:val="-4"/>
          <w:w w:val="105"/>
        </w:rPr>
        <w:t xml:space="preserve"> </w:t>
      </w:r>
      <w:r>
        <w:rPr>
          <w:w w:val="105"/>
        </w:rPr>
        <w:t>the</w:t>
      </w:r>
      <w:r>
        <w:rPr>
          <w:spacing w:val="-4"/>
          <w:w w:val="105"/>
        </w:rPr>
        <w:t xml:space="preserve"> </w:t>
      </w:r>
      <w:r>
        <w:rPr>
          <w:w w:val="105"/>
        </w:rPr>
        <w:t>applicable</w:t>
      </w:r>
      <w:r>
        <w:rPr>
          <w:spacing w:val="-4"/>
          <w:w w:val="105"/>
        </w:rPr>
        <w:t xml:space="preserve"> </w:t>
      </w:r>
      <w:r>
        <w:rPr>
          <w:w w:val="105"/>
        </w:rPr>
        <w:t>monetary</w:t>
      </w:r>
      <w:r>
        <w:rPr>
          <w:spacing w:val="-4"/>
          <w:w w:val="105"/>
        </w:rPr>
        <w:t xml:space="preserve"> </w:t>
      </w:r>
      <w:r>
        <w:rPr>
          <w:w w:val="105"/>
        </w:rPr>
        <w:t>ceiling</w:t>
      </w:r>
      <w:r>
        <w:rPr>
          <w:spacing w:val="-2"/>
          <w:w w:val="105"/>
        </w:rPr>
        <w:t xml:space="preserve"> </w:t>
      </w:r>
      <w:r>
        <w:rPr>
          <w:w w:val="105"/>
        </w:rPr>
        <w:t>specified</w:t>
      </w:r>
      <w:r>
        <w:rPr>
          <w:spacing w:val="-3"/>
          <w:w w:val="105"/>
        </w:rPr>
        <w:t xml:space="preserve"> </w:t>
      </w:r>
      <w:r>
        <w:rPr>
          <w:w w:val="105"/>
        </w:rPr>
        <w:t>in</w:t>
      </w:r>
      <w:r>
        <w:rPr>
          <w:spacing w:val="-4"/>
          <w:w w:val="105"/>
        </w:rPr>
        <w:t xml:space="preserve"> </w:t>
      </w:r>
      <w:r>
        <w:rPr>
          <w:w w:val="105"/>
        </w:rPr>
        <w:t>clause</w:t>
      </w:r>
      <w:r>
        <w:rPr>
          <w:spacing w:val="-4"/>
          <w:w w:val="105"/>
        </w:rPr>
        <w:t xml:space="preserve"> </w:t>
      </w:r>
      <w:r>
        <w:rPr>
          <w:w w:val="105"/>
        </w:rPr>
        <w:t>4.3</w:t>
      </w:r>
      <w:r>
        <w:rPr>
          <w:spacing w:val="-2"/>
          <w:w w:val="105"/>
        </w:rPr>
        <w:t xml:space="preserve"> </w:t>
      </w:r>
      <w:r>
        <w:rPr>
          <w:w w:val="105"/>
        </w:rPr>
        <w:t>of</w:t>
      </w:r>
      <w:r>
        <w:rPr>
          <w:spacing w:val="-2"/>
          <w:w w:val="105"/>
        </w:rPr>
        <w:t xml:space="preserve"> </w:t>
      </w:r>
      <w:r>
        <w:rPr>
          <w:w w:val="105"/>
        </w:rPr>
        <w:t>this</w:t>
      </w:r>
      <w:r>
        <w:rPr>
          <w:spacing w:val="-1"/>
          <w:w w:val="105"/>
        </w:rPr>
        <w:t xml:space="preserve"> </w:t>
      </w:r>
      <w:r>
        <w:rPr>
          <w:w w:val="105"/>
        </w:rPr>
        <w:t>scheme,</w:t>
      </w:r>
    </w:p>
    <w:p w14:paraId="6C53C145" w14:textId="77777777" w:rsidR="008E1315" w:rsidRDefault="004D0CA3" w:rsidP="007B2625">
      <w:pPr>
        <w:pStyle w:val="BodyText"/>
        <w:keepNext/>
        <w:spacing w:before="84" w:line="244" w:lineRule="auto"/>
        <w:ind w:left="887" w:right="120" w:firstLine="0"/>
      </w:pPr>
      <w:r>
        <w:rPr>
          <w:w w:val="105"/>
        </w:rPr>
        <w:lastRenderedPageBreak/>
        <w:t>then that person is not liable in damages in relation to that cause of action above the monetary ceiling specified in clause 4.3 of this scheme.</w:t>
      </w:r>
    </w:p>
    <w:p w14:paraId="642A685A" w14:textId="77777777" w:rsidR="008E1315" w:rsidRDefault="004D0CA3">
      <w:pPr>
        <w:pStyle w:val="ListParagraph"/>
        <w:numPr>
          <w:ilvl w:val="2"/>
          <w:numId w:val="3"/>
        </w:numPr>
        <w:tabs>
          <w:tab w:val="left" w:pos="926"/>
        </w:tabs>
        <w:spacing w:before="120"/>
        <w:ind w:left="926" w:hanging="430"/>
        <w:jc w:val="both"/>
      </w:pPr>
      <w:r>
        <w:rPr>
          <w:w w:val="105"/>
        </w:rPr>
        <w:t>The</w:t>
      </w:r>
      <w:r>
        <w:rPr>
          <w:spacing w:val="-14"/>
          <w:w w:val="105"/>
        </w:rPr>
        <w:t xml:space="preserve"> </w:t>
      </w:r>
      <w:r>
        <w:rPr>
          <w:w w:val="105"/>
        </w:rPr>
        <w:t>monetary</w:t>
      </w:r>
      <w:r>
        <w:rPr>
          <w:spacing w:val="-13"/>
          <w:w w:val="105"/>
        </w:rPr>
        <w:t xml:space="preserve"> </w:t>
      </w:r>
      <w:r>
        <w:rPr>
          <w:w w:val="105"/>
        </w:rPr>
        <w:t>ceiling</w:t>
      </w:r>
      <w:r>
        <w:rPr>
          <w:spacing w:val="-13"/>
          <w:w w:val="105"/>
        </w:rPr>
        <w:t xml:space="preserve"> </w:t>
      </w:r>
      <w:r>
        <w:rPr>
          <w:w w:val="105"/>
        </w:rPr>
        <w:t>is</w:t>
      </w:r>
      <w:r>
        <w:rPr>
          <w:spacing w:val="-9"/>
          <w:w w:val="105"/>
        </w:rPr>
        <w:t xml:space="preserve"> </w:t>
      </w:r>
      <w:r>
        <w:rPr>
          <w:w w:val="105"/>
        </w:rPr>
        <w:t>$</w:t>
      </w:r>
      <w:r>
        <w:rPr>
          <w:spacing w:val="-12"/>
          <w:w w:val="105"/>
        </w:rPr>
        <w:t xml:space="preserve"> </w:t>
      </w:r>
      <w:r>
        <w:rPr>
          <w:w w:val="105"/>
        </w:rPr>
        <w:t>2</w:t>
      </w:r>
      <w:r>
        <w:rPr>
          <w:spacing w:val="-13"/>
          <w:w w:val="105"/>
        </w:rPr>
        <w:t xml:space="preserve"> </w:t>
      </w:r>
      <w:r>
        <w:rPr>
          <w:spacing w:val="-2"/>
          <w:w w:val="105"/>
        </w:rPr>
        <w:t>million.</w:t>
      </w:r>
    </w:p>
    <w:p w14:paraId="49F2414D" w14:textId="77777777" w:rsidR="008E1315" w:rsidRDefault="004D0CA3">
      <w:pPr>
        <w:pStyle w:val="ListParagraph"/>
        <w:numPr>
          <w:ilvl w:val="2"/>
          <w:numId w:val="3"/>
        </w:numPr>
        <w:tabs>
          <w:tab w:val="left" w:pos="926"/>
          <w:tab w:val="left" w:pos="928"/>
        </w:tabs>
        <w:spacing w:line="244" w:lineRule="auto"/>
        <w:ind w:right="116"/>
        <w:jc w:val="both"/>
      </w:pPr>
      <w:r>
        <w:rPr>
          <w:w w:val="105"/>
        </w:rPr>
        <w:t>Clause 4.2 does not limit the amount of damages to which a person to whom the scheme</w:t>
      </w:r>
      <w:r>
        <w:rPr>
          <w:spacing w:val="-15"/>
          <w:w w:val="105"/>
        </w:rPr>
        <w:t xml:space="preserve"> </w:t>
      </w:r>
      <w:r>
        <w:rPr>
          <w:w w:val="105"/>
        </w:rPr>
        <w:t>applies</w:t>
      </w:r>
      <w:r>
        <w:rPr>
          <w:spacing w:val="-14"/>
          <w:w w:val="105"/>
        </w:rPr>
        <w:t xml:space="preserve"> </w:t>
      </w:r>
      <w:r>
        <w:rPr>
          <w:w w:val="105"/>
        </w:rPr>
        <w:t>is</w:t>
      </w:r>
      <w:r>
        <w:rPr>
          <w:spacing w:val="-14"/>
          <w:w w:val="105"/>
        </w:rPr>
        <w:t xml:space="preserve"> </w:t>
      </w:r>
      <w:r>
        <w:rPr>
          <w:w w:val="105"/>
        </w:rPr>
        <w:t>liable</w:t>
      </w:r>
      <w:r>
        <w:rPr>
          <w:spacing w:val="-15"/>
          <w:w w:val="105"/>
        </w:rPr>
        <w:t xml:space="preserve"> </w:t>
      </w:r>
      <w:r>
        <w:rPr>
          <w:w w:val="105"/>
        </w:rPr>
        <w:t>if</w:t>
      </w:r>
      <w:r>
        <w:rPr>
          <w:spacing w:val="-14"/>
          <w:w w:val="105"/>
        </w:rPr>
        <w:t xml:space="preserve"> </w:t>
      </w:r>
      <w:r>
        <w:rPr>
          <w:w w:val="105"/>
        </w:rPr>
        <w:t>the</w:t>
      </w:r>
      <w:r>
        <w:rPr>
          <w:spacing w:val="-15"/>
          <w:w w:val="105"/>
        </w:rPr>
        <w:t xml:space="preserve"> </w:t>
      </w:r>
      <w:r>
        <w:rPr>
          <w:w w:val="105"/>
        </w:rPr>
        <w:t>amount</w:t>
      </w:r>
      <w:r>
        <w:rPr>
          <w:spacing w:val="-15"/>
          <w:w w:val="105"/>
        </w:rPr>
        <w:t xml:space="preserve"> </w:t>
      </w:r>
      <w:r>
        <w:rPr>
          <w:w w:val="105"/>
        </w:rPr>
        <w:t>is</w:t>
      </w:r>
      <w:r>
        <w:rPr>
          <w:spacing w:val="-14"/>
          <w:w w:val="105"/>
        </w:rPr>
        <w:t xml:space="preserve"> </w:t>
      </w:r>
      <w:r>
        <w:rPr>
          <w:w w:val="105"/>
        </w:rPr>
        <w:t>less</w:t>
      </w:r>
      <w:r>
        <w:rPr>
          <w:spacing w:val="-14"/>
          <w:w w:val="105"/>
        </w:rPr>
        <w:t xml:space="preserve"> </w:t>
      </w:r>
      <w:r>
        <w:rPr>
          <w:w w:val="105"/>
        </w:rPr>
        <w:t>than</w:t>
      </w:r>
      <w:r>
        <w:rPr>
          <w:spacing w:val="-15"/>
          <w:w w:val="105"/>
        </w:rPr>
        <w:t xml:space="preserve"> </w:t>
      </w:r>
      <w:r>
        <w:rPr>
          <w:w w:val="105"/>
        </w:rPr>
        <w:t>the</w:t>
      </w:r>
      <w:r>
        <w:rPr>
          <w:spacing w:val="-15"/>
          <w:w w:val="105"/>
        </w:rPr>
        <w:t xml:space="preserve"> </w:t>
      </w:r>
      <w:r>
        <w:rPr>
          <w:w w:val="105"/>
        </w:rPr>
        <w:t>amount</w:t>
      </w:r>
      <w:r>
        <w:rPr>
          <w:spacing w:val="-15"/>
          <w:w w:val="105"/>
        </w:rPr>
        <w:t xml:space="preserve"> </w:t>
      </w:r>
      <w:r>
        <w:rPr>
          <w:w w:val="105"/>
        </w:rPr>
        <w:t>specified</w:t>
      </w:r>
      <w:r>
        <w:rPr>
          <w:spacing w:val="-14"/>
          <w:w w:val="105"/>
        </w:rPr>
        <w:t xml:space="preserve"> </w:t>
      </w:r>
      <w:r>
        <w:rPr>
          <w:w w:val="105"/>
        </w:rPr>
        <w:t>for</w:t>
      </w:r>
      <w:r>
        <w:rPr>
          <w:spacing w:val="-15"/>
          <w:w w:val="105"/>
        </w:rPr>
        <w:t xml:space="preserve"> </w:t>
      </w:r>
      <w:r>
        <w:rPr>
          <w:w w:val="105"/>
        </w:rPr>
        <w:t>the</w:t>
      </w:r>
      <w:r>
        <w:rPr>
          <w:spacing w:val="-15"/>
          <w:w w:val="105"/>
        </w:rPr>
        <w:t xml:space="preserve"> </w:t>
      </w:r>
      <w:r>
        <w:rPr>
          <w:w w:val="105"/>
        </w:rPr>
        <w:t>purpose in this scheme in relation to a person to whom the scheme applies.</w:t>
      </w:r>
    </w:p>
    <w:p w14:paraId="6DC0036F" w14:textId="77777777" w:rsidR="008E1315" w:rsidRDefault="004D0CA3">
      <w:pPr>
        <w:pStyle w:val="ListParagraph"/>
        <w:numPr>
          <w:ilvl w:val="2"/>
          <w:numId w:val="3"/>
        </w:numPr>
        <w:tabs>
          <w:tab w:val="left" w:pos="926"/>
          <w:tab w:val="left" w:pos="928"/>
        </w:tabs>
        <w:spacing w:before="119" w:line="244" w:lineRule="auto"/>
        <w:ind w:right="114"/>
        <w:jc w:val="both"/>
      </w:pPr>
      <w:r>
        <w:rPr>
          <w:w w:val="105"/>
        </w:rPr>
        <w:t>This</w:t>
      </w:r>
      <w:r>
        <w:rPr>
          <w:spacing w:val="-10"/>
          <w:w w:val="105"/>
        </w:rPr>
        <w:t xml:space="preserve"> </w:t>
      </w:r>
      <w:r>
        <w:rPr>
          <w:w w:val="105"/>
        </w:rPr>
        <w:t>scheme</w:t>
      </w:r>
      <w:r>
        <w:rPr>
          <w:spacing w:val="-11"/>
          <w:w w:val="105"/>
        </w:rPr>
        <w:t xml:space="preserve"> </w:t>
      </w:r>
      <w:r>
        <w:rPr>
          <w:w w:val="105"/>
        </w:rPr>
        <w:t>limits</w:t>
      </w:r>
      <w:r>
        <w:rPr>
          <w:spacing w:val="-10"/>
          <w:w w:val="105"/>
        </w:rPr>
        <w:t xml:space="preserve"> </w:t>
      </w:r>
      <w:r>
        <w:rPr>
          <w:w w:val="105"/>
        </w:rPr>
        <w:t>the</w:t>
      </w:r>
      <w:r>
        <w:rPr>
          <w:spacing w:val="-7"/>
          <w:w w:val="105"/>
        </w:rPr>
        <w:t xml:space="preserve"> </w:t>
      </w:r>
      <w:r>
        <w:rPr>
          <w:w w:val="105"/>
        </w:rPr>
        <w:t>occupational</w:t>
      </w:r>
      <w:r>
        <w:rPr>
          <w:spacing w:val="-11"/>
          <w:w w:val="105"/>
        </w:rPr>
        <w:t xml:space="preserve"> </w:t>
      </w:r>
      <w:r>
        <w:rPr>
          <w:w w:val="105"/>
        </w:rPr>
        <w:t>liability</w:t>
      </w:r>
      <w:r>
        <w:rPr>
          <w:spacing w:val="-9"/>
          <w:w w:val="105"/>
        </w:rPr>
        <w:t xml:space="preserve"> </w:t>
      </w:r>
      <w:r>
        <w:rPr>
          <w:w w:val="105"/>
        </w:rPr>
        <w:t>in</w:t>
      </w:r>
      <w:r>
        <w:rPr>
          <w:spacing w:val="-9"/>
          <w:w w:val="105"/>
        </w:rPr>
        <w:t xml:space="preserve"> </w:t>
      </w:r>
      <w:r>
        <w:rPr>
          <w:w w:val="105"/>
        </w:rPr>
        <w:t>respect</w:t>
      </w:r>
      <w:r>
        <w:rPr>
          <w:spacing w:val="-11"/>
          <w:w w:val="105"/>
        </w:rPr>
        <w:t xml:space="preserve"> </w:t>
      </w:r>
      <w:r>
        <w:rPr>
          <w:w w:val="105"/>
        </w:rPr>
        <w:t>of</w:t>
      </w:r>
      <w:r>
        <w:rPr>
          <w:spacing w:val="-10"/>
          <w:w w:val="105"/>
        </w:rPr>
        <w:t xml:space="preserve"> </w:t>
      </w:r>
      <w:r>
        <w:rPr>
          <w:w w:val="105"/>
        </w:rPr>
        <w:t>a</w:t>
      </w:r>
      <w:r>
        <w:rPr>
          <w:spacing w:val="-10"/>
          <w:w w:val="105"/>
        </w:rPr>
        <w:t xml:space="preserve"> </w:t>
      </w:r>
      <w:r>
        <w:rPr>
          <w:w w:val="105"/>
        </w:rPr>
        <w:t>cause</w:t>
      </w:r>
      <w:r>
        <w:rPr>
          <w:spacing w:val="-11"/>
          <w:w w:val="105"/>
        </w:rPr>
        <w:t xml:space="preserve"> </w:t>
      </w:r>
      <w:r>
        <w:rPr>
          <w:w w:val="105"/>
        </w:rPr>
        <w:t>of</w:t>
      </w:r>
      <w:r>
        <w:rPr>
          <w:spacing w:val="-10"/>
          <w:w w:val="105"/>
        </w:rPr>
        <w:t xml:space="preserve"> </w:t>
      </w:r>
      <w:r>
        <w:rPr>
          <w:w w:val="105"/>
        </w:rPr>
        <w:t>action</w:t>
      </w:r>
      <w:r>
        <w:rPr>
          <w:spacing w:val="-12"/>
          <w:w w:val="105"/>
        </w:rPr>
        <w:t xml:space="preserve"> </w:t>
      </w:r>
      <w:r>
        <w:rPr>
          <w:w w:val="105"/>
        </w:rPr>
        <w:t>founded</w:t>
      </w:r>
      <w:r>
        <w:rPr>
          <w:spacing w:val="-11"/>
          <w:w w:val="105"/>
        </w:rPr>
        <w:t xml:space="preserve"> </w:t>
      </w:r>
      <w:r>
        <w:rPr>
          <w:w w:val="105"/>
        </w:rPr>
        <w:t>on an act or omission occurring during the period when the scheme was in force of any person to whom the scheme applied at the time the act or omission occurred.</w:t>
      </w:r>
    </w:p>
    <w:p w14:paraId="7A5098B4" w14:textId="77777777" w:rsidR="008E1315" w:rsidRDefault="004D0CA3">
      <w:pPr>
        <w:pStyle w:val="ListParagraph"/>
        <w:numPr>
          <w:ilvl w:val="2"/>
          <w:numId w:val="3"/>
        </w:numPr>
        <w:tabs>
          <w:tab w:val="left" w:pos="926"/>
          <w:tab w:val="left" w:pos="928"/>
        </w:tabs>
        <w:spacing w:before="118" w:line="244" w:lineRule="auto"/>
        <w:ind w:right="113"/>
        <w:jc w:val="both"/>
      </w:pPr>
      <w:r>
        <w:rPr>
          <w:w w:val="105"/>
        </w:rPr>
        <w:t>Notwithstanding anything to the contrary contained in this scheme if, in particular circumstances giving rise to occupational liability, the liability of any person who is subject to this scheme is capped both by this scheme and also by any other scheme under</w:t>
      </w:r>
      <w:r>
        <w:rPr>
          <w:spacing w:val="-9"/>
          <w:w w:val="105"/>
        </w:rPr>
        <w:t xml:space="preserve"> </w:t>
      </w:r>
      <w:r>
        <w:rPr>
          <w:w w:val="105"/>
        </w:rPr>
        <w:t>Professional</w:t>
      </w:r>
      <w:r>
        <w:rPr>
          <w:spacing w:val="-8"/>
          <w:w w:val="105"/>
        </w:rPr>
        <w:t xml:space="preserve"> </w:t>
      </w:r>
      <w:r>
        <w:rPr>
          <w:w w:val="105"/>
        </w:rPr>
        <w:t>Standards</w:t>
      </w:r>
      <w:r>
        <w:rPr>
          <w:spacing w:val="-7"/>
          <w:w w:val="105"/>
        </w:rPr>
        <w:t xml:space="preserve"> </w:t>
      </w:r>
      <w:r>
        <w:rPr>
          <w:w w:val="105"/>
        </w:rPr>
        <w:t>Legislation</w:t>
      </w:r>
      <w:r>
        <w:rPr>
          <w:spacing w:val="-9"/>
          <w:w w:val="105"/>
        </w:rPr>
        <w:t xml:space="preserve"> </w:t>
      </w:r>
      <w:r>
        <w:rPr>
          <w:w w:val="105"/>
        </w:rPr>
        <w:t>(whether</w:t>
      </w:r>
      <w:r>
        <w:rPr>
          <w:spacing w:val="-8"/>
          <w:w w:val="105"/>
        </w:rPr>
        <w:t xml:space="preserve"> </w:t>
      </w:r>
      <w:r>
        <w:rPr>
          <w:w w:val="105"/>
        </w:rPr>
        <w:t>of</w:t>
      </w:r>
      <w:r>
        <w:rPr>
          <w:spacing w:val="-4"/>
          <w:w w:val="105"/>
        </w:rPr>
        <w:t xml:space="preserve"> </w:t>
      </w:r>
      <w:r>
        <w:rPr>
          <w:w w:val="105"/>
        </w:rPr>
        <w:t>this</w:t>
      </w:r>
      <w:r>
        <w:rPr>
          <w:spacing w:val="-7"/>
          <w:w w:val="105"/>
        </w:rPr>
        <w:t xml:space="preserve"> </w:t>
      </w:r>
      <w:r>
        <w:rPr>
          <w:w w:val="105"/>
        </w:rPr>
        <w:t>jurisdiction</w:t>
      </w:r>
      <w:r>
        <w:rPr>
          <w:spacing w:val="-6"/>
          <w:w w:val="105"/>
        </w:rPr>
        <w:t xml:space="preserve"> </w:t>
      </w:r>
      <w:r>
        <w:rPr>
          <w:w w:val="105"/>
        </w:rPr>
        <w:t>or</w:t>
      </w:r>
      <w:r>
        <w:rPr>
          <w:spacing w:val="-8"/>
          <w:w w:val="105"/>
        </w:rPr>
        <w:t xml:space="preserve"> </w:t>
      </w:r>
      <w:r>
        <w:rPr>
          <w:w w:val="105"/>
        </w:rPr>
        <w:t>under</w:t>
      </w:r>
      <w:r>
        <w:rPr>
          <w:spacing w:val="-7"/>
          <w:w w:val="105"/>
        </w:rPr>
        <w:t xml:space="preserve"> </w:t>
      </w:r>
      <w:r>
        <w:rPr>
          <w:w w:val="105"/>
        </w:rPr>
        <w:t>the</w:t>
      </w:r>
      <w:r>
        <w:rPr>
          <w:spacing w:val="-6"/>
          <w:w w:val="105"/>
        </w:rPr>
        <w:t xml:space="preserve"> </w:t>
      </w:r>
      <w:r>
        <w:rPr>
          <w:w w:val="105"/>
        </w:rPr>
        <w:t>law of</w:t>
      </w:r>
      <w:r>
        <w:rPr>
          <w:spacing w:val="-15"/>
          <w:w w:val="105"/>
        </w:rPr>
        <w:t xml:space="preserve"> </w:t>
      </w:r>
      <w:r>
        <w:rPr>
          <w:w w:val="105"/>
        </w:rPr>
        <w:t>any</w:t>
      </w:r>
      <w:r>
        <w:rPr>
          <w:spacing w:val="-16"/>
          <w:w w:val="105"/>
        </w:rPr>
        <w:t xml:space="preserve"> </w:t>
      </w:r>
      <w:r>
        <w:rPr>
          <w:w w:val="105"/>
        </w:rPr>
        <w:t>other</w:t>
      </w:r>
      <w:r>
        <w:rPr>
          <w:spacing w:val="-16"/>
          <w:w w:val="105"/>
        </w:rPr>
        <w:t xml:space="preserve"> </w:t>
      </w:r>
      <w:r>
        <w:rPr>
          <w:w w:val="105"/>
        </w:rPr>
        <w:t>Australian</w:t>
      </w:r>
      <w:r>
        <w:rPr>
          <w:spacing w:val="-17"/>
          <w:w w:val="105"/>
        </w:rPr>
        <w:t xml:space="preserve"> </w:t>
      </w:r>
      <w:r>
        <w:rPr>
          <w:w w:val="105"/>
        </w:rPr>
        <w:t>state</w:t>
      </w:r>
      <w:r>
        <w:rPr>
          <w:spacing w:val="-16"/>
          <w:w w:val="105"/>
        </w:rPr>
        <w:t xml:space="preserve"> </w:t>
      </w:r>
      <w:r>
        <w:rPr>
          <w:w w:val="105"/>
        </w:rPr>
        <w:t>or</w:t>
      </w:r>
      <w:r>
        <w:rPr>
          <w:spacing w:val="-16"/>
          <w:w w:val="105"/>
        </w:rPr>
        <w:t xml:space="preserve"> </w:t>
      </w:r>
      <w:r>
        <w:rPr>
          <w:w w:val="105"/>
        </w:rPr>
        <w:t>territory)</w:t>
      </w:r>
      <w:r>
        <w:rPr>
          <w:spacing w:val="-16"/>
          <w:w w:val="105"/>
        </w:rPr>
        <w:t xml:space="preserve"> </w:t>
      </w:r>
      <w:r>
        <w:rPr>
          <w:w w:val="105"/>
        </w:rPr>
        <w:t>and,</w:t>
      </w:r>
      <w:r>
        <w:rPr>
          <w:spacing w:val="-16"/>
          <w:w w:val="105"/>
        </w:rPr>
        <w:t xml:space="preserve"> </w:t>
      </w:r>
      <w:r>
        <w:rPr>
          <w:w w:val="105"/>
        </w:rPr>
        <w:t>if</w:t>
      </w:r>
      <w:r>
        <w:rPr>
          <w:spacing w:val="-15"/>
          <w:w w:val="105"/>
        </w:rPr>
        <w:t xml:space="preserve"> </w:t>
      </w:r>
      <w:r>
        <w:rPr>
          <w:w w:val="105"/>
        </w:rPr>
        <w:t>the</w:t>
      </w:r>
      <w:r>
        <w:rPr>
          <w:spacing w:val="-16"/>
          <w:w w:val="105"/>
        </w:rPr>
        <w:t xml:space="preserve"> </w:t>
      </w:r>
      <w:r>
        <w:rPr>
          <w:w w:val="105"/>
        </w:rPr>
        <w:t>amount</w:t>
      </w:r>
      <w:r>
        <w:rPr>
          <w:spacing w:val="-16"/>
          <w:w w:val="105"/>
        </w:rPr>
        <w:t xml:space="preserve"> </w:t>
      </w:r>
      <w:r>
        <w:rPr>
          <w:w w:val="105"/>
        </w:rPr>
        <w:t>of</w:t>
      </w:r>
      <w:r>
        <w:rPr>
          <w:spacing w:val="-16"/>
          <w:w w:val="105"/>
        </w:rPr>
        <w:t xml:space="preserve"> </w:t>
      </w:r>
      <w:r>
        <w:rPr>
          <w:w w:val="105"/>
        </w:rPr>
        <w:t>such</w:t>
      </w:r>
      <w:r>
        <w:rPr>
          <w:spacing w:val="-16"/>
          <w:w w:val="105"/>
        </w:rPr>
        <w:t xml:space="preserve"> </w:t>
      </w:r>
      <w:r>
        <w:rPr>
          <w:w w:val="105"/>
        </w:rPr>
        <w:t>caps</w:t>
      </w:r>
      <w:r>
        <w:rPr>
          <w:spacing w:val="-15"/>
          <w:w w:val="105"/>
        </w:rPr>
        <w:t xml:space="preserve"> </w:t>
      </w:r>
      <w:r>
        <w:rPr>
          <w:w w:val="105"/>
        </w:rPr>
        <w:t>should</w:t>
      </w:r>
      <w:r>
        <w:rPr>
          <w:spacing w:val="-15"/>
          <w:w w:val="105"/>
        </w:rPr>
        <w:t xml:space="preserve"> </w:t>
      </w:r>
      <w:r>
        <w:rPr>
          <w:w w:val="105"/>
        </w:rPr>
        <w:t>differ, then the cap on the liability of such person arising from such circumstances which is higher shall be the applicable cap.</w:t>
      </w:r>
    </w:p>
    <w:p w14:paraId="00FF3A70" w14:textId="77777777" w:rsidR="008E1315" w:rsidRDefault="004D0CA3">
      <w:pPr>
        <w:pStyle w:val="ListParagraph"/>
        <w:numPr>
          <w:ilvl w:val="1"/>
          <w:numId w:val="3"/>
        </w:numPr>
        <w:tabs>
          <w:tab w:val="left" w:pos="460"/>
        </w:tabs>
        <w:spacing w:before="236"/>
        <w:ind w:hanging="360"/>
        <w:jc w:val="both"/>
      </w:pPr>
      <w:r>
        <w:t>Conferral</w:t>
      </w:r>
      <w:r>
        <w:rPr>
          <w:spacing w:val="17"/>
        </w:rPr>
        <w:t xml:space="preserve"> </w:t>
      </w:r>
      <w:r>
        <w:t>of</w:t>
      </w:r>
      <w:r>
        <w:rPr>
          <w:spacing w:val="21"/>
        </w:rPr>
        <w:t xml:space="preserve"> </w:t>
      </w:r>
      <w:r>
        <w:t>discretionary</w:t>
      </w:r>
      <w:r>
        <w:rPr>
          <w:spacing w:val="22"/>
        </w:rPr>
        <w:t xml:space="preserve"> </w:t>
      </w:r>
      <w:r>
        <w:rPr>
          <w:spacing w:val="-2"/>
        </w:rPr>
        <w:t>authority</w:t>
      </w:r>
    </w:p>
    <w:p w14:paraId="5A7196B4" w14:textId="77777777" w:rsidR="008E1315" w:rsidRDefault="004D0CA3">
      <w:pPr>
        <w:pStyle w:val="ListParagraph"/>
        <w:numPr>
          <w:ilvl w:val="2"/>
          <w:numId w:val="3"/>
        </w:numPr>
        <w:tabs>
          <w:tab w:val="left" w:pos="817"/>
          <w:tab w:val="left" w:pos="820"/>
        </w:tabs>
        <w:spacing w:before="244" w:line="242" w:lineRule="auto"/>
        <w:ind w:left="820" w:right="118" w:hanging="360"/>
        <w:jc w:val="both"/>
      </w:pPr>
      <w:r>
        <w:rPr>
          <w:w w:val="105"/>
        </w:rPr>
        <w:t xml:space="preserve">The Association has discretionary authority, on application by a person referred to in </w:t>
      </w:r>
      <w:r>
        <w:t xml:space="preserve">clause 2.1, to specify in relation to that person a higher maximum amount of liability than </w:t>
      </w:r>
      <w:r>
        <w:rPr>
          <w:w w:val="105"/>
        </w:rPr>
        <w:t>would</w:t>
      </w:r>
      <w:r>
        <w:rPr>
          <w:spacing w:val="-12"/>
          <w:w w:val="105"/>
        </w:rPr>
        <w:t xml:space="preserve"> </w:t>
      </w:r>
      <w:r>
        <w:rPr>
          <w:w w:val="105"/>
        </w:rPr>
        <w:t>otherwise</w:t>
      </w:r>
      <w:r>
        <w:rPr>
          <w:spacing w:val="-14"/>
          <w:w w:val="105"/>
        </w:rPr>
        <w:t xml:space="preserve"> </w:t>
      </w:r>
      <w:r>
        <w:rPr>
          <w:w w:val="105"/>
        </w:rPr>
        <w:t>apply</w:t>
      </w:r>
      <w:r>
        <w:rPr>
          <w:spacing w:val="-10"/>
          <w:w w:val="105"/>
        </w:rPr>
        <w:t xml:space="preserve"> </w:t>
      </w:r>
      <w:r>
        <w:rPr>
          <w:w w:val="105"/>
        </w:rPr>
        <w:t>under</w:t>
      </w:r>
      <w:r>
        <w:rPr>
          <w:spacing w:val="-14"/>
          <w:w w:val="105"/>
        </w:rPr>
        <w:t xml:space="preserve"> </w:t>
      </w:r>
      <w:r>
        <w:rPr>
          <w:w w:val="105"/>
        </w:rPr>
        <w:t>the</w:t>
      </w:r>
      <w:r>
        <w:rPr>
          <w:spacing w:val="-10"/>
          <w:w w:val="105"/>
        </w:rPr>
        <w:t xml:space="preserve"> </w:t>
      </w:r>
      <w:r>
        <w:rPr>
          <w:w w:val="105"/>
        </w:rPr>
        <w:t>scheme,</w:t>
      </w:r>
      <w:r>
        <w:rPr>
          <w:spacing w:val="-13"/>
          <w:w w:val="105"/>
        </w:rPr>
        <w:t xml:space="preserve"> </w:t>
      </w:r>
      <w:r>
        <w:rPr>
          <w:w w:val="105"/>
        </w:rPr>
        <w:t>in</w:t>
      </w:r>
      <w:r>
        <w:rPr>
          <w:spacing w:val="-11"/>
          <w:w w:val="105"/>
        </w:rPr>
        <w:t xml:space="preserve"> </w:t>
      </w:r>
      <w:r>
        <w:rPr>
          <w:w w:val="105"/>
        </w:rPr>
        <w:t>all</w:t>
      </w:r>
      <w:r>
        <w:rPr>
          <w:spacing w:val="-11"/>
          <w:w w:val="105"/>
        </w:rPr>
        <w:t xml:space="preserve"> </w:t>
      </w:r>
      <w:r>
        <w:rPr>
          <w:w w:val="105"/>
        </w:rPr>
        <w:t>cases</w:t>
      </w:r>
      <w:r>
        <w:rPr>
          <w:spacing w:val="-13"/>
          <w:w w:val="105"/>
        </w:rPr>
        <w:t xml:space="preserve"> </w:t>
      </w:r>
      <w:r>
        <w:rPr>
          <w:w w:val="105"/>
        </w:rPr>
        <w:t>or</w:t>
      </w:r>
      <w:r>
        <w:rPr>
          <w:spacing w:val="-14"/>
          <w:w w:val="105"/>
        </w:rPr>
        <w:t xml:space="preserve"> </w:t>
      </w:r>
      <w:r>
        <w:rPr>
          <w:w w:val="105"/>
        </w:rPr>
        <w:t>in</w:t>
      </w:r>
      <w:r>
        <w:rPr>
          <w:spacing w:val="-14"/>
          <w:w w:val="105"/>
        </w:rPr>
        <w:t xml:space="preserve"> </w:t>
      </w:r>
      <w:r>
        <w:rPr>
          <w:w w:val="105"/>
        </w:rPr>
        <w:t>any</w:t>
      </w:r>
      <w:r>
        <w:rPr>
          <w:spacing w:val="-11"/>
          <w:w w:val="105"/>
        </w:rPr>
        <w:t xml:space="preserve"> </w:t>
      </w:r>
      <w:r>
        <w:rPr>
          <w:w w:val="105"/>
        </w:rPr>
        <w:t>specified</w:t>
      </w:r>
      <w:r>
        <w:rPr>
          <w:spacing w:val="-12"/>
          <w:w w:val="105"/>
        </w:rPr>
        <w:t xml:space="preserve"> </w:t>
      </w:r>
      <w:r>
        <w:rPr>
          <w:w w:val="105"/>
        </w:rPr>
        <w:t>case</w:t>
      </w:r>
      <w:r>
        <w:rPr>
          <w:spacing w:val="-13"/>
          <w:w w:val="105"/>
        </w:rPr>
        <w:t xml:space="preserve"> </w:t>
      </w:r>
      <w:r>
        <w:rPr>
          <w:w w:val="105"/>
        </w:rPr>
        <w:t>or</w:t>
      </w:r>
      <w:r>
        <w:rPr>
          <w:spacing w:val="-14"/>
          <w:w w:val="105"/>
        </w:rPr>
        <w:t xml:space="preserve"> </w:t>
      </w:r>
      <w:r>
        <w:rPr>
          <w:w w:val="105"/>
        </w:rPr>
        <w:t>class</w:t>
      </w:r>
      <w:r>
        <w:rPr>
          <w:spacing w:val="-12"/>
          <w:w w:val="105"/>
        </w:rPr>
        <w:t xml:space="preserve"> </w:t>
      </w:r>
      <w:r>
        <w:rPr>
          <w:w w:val="105"/>
        </w:rPr>
        <w:t xml:space="preserve">of </w:t>
      </w:r>
      <w:r>
        <w:rPr>
          <w:spacing w:val="-4"/>
          <w:w w:val="105"/>
        </w:rPr>
        <w:t>case.</w:t>
      </w:r>
    </w:p>
    <w:p w14:paraId="52AF6430" w14:textId="77777777" w:rsidR="008E1315" w:rsidRDefault="004D0CA3">
      <w:pPr>
        <w:pStyle w:val="ListParagraph"/>
        <w:numPr>
          <w:ilvl w:val="1"/>
          <w:numId w:val="3"/>
        </w:numPr>
        <w:tabs>
          <w:tab w:val="left" w:pos="526"/>
        </w:tabs>
        <w:spacing w:before="240"/>
        <w:ind w:left="526" w:hanging="426"/>
        <w:jc w:val="both"/>
      </w:pPr>
      <w:r>
        <w:rPr>
          <w:w w:val="105"/>
        </w:rPr>
        <w:t>Commencement</w:t>
      </w:r>
      <w:r>
        <w:rPr>
          <w:spacing w:val="24"/>
          <w:w w:val="105"/>
        </w:rPr>
        <w:t xml:space="preserve"> </w:t>
      </w:r>
      <w:r>
        <w:rPr>
          <w:w w:val="105"/>
        </w:rPr>
        <w:t>and</w:t>
      </w:r>
      <w:r>
        <w:rPr>
          <w:spacing w:val="23"/>
          <w:w w:val="105"/>
        </w:rPr>
        <w:t xml:space="preserve"> </w:t>
      </w:r>
      <w:r>
        <w:rPr>
          <w:spacing w:val="-2"/>
          <w:w w:val="105"/>
        </w:rPr>
        <w:t>duration</w:t>
      </w:r>
    </w:p>
    <w:p w14:paraId="2DA360DA" w14:textId="77777777" w:rsidR="008E1315" w:rsidRDefault="004D0CA3">
      <w:pPr>
        <w:pStyle w:val="ListParagraph"/>
        <w:numPr>
          <w:ilvl w:val="2"/>
          <w:numId w:val="3"/>
        </w:numPr>
        <w:tabs>
          <w:tab w:val="left" w:pos="951"/>
        </w:tabs>
        <w:spacing w:before="243"/>
        <w:ind w:left="951" w:hanging="424"/>
        <w:jc w:val="both"/>
      </w:pPr>
      <w:r>
        <w:rPr>
          <w:w w:val="105"/>
        </w:rPr>
        <w:t>The</w:t>
      </w:r>
      <w:r>
        <w:rPr>
          <w:spacing w:val="-5"/>
          <w:w w:val="105"/>
        </w:rPr>
        <w:t xml:space="preserve"> </w:t>
      </w:r>
      <w:r>
        <w:rPr>
          <w:w w:val="105"/>
        </w:rPr>
        <w:t>scheme</w:t>
      </w:r>
      <w:r>
        <w:rPr>
          <w:spacing w:val="-4"/>
          <w:w w:val="105"/>
        </w:rPr>
        <w:t xml:space="preserve"> </w:t>
      </w:r>
      <w:r>
        <w:rPr>
          <w:w w:val="105"/>
        </w:rPr>
        <w:t>will</w:t>
      </w:r>
      <w:r>
        <w:rPr>
          <w:spacing w:val="-5"/>
          <w:w w:val="105"/>
        </w:rPr>
        <w:t xml:space="preserve"> </w:t>
      </w:r>
      <w:r>
        <w:rPr>
          <w:spacing w:val="-2"/>
          <w:w w:val="105"/>
        </w:rPr>
        <w:t>commence:</w:t>
      </w:r>
    </w:p>
    <w:p w14:paraId="6FC755BF" w14:textId="77777777" w:rsidR="008E1315" w:rsidRDefault="004D0CA3">
      <w:pPr>
        <w:pStyle w:val="ListParagraph"/>
        <w:numPr>
          <w:ilvl w:val="3"/>
          <w:numId w:val="3"/>
        </w:numPr>
        <w:tabs>
          <w:tab w:val="left" w:pos="1538"/>
          <w:tab w:val="left" w:pos="1540"/>
        </w:tabs>
        <w:spacing w:before="124" w:line="244" w:lineRule="auto"/>
        <w:ind w:right="117"/>
        <w:jc w:val="both"/>
      </w:pPr>
      <w:r>
        <w:rPr>
          <w:w w:val="105"/>
        </w:rPr>
        <w:t>in Western Australia, New South Wales, Victoria, Queensland, the Northern Territory</w:t>
      </w:r>
      <w:r>
        <w:rPr>
          <w:spacing w:val="-3"/>
          <w:w w:val="105"/>
        </w:rPr>
        <w:t xml:space="preserve"> </w:t>
      </w:r>
      <w:r>
        <w:rPr>
          <w:w w:val="105"/>
        </w:rPr>
        <w:t>and</w:t>
      </w:r>
      <w:r>
        <w:rPr>
          <w:spacing w:val="-2"/>
          <w:w w:val="105"/>
        </w:rPr>
        <w:t xml:space="preserve"> </w:t>
      </w:r>
      <w:r>
        <w:rPr>
          <w:w w:val="105"/>
        </w:rPr>
        <w:t>Tasmania,</w:t>
      </w:r>
      <w:r>
        <w:rPr>
          <w:spacing w:val="-5"/>
          <w:w w:val="105"/>
        </w:rPr>
        <w:t xml:space="preserve"> </w:t>
      </w:r>
      <w:r>
        <w:rPr>
          <w:w w:val="105"/>
        </w:rPr>
        <w:t>on</w:t>
      </w:r>
      <w:r>
        <w:rPr>
          <w:spacing w:val="-3"/>
          <w:w w:val="105"/>
        </w:rPr>
        <w:t xml:space="preserve"> </w:t>
      </w:r>
      <w:r>
        <w:rPr>
          <w:w w:val="105"/>
        </w:rPr>
        <w:t>1</w:t>
      </w:r>
      <w:r>
        <w:rPr>
          <w:spacing w:val="-3"/>
          <w:w w:val="105"/>
        </w:rPr>
        <w:t xml:space="preserve"> </w:t>
      </w:r>
      <w:r>
        <w:rPr>
          <w:w w:val="105"/>
        </w:rPr>
        <w:t>July</w:t>
      </w:r>
      <w:r>
        <w:rPr>
          <w:spacing w:val="-3"/>
          <w:w w:val="105"/>
        </w:rPr>
        <w:t xml:space="preserve"> </w:t>
      </w:r>
      <w:r>
        <w:rPr>
          <w:w w:val="105"/>
        </w:rPr>
        <w:t>2025;</w:t>
      </w:r>
      <w:r>
        <w:rPr>
          <w:spacing w:val="-3"/>
          <w:w w:val="105"/>
        </w:rPr>
        <w:t xml:space="preserve"> </w:t>
      </w:r>
      <w:r>
        <w:rPr>
          <w:w w:val="105"/>
        </w:rPr>
        <w:t>and</w:t>
      </w:r>
    </w:p>
    <w:p w14:paraId="4D317653" w14:textId="77777777" w:rsidR="008E1315" w:rsidRDefault="004D0CA3">
      <w:pPr>
        <w:pStyle w:val="ListParagraph"/>
        <w:numPr>
          <w:ilvl w:val="3"/>
          <w:numId w:val="3"/>
        </w:numPr>
        <w:tabs>
          <w:tab w:val="left" w:pos="1538"/>
          <w:tab w:val="left" w:pos="1540"/>
        </w:tabs>
        <w:spacing w:before="118" w:line="244" w:lineRule="auto"/>
        <w:ind w:right="118"/>
        <w:jc w:val="both"/>
      </w:pPr>
      <w:r>
        <w:t>in</w:t>
      </w:r>
      <w:r>
        <w:rPr>
          <w:spacing w:val="-6"/>
        </w:rPr>
        <w:t xml:space="preserve"> </w:t>
      </w:r>
      <w:r>
        <w:t>the</w:t>
      </w:r>
      <w:r>
        <w:rPr>
          <w:spacing w:val="-2"/>
        </w:rPr>
        <w:t xml:space="preserve"> </w:t>
      </w:r>
      <w:r>
        <w:t>Australian</w:t>
      </w:r>
      <w:r>
        <w:rPr>
          <w:spacing w:val="-5"/>
        </w:rPr>
        <w:t xml:space="preserve"> </w:t>
      </w:r>
      <w:r>
        <w:t>Capital</w:t>
      </w:r>
      <w:r>
        <w:rPr>
          <w:spacing w:val="-2"/>
        </w:rPr>
        <w:t xml:space="preserve"> </w:t>
      </w:r>
      <w:r>
        <w:t>Territory</w:t>
      </w:r>
      <w:r>
        <w:rPr>
          <w:spacing w:val="-5"/>
        </w:rPr>
        <w:t xml:space="preserve"> </w:t>
      </w:r>
      <w:r>
        <w:t>and</w:t>
      </w:r>
      <w:r>
        <w:rPr>
          <w:spacing w:val="-5"/>
        </w:rPr>
        <w:t xml:space="preserve"> </w:t>
      </w:r>
      <w:r>
        <w:t>in</w:t>
      </w:r>
      <w:r>
        <w:rPr>
          <w:spacing w:val="-6"/>
        </w:rPr>
        <w:t xml:space="preserve"> </w:t>
      </w:r>
      <w:r>
        <w:t>South</w:t>
      </w:r>
      <w:r>
        <w:rPr>
          <w:spacing w:val="-5"/>
        </w:rPr>
        <w:t xml:space="preserve"> </w:t>
      </w:r>
      <w:r>
        <w:t>Australia,</w:t>
      </w:r>
      <w:r>
        <w:rPr>
          <w:spacing w:val="-6"/>
        </w:rPr>
        <w:t xml:space="preserve"> </w:t>
      </w:r>
      <w:r>
        <w:t>on</w:t>
      </w:r>
      <w:r>
        <w:rPr>
          <w:spacing w:val="-2"/>
        </w:rPr>
        <w:t xml:space="preserve"> </w:t>
      </w:r>
      <w:r>
        <w:t>this</w:t>
      </w:r>
      <w:r>
        <w:rPr>
          <w:spacing w:val="-5"/>
        </w:rPr>
        <w:t xml:space="preserve"> </w:t>
      </w:r>
      <w:r>
        <w:t>same</w:t>
      </w:r>
      <w:r>
        <w:rPr>
          <w:spacing w:val="-5"/>
        </w:rPr>
        <w:t xml:space="preserve"> </w:t>
      </w:r>
      <w:r>
        <w:t>date,</w:t>
      </w:r>
      <w:r>
        <w:rPr>
          <w:spacing w:val="-5"/>
        </w:rPr>
        <w:t xml:space="preserve"> </w:t>
      </w:r>
      <w:r>
        <w:t>or</w:t>
      </w:r>
      <w:r>
        <w:rPr>
          <w:spacing w:val="-3"/>
        </w:rPr>
        <w:t xml:space="preserve"> </w:t>
      </w:r>
      <w:r>
        <w:t xml:space="preserve">such </w:t>
      </w:r>
      <w:r>
        <w:rPr>
          <w:spacing w:val="-2"/>
          <w:w w:val="105"/>
        </w:rPr>
        <w:t>other</w:t>
      </w:r>
      <w:r>
        <w:rPr>
          <w:spacing w:val="-12"/>
          <w:w w:val="105"/>
        </w:rPr>
        <w:t xml:space="preserve"> </w:t>
      </w:r>
      <w:r>
        <w:rPr>
          <w:spacing w:val="-2"/>
          <w:w w:val="105"/>
        </w:rPr>
        <w:t>later</w:t>
      </w:r>
      <w:r>
        <w:rPr>
          <w:spacing w:val="-12"/>
          <w:w w:val="105"/>
        </w:rPr>
        <w:t xml:space="preserve"> </w:t>
      </w:r>
      <w:r>
        <w:rPr>
          <w:spacing w:val="-2"/>
          <w:w w:val="105"/>
        </w:rPr>
        <w:t>date,</w:t>
      </w:r>
      <w:r>
        <w:rPr>
          <w:spacing w:val="-12"/>
          <w:w w:val="105"/>
        </w:rPr>
        <w:t xml:space="preserve"> </w:t>
      </w:r>
      <w:r>
        <w:rPr>
          <w:spacing w:val="-2"/>
          <w:w w:val="105"/>
        </w:rPr>
        <w:t>provided</w:t>
      </w:r>
      <w:r>
        <w:rPr>
          <w:spacing w:val="-11"/>
          <w:w w:val="105"/>
        </w:rPr>
        <w:t xml:space="preserve"> </w:t>
      </w:r>
      <w:r>
        <w:rPr>
          <w:spacing w:val="-2"/>
          <w:w w:val="105"/>
        </w:rPr>
        <w:t>the</w:t>
      </w:r>
      <w:r>
        <w:rPr>
          <w:spacing w:val="-12"/>
          <w:w w:val="105"/>
        </w:rPr>
        <w:t xml:space="preserve"> </w:t>
      </w:r>
      <w:r>
        <w:rPr>
          <w:spacing w:val="-2"/>
          <w:w w:val="105"/>
        </w:rPr>
        <w:t>date</w:t>
      </w:r>
      <w:r>
        <w:rPr>
          <w:spacing w:val="-12"/>
          <w:w w:val="105"/>
        </w:rPr>
        <w:t xml:space="preserve"> </w:t>
      </w:r>
      <w:r>
        <w:rPr>
          <w:spacing w:val="-2"/>
          <w:w w:val="105"/>
        </w:rPr>
        <w:t>is</w:t>
      </w:r>
      <w:r>
        <w:rPr>
          <w:spacing w:val="-11"/>
          <w:w w:val="105"/>
        </w:rPr>
        <w:t xml:space="preserve"> </w:t>
      </w:r>
      <w:r>
        <w:rPr>
          <w:spacing w:val="-2"/>
          <w:w w:val="105"/>
        </w:rPr>
        <w:t>specified</w:t>
      </w:r>
      <w:r>
        <w:rPr>
          <w:spacing w:val="-11"/>
          <w:w w:val="105"/>
        </w:rPr>
        <w:t xml:space="preserve"> </w:t>
      </w:r>
      <w:r>
        <w:rPr>
          <w:spacing w:val="-2"/>
          <w:w w:val="105"/>
        </w:rPr>
        <w:t>in</w:t>
      </w:r>
      <w:r>
        <w:rPr>
          <w:spacing w:val="-12"/>
          <w:w w:val="105"/>
        </w:rPr>
        <w:t xml:space="preserve"> </w:t>
      </w:r>
      <w:r>
        <w:rPr>
          <w:spacing w:val="-2"/>
          <w:w w:val="105"/>
        </w:rPr>
        <w:t>the</w:t>
      </w:r>
      <w:r>
        <w:rPr>
          <w:spacing w:val="-12"/>
          <w:w w:val="105"/>
        </w:rPr>
        <w:t xml:space="preserve"> </w:t>
      </w:r>
      <w:r>
        <w:rPr>
          <w:spacing w:val="-2"/>
          <w:w w:val="105"/>
        </w:rPr>
        <w:t>relevant</w:t>
      </w:r>
      <w:r>
        <w:rPr>
          <w:spacing w:val="-12"/>
          <w:w w:val="105"/>
        </w:rPr>
        <w:t xml:space="preserve"> </w:t>
      </w:r>
      <w:r>
        <w:rPr>
          <w:spacing w:val="-2"/>
          <w:w w:val="105"/>
        </w:rPr>
        <w:t>Minister’s</w:t>
      </w:r>
      <w:r>
        <w:rPr>
          <w:spacing w:val="-11"/>
          <w:w w:val="105"/>
        </w:rPr>
        <w:t xml:space="preserve"> </w:t>
      </w:r>
      <w:r>
        <w:rPr>
          <w:spacing w:val="-2"/>
          <w:w w:val="105"/>
        </w:rPr>
        <w:t>notice</w:t>
      </w:r>
      <w:r>
        <w:rPr>
          <w:spacing w:val="-12"/>
          <w:w w:val="105"/>
        </w:rPr>
        <w:t xml:space="preserve"> </w:t>
      </w:r>
      <w:r>
        <w:rPr>
          <w:spacing w:val="-2"/>
          <w:w w:val="105"/>
        </w:rPr>
        <w:t xml:space="preserve">in </w:t>
      </w:r>
      <w:r>
        <w:rPr>
          <w:w w:val="105"/>
        </w:rPr>
        <w:t>relation to the scheme; or</w:t>
      </w:r>
    </w:p>
    <w:p w14:paraId="7D952464" w14:textId="77777777" w:rsidR="008E1315" w:rsidRDefault="004D0CA3">
      <w:pPr>
        <w:pStyle w:val="ListParagraph"/>
        <w:numPr>
          <w:ilvl w:val="3"/>
          <w:numId w:val="3"/>
        </w:numPr>
        <w:tabs>
          <w:tab w:val="left" w:pos="1538"/>
          <w:tab w:val="left" w:pos="1540"/>
        </w:tabs>
        <w:spacing w:before="118" w:line="244" w:lineRule="auto"/>
        <w:ind w:right="119"/>
        <w:jc w:val="both"/>
      </w:pPr>
      <w:r>
        <w:rPr>
          <w:w w:val="105"/>
        </w:rPr>
        <w:t xml:space="preserve">in all other cases, subject to the statutory provisions of each applicable </w:t>
      </w:r>
      <w:r>
        <w:rPr>
          <w:spacing w:val="-2"/>
          <w:w w:val="105"/>
        </w:rPr>
        <w:t>jurisdiction.</w:t>
      </w:r>
    </w:p>
    <w:p w14:paraId="5DA21327" w14:textId="77777777" w:rsidR="008E1315" w:rsidRDefault="004D0CA3">
      <w:pPr>
        <w:pStyle w:val="ListParagraph"/>
        <w:numPr>
          <w:ilvl w:val="2"/>
          <w:numId w:val="3"/>
        </w:numPr>
        <w:tabs>
          <w:tab w:val="left" w:pos="928"/>
        </w:tabs>
        <w:spacing w:before="120" w:line="242" w:lineRule="auto"/>
        <w:ind w:right="118"/>
        <w:jc w:val="both"/>
      </w:pPr>
      <w:r>
        <w:rPr>
          <w:w w:val="105"/>
        </w:rPr>
        <w:t>The scheme will be in force in all applicable jurisdictions 5 years from the date of its commencement in Western Australia.</w:t>
      </w:r>
    </w:p>
    <w:p w14:paraId="2DC59EB4" w14:textId="77777777" w:rsidR="008E1315" w:rsidRDefault="004D0CA3">
      <w:pPr>
        <w:pStyle w:val="ListParagraph"/>
        <w:numPr>
          <w:ilvl w:val="2"/>
          <w:numId w:val="3"/>
        </w:numPr>
        <w:tabs>
          <w:tab w:val="left" w:pos="952"/>
        </w:tabs>
        <w:spacing w:before="125" w:line="242" w:lineRule="auto"/>
        <w:ind w:left="952" w:right="121" w:hanging="492"/>
        <w:jc w:val="both"/>
      </w:pPr>
      <w:r>
        <w:t>Clause 6.2 is subject to the provisions of each jurisdiction in relation to the revocation, extension, or cessation of a scheme.</w:t>
      </w:r>
    </w:p>
    <w:p w14:paraId="11662993" w14:textId="77777777" w:rsidR="008E1315" w:rsidRDefault="004D0CA3">
      <w:pPr>
        <w:pStyle w:val="ListParagraph"/>
        <w:numPr>
          <w:ilvl w:val="1"/>
          <w:numId w:val="3"/>
        </w:numPr>
        <w:tabs>
          <w:tab w:val="left" w:pos="459"/>
        </w:tabs>
        <w:spacing w:before="242"/>
        <w:ind w:left="459" w:hanging="359"/>
        <w:jc w:val="both"/>
      </w:pPr>
      <w:r>
        <w:rPr>
          <w:spacing w:val="-2"/>
          <w:w w:val="105"/>
        </w:rPr>
        <w:t>Definitions</w:t>
      </w:r>
    </w:p>
    <w:p w14:paraId="17559923" w14:textId="77777777" w:rsidR="008E1315" w:rsidRDefault="004D0CA3">
      <w:pPr>
        <w:pStyle w:val="ListParagraph"/>
        <w:numPr>
          <w:ilvl w:val="2"/>
          <w:numId w:val="3"/>
        </w:numPr>
        <w:tabs>
          <w:tab w:val="left" w:pos="927"/>
        </w:tabs>
        <w:spacing w:before="124"/>
        <w:ind w:left="927" w:hanging="431"/>
        <w:jc w:val="both"/>
      </w:pPr>
      <w:r>
        <w:rPr>
          <w:w w:val="105"/>
        </w:rPr>
        <w:t>Relevant</w:t>
      </w:r>
      <w:r>
        <w:rPr>
          <w:spacing w:val="-14"/>
          <w:w w:val="105"/>
        </w:rPr>
        <w:t xml:space="preserve"> </w:t>
      </w:r>
      <w:r>
        <w:rPr>
          <w:w w:val="105"/>
        </w:rPr>
        <w:t>definitions</w:t>
      </w:r>
      <w:r>
        <w:rPr>
          <w:spacing w:val="-13"/>
          <w:w w:val="105"/>
        </w:rPr>
        <w:t xml:space="preserve"> </w:t>
      </w:r>
      <w:r>
        <w:rPr>
          <w:w w:val="105"/>
        </w:rPr>
        <w:t>for</w:t>
      </w:r>
      <w:r>
        <w:rPr>
          <w:spacing w:val="-14"/>
          <w:w w:val="105"/>
        </w:rPr>
        <w:t xml:space="preserve"> </w:t>
      </w:r>
      <w:r>
        <w:rPr>
          <w:w w:val="105"/>
        </w:rPr>
        <w:t>the</w:t>
      </w:r>
      <w:r>
        <w:rPr>
          <w:spacing w:val="-14"/>
          <w:w w:val="105"/>
        </w:rPr>
        <w:t xml:space="preserve"> </w:t>
      </w:r>
      <w:r>
        <w:rPr>
          <w:w w:val="105"/>
        </w:rPr>
        <w:t>purpose</w:t>
      </w:r>
      <w:r>
        <w:rPr>
          <w:spacing w:val="-14"/>
          <w:w w:val="105"/>
        </w:rPr>
        <w:t xml:space="preserve"> </w:t>
      </w:r>
      <w:r>
        <w:rPr>
          <w:w w:val="105"/>
        </w:rPr>
        <w:t>of</w:t>
      </w:r>
      <w:r>
        <w:rPr>
          <w:spacing w:val="-12"/>
          <w:w w:val="105"/>
        </w:rPr>
        <w:t xml:space="preserve"> </w:t>
      </w:r>
      <w:r>
        <w:rPr>
          <w:w w:val="105"/>
        </w:rPr>
        <w:t>this</w:t>
      </w:r>
      <w:r>
        <w:rPr>
          <w:spacing w:val="-12"/>
          <w:w w:val="105"/>
        </w:rPr>
        <w:t xml:space="preserve"> </w:t>
      </w:r>
      <w:r>
        <w:rPr>
          <w:w w:val="105"/>
        </w:rPr>
        <w:t>scheme</w:t>
      </w:r>
      <w:r>
        <w:rPr>
          <w:spacing w:val="-14"/>
          <w:w w:val="105"/>
        </w:rPr>
        <w:t xml:space="preserve"> </w:t>
      </w:r>
      <w:r>
        <w:rPr>
          <w:w w:val="105"/>
        </w:rPr>
        <w:t>are</w:t>
      </w:r>
      <w:r>
        <w:rPr>
          <w:spacing w:val="-14"/>
          <w:w w:val="105"/>
        </w:rPr>
        <w:t xml:space="preserve"> </w:t>
      </w:r>
      <w:r>
        <w:rPr>
          <w:w w:val="105"/>
        </w:rPr>
        <w:t>as</w:t>
      </w:r>
      <w:r>
        <w:rPr>
          <w:spacing w:val="-14"/>
          <w:w w:val="105"/>
        </w:rPr>
        <w:t xml:space="preserve"> </w:t>
      </w:r>
      <w:r>
        <w:rPr>
          <w:spacing w:val="-2"/>
          <w:w w:val="105"/>
        </w:rPr>
        <w:t>follows:</w:t>
      </w:r>
    </w:p>
    <w:p w14:paraId="49E0980D" w14:textId="77777777" w:rsidR="008E1315" w:rsidRDefault="004D0CA3">
      <w:pPr>
        <w:spacing w:before="124" w:line="244" w:lineRule="auto"/>
        <w:ind w:left="887" w:right="115"/>
        <w:jc w:val="both"/>
      </w:pPr>
      <w:r>
        <w:rPr>
          <w:w w:val="105"/>
        </w:rPr>
        <w:t xml:space="preserve">“corresponding laws” means the </w:t>
      </w:r>
      <w:r>
        <w:rPr>
          <w:i/>
          <w:w w:val="105"/>
        </w:rPr>
        <w:t xml:space="preserve">Professional Standards Act 1994 </w:t>
      </w:r>
      <w:r>
        <w:rPr>
          <w:w w:val="105"/>
        </w:rPr>
        <w:t xml:space="preserve">(NSW) </w:t>
      </w:r>
      <w:r>
        <w:rPr>
          <w:i/>
          <w:w w:val="105"/>
        </w:rPr>
        <w:t xml:space="preserve">Professional Standards Act 2003 </w:t>
      </w:r>
      <w:r>
        <w:rPr>
          <w:w w:val="105"/>
        </w:rPr>
        <w:t xml:space="preserve">(Vic), the </w:t>
      </w:r>
      <w:r>
        <w:rPr>
          <w:i/>
          <w:w w:val="105"/>
        </w:rPr>
        <w:t xml:space="preserve">Professional Standards Act 2004 </w:t>
      </w:r>
      <w:r>
        <w:rPr>
          <w:w w:val="105"/>
        </w:rPr>
        <w:t xml:space="preserve">(Qld), the </w:t>
      </w:r>
      <w:r>
        <w:rPr>
          <w:i/>
          <w:w w:val="105"/>
        </w:rPr>
        <w:t xml:space="preserve">Professional Standards Act 2004 </w:t>
      </w:r>
      <w:r>
        <w:rPr>
          <w:w w:val="105"/>
        </w:rPr>
        <w:t xml:space="preserve">(SA), the </w:t>
      </w:r>
      <w:r>
        <w:rPr>
          <w:i/>
          <w:w w:val="105"/>
        </w:rPr>
        <w:t xml:space="preserve">Professional Standards Act 2005 </w:t>
      </w:r>
      <w:r>
        <w:rPr>
          <w:w w:val="105"/>
        </w:rPr>
        <w:t xml:space="preserve">(Tas), the </w:t>
      </w:r>
      <w:r>
        <w:rPr>
          <w:i/>
          <w:w w:val="105"/>
        </w:rPr>
        <w:t>Professional Standards</w:t>
      </w:r>
      <w:r>
        <w:rPr>
          <w:i/>
          <w:spacing w:val="-14"/>
          <w:w w:val="105"/>
        </w:rPr>
        <w:t xml:space="preserve"> </w:t>
      </w:r>
      <w:r>
        <w:rPr>
          <w:i/>
          <w:w w:val="105"/>
        </w:rPr>
        <w:t>Act</w:t>
      </w:r>
      <w:r>
        <w:rPr>
          <w:i/>
          <w:spacing w:val="-11"/>
          <w:w w:val="105"/>
        </w:rPr>
        <w:t xml:space="preserve"> </w:t>
      </w:r>
      <w:r>
        <w:rPr>
          <w:i/>
          <w:w w:val="105"/>
        </w:rPr>
        <w:t>2004</w:t>
      </w:r>
      <w:r>
        <w:rPr>
          <w:i/>
          <w:spacing w:val="-10"/>
          <w:w w:val="105"/>
        </w:rPr>
        <w:t xml:space="preserve"> </w:t>
      </w:r>
      <w:r>
        <w:rPr>
          <w:w w:val="105"/>
        </w:rPr>
        <w:t>(NT),</w:t>
      </w:r>
      <w:r>
        <w:rPr>
          <w:spacing w:val="-12"/>
          <w:w w:val="105"/>
        </w:rPr>
        <w:t xml:space="preserve"> </w:t>
      </w:r>
      <w:r>
        <w:rPr>
          <w:w w:val="105"/>
        </w:rPr>
        <w:t>and</w:t>
      </w:r>
      <w:r>
        <w:rPr>
          <w:spacing w:val="-11"/>
          <w:w w:val="105"/>
        </w:rPr>
        <w:t xml:space="preserve"> </w:t>
      </w:r>
      <w:r>
        <w:rPr>
          <w:w w:val="105"/>
        </w:rPr>
        <w:t>the</w:t>
      </w:r>
      <w:r>
        <w:rPr>
          <w:spacing w:val="-12"/>
          <w:w w:val="105"/>
        </w:rPr>
        <w:t xml:space="preserve"> </w:t>
      </w:r>
      <w:r>
        <w:rPr>
          <w:i/>
          <w:w w:val="105"/>
        </w:rPr>
        <w:t>Civil</w:t>
      </w:r>
      <w:r>
        <w:rPr>
          <w:i/>
          <w:spacing w:val="-11"/>
          <w:w w:val="105"/>
        </w:rPr>
        <w:t xml:space="preserve"> </w:t>
      </w:r>
      <w:r>
        <w:rPr>
          <w:i/>
          <w:w w:val="105"/>
        </w:rPr>
        <w:t>Law</w:t>
      </w:r>
      <w:r>
        <w:rPr>
          <w:i/>
          <w:spacing w:val="-13"/>
          <w:w w:val="105"/>
        </w:rPr>
        <w:t xml:space="preserve"> </w:t>
      </w:r>
      <w:r>
        <w:rPr>
          <w:i/>
          <w:w w:val="105"/>
        </w:rPr>
        <w:t>(Wrongs)</w:t>
      </w:r>
      <w:r>
        <w:rPr>
          <w:i/>
          <w:spacing w:val="-13"/>
          <w:w w:val="105"/>
        </w:rPr>
        <w:t xml:space="preserve"> </w:t>
      </w:r>
      <w:r>
        <w:rPr>
          <w:i/>
          <w:w w:val="105"/>
        </w:rPr>
        <w:t>Act</w:t>
      </w:r>
      <w:r>
        <w:rPr>
          <w:i/>
          <w:spacing w:val="-12"/>
          <w:w w:val="105"/>
        </w:rPr>
        <w:t xml:space="preserve"> </w:t>
      </w:r>
      <w:r>
        <w:rPr>
          <w:i/>
          <w:w w:val="105"/>
        </w:rPr>
        <w:t>2002</w:t>
      </w:r>
      <w:r>
        <w:rPr>
          <w:i/>
          <w:spacing w:val="-10"/>
          <w:w w:val="105"/>
        </w:rPr>
        <w:t xml:space="preserve"> </w:t>
      </w:r>
      <w:r>
        <w:rPr>
          <w:w w:val="105"/>
        </w:rPr>
        <w:t>(ACT)</w:t>
      </w:r>
    </w:p>
    <w:p w14:paraId="4835F760" w14:textId="77777777" w:rsidR="008E1315" w:rsidRDefault="004D0CA3">
      <w:pPr>
        <w:pStyle w:val="BodyText"/>
        <w:spacing w:line="242" w:lineRule="auto"/>
        <w:ind w:left="887" w:right="3006" w:firstLine="0"/>
        <w:jc w:val="left"/>
      </w:pPr>
      <w:r>
        <w:t>“court” has the same meaning as it has in the Acts “damages” has the same meaning as it has in the Act</w:t>
      </w:r>
    </w:p>
    <w:p w14:paraId="595FF0BF" w14:textId="77777777" w:rsidR="008E1315" w:rsidRDefault="004D0CA3">
      <w:pPr>
        <w:pStyle w:val="BodyText"/>
        <w:spacing w:before="2" w:line="244" w:lineRule="auto"/>
        <w:ind w:left="887" w:right="1690" w:firstLine="0"/>
        <w:jc w:val="left"/>
      </w:pPr>
      <w:r>
        <w:t xml:space="preserve">“occupational liability” has the same meaning as it has in the Act </w:t>
      </w:r>
      <w:r>
        <w:rPr>
          <w:w w:val="105"/>
        </w:rPr>
        <w:t>“person” means an individual or a body corporate.</w:t>
      </w:r>
    </w:p>
    <w:sectPr w:rsidR="008E1315" w:rsidSect="007B2625">
      <w:pgSz w:w="11910" w:h="16840"/>
      <w:pgMar w:top="1340" w:right="960" w:bottom="1200" w:left="9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179E" w14:textId="77777777" w:rsidR="00611FE2" w:rsidRDefault="00611FE2">
      <w:r>
        <w:separator/>
      </w:r>
    </w:p>
  </w:endnote>
  <w:endnote w:type="continuationSeparator" w:id="0">
    <w:p w14:paraId="7A482062" w14:textId="77777777" w:rsidR="00611FE2" w:rsidRDefault="0061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7725" w14:textId="77777777" w:rsidR="001F6A9D" w:rsidRDefault="001F6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D4B3" w14:textId="77777777" w:rsidR="007B2625" w:rsidRDefault="007B2625" w:rsidP="007B2625">
    <w:pPr>
      <w:spacing w:before="20" w:after="120"/>
      <w:ind w:left="23"/>
      <w:rPr>
        <w:sz w:val="18"/>
      </w:rPr>
    </w:pPr>
    <w:r>
      <w:rPr>
        <w:color w:val="374851"/>
        <w:sz w:val="18"/>
      </w:rPr>
      <w:t>Western</w:t>
    </w:r>
    <w:r>
      <w:rPr>
        <w:color w:val="374851"/>
        <w:spacing w:val="5"/>
        <w:sz w:val="18"/>
      </w:rPr>
      <w:t xml:space="preserve"> </w:t>
    </w:r>
    <w:r>
      <w:rPr>
        <w:color w:val="374851"/>
        <w:sz w:val="18"/>
      </w:rPr>
      <w:t>Australian</w:t>
    </w:r>
    <w:r>
      <w:rPr>
        <w:color w:val="374851"/>
        <w:spacing w:val="7"/>
        <w:sz w:val="18"/>
      </w:rPr>
      <w:t xml:space="preserve"> </w:t>
    </w:r>
    <w:r>
      <w:rPr>
        <w:color w:val="374851"/>
        <w:sz w:val="18"/>
      </w:rPr>
      <w:t>Bar</w:t>
    </w:r>
    <w:r>
      <w:rPr>
        <w:color w:val="374851"/>
        <w:spacing w:val="10"/>
        <w:sz w:val="18"/>
      </w:rPr>
      <w:t xml:space="preserve"> </w:t>
    </w:r>
    <w:r>
      <w:rPr>
        <w:color w:val="374851"/>
        <w:sz w:val="18"/>
      </w:rPr>
      <w:t>Association</w:t>
    </w:r>
    <w:r>
      <w:rPr>
        <w:color w:val="374851"/>
        <w:spacing w:val="7"/>
        <w:sz w:val="18"/>
      </w:rPr>
      <w:t xml:space="preserve"> </w:t>
    </w:r>
    <w:r>
      <w:rPr>
        <w:color w:val="374851"/>
        <w:sz w:val="18"/>
      </w:rPr>
      <w:t>Professional</w:t>
    </w:r>
    <w:r>
      <w:rPr>
        <w:color w:val="374851"/>
        <w:spacing w:val="7"/>
        <w:sz w:val="18"/>
      </w:rPr>
      <w:t xml:space="preserve"> </w:t>
    </w:r>
    <w:r>
      <w:rPr>
        <w:color w:val="374851"/>
        <w:sz w:val="18"/>
      </w:rPr>
      <w:t>Standards</w:t>
    </w:r>
    <w:r>
      <w:rPr>
        <w:color w:val="374851"/>
        <w:spacing w:val="9"/>
        <w:sz w:val="18"/>
      </w:rPr>
      <w:t xml:space="preserve"> </w:t>
    </w:r>
    <w:r>
      <w:rPr>
        <w:color w:val="374851"/>
        <w:sz w:val="18"/>
      </w:rPr>
      <w:t>Scheme</w:t>
    </w:r>
    <w:r>
      <w:rPr>
        <w:color w:val="374851"/>
        <w:spacing w:val="78"/>
        <w:sz w:val="18"/>
      </w:rPr>
      <w:t xml:space="preserve"> </w:t>
    </w:r>
    <w:r>
      <w:rPr>
        <w:color w:val="374851"/>
        <w:sz w:val="18"/>
      </w:rPr>
      <w:t>I</w:t>
    </w:r>
    <w:r>
      <w:rPr>
        <w:color w:val="374851"/>
        <w:spacing w:val="73"/>
        <w:sz w:val="18"/>
      </w:rPr>
      <w:t xml:space="preserve"> </w:t>
    </w:r>
    <w:r>
      <w:rPr>
        <w:color w:val="374851"/>
        <w:sz w:val="18"/>
      </w:rPr>
      <w:t>Scheme</w:t>
    </w:r>
    <w:r>
      <w:rPr>
        <w:color w:val="374851"/>
        <w:spacing w:val="8"/>
        <w:sz w:val="18"/>
      </w:rPr>
      <w:t xml:space="preserve"> </w:t>
    </w:r>
    <w:r>
      <w:rPr>
        <w:color w:val="374851"/>
        <w:sz w:val="18"/>
      </w:rPr>
      <w:t>Instrument</w:t>
    </w:r>
    <w:r>
      <w:rPr>
        <w:color w:val="374851"/>
        <w:spacing w:val="72"/>
        <w:sz w:val="18"/>
      </w:rPr>
      <w:t xml:space="preserve"> </w:t>
    </w:r>
    <w:r>
      <w:rPr>
        <w:color w:val="374851"/>
        <w:sz w:val="18"/>
      </w:rPr>
      <w:t>I</w:t>
    </w:r>
    <w:r>
      <w:rPr>
        <w:color w:val="374851"/>
        <w:spacing w:val="72"/>
        <w:sz w:val="18"/>
      </w:rPr>
      <w:t xml:space="preserve"> </w:t>
    </w:r>
    <w:r>
      <w:rPr>
        <w:color w:val="374851"/>
        <w:sz w:val="18"/>
      </w:rPr>
      <w:t>Page</w:t>
    </w:r>
    <w:r>
      <w:rPr>
        <w:color w:val="374851"/>
        <w:spacing w:val="12"/>
        <w:sz w:val="18"/>
      </w:rPr>
      <w:t xml:space="preserve"> </w:t>
    </w:r>
    <w:r>
      <w:rPr>
        <w:color w:val="374851"/>
        <w:spacing w:val="-10"/>
        <w:sz w:val="18"/>
      </w:rPr>
      <w:fldChar w:fldCharType="begin"/>
    </w:r>
    <w:r>
      <w:rPr>
        <w:color w:val="374851"/>
        <w:spacing w:val="-10"/>
        <w:sz w:val="18"/>
      </w:rPr>
      <w:instrText xml:space="preserve"> PAGE </w:instrText>
    </w:r>
    <w:r>
      <w:rPr>
        <w:color w:val="374851"/>
        <w:spacing w:val="-10"/>
        <w:sz w:val="18"/>
      </w:rPr>
      <w:fldChar w:fldCharType="separate"/>
    </w:r>
    <w:r>
      <w:rPr>
        <w:color w:val="374851"/>
        <w:spacing w:val="-10"/>
        <w:sz w:val="18"/>
      </w:rPr>
      <w:t>1</w:t>
    </w:r>
    <w:r>
      <w:rPr>
        <w:color w:val="374851"/>
        <w:spacing w:val="-10"/>
        <w:sz w:val="18"/>
      </w:rPr>
      <w:fldChar w:fldCharType="end"/>
    </w:r>
  </w:p>
  <w:p w14:paraId="41B54F9A" w14:textId="4ABB9229" w:rsidR="008E1315" w:rsidRPr="001F6A9D" w:rsidRDefault="001F6A9D" w:rsidP="001F6A9D">
    <w:pPr>
      <w:jc w:val="center"/>
      <w:rPr>
        <w:rFonts w:ascii="Arial" w:hAnsi="Arial" w:cs="Arial"/>
        <w:sz w:val="14"/>
        <w:szCs w:val="14"/>
      </w:rPr>
    </w:pPr>
    <w:r w:rsidRPr="001F6A9D">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E43C" w14:textId="77777777" w:rsidR="001F6A9D" w:rsidRDefault="001F6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210E" w14:textId="77777777" w:rsidR="00611FE2" w:rsidRDefault="00611FE2">
      <w:r>
        <w:separator/>
      </w:r>
    </w:p>
  </w:footnote>
  <w:footnote w:type="continuationSeparator" w:id="0">
    <w:p w14:paraId="1FADA747" w14:textId="77777777" w:rsidR="00611FE2" w:rsidRDefault="00611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B241" w14:textId="77777777" w:rsidR="001F6A9D" w:rsidRDefault="001F6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43E2" w14:textId="77777777" w:rsidR="001F6A9D" w:rsidRDefault="001F6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E00B" w14:textId="77777777" w:rsidR="001F6A9D" w:rsidRDefault="001F6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285B"/>
    <w:multiLevelType w:val="hybridMultilevel"/>
    <w:tmpl w:val="AFAA8102"/>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1E880CA9"/>
    <w:multiLevelType w:val="multilevel"/>
    <w:tmpl w:val="6E343E46"/>
    <w:lvl w:ilvl="0">
      <w:start w:val="1"/>
      <w:numFmt w:val="upperLetter"/>
      <w:lvlText w:val="%1."/>
      <w:lvlJc w:val="left"/>
      <w:pPr>
        <w:ind w:left="527" w:hanging="428"/>
        <w:jc w:val="left"/>
      </w:pPr>
      <w:rPr>
        <w:rFonts w:ascii="Trebuchet MS" w:eastAsia="Trebuchet MS" w:hAnsi="Trebuchet MS" w:cs="Trebuchet MS" w:hint="default"/>
        <w:b w:val="0"/>
        <w:bCs w:val="0"/>
        <w:i w:val="0"/>
        <w:iCs w:val="0"/>
        <w:spacing w:val="-1"/>
        <w:w w:val="92"/>
        <w:sz w:val="22"/>
        <w:szCs w:val="22"/>
        <w:lang w:val="en-US" w:eastAsia="en-US" w:bidi="ar-SA"/>
      </w:rPr>
    </w:lvl>
    <w:lvl w:ilvl="1">
      <w:start w:val="1"/>
      <w:numFmt w:val="decimal"/>
      <w:lvlText w:val="%2."/>
      <w:lvlJc w:val="left"/>
      <w:pPr>
        <w:ind w:left="460" w:hanging="361"/>
        <w:jc w:val="left"/>
      </w:pPr>
      <w:rPr>
        <w:rFonts w:ascii="Trebuchet MS" w:eastAsia="Trebuchet MS" w:hAnsi="Trebuchet MS" w:cs="Trebuchet MS" w:hint="default"/>
        <w:b w:val="0"/>
        <w:bCs w:val="0"/>
        <w:i w:val="0"/>
        <w:iCs w:val="0"/>
        <w:spacing w:val="-1"/>
        <w:w w:val="73"/>
        <w:sz w:val="22"/>
        <w:szCs w:val="22"/>
        <w:lang w:val="en-US" w:eastAsia="en-US" w:bidi="ar-SA"/>
      </w:rPr>
    </w:lvl>
    <w:lvl w:ilvl="2">
      <w:start w:val="1"/>
      <w:numFmt w:val="decimal"/>
      <w:lvlText w:val="%2.%3"/>
      <w:lvlJc w:val="left"/>
      <w:pPr>
        <w:ind w:left="928" w:hanging="432"/>
        <w:jc w:val="left"/>
      </w:pPr>
      <w:rPr>
        <w:rFonts w:ascii="Trebuchet MS" w:eastAsia="Trebuchet MS" w:hAnsi="Trebuchet MS" w:cs="Trebuchet MS" w:hint="default"/>
        <w:b w:val="0"/>
        <w:bCs w:val="0"/>
        <w:i w:val="0"/>
        <w:iCs w:val="0"/>
        <w:spacing w:val="-1"/>
        <w:w w:val="55"/>
        <w:sz w:val="22"/>
        <w:szCs w:val="22"/>
        <w:lang w:val="en-US" w:eastAsia="en-US" w:bidi="ar-SA"/>
      </w:rPr>
    </w:lvl>
    <w:lvl w:ilvl="3">
      <w:start w:val="1"/>
      <w:numFmt w:val="decimal"/>
      <w:lvlText w:val="%2.%3.%4"/>
      <w:lvlJc w:val="left"/>
      <w:pPr>
        <w:ind w:left="1540" w:hanging="612"/>
        <w:jc w:val="left"/>
      </w:pPr>
      <w:rPr>
        <w:rFonts w:ascii="Trebuchet MS" w:eastAsia="Trebuchet MS" w:hAnsi="Trebuchet MS" w:cs="Trebuchet MS" w:hint="default"/>
        <w:b w:val="0"/>
        <w:bCs w:val="0"/>
        <w:i w:val="0"/>
        <w:iCs w:val="0"/>
        <w:spacing w:val="-1"/>
        <w:w w:val="55"/>
        <w:sz w:val="22"/>
        <w:szCs w:val="22"/>
        <w:lang w:val="en-US" w:eastAsia="en-US" w:bidi="ar-SA"/>
      </w:rPr>
    </w:lvl>
    <w:lvl w:ilvl="4">
      <w:numFmt w:val="bullet"/>
      <w:lvlText w:val="•"/>
      <w:lvlJc w:val="left"/>
      <w:pPr>
        <w:ind w:left="960" w:hanging="612"/>
      </w:pPr>
      <w:rPr>
        <w:rFonts w:hint="default"/>
        <w:lang w:val="en-US" w:eastAsia="en-US" w:bidi="ar-SA"/>
      </w:rPr>
    </w:lvl>
    <w:lvl w:ilvl="5">
      <w:numFmt w:val="bullet"/>
      <w:lvlText w:val="•"/>
      <w:lvlJc w:val="left"/>
      <w:pPr>
        <w:ind w:left="1540" w:hanging="612"/>
      </w:pPr>
      <w:rPr>
        <w:rFonts w:hint="default"/>
        <w:lang w:val="en-US" w:eastAsia="en-US" w:bidi="ar-SA"/>
      </w:rPr>
    </w:lvl>
    <w:lvl w:ilvl="6">
      <w:numFmt w:val="bullet"/>
      <w:lvlText w:val="•"/>
      <w:lvlJc w:val="left"/>
      <w:pPr>
        <w:ind w:left="3225" w:hanging="612"/>
      </w:pPr>
      <w:rPr>
        <w:rFonts w:hint="default"/>
        <w:lang w:val="en-US" w:eastAsia="en-US" w:bidi="ar-SA"/>
      </w:rPr>
    </w:lvl>
    <w:lvl w:ilvl="7">
      <w:numFmt w:val="bullet"/>
      <w:lvlText w:val="•"/>
      <w:lvlJc w:val="left"/>
      <w:pPr>
        <w:ind w:left="4910" w:hanging="612"/>
      </w:pPr>
      <w:rPr>
        <w:rFonts w:hint="default"/>
        <w:lang w:val="en-US" w:eastAsia="en-US" w:bidi="ar-SA"/>
      </w:rPr>
    </w:lvl>
    <w:lvl w:ilvl="8">
      <w:numFmt w:val="bullet"/>
      <w:lvlText w:val="•"/>
      <w:lvlJc w:val="left"/>
      <w:pPr>
        <w:ind w:left="6595" w:hanging="612"/>
      </w:pPr>
      <w:rPr>
        <w:rFonts w:hint="default"/>
        <w:lang w:val="en-US" w:eastAsia="en-US" w:bidi="ar-SA"/>
      </w:rPr>
    </w:lvl>
  </w:abstractNum>
  <w:abstractNum w:abstractNumId="2" w15:restartNumberingAfterBreak="0">
    <w:nsid w:val="66477BD7"/>
    <w:multiLevelType w:val="hybridMultilevel"/>
    <w:tmpl w:val="83AE1D88"/>
    <w:lvl w:ilvl="0" w:tplc="43C432EA">
      <w:start w:val="1"/>
      <w:numFmt w:val="lowerLetter"/>
      <w:lvlText w:val="%1)"/>
      <w:lvlJc w:val="left"/>
      <w:pPr>
        <w:ind w:left="1377" w:hanging="483"/>
        <w:jc w:val="left"/>
      </w:pPr>
      <w:rPr>
        <w:rFonts w:ascii="Trebuchet MS" w:eastAsia="Trebuchet MS" w:hAnsi="Trebuchet MS" w:cs="Trebuchet MS" w:hint="default"/>
        <w:b w:val="0"/>
        <w:bCs w:val="0"/>
        <w:i w:val="0"/>
        <w:iCs w:val="0"/>
        <w:spacing w:val="0"/>
        <w:w w:val="94"/>
        <w:sz w:val="22"/>
        <w:szCs w:val="22"/>
        <w:lang w:val="en-US" w:eastAsia="en-US" w:bidi="ar-SA"/>
      </w:rPr>
    </w:lvl>
    <w:lvl w:ilvl="1" w:tplc="82F220A2">
      <w:numFmt w:val="bullet"/>
      <w:lvlText w:val="•"/>
      <w:lvlJc w:val="left"/>
      <w:pPr>
        <w:ind w:left="2238" w:hanging="483"/>
      </w:pPr>
      <w:rPr>
        <w:rFonts w:hint="default"/>
        <w:lang w:val="en-US" w:eastAsia="en-US" w:bidi="ar-SA"/>
      </w:rPr>
    </w:lvl>
    <w:lvl w:ilvl="2" w:tplc="711EF834">
      <w:numFmt w:val="bullet"/>
      <w:lvlText w:val="•"/>
      <w:lvlJc w:val="left"/>
      <w:pPr>
        <w:ind w:left="3097" w:hanging="483"/>
      </w:pPr>
      <w:rPr>
        <w:rFonts w:hint="default"/>
        <w:lang w:val="en-US" w:eastAsia="en-US" w:bidi="ar-SA"/>
      </w:rPr>
    </w:lvl>
    <w:lvl w:ilvl="3" w:tplc="822AE4E4">
      <w:numFmt w:val="bullet"/>
      <w:lvlText w:val="•"/>
      <w:lvlJc w:val="left"/>
      <w:pPr>
        <w:ind w:left="3955" w:hanging="483"/>
      </w:pPr>
      <w:rPr>
        <w:rFonts w:hint="default"/>
        <w:lang w:val="en-US" w:eastAsia="en-US" w:bidi="ar-SA"/>
      </w:rPr>
    </w:lvl>
    <w:lvl w:ilvl="4" w:tplc="91561E08">
      <w:numFmt w:val="bullet"/>
      <w:lvlText w:val="•"/>
      <w:lvlJc w:val="left"/>
      <w:pPr>
        <w:ind w:left="4814" w:hanging="483"/>
      </w:pPr>
      <w:rPr>
        <w:rFonts w:hint="default"/>
        <w:lang w:val="en-US" w:eastAsia="en-US" w:bidi="ar-SA"/>
      </w:rPr>
    </w:lvl>
    <w:lvl w:ilvl="5" w:tplc="5DD420CA">
      <w:numFmt w:val="bullet"/>
      <w:lvlText w:val="•"/>
      <w:lvlJc w:val="left"/>
      <w:pPr>
        <w:ind w:left="5673" w:hanging="483"/>
      </w:pPr>
      <w:rPr>
        <w:rFonts w:hint="default"/>
        <w:lang w:val="en-US" w:eastAsia="en-US" w:bidi="ar-SA"/>
      </w:rPr>
    </w:lvl>
    <w:lvl w:ilvl="6" w:tplc="3D3EC43E">
      <w:numFmt w:val="bullet"/>
      <w:lvlText w:val="•"/>
      <w:lvlJc w:val="left"/>
      <w:pPr>
        <w:ind w:left="6531" w:hanging="483"/>
      </w:pPr>
      <w:rPr>
        <w:rFonts w:hint="default"/>
        <w:lang w:val="en-US" w:eastAsia="en-US" w:bidi="ar-SA"/>
      </w:rPr>
    </w:lvl>
    <w:lvl w:ilvl="7" w:tplc="F6D871B2">
      <w:numFmt w:val="bullet"/>
      <w:lvlText w:val="•"/>
      <w:lvlJc w:val="left"/>
      <w:pPr>
        <w:ind w:left="7390" w:hanging="483"/>
      </w:pPr>
      <w:rPr>
        <w:rFonts w:hint="default"/>
        <w:lang w:val="en-US" w:eastAsia="en-US" w:bidi="ar-SA"/>
      </w:rPr>
    </w:lvl>
    <w:lvl w:ilvl="8" w:tplc="3058FD8A">
      <w:numFmt w:val="bullet"/>
      <w:lvlText w:val="•"/>
      <w:lvlJc w:val="left"/>
      <w:pPr>
        <w:ind w:left="8249" w:hanging="483"/>
      </w:pPr>
      <w:rPr>
        <w:rFonts w:hint="default"/>
        <w:lang w:val="en-US" w:eastAsia="en-US" w:bidi="ar-SA"/>
      </w:rPr>
    </w:lvl>
  </w:abstractNum>
  <w:abstractNum w:abstractNumId="3" w15:restartNumberingAfterBreak="0">
    <w:nsid w:val="7FA53C79"/>
    <w:multiLevelType w:val="hybridMultilevel"/>
    <w:tmpl w:val="55FC2A0C"/>
    <w:lvl w:ilvl="0" w:tplc="514EAC4E">
      <w:start w:val="1"/>
      <w:numFmt w:val="lowerLetter"/>
      <w:lvlText w:val="(%1)"/>
      <w:lvlJc w:val="left"/>
      <w:pPr>
        <w:ind w:left="1516" w:hanging="528"/>
        <w:jc w:val="left"/>
      </w:pPr>
      <w:rPr>
        <w:rFonts w:ascii="Trebuchet MS" w:eastAsia="Trebuchet MS" w:hAnsi="Trebuchet MS" w:cs="Trebuchet MS" w:hint="default"/>
        <w:b w:val="0"/>
        <w:bCs w:val="0"/>
        <w:i w:val="0"/>
        <w:iCs w:val="0"/>
        <w:spacing w:val="-1"/>
        <w:w w:val="89"/>
        <w:sz w:val="22"/>
        <w:szCs w:val="22"/>
        <w:lang w:val="en-US" w:eastAsia="en-US" w:bidi="ar-SA"/>
      </w:rPr>
    </w:lvl>
    <w:lvl w:ilvl="1" w:tplc="C8445B8C">
      <w:numFmt w:val="bullet"/>
      <w:lvlText w:val="•"/>
      <w:lvlJc w:val="left"/>
      <w:pPr>
        <w:ind w:left="2364" w:hanging="528"/>
      </w:pPr>
      <w:rPr>
        <w:rFonts w:hint="default"/>
        <w:lang w:val="en-US" w:eastAsia="en-US" w:bidi="ar-SA"/>
      </w:rPr>
    </w:lvl>
    <w:lvl w:ilvl="2" w:tplc="A0E2AF5E">
      <w:numFmt w:val="bullet"/>
      <w:lvlText w:val="•"/>
      <w:lvlJc w:val="left"/>
      <w:pPr>
        <w:ind w:left="3209" w:hanging="528"/>
      </w:pPr>
      <w:rPr>
        <w:rFonts w:hint="default"/>
        <w:lang w:val="en-US" w:eastAsia="en-US" w:bidi="ar-SA"/>
      </w:rPr>
    </w:lvl>
    <w:lvl w:ilvl="3" w:tplc="23DAEEDC">
      <w:numFmt w:val="bullet"/>
      <w:lvlText w:val="•"/>
      <w:lvlJc w:val="left"/>
      <w:pPr>
        <w:ind w:left="4053" w:hanging="528"/>
      </w:pPr>
      <w:rPr>
        <w:rFonts w:hint="default"/>
        <w:lang w:val="en-US" w:eastAsia="en-US" w:bidi="ar-SA"/>
      </w:rPr>
    </w:lvl>
    <w:lvl w:ilvl="4" w:tplc="00227F5E">
      <w:numFmt w:val="bullet"/>
      <w:lvlText w:val="•"/>
      <w:lvlJc w:val="left"/>
      <w:pPr>
        <w:ind w:left="4898" w:hanging="528"/>
      </w:pPr>
      <w:rPr>
        <w:rFonts w:hint="default"/>
        <w:lang w:val="en-US" w:eastAsia="en-US" w:bidi="ar-SA"/>
      </w:rPr>
    </w:lvl>
    <w:lvl w:ilvl="5" w:tplc="D1486FBC">
      <w:numFmt w:val="bullet"/>
      <w:lvlText w:val="•"/>
      <w:lvlJc w:val="left"/>
      <w:pPr>
        <w:ind w:left="5743" w:hanging="528"/>
      </w:pPr>
      <w:rPr>
        <w:rFonts w:hint="default"/>
        <w:lang w:val="en-US" w:eastAsia="en-US" w:bidi="ar-SA"/>
      </w:rPr>
    </w:lvl>
    <w:lvl w:ilvl="6" w:tplc="1A6A9D38">
      <w:numFmt w:val="bullet"/>
      <w:lvlText w:val="•"/>
      <w:lvlJc w:val="left"/>
      <w:pPr>
        <w:ind w:left="6587" w:hanging="528"/>
      </w:pPr>
      <w:rPr>
        <w:rFonts w:hint="default"/>
        <w:lang w:val="en-US" w:eastAsia="en-US" w:bidi="ar-SA"/>
      </w:rPr>
    </w:lvl>
    <w:lvl w:ilvl="7" w:tplc="12AA501C">
      <w:numFmt w:val="bullet"/>
      <w:lvlText w:val="•"/>
      <w:lvlJc w:val="left"/>
      <w:pPr>
        <w:ind w:left="7432" w:hanging="528"/>
      </w:pPr>
      <w:rPr>
        <w:rFonts w:hint="default"/>
        <w:lang w:val="en-US" w:eastAsia="en-US" w:bidi="ar-SA"/>
      </w:rPr>
    </w:lvl>
    <w:lvl w:ilvl="8" w:tplc="C2863C4A">
      <w:numFmt w:val="bullet"/>
      <w:lvlText w:val="•"/>
      <w:lvlJc w:val="left"/>
      <w:pPr>
        <w:ind w:left="8277" w:hanging="528"/>
      </w:pPr>
      <w:rPr>
        <w:rFonts w:hint="default"/>
        <w:lang w:val="en-US" w:eastAsia="en-US" w:bidi="ar-SA"/>
      </w:rPr>
    </w:lvl>
  </w:abstractNum>
  <w:num w:numId="1" w16cid:durableId="292172406">
    <w:abstractNumId w:val="3"/>
  </w:num>
  <w:num w:numId="2" w16cid:durableId="807238498">
    <w:abstractNumId w:val="2"/>
  </w:num>
  <w:num w:numId="3" w16cid:durableId="890503421">
    <w:abstractNumId w:val="1"/>
  </w:num>
  <w:num w:numId="4" w16cid:durableId="712996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1315"/>
    <w:rsid w:val="00056953"/>
    <w:rsid w:val="000A1A77"/>
    <w:rsid w:val="00177DFF"/>
    <w:rsid w:val="001A3B55"/>
    <w:rsid w:val="001C1992"/>
    <w:rsid w:val="001F6A9D"/>
    <w:rsid w:val="00311E61"/>
    <w:rsid w:val="004D0CA3"/>
    <w:rsid w:val="00541F56"/>
    <w:rsid w:val="005B62D2"/>
    <w:rsid w:val="00611FE2"/>
    <w:rsid w:val="006D1931"/>
    <w:rsid w:val="006D6C3A"/>
    <w:rsid w:val="00764229"/>
    <w:rsid w:val="007B2625"/>
    <w:rsid w:val="007B717E"/>
    <w:rsid w:val="008B11D4"/>
    <w:rsid w:val="008E1315"/>
    <w:rsid w:val="00920E55"/>
    <w:rsid w:val="00921A82"/>
    <w:rsid w:val="00973A4B"/>
    <w:rsid w:val="009A26BE"/>
    <w:rsid w:val="00A06E74"/>
    <w:rsid w:val="00AD3106"/>
    <w:rsid w:val="00BD229F"/>
    <w:rsid w:val="00C53859"/>
    <w:rsid w:val="00C8018D"/>
    <w:rsid w:val="00CA21B0"/>
    <w:rsid w:val="00CA2747"/>
    <w:rsid w:val="00CA4822"/>
    <w:rsid w:val="00D143B6"/>
    <w:rsid w:val="00E365B4"/>
    <w:rsid w:val="00EC3319"/>
    <w:rsid w:val="00FA417D"/>
    <w:rsid w:val="00FE57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C32F0"/>
  <w15:docId w15:val="{C377BDFC-B86A-4AD4-B78F-42B1FF9A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8" w:hanging="432"/>
      <w:jc w:val="both"/>
    </w:pPr>
  </w:style>
  <w:style w:type="paragraph" w:styleId="ListParagraph">
    <w:name w:val="List Paragraph"/>
    <w:basedOn w:val="Normal"/>
    <w:uiPriority w:val="1"/>
    <w:qFormat/>
    <w:pPr>
      <w:spacing w:before="123"/>
      <w:ind w:left="527" w:hanging="428"/>
      <w:jc w:val="both"/>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4D0CA3"/>
    <w:pPr>
      <w:spacing w:before="57"/>
      <w:ind w:left="1000" w:firstLine="1670"/>
    </w:pPr>
    <w:rPr>
      <w:rFonts w:ascii="Arial" w:eastAsia="Arial" w:hAnsi="Arial" w:cs="Arial"/>
      <w:b/>
      <w:bCs/>
      <w:sz w:val="38"/>
      <w:szCs w:val="38"/>
    </w:rPr>
  </w:style>
  <w:style w:type="character" w:customStyle="1" w:styleId="TitleChar">
    <w:name w:val="Title Char"/>
    <w:basedOn w:val="DefaultParagraphFont"/>
    <w:link w:val="Title"/>
    <w:uiPriority w:val="10"/>
    <w:rsid w:val="004D0CA3"/>
    <w:rPr>
      <w:rFonts w:ascii="Arial" w:eastAsia="Arial" w:hAnsi="Arial" w:cs="Arial"/>
      <w:b/>
      <w:bCs/>
      <w:sz w:val="38"/>
      <w:szCs w:val="38"/>
    </w:rPr>
  </w:style>
  <w:style w:type="paragraph" w:customStyle="1" w:styleId="Billname">
    <w:name w:val="Billname"/>
    <w:basedOn w:val="Normal"/>
    <w:rsid w:val="004D0CA3"/>
    <w:pPr>
      <w:widowControl/>
      <w:tabs>
        <w:tab w:val="left" w:pos="2400"/>
        <w:tab w:val="left" w:pos="2880"/>
      </w:tabs>
      <w:autoSpaceDE/>
      <w:autoSpaceDN/>
      <w:spacing w:before="1220" w:after="100"/>
    </w:pPr>
    <w:rPr>
      <w:rFonts w:ascii="Arial" w:eastAsia="Times New Roman" w:hAnsi="Arial" w:cs="Times New Roman"/>
      <w:b/>
      <w:sz w:val="40"/>
      <w:szCs w:val="20"/>
      <w:lang w:val="en-AU"/>
    </w:rPr>
  </w:style>
  <w:style w:type="paragraph" w:customStyle="1" w:styleId="N-line3">
    <w:name w:val="N-line3"/>
    <w:basedOn w:val="Normal"/>
    <w:next w:val="Normal"/>
    <w:rsid w:val="004D0CA3"/>
    <w:pPr>
      <w:widowControl/>
      <w:pBdr>
        <w:bottom w:val="single" w:sz="12" w:space="1" w:color="auto"/>
      </w:pBdr>
      <w:autoSpaceDE/>
      <w:autoSpaceDN/>
      <w:jc w:val="both"/>
    </w:pPr>
    <w:rPr>
      <w:rFonts w:ascii="Times New Roman" w:eastAsia="Times New Roman" w:hAnsi="Times New Roman" w:cs="Times New Roman"/>
      <w:sz w:val="24"/>
      <w:szCs w:val="20"/>
      <w:lang w:val="en-AU"/>
    </w:rPr>
  </w:style>
  <w:style w:type="paragraph" w:customStyle="1" w:styleId="madeunder">
    <w:name w:val="made under"/>
    <w:basedOn w:val="Normal"/>
    <w:rsid w:val="004D0CA3"/>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4D0CA3"/>
    <w:pPr>
      <w:widowControl/>
      <w:tabs>
        <w:tab w:val="left" w:pos="2600"/>
      </w:tabs>
      <w:autoSpaceDE/>
      <w:autoSpaceDN/>
      <w:spacing w:before="200" w:after="60"/>
      <w:jc w:val="both"/>
    </w:pPr>
    <w:rPr>
      <w:rFonts w:ascii="Arial" w:eastAsia="Times New Roman" w:hAnsi="Arial" w:cs="Times New Roman"/>
      <w:b/>
      <w:sz w:val="24"/>
      <w:szCs w:val="20"/>
      <w:lang w:val="en-AU"/>
    </w:rPr>
  </w:style>
  <w:style w:type="paragraph" w:styleId="Header">
    <w:name w:val="header"/>
    <w:basedOn w:val="Normal"/>
    <w:link w:val="HeaderChar"/>
    <w:uiPriority w:val="99"/>
    <w:unhideWhenUsed/>
    <w:rsid w:val="007B717E"/>
    <w:pPr>
      <w:tabs>
        <w:tab w:val="center" w:pos="4513"/>
        <w:tab w:val="right" w:pos="9026"/>
      </w:tabs>
    </w:pPr>
  </w:style>
  <w:style w:type="character" w:customStyle="1" w:styleId="HeaderChar">
    <w:name w:val="Header Char"/>
    <w:basedOn w:val="DefaultParagraphFont"/>
    <w:link w:val="Header"/>
    <w:uiPriority w:val="99"/>
    <w:rsid w:val="007B717E"/>
    <w:rPr>
      <w:rFonts w:ascii="Trebuchet MS" w:eastAsia="Trebuchet MS" w:hAnsi="Trebuchet MS" w:cs="Trebuchet MS"/>
    </w:rPr>
  </w:style>
  <w:style w:type="paragraph" w:styleId="Footer">
    <w:name w:val="footer"/>
    <w:basedOn w:val="Normal"/>
    <w:link w:val="FooterChar"/>
    <w:uiPriority w:val="99"/>
    <w:unhideWhenUsed/>
    <w:rsid w:val="007B717E"/>
    <w:pPr>
      <w:tabs>
        <w:tab w:val="center" w:pos="4513"/>
        <w:tab w:val="right" w:pos="9026"/>
      </w:tabs>
    </w:pPr>
  </w:style>
  <w:style w:type="character" w:customStyle="1" w:styleId="FooterChar">
    <w:name w:val="Footer Char"/>
    <w:basedOn w:val="DefaultParagraphFont"/>
    <w:link w:val="Footer"/>
    <w:uiPriority w:val="99"/>
    <w:rsid w:val="007B717E"/>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1555</Words>
  <Characters>8133</Characters>
  <Application>Microsoft Office Word</Application>
  <DocSecurity>0</DocSecurity>
  <Lines>157</Lines>
  <Paragraphs>70</Paragraphs>
  <ScaleCrop>false</ScaleCrop>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Template - Scheme instrument</dc:title>
  <dc:creator>Professional Standards Councils</dc:creator>
  <cp:lastModifiedBy>PCODCS</cp:lastModifiedBy>
  <cp:revision>4</cp:revision>
  <dcterms:created xsi:type="dcterms:W3CDTF">2025-06-16T06:01:00Z</dcterms:created>
  <dcterms:modified xsi:type="dcterms:W3CDTF">2025-06-16T06:01:00Z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for Microsoft 365</vt:lpwstr>
  </property>
  <property fmtid="{D5CDD505-2E9C-101B-9397-08002B2CF9AE}" pid="4" name="LastSaved">
    <vt:filetime>2025-03-18T00:00:00Z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2025-03-18T06:22:13Z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9ed5aa19-491d-44a4-b490-28754d821312</vt:lpwstr>
  </property>
  <property fmtid="{D5CDD505-2E9C-101B-9397-08002B2CF9AE}" pid="12" name="MSIP_Label_69af8531-eb46-4968-8cb3-105d2f5ea87e_ContentBits">
    <vt:lpwstr>0</vt:lpwstr>
  </property>
</Properties>
</file>