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8113B" w14:textId="77777777" w:rsidR="00F10CB2" w:rsidRDefault="00F10CB2">
      <w:pPr>
        <w:spacing w:before="120"/>
        <w:rPr>
          <w:rFonts w:ascii="Arial" w:hAnsi="Arial" w:cs="Arial"/>
        </w:rPr>
      </w:pPr>
      <w:bookmarkStart w:id="0" w:name="_Toc44738651"/>
      <w:r>
        <w:rPr>
          <w:rFonts w:ascii="Arial" w:hAnsi="Arial" w:cs="Arial"/>
        </w:rPr>
        <w:t>Australian Capital Territory</w:t>
      </w:r>
    </w:p>
    <w:p w14:paraId="2A30C7EA" w14:textId="16E0EDB8" w:rsidR="00F10CB2" w:rsidRDefault="0082599E">
      <w:pPr>
        <w:pStyle w:val="Billname"/>
        <w:spacing w:before="700"/>
      </w:pPr>
      <w:r>
        <w:t xml:space="preserve">Civil Law (Wrongs) Australian Property Institute Valuers Limited </w:t>
      </w:r>
      <w:r w:rsidR="00A26BF8">
        <w:t xml:space="preserve">Professional Standards </w:t>
      </w:r>
      <w:r>
        <w:t>Scheme 2026</w:t>
      </w:r>
    </w:p>
    <w:p w14:paraId="2078FAED" w14:textId="2DC0F932" w:rsidR="00F10CB2" w:rsidRDefault="00F10CB2" w:rsidP="00D47F13">
      <w:pPr>
        <w:spacing w:before="340"/>
        <w:rPr>
          <w:rFonts w:ascii="Arial" w:hAnsi="Arial" w:cs="Arial"/>
          <w:b/>
          <w:bCs/>
        </w:rPr>
      </w:pPr>
      <w:r>
        <w:rPr>
          <w:rFonts w:ascii="Arial" w:hAnsi="Arial" w:cs="Arial"/>
          <w:b/>
          <w:bCs/>
        </w:rPr>
        <w:t xml:space="preserve">Disallowable instrument </w:t>
      </w:r>
      <w:r w:rsidRPr="005204C1">
        <w:rPr>
          <w:rFonts w:ascii="Arial" w:hAnsi="Arial" w:cs="Arial"/>
          <w:b/>
          <w:bCs/>
        </w:rPr>
        <w:t>DI</w:t>
      </w:r>
      <w:r w:rsidR="0082599E" w:rsidRPr="005204C1">
        <w:rPr>
          <w:rFonts w:ascii="Arial" w:hAnsi="Arial" w:cs="Arial"/>
          <w:b/>
          <w:bCs/>
          <w:iCs/>
        </w:rPr>
        <w:t>2026</w:t>
      </w:r>
      <w:r w:rsidRPr="005204C1">
        <w:rPr>
          <w:rFonts w:ascii="Arial" w:hAnsi="Arial" w:cs="Arial"/>
          <w:b/>
          <w:bCs/>
        </w:rPr>
        <w:t>–</w:t>
      </w:r>
      <w:r w:rsidR="008C3874">
        <w:rPr>
          <w:rFonts w:ascii="Arial" w:hAnsi="Arial" w:cs="Arial"/>
          <w:b/>
          <w:bCs/>
        </w:rPr>
        <w:t>186</w:t>
      </w:r>
    </w:p>
    <w:p w14:paraId="02E87E41" w14:textId="77777777" w:rsidR="00F10CB2" w:rsidRDefault="00F10CB2" w:rsidP="00CD4E55">
      <w:pPr>
        <w:pStyle w:val="madeunder"/>
        <w:spacing w:before="300" w:after="0"/>
      </w:pPr>
      <w:r>
        <w:t xml:space="preserve">made under the  </w:t>
      </w:r>
    </w:p>
    <w:p w14:paraId="2AA59073" w14:textId="57DD4F3D" w:rsidR="00F10CB2" w:rsidRDefault="0082599E" w:rsidP="0082599E">
      <w:pPr>
        <w:pStyle w:val="CoverActName"/>
        <w:spacing w:before="320" w:after="0"/>
        <w:jc w:val="left"/>
        <w:rPr>
          <w:rFonts w:cs="Arial"/>
          <w:sz w:val="20"/>
        </w:rPr>
      </w:pPr>
      <w:r w:rsidRPr="0082599E">
        <w:rPr>
          <w:rFonts w:cs="Arial"/>
          <w:bCs/>
          <w:sz w:val="20"/>
        </w:rPr>
        <w:t>Civil Law (Wrongs) Act 2002, schedule 4, section 4.10 (Schemes are subject to disallowance)</w:t>
      </w:r>
    </w:p>
    <w:p w14:paraId="672A6659" w14:textId="77777777" w:rsidR="00F10CB2" w:rsidRDefault="00F10CB2" w:rsidP="00CD4E55">
      <w:pPr>
        <w:pStyle w:val="N-line3"/>
        <w:pBdr>
          <w:bottom w:val="none" w:sz="0" w:space="0" w:color="auto"/>
        </w:pBdr>
        <w:spacing w:before="60"/>
      </w:pPr>
    </w:p>
    <w:p w14:paraId="0A37501D" w14:textId="77777777" w:rsidR="00F10CB2" w:rsidRDefault="00F10CB2">
      <w:pPr>
        <w:pStyle w:val="N-line3"/>
        <w:pBdr>
          <w:top w:val="single" w:sz="12" w:space="1" w:color="auto"/>
          <w:bottom w:val="none" w:sz="0" w:space="0" w:color="auto"/>
        </w:pBdr>
      </w:pPr>
    </w:p>
    <w:p w14:paraId="320F5135" w14:textId="77777777" w:rsidR="00F10CB2" w:rsidRDefault="00F10CB2">
      <w:pPr>
        <w:spacing w:before="60" w:after="60"/>
        <w:ind w:left="720" w:hanging="720"/>
        <w:rPr>
          <w:rFonts w:ascii="Arial" w:hAnsi="Arial" w:cs="Arial"/>
          <w:b/>
          <w:bCs/>
        </w:rPr>
      </w:pPr>
      <w:r>
        <w:rPr>
          <w:rFonts w:ascii="Arial" w:hAnsi="Arial" w:cs="Arial"/>
          <w:b/>
          <w:bCs/>
        </w:rPr>
        <w:t>1</w:t>
      </w:r>
      <w:r>
        <w:rPr>
          <w:rFonts w:ascii="Arial" w:hAnsi="Arial" w:cs="Arial"/>
          <w:b/>
          <w:bCs/>
        </w:rPr>
        <w:tab/>
        <w:t>Name of instrument</w:t>
      </w:r>
    </w:p>
    <w:p w14:paraId="71BB489A" w14:textId="747E63EC" w:rsidR="00F10CB2" w:rsidRDefault="00F10CB2" w:rsidP="00D47F13">
      <w:pPr>
        <w:spacing w:before="140"/>
        <w:ind w:left="720"/>
      </w:pPr>
      <w:r>
        <w:t xml:space="preserve">This instrument is the </w:t>
      </w:r>
      <w:r w:rsidR="0082599E" w:rsidRPr="0082599E">
        <w:rPr>
          <w:i/>
          <w:iCs/>
        </w:rPr>
        <w:t xml:space="preserve">Civil Law (Wrongs) Australian Property Institute Valuers Limited </w:t>
      </w:r>
      <w:r w:rsidR="00AD6E67">
        <w:rPr>
          <w:i/>
          <w:iCs/>
        </w:rPr>
        <w:t xml:space="preserve">Professional Standards </w:t>
      </w:r>
      <w:r w:rsidR="0082599E" w:rsidRPr="0082599E">
        <w:rPr>
          <w:i/>
          <w:iCs/>
        </w:rPr>
        <w:t>Scheme 2026</w:t>
      </w:r>
      <w:r w:rsidR="005204C1">
        <w:rPr>
          <w:i/>
          <w:iCs/>
        </w:rPr>
        <w:t>.</w:t>
      </w:r>
    </w:p>
    <w:p w14:paraId="3A6E58C0" w14:textId="77777777" w:rsidR="00F10CB2" w:rsidRDefault="00F10CB2" w:rsidP="00D47F13">
      <w:pPr>
        <w:spacing w:before="300"/>
        <w:ind w:left="720" w:hanging="720"/>
        <w:rPr>
          <w:rFonts w:ascii="Arial" w:hAnsi="Arial" w:cs="Arial"/>
          <w:b/>
          <w:bCs/>
        </w:rPr>
      </w:pPr>
      <w:r>
        <w:rPr>
          <w:rFonts w:ascii="Arial" w:hAnsi="Arial" w:cs="Arial"/>
          <w:b/>
          <w:bCs/>
        </w:rPr>
        <w:t>2</w:t>
      </w:r>
      <w:r>
        <w:rPr>
          <w:rFonts w:ascii="Arial" w:hAnsi="Arial" w:cs="Arial"/>
          <w:b/>
          <w:bCs/>
        </w:rPr>
        <w:tab/>
        <w:t xml:space="preserve">Commencement </w:t>
      </w:r>
    </w:p>
    <w:p w14:paraId="6BD5F1DF" w14:textId="5832A3A2" w:rsidR="00F10CB2" w:rsidRDefault="00F10CB2" w:rsidP="00D47F13">
      <w:pPr>
        <w:spacing w:before="140"/>
        <w:ind w:left="720"/>
      </w:pPr>
      <w:r>
        <w:t xml:space="preserve">This instrument commences on </w:t>
      </w:r>
      <w:r w:rsidR="0082599E">
        <w:t>1 September 2026.</w:t>
      </w:r>
    </w:p>
    <w:p w14:paraId="039676E6" w14:textId="31A19E48" w:rsidR="00F10CB2" w:rsidRDefault="00F10CB2" w:rsidP="00D47F13">
      <w:pPr>
        <w:spacing w:before="300"/>
        <w:ind w:left="720" w:hanging="720"/>
        <w:rPr>
          <w:rFonts w:ascii="Arial" w:hAnsi="Arial" w:cs="Arial"/>
          <w:b/>
          <w:bCs/>
        </w:rPr>
      </w:pPr>
      <w:r>
        <w:rPr>
          <w:rFonts w:ascii="Arial" w:hAnsi="Arial" w:cs="Arial"/>
          <w:b/>
          <w:bCs/>
        </w:rPr>
        <w:t>3</w:t>
      </w:r>
      <w:r>
        <w:rPr>
          <w:rFonts w:ascii="Arial" w:hAnsi="Arial" w:cs="Arial"/>
          <w:b/>
          <w:bCs/>
        </w:rPr>
        <w:tab/>
      </w:r>
      <w:r w:rsidR="0082599E">
        <w:rPr>
          <w:rFonts w:ascii="Arial" w:hAnsi="Arial" w:cs="Arial"/>
          <w:b/>
          <w:bCs/>
        </w:rPr>
        <w:t>Notice</w:t>
      </w:r>
    </w:p>
    <w:p w14:paraId="72A76814" w14:textId="60A50F51" w:rsidR="00CA19FA" w:rsidRDefault="00CA19FA" w:rsidP="0082599E">
      <w:pPr>
        <w:spacing w:before="140"/>
        <w:ind w:left="720"/>
      </w:pPr>
      <w:r>
        <w:t xml:space="preserve">1) </w:t>
      </w:r>
      <w:r w:rsidR="0082599E">
        <w:t>I give notice of the Professional Standards Council of Victoria’s approval of the attached Australian Property Institute Valuers Limited Scheme</w:t>
      </w:r>
      <w:r>
        <w:t>.</w:t>
      </w:r>
    </w:p>
    <w:p w14:paraId="5C3F3EDD" w14:textId="12C31263" w:rsidR="0082599E" w:rsidRDefault="00CA19FA" w:rsidP="0082599E">
      <w:pPr>
        <w:spacing w:before="140"/>
        <w:ind w:left="720"/>
      </w:pPr>
      <w:r>
        <w:t xml:space="preserve">2) The Scheme is in force until </w:t>
      </w:r>
      <w:r w:rsidR="0082599E">
        <w:t>31 August 2031.</w:t>
      </w:r>
    </w:p>
    <w:p w14:paraId="3332AB2A" w14:textId="77777777" w:rsidR="0082599E" w:rsidRDefault="0082599E" w:rsidP="0082599E">
      <w:pPr>
        <w:spacing w:before="140"/>
      </w:pPr>
    </w:p>
    <w:p w14:paraId="79B0E77F" w14:textId="77777777" w:rsidR="0082599E" w:rsidRDefault="0082599E" w:rsidP="0082599E">
      <w:pPr>
        <w:spacing w:before="140"/>
      </w:pPr>
    </w:p>
    <w:p w14:paraId="67DECAFF" w14:textId="39DD4BC7" w:rsidR="00D47F13" w:rsidRDefault="0082599E" w:rsidP="0082599E">
      <w:pPr>
        <w:spacing w:before="140"/>
      </w:pPr>
      <w:r>
        <w:t>Tara Cheyne MLA</w:t>
      </w:r>
    </w:p>
    <w:p w14:paraId="4C142361" w14:textId="65E0DFF4" w:rsidR="00F10CB2" w:rsidRDefault="0082599E" w:rsidP="00D47F13">
      <w:pPr>
        <w:tabs>
          <w:tab w:val="left" w:pos="4320"/>
        </w:tabs>
      </w:pPr>
      <w:r>
        <w:t>Attorney-General</w:t>
      </w:r>
    </w:p>
    <w:bookmarkEnd w:id="0"/>
    <w:p w14:paraId="6E5E2AC7" w14:textId="1D5E1040" w:rsidR="00F10CB2" w:rsidRDefault="008C3874" w:rsidP="00232478">
      <w:pPr>
        <w:tabs>
          <w:tab w:val="left" w:pos="4320"/>
        </w:tabs>
      </w:pPr>
      <w:r>
        <w:t>9 August 2026</w:t>
      </w:r>
    </w:p>
    <w:p w14:paraId="508C078F" w14:textId="77777777" w:rsidR="0093404D" w:rsidRDefault="0093404D" w:rsidP="00232478">
      <w:pPr>
        <w:tabs>
          <w:tab w:val="left" w:pos="4320"/>
        </w:tabs>
      </w:pPr>
    </w:p>
    <w:p w14:paraId="657BFE98" w14:textId="77777777" w:rsidR="0093404D" w:rsidRDefault="0093404D" w:rsidP="00232478">
      <w:pPr>
        <w:tabs>
          <w:tab w:val="left" w:pos="4320"/>
        </w:tabs>
      </w:pPr>
    </w:p>
    <w:p w14:paraId="01391D67" w14:textId="77777777" w:rsidR="0093404D" w:rsidRDefault="0093404D" w:rsidP="00232478">
      <w:pPr>
        <w:tabs>
          <w:tab w:val="left" w:pos="4320"/>
        </w:tabs>
      </w:pPr>
    </w:p>
    <w:p w14:paraId="6410693C" w14:textId="77777777" w:rsidR="0093404D" w:rsidRDefault="0093404D" w:rsidP="00232478">
      <w:pPr>
        <w:tabs>
          <w:tab w:val="left" w:pos="4320"/>
        </w:tabs>
      </w:pPr>
    </w:p>
    <w:p w14:paraId="37C2DFA0" w14:textId="77777777" w:rsidR="0093404D" w:rsidRDefault="0093404D" w:rsidP="00232478">
      <w:pPr>
        <w:tabs>
          <w:tab w:val="left" w:pos="4320"/>
        </w:tabs>
      </w:pPr>
    </w:p>
    <w:p w14:paraId="782C4085" w14:textId="77777777" w:rsidR="0093404D" w:rsidRDefault="0093404D" w:rsidP="00232478">
      <w:pPr>
        <w:tabs>
          <w:tab w:val="left" w:pos="4320"/>
        </w:tabs>
      </w:pPr>
    </w:p>
    <w:p w14:paraId="1B6A241B" w14:textId="77777777" w:rsidR="0093404D" w:rsidRDefault="0093404D" w:rsidP="00232478">
      <w:pPr>
        <w:tabs>
          <w:tab w:val="left" w:pos="4320"/>
        </w:tabs>
      </w:pPr>
    </w:p>
    <w:p w14:paraId="2DCFEDE8" w14:textId="77777777" w:rsidR="0093404D" w:rsidRDefault="0093404D" w:rsidP="00232478">
      <w:pPr>
        <w:tabs>
          <w:tab w:val="left" w:pos="4320"/>
        </w:tabs>
      </w:pPr>
    </w:p>
    <w:p w14:paraId="3D2C2A93" w14:textId="77777777" w:rsidR="00507343" w:rsidRDefault="00507343" w:rsidP="00232478">
      <w:pPr>
        <w:tabs>
          <w:tab w:val="left" w:pos="4320"/>
        </w:tabs>
      </w:pPr>
    </w:p>
    <w:p w14:paraId="1A5E6FA6" w14:textId="77777777" w:rsidR="00507343" w:rsidRDefault="00507343" w:rsidP="00232478">
      <w:pPr>
        <w:tabs>
          <w:tab w:val="left" w:pos="4320"/>
        </w:tabs>
      </w:pPr>
    </w:p>
    <w:p w14:paraId="4C4D6F34" w14:textId="77777777" w:rsidR="00507343" w:rsidRDefault="00507343" w:rsidP="00232478">
      <w:pPr>
        <w:tabs>
          <w:tab w:val="left" w:pos="4320"/>
        </w:tabs>
      </w:pPr>
    </w:p>
    <w:p w14:paraId="65C29DFC" w14:textId="77777777" w:rsidR="00507343" w:rsidRDefault="00507343" w:rsidP="00232478">
      <w:pPr>
        <w:tabs>
          <w:tab w:val="left" w:pos="4320"/>
        </w:tabs>
      </w:pPr>
    </w:p>
    <w:p w14:paraId="2D832839" w14:textId="77777777" w:rsidR="00507343" w:rsidRPr="00507343" w:rsidRDefault="00507343" w:rsidP="00507343">
      <w:pPr>
        <w:tabs>
          <w:tab w:val="left" w:pos="4320"/>
        </w:tabs>
      </w:pPr>
    </w:p>
    <w:p w14:paraId="67A84BCE" w14:textId="77777777" w:rsidR="00507343" w:rsidRPr="00507343" w:rsidRDefault="00507343" w:rsidP="00507343">
      <w:pPr>
        <w:tabs>
          <w:tab w:val="left" w:pos="4320"/>
        </w:tabs>
        <w:rPr>
          <w:sz w:val="28"/>
          <w:szCs w:val="28"/>
        </w:rPr>
      </w:pPr>
      <w:r w:rsidRPr="00507343">
        <w:t xml:space="preserve"> </w:t>
      </w:r>
      <w:r w:rsidRPr="00507343">
        <w:rPr>
          <w:i/>
          <w:iCs/>
          <w:sz w:val="28"/>
          <w:szCs w:val="28"/>
        </w:rPr>
        <w:t xml:space="preserve">Professional Standards Act 2003 </w:t>
      </w:r>
      <w:r w:rsidRPr="00507343">
        <w:rPr>
          <w:sz w:val="28"/>
          <w:szCs w:val="28"/>
        </w:rPr>
        <w:t xml:space="preserve">(Vic) </w:t>
      </w:r>
    </w:p>
    <w:p w14:paraId="115B7CAF" w14:textId="77777777" w:rsidR="00507343" w:rsidRPr="00507343" w:rsidRDefault="00507343" w:rsidP="00507343">
      <w:pPr>
        <w:tabs>
          <w:tab w:val="left" w:pos="4320"/>
        </w:tabs>
        <w:rPr>
          <w:szCs w:val="24"/>
        </w:rPr>
      </w:pPr>
    </w:p>
    <w:p w14:paraId="6EF21732" w14:textId="606C3867" w:rsidR="00507343" w:rsidRPr="00507343" w:rsidRDefault="00507343" w:rsidP="00507343">
      <w:pPr>
        <w:tabs>
          <w:tab w:val="left" w:pos="4320"/>
        </w:tabs>
        <w:rPr>
          <w:b/>
          <w:bCs/>
          <w:szCs w:val="24"/>
        </w:rPr>
      </w:pPr>
      <w:r w:rsidRPr="00507343">
        <w:rPr>
          <w:b/>
          <w:bCs/>
          <w:szCs w:val="24"/>
        </w:rPr>
        <w:t>Australian Property Institute Valuers Limited Professional Standards Scheme</w:t>
      </w:r>
    </w:p>
    <w:p w14:paraId="41662281" w14:textId="77777777" w:rsidR="00507343" w:rsidRPr="00507343" w:rsidRDefault="00507343" w:rsidP="00507343">
      <w:pPr>
        <w:tabs>
          <w:tab w:val="left" w:pos="4320"/>
        </w:tabs>
      </w:pPr>
    </w:p>
    <w:p w14:paraId="06468077" w14:textId="754CADDD" w:rsidR="00507343" w:rsidRPr="00A260BD" w:rsidRDefault="00507343" w:rsidP="00507343">
      <w:pPr>
        <w:tabs>
          <w:tab w:val="left" w:pos="4320"/>
        </w:tabs>
        <w:spacing w:line="276" w:lineRule="auto"/>
        <w:rPr>
          <w:rFonts w:asciiTheme="minorHAnsi" w:hAnsiTheme="minorHAnsi" w:cstheme="minorHAnsi"/>
          <w:b/>
          <w:bCs/>
          <w:sz w:val="22"/>
          <w:szCs w:val="22"/>
        </w:rPr>
      </w:pPr>
      <w:r w:rsidRPr="00507343">
        <w:rPr>
          <w:rFonts w:asciiTheme="minorHAnsi" w:hAnsiTheme="minorHAnsi" w:cstheme="minorHAnsi"/>
          <w:b/>
          <w:bCs/>
          <w:sz w:val="22"/>
          <w:szCs w:val="22"/>
        </w:rPr>
        <w:t xml:space="preserve">Interpretations </w:t>
      </w:r>
    </w:p>
    <w:p w14:paraId="092D55AC" w14:textId="77777777" w:rsidR="00507343" w:rsidRPr="00507343" w:rsidRDefault="00507343" w:rsidP="00507343">
      <w:pPr>
        <w:tabs>
          <w:tab w:val="left" w:pos="4320"/>
        </w:tabs>
        <w:spacing w:line="276" w:lineRule="auto"/>
        <w:rPr>
          <w:rFonts w:asciiTheme="minorHAnsi" w:hAnsiTheme="minorHAnsi" w:cstheme="minorHAnsi"/>
          <w:sz w:val="22"/>
          <w:szCs w:val="22"/>
        </w:rPr>
      </w:pPr>
    </w:p>
    <w:p w14:paraId="52E6C9C0" w14:textId="77777777" w:rsidR="00507343" w:rsidRPr="00A260BD" w:rsidRDefault="00507343" w:rsidP="00507343">
      <w:pPr>
        <w:tabs>
          <w:tab w:val="left" w:pos="4320"/>
        </w:tabs>
        <w:spacing w:line="276" w:lineRule="auto"/>
        <w:rPr>
          <w:rFonts w:asciiTheme="minorHAnsi" w:hAnsiTheme="minorHAnsi" w:cstheme="minorHAnsi"/>
          <w:sz w:val="22"/>
          <w:szCs w:val="22"/>
        </w:rPr>
      </w:pPr>
      <w:r w:rsidRPr="00507343">
        <w:rPr>
          <w:rFonts w:asciiTheme="minorHAnsi" w:hAnsiTheme="minorHAnsi" w:cstheme="minorHAnsi"/>
          <w:sz w:val="22"/>
          <w:szCs w:val="22"/>
        </w:rPr>
        <w:t xml:space="preserve">In this Scheme Instrument, unless the context otherwise requires: </w:t>
      </w:r>
    </w:p>
    <w:p w14:paraId="63D39889" w14:textId="0C7A1C06" w:rsidR="00507343" w:rsidRPr="00A260BD" w:rsidRDefault="00507343" w:rsidP="00507343">
      <w:pPr>
        <w:pStyle w:val="ListParagraph"/>
        <w:numPr>
          <w:ilvl w:val="0"/>
          <w:numId w:val="10"/>
        </w:numPr>
        <w:tabs>
          <w:tab w:val="left" w:pos="4320"/>
        </w:tabs>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headings or sub-headings are for convenience and navigation purposes only and should not be used in the interpretation of this Scheme Instrument; </w:t>
      </w:r>
    </w:p>
    <w:p w14:paraId="2FCDAE9C" w14:textId="77777777" w:rsidR="00507343" w:rsidRPr="00A260BD" w:rsidRDefault="00507343" w:rsidP="00507343">
      <w:pPr>
        <w:pStyle w:val="ListParagraph"/>
        <w:numPr>
          <w:ilvl w:val="0"/>
          <w:numId w:val="10"/>
        </w:numPr>
        <w:tabs>
          <w:tab w:val="left" w:pos="4320"/>
        </w:tabs>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a reference to a clause shall be a reference to all of its sub-clauses; </w:t>
      </w:r>
    </w:p>
    <w:p w14:paraId="184DCB37" w14:textId="5E66FB90" w:rsidR="00507343" w:rsidRPr="00A260BD" w:rsidRDefault="00507343" w:rsidP="00507343">
      <w:pPr>
        <w:pStyle w:val="ListParagraph"/>
        <w:numPr>
          <w:ilvl w:val="0"/>
          <w:numId w:val="10"/>
        </w:numPr>
        <w:tabs>
          <w:tab w:val="left" w:pos="4320"/>
        </w:tabs>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words in the singular form should also be interpreted to include the plural form, and vice versa. </w:t>
      </w:r>
    </w:p>
    <w:p w14:paraId="382908E9" w14:textId="77777777" w:rsidR="00507343" w:rsidRPr="00507343" w:rsidRDefault="00507343" w:rsidP="00507343">
      <w:pPr>
        <w:tabs>
          <w:tab w:val="left" w:pos="4320"/>
        </w:tabs>
        <w:spacing w:line="276" w:lineRule="auto"/>
        <w:rPr>
          <w:rFonts w:asciiTheme="minorHAnsi" w:hAnsiTheme="minorHAnsi" w:cstheme="minorHAnsi"/>
          <w:sz w:val="22"/>
          <w:szCs w:val="22"/>
        </w:rPr>
      </w:pPr>
    </w:p>
    <w:p w14:paraId="3ABB7C77" w14:textId="0F76757D" w:rsidR="00507343" w:rsidRPr="00A260BD" w:rsidRDefault="00507343" w:rsidP="00507343">
      <w:pPr>
        <w:tabs>
          <w:tab w:val="left" w:pos="4320"/>
        </w:tabs>
        <w:spacing w:line="276" w:lineRule="auto"/>
        <w:rPr>
          <w:rFonts w:asciiTheme="minorHAnsi" w:hAnsiTheme="minorHAnsi" w:cstheme="minorHAnsi"/>
          <w:b/>
          <w:bCs/>
          <w:sz w:val="22"/>
          <w:szCs w:val="22"/>
        </w:rPr>
      </w:pPr>
      <w:r w:rsidRPr="00A260BD">
        <w:rPr>
          <w:rFonts w:asciiTheme="minorHAnsi" w:hAnsiTheme="minorHAnsi" w:cstheme="minorHAnsi"/>
          <w:sz w:val="22"/>
          <w:szCs w:val="22"/>
        </w:rPr>
        <w:t xml:space="preserve"> </w:t>
      </w:r>
      <w:r w:rsidRPr="00A260BD">
        <w:rPr>
          <w:rFonts w:asciiTheme="minorHAnsi" w:hAnsiTheme="minorHAnsi" w:cstheme="minorHAnsi"/>
          <w:b/>
          <w:bCs/>
          <w:sz w:val="22"/>
          <w:szCs w:val="22"/>
        </w:rPr>
        <w:t>PREAMBLE</w:t>
      </w:r>
    </w:p>
    <w:p w14:paraId="03760776" w14:textId="77777777" w:rsidR="00507343" w:rsidRPr="00507343" w:rsidRDefault="00507343" w:rsidP="00507343">
      <w:pPr>
        <w:tabs>
          <w:tab w:val="left" w:pos="4320"/>
        </w:tabs>
        <w:spacing w:line="276" w:lineRule="auto"/>
        <w:rPr>
          <w:rFonts w:asciiTheme="minorHAnsi" w:hAnsiTheme="minorHAnsi" w:cstheme="minorHAnsi"/>
          <w:sz w:val="22"/>
          <w:szCs w:val="22"/>
        </w:rPr>
      </w:pPr>
    </w:p>
    <w:p w14:paraId="517E85B0" w14:textId="55031C88" w:rsidR="00507343" w:rsidRPr="00A260BD" w:rsidRDefault="00507343" w:rsidP="00507343">
      <w:pPr>
        <w:pStyle w:val="ListParagraph"/>
        <w:numPr>
          <w:ilvl w:val="0"/>
          <w:numId w:val="11"/>
        </w:numPr>
        <w:tabs>
          <w:tab w:val="left" w:pos="4320"/>
        </w:tabs>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The Australian Property Institute Valuers Limited (APIV) is an occupational association for the purposes of the </w:t>
      </w:r>
      <w:r w:rsidRPr="00A260BD">
        <w:rPr>
          <w:rFonts w:asciiTheme="minorHAnsi" w:hAnsiTheme="minorHAnsi" w:cstheme="minorHAnsi"/>
          <w:i/>
          <w:iCs/>
          <w:sz w:val="22"/>
          <w:szCs w:val="22"/>
        </w:rPr>
        <w:t xml:space="preserve">Professional Standards Act 2003 </w:t>
      </w:r>
      <w:r w:rsidRPr="00A260BD">
        <w:rPr>
          <w:rFonts w:asciiTheme="minorHAnsi" w:hAnsiTheme="minorHAnsi" w:cstheme="minorHAnsi"/>
          <w:sz w:val="22"/>
          <w:szCs w:val="22"/>
        </w:rPr>
        <w:t xml:space="preserve">(Vic) (the Act). </w:t>
      </w:r>
    </w:p>
    <w:p w14:paraId="70FF3C36" w14:textId="77777777" w:rsidR="00507343" w:rsidRPr="00A260BD" w:rsidRDefault="00507343" w:rsidP="00507343">
      <w:pPr>
        <w:pStyle w:val="ListParagraph"/>
        <w:numPr>
          <w:ilvl w:val="0"/>
          <w:numId w:val="11"/>
        </w:numPr>
        <w:tabs>
          <w:tab w:val="left" w:pos="4320"/>
        </w:tabs>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The Scheme is prepared by the APIV for the purposes of limiting Occupational Liability to the extent to which such liability may be limited under the Act. </w:t>
      </w:r>
    </w:p>
    <w:p w14:paraId="158B26DD" w14:textId="77777777" w:rsidR="00507343" w:rsidRPr="00A260BD" w:rsidRDefault="00507343" w:rsidP="00507343">
      <w:pPr>
        <w:pStyle w:val="ListParagraph"/>
        <w:numPr>
          <w:ilvl w:val="0"/>
          <w:numId w:val="11"/>
        </w:numPr>
        <w:tabs>
          <w:tab w:val="left" w:pos="4320"/>
        </w:tabs>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The Scheme applies to all Members of APIV, subject to clause 2 below. </w:t>
      </w:r>
    </w:p>
    <w:p w14:paraId="35579B47" w14:textId="77777777" w:rsidR="00507343" w:rsidRPr="00A260BD" w:rsidRDefault="00507343" w:rsidP="00507343">
      <w:pPr>
        <w:pStyle w:val="ListParagraph"/>
        <w:numPr>
          <w:ilvl w:val="0"/>
          <w:numId w:val="11"/>
        </w:numPr>
        <w:tabs>
          <w:tab w:val="left" w:pos="4320"/>
        </w:tabs>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The Scheme will have force in Victoria, the Australian Capital Territory, New South Wales, the Northern Territory, Queensland, South Australia, Tasmania, and Western Australia. To the extent that the scheme applies to limit liability in the other jurisdictions, it is subject to the professional standards legislation of those jurisdictions. </w:t>
      </w:r>
    </w:p>
    <w:p w14:paraId="00AFC700" w14:textId="77777777" w:rsidR="00507343" w:rsidRPr="00A260BD" w:rsidRDefault="00507343" w:rsidP="00507343">
      <w:pPr>
        <w:pStyle w:val="ListParagraph"/>
        <w:numPr>
          <w:ilvl w:val="0"/>
          <w:numId w:val="11"/>
        </w:numPr>
        <w:tabs>
          <w:tab w:val="left" w:pos="4320"/>
        </w:tabs>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The APIV has furnished the Professional Standards Council (“the Council”) with a detailed list of the risk management strategies, currently in place and intended to be implemented, in respect of its Members and the means by which those strategies are intended to be implemented. </w:t>
      </w:r>
    </w:p>
    <w:p w14:paraId="6139BA51" w14:textId="77777777" w:rsidR="00507343" w:rsidRPr="00A260BD" w:rsidRDefault="00507343" w:rsidP="00507343">
      <w:pPr>
        <w:pStyle w:val="ListParagraph"/>
        <w:numPr>
          <w:ilvl w:val="0"/>
          <w:numId w:val="11"/>
        </w:numPr>
        <w:tabs>
          <w:tab w:val="left" w:pos="4320"/>
        </w:tabs>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The APIV has furnished the Council with APIV Insurance Standards with which Participating Members must comply for purposes of this Scheme. The APIV will not amend these insurance standards while the scheme is in force without prior approval of the Council. </w:t>
      </w:r>
    </w:p>
    <w:p w14:paraId="0649A179" w14:textId="77777777" w:rsidR="00507343" w:rsidRPr="00A260BD" w:rsidRDefault="00507343" w:rsidP="00507343">
      <w:pPr>
        <w:pStyle w:val="ListParagraph"/>
        <w:numPr>
          <w:ilvl w:val="0"/>
          <w:numId w:val="11"/>
        </w:numPr>
        <w:tabs>
          <w:tab w:val="left" w:pos="4320"/>
        </w:tabs>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The APIV has advised Members to whom the Scheme applies that they must have the benefit of a Professional Indemnity Insurance Policy that complies with APIV Insurance Standards and that they remain liable for the amount of any difference between the amount payable to a plaintiff under the policy and the Monetary Ceiling specified in the Scheme. </w:t>
      </w:r>
    </w:p>
    <w:p w14:paraId="624576E1" w14:textId="77777777" w:rsidR="00507343" w:rsidRPr="00A260BD" w:rsidRDefault="00507343" w:rsidP="00507343">
      <w:pPr>
        <w:pStyle w:val="ListParagraph"/>
        <w:numPr>
          <w:ilvl w:val="0"/>
          <w:numId w:val="11"/>
        </w:numPr>
        <w:tabs>
          <w:tab w:val="left" w:pos="4320"/>
        </w:tabs>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The APIV has furnished the Council with details of its complaints system and discipline system. </w:t>
      </w:r>
    </w:p>
    <w:p w14:paraId="107EF258" w14:textId="77777777" w:rsidR="00507343" w:rsidRPr="00A260BD" w:rsidRDefault="00507343" w:rsidP="00507343">
      <w:pPr>
        <w:pStyle w:val="ListParagraph"/>
        <w:numPr>
          <w:ilvl w:val="0"/>
          <w:numId w:val="11"/>
        </w:numPr>
        <w:tabs>
          <w:tab w:val="left" w:pos="4320"/>
        </w:tabs>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The APIV and its Members to whom the Scheme applies have undertaken to comply with all reporting obligations associated with the Scheme, in furtherance of the statutory objects of improvement of the occupational standards of its Members, and protection of the consumers of such Members’ services. </w:t>
      </w:r>
    </w:p>
    <w:p w14:paraId="39661300" w14:textId="77777777" w:rsidR="00507343" w:rsidRPr="00A260BD" w:rsidRDefault="00507343" w:rsidP="00507343">
      <w:pPr>
        <w:pStyle w:val="ListParagraph"/>
        <w:numPr>
          <w:ilvl w:val="0"/>
          <w:numId w:val="11"/>
        </w:numPr>
        <w:tabs>
          <w:tab w:val="left" w:pos="4320"/>
        </w:tabs>
        <w:spacing w:line="276" w:lineRule="auto"/>
        <w:rPr>
          <w:rFonts w:asciiTheme="minorHAnsi" w:hAnsiTheme="minorHAnsi" w:cstheme="minorHAnsi"/>
          <w:sz w:val="22"/>
          <w:szCs w:val="22"/>
        </w:rPr>
      </w:pPr>
      <w:r w:rsidRPr="00A260BD">
        <w:rPr>
          <w:rFonts w:asciiTheme="minorHAnsi" w:hAnsiTheme="minorHAnsi" w:cstheme="minorHAnsi"/>
          <w:sz w:val="22"/>
          <w:szCs w:val="22"/>
        </w:rPr>
        <w:lastRenderedPageBreak/>
        <w:t xml:space="preserve">The APIV has undertaken to remit all fees payable under the </w:t>
      </w:r>
      <w:r w:rsidRPr="00A260BD">
        <w:rPr>
          <w:rFonts w:asciiTheme="minorHAnsi" w:hAnsiTheme="minorHAnsi" w:cstheme="minorHAnsi"/>
          <w:i/>
          <w:iCs/>
          <w:sz w:val="22"/>
          <w:szCs w:val="22"/>
        </w:rPr>
        <w:t xml:space="preserve">Professional Standards Regulations 2017 </w:t>
      </w:r>
      <w:r w:rsidRPr="00A260BD">
        <w:rPr>
          <w:rFonts w:asciiTheme="minorHAnsi" w:hAnsiTheme="minorHAnsi" w:cstheme="minorHAnsi"/>
          <w:sz w:val="22"/>
          <w:szCs w:val="22"/>
        </w:rPr>
        <w:t xml:space="preserve">(Vic) to the Council as and when these become due. </w:t>
      </w:r>
    </w:p>
    <w:p w14:paraId="75D6B08D" w14:textId="77777777" w:rsidR="00507343" w:rsidRPr="00A260BD" w:rsidRDefault="00507343" w:rsidP="00507343">
      <w:pPr>
        <w:pStyle w:val="ListParagraph"/>
        <w:numPr>
          <w:ilvl w:val="0"/>
          <w:numId w:val="11"/>
        </w:numPr>
        <w:tabs>
          <w:tab w:val="left" w:pos="4320"/>
        </w:tabs>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The Scheme is intended, subject to applicable legislation in various jurisdictions, to commence on 1 September 2026 and remain in force for five (5) years from its commencement unless, prior to that time, it is revoked, its operation ceases, or it is extended pursuant to section 34 of the Act. </w:t>
      </w:r>
    </w:p>
    <w:p w14:paraId="6646F3CA" w14:textId="0B917C38" w:rsidR="00507343" w:rsidRPr="00A260BD" w:rsidRDefault="00507343" w:rsidP="00507343">
      <w:pPr>
        <w:pStyle w:val="ListParagraph"/>
        <w:numPr>
          <w:ilvl w:val="0"/>
          <w:numId w:val="11"/>
        </w:numPr>
        <w:tabs>
          <w:tab w:val="left" w:pos="4320"/>
        </w:tabs>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Sections 12GNA(2) of the </w:t>
      </w:r>
      <w:r w:rsidRPr="00A260BD">
        <w:rPr>
          <w:rFonts w:asciiTheme="minorHAnsi" w:hAnsiTheme="minorHAnsi" w:cstheme="minorHAnsi"/>
          <w:i/>
          <w:iCs/>
          <w:sz w:val="22"/>
          <w:szCs w:val="22"/>
        </w:rPr>
        <w:t xml:space="preserve">Australian Securities and Investments Commission Act 2001 </w:t>
      </w:r>
      <w:r w:rsidRPr="00A260BD">
        <w:rPr>
          <w:rFonts w:asciiTheme="minorHAnsi" w:hAnsiTheme="minorHAnsi" w:cstheme="minorHAnsi"/>
          <w:sz w:val="22"/>
          <w:szCs w:val="22"/>
        </w:rPr>
        <w:t>(</w:t>
      </w:r>
      <w:proofErr w:type="spellStart"/>
      <w:r w:rsidRPr="00A260BD">
        <w:rPr>
          <w:rFonts w:asciiTheme="minorHAnsi" w:hAnsiTheme="minorHAnsi" w:cstheme="minorHAnsi"/>
          <w:sz w:val="22"/>
          <w:szCs w:val="22"/>
        </w:rPr>
        <w:t>Cth</w:t>
      </w:r>
      <w:proofErr w:type="spellEnd"/>
      <w:r w:rsidRPr="00A260BD">
        <w:rPr>
          <w:rFonts w:asciiTheme="minorHAnsi" w:hAnsiTheme="minorHAnsi" w:cstheme="minorHAnsi"/>
          <w:sz w:val="22"/>
          <w:szCs w:val="22"/>
        </w:rPr>
        <w:t xml:space="preserve">), 137(2) of the </w:t>
      </w:r>
      <w:r w:rsidRPr="00A260BD">
        <w:rPr>
          <w:rFonts w:asciiTheme="minorHAnsi" w:hAnsiTheme="minorHAnsi" w:cstheme="minorHAnsi"/>
          <w:i/>
          <w:iCs/>
          <w:sz w:val="22"/>
          <w:szCs w:val="22"/>
        </w:rPr>
        <w:t xml:space="preserve">Competition and Consumer Act 2010 </w:t>
      </w:r>
      <w:r w:rsidRPr="00A260BD">
        <w:rPr>
          <w:rFonts w:asciiTheme="minorHAnsi" w:hAnsiTheme="minorHAnsi" w:cstheme="minorHAnsi"/>
          <w:sz w:val="22"/>
          <w:szCs w:val="22"/>
        </w:rPr>
        <w:t>(</w:t>
      </w:r>
      <w:proofErr w:type="spellStart"/>
      <w:r w:rsidRPr="00A260BD">
        <w:rPr>
          <w:rFonts w:asciiTheme="minorHAnsi" w:hAnsiTheme="minorHAnsi" w:cstheme="minorHAnsi"/>
          <w:sz w:val="22"/>
          <w:szCs w:val="22"/>
        </w:rPr>
        <w:t>Cth</w:t>
      </w:r>
      <w:proofErr w:type="spellEnd"/>
      <w:r w:rsidRPr="00A260BD">
        <w:rPr>
          <w:rFonts w:asciiTheme="minorHAnsi" w:hAnsiTheme="minorHAnsi" w:cstheme="minorHAnsi"/>
          <w:sz w:val="22"/>
          <w:szCs w:val="22"/>
        </w:rPr>
        <w:t xml:space="preserve">), and 1044B(2) of the </w:t>
      </w:r>
      <w:r w:rsidRPr="00A260BD">
        <w:rPr>
          <w:rFonts w:asciiTheme="minorHAnsi" w:hAnsiTheme="minorHAnsi" w:cstheme="minorHAnsi"/>
          <w:i/>
          <w:iCs/>
          <w:sz w:val="22"/>
          <w:szCs w:val="22"/>
        </w:rPr>
        <w:t xml:space="preserve">Corporations Act 2001 </w:t>
      </w:r>
      <w:r w:rsidRPr="00A260BD">
        <w:rPr>
          <w:rFonts w:asciiTheme="minorHAnsi" w:hAnsiTheme="minorHAnsi" w:cstheme="minorHAnsi"/>
          <w:sz w:val="22"/>
          <w:szCs w:val="22"/>
        </w:rPr>
        <w:t>(</w:t>
      </w:r>
      <w:proofErr w:type="spellStart"/>
      <w:r w:rsidRPr="00A260BD">
        <w:rPr>
          <w:rFonts w:asciiTheme="minorHAnsi" w:hAnsiTheme="minorHAnsi" w:cstheme="minorHAnsi"/>
          <w:sz w:val="22"/>
          <w:szCs w:val="22"/>
        </w:rPr>
        <w:t>Cth</w:t>
      </w:r>
      <w:proofErr w:type="spellEnd"/>
      <w:r w:rsidRPr="00A260BD">
        <w:rPr>
          <w:rFonts w:asciiTheme="minorHAnsi" w:hAnsiTheme="minorHAnsi" w:cstheme="minorHAnsi"/>
          <w:sz w:val="22"/>
          <w:szCs w:val="22"/>
        </w:rPr>
        <w:t xml:space="preserve">) provide for limited liability where a Professional Standards Scheme is prescribed in the relevant regulation. The Scheme does not apply to limit any liability under a Commonwealth law unless it has been prescribed under regulations by the Commonwealth. </w:t>
      </w:r>
    </w:p>
    <w:p w14:paraId="582D79CC" w14:textId="4B036F96" w:rsidR="00507343" w:rsidRPr="00A260BD" w:rsidRDefault="00507343" w:rsidP="00507343">
      <w:pPr>
        <w:tabs>
          <w:tab w:val="left" w:pos="4320"/>
        </w:tabs>
        <w:rPr>
          <w:rFonts w:asciiTheme="minorHAnsi" w:hAnsiTheme="minorHAnsi" w:cstheme="minorHAnsi"/>
        </w:rPr>
      </w:pPr>
    </w:p>
    <w:p w14:paraId="14F8F3F5" w14:textId="77777777" w:rsidR="00507343" w:rsidRPr="00A260BD" w:rsidRDefault="00507343" w:rsidP="00507343">
      <w:pPr>
        <w:tabs>
          <w:tab w:val="left" w:pos="4320"/>
        </w:tabs>
        <w:rPr>
          <w:rFonts w:asciiTheme="minorHAnsi" w:hAnsiTheme="minorHAnsi" w:cstheme="minorHAnsi"/>
        </w:rPr>
      </w:pPr>
    </w:p>
    <w:p w14:paraId="65D9DD3F" w14:textId="73841BB5" w:rsidR="00507343" w:rsidRPr="00A260BD" w:rsidRDefault="00507343" w:rsidP="00507343">
      <w:pPr>
        <w:tabs>
          <w:tab w:val="left" w:pos="4320"/>
        </w:tabs>
        <w:rPr>
          <w:rFonts w:asciiTheme="minorHAnsi" w:hAnsiTheme="minorHAnsi" w:cstheme="minorHAnsi"/>
        </w:rPr>
      </w:pPr>
      <w:r w:rsidRPr="00A260BD">
        <w:rPr>
          <w:rFonts w:asciiTheme="minorHAnsi" w:hAnsiTheme="minorHAnsi" w:cstheme="minorHAnsi"/>
          <w:b/>
          <w:bCs/>
        </w:rPr>
        <w:t>THE AUSTRALIAN PROPERTY INSTITUTE VALUERS LIMITED PROFESSIONAL STANDARDS SCHEME</w:t>
      </w:r>
    </w:p>
    <w:p w14:paraId="56267ECF" w14:textId="77777777" w:rsidR="0093404D" w:rsidRPr="00A260BD" w:rsidRDefault="0093404D" w:rsidP="00507343">
      <w:pPr>
        <w:tabs>
          <w:tab w:val="left" w:pos="4320"/>
        </w:tabs>
        <w:spacing w:line="276" w:lineRule="auto"/>
        <w:rPr>
          <w:rFonts w:asciiTheme="minorHAnsi" w:hAnsiTheme="minorHAnsi" w:cstheme="minorHAnsi"/>
        </w:rPr>
      </w:pPr>
    </w:p>
    <w:p w14:paraId="3C3AD7B3" w14:textId="77777777" w:rsidR="00507343" w:rsidRPr="00A260BD" w:rsidRDefault="00507343" w:rsidP="00507343">
      <w:pPr>
        <w:pStyle w:val="Default"/>
        <w:numPr>
          <w:ilvl w:val="0"/>
          <w:numId w:val="12"/>
        </w:numPr>
        <w:spacing w:line="276" w:lineRule="auto"/>
        <w:rPr>
          <w:rFonts w:asciiTheme="minorHAnsi" w:hAnsiTheme="minorHAnsi" w:cstheme="minorHAnsi"/>
        </w:rPr>
      </w:pPr>
      <w:r w:rsidRPr="00A260BD">
        <w:rPr>
          <w:rFonts w:asciiTheme="minorHAnsi" w:hAnsiTheme="minorHAnsi" w:cstheme="minorHAnsi"/>
          <w:b/>
          <w:bCs/>
          <w:sz w:val="23"/>
          <w:szCs w:val="23"/>
        </w:rPr>
        <w:t>Occupational association</w:t>
      </w:r>
    </w:p>
    <w:p w14:paraId="5D1B305C" w14:textId="77777777" w:rsidR="00507343" w:rsidRPr="00A260BD" w:rsidRDefault="00507343" w:rsidP="00507343">
      <w:pPr>
        <w:pStyle w:val="Default"/>
        <w:numPr>
          <w:ilvl w:val="1"/>
          <w:numId w:val="14"/>
        </w:numPr>
        <w:spacing w:line="276" w:lineRule="auto"/>
        <w:rPr>
          <w:rFonts w:asciiTheme="minorHAnsi" w:hAnsiTheme="minorHAnsi" w:cstheme="minorHAnsi"/>
        </w:rPr>
      </w:pPr>
      <w:r w:rsidRPr="00A260BD">
        <w:rPr>
          <w:rFonts w:asciiTheme="minorHAnsi" w:hAnsiTheme="minorHAnsi" w:cstheme="minorHAnsi"/>
        </w:rPr>
        <w:t xml:space="preserve">The </w:t>
      </w:r>
      <w:r w:rsidRPr="00A260BD">
        <w:rPr>
          <w:rFonts w:asciiTheme="minorHAnsi" w:hAnsiTheme="minorHAnsi" w:cstheme="minorHAnsi"/>
          <w:sz w:val="22"/>
          <w:szCs w:val="22"/>
        </w:rPr>
        <w:t>Australian Property Institute Valuers Limited Professional Standards Scheme is a scheme under the Act prepared by the APIV whose registered address is:</w:t>
      </w:r>
    </w:p>
    <w:p w14:paraId="625A52B5" w14:textId="77777777" w:rsidR="00507343" w:rsidRPr="00A260BD" w:rsidRDefault="00507343" w:rsidP="00507343">
      <w:pPr>
        <w:pStyle w:val="Default"/>
        <w:spacing w:line="276" w:lineRule="auto"/>
        <w:ind w:left="1440"/>
        <w:rPr>
          <w:rFonts w:asciiTheme="minorHAnsi" w:hAnsiTheme="minorHAnsi" w:cstheme="minorHAnsi"/>
          <w:sz w:val="22"/>
          <w:szCs w:val="22"/>
        </w:rPr>
      </w:pPr>
      <w:r w:rsidRPr="00A260BD">
        <w:rPr>
          <w:rFonts w:asciiTheme="minorHAnsi" w:hAnsiTheme="minorHAnsi" w:cstheme="minorHAnsi"/>
          <w:sz w:val="22"/>
          <w:szCs w:val="22"/>
        </w:rPr>
        <w:tab/>
        <w:t>Suite 1, Level 6, 66 Clarence Street</w:t>
      </w:r>
    </w:p>
    <w:p w14:paraId="4C84EFA0" w14:textId="77777777" w:rsidR="00507343" w:rsidRPr="00A260BD" w:rsidRDefault="00507343" w:rsidP="00507343">
      <w:pPr>
        <w:pStyle w:val="Default"/>
        <w:spacing w:line="276" w:lineRule="auto"/>
        <w:ind w:left="1440"/>
        <w:rPr>
          <w:rFonts w:asciiTheme="minorHAnsi" w:hAnsiTheme="minorHAnsi" w:cstheme="minorHAnsi"/>
          <w:sz w:val="22"/>
          <w:szCs w:val="22"/>
        </w:rPr>
      </w:pPr>
      <w:r w:rsidRPr="00A260BD">
        <w:rPr>
          <w:rFonts w:asciiTheme="minorHAnsi" w:hAnsiTheme="minorHAnsi" w:cstheme="minorHAnsi"/>
          <w:sz w:val="22"/>
          <w:szCs w:val="22"/>
        </w:rPr>
        <w:tab/>
        <w:t>Sydney NSW 2000</w:t>
      </w:r>
    </w:p>
    <w:p w14:paraId="39538226" w14:textId="77777777" w:rsidR="00507343" w:rsidRPr="00A260BD" w:rsidRDefault="00507343" w:rsidP="00507343">
      <w:pPr>
        <w:pStyle w:val="Default"/>
        <w:spacing w:line="276" w:lineRule="auto"/>
        <w:rPr>
          <w:rFonts w:asciiTheme="minorHAnsi" w:hAnsiTheme="minorHAnsi" w:cstheme="minorHAnsi"/>
          <w:sz w:val="22"/>
          <w:szCs w:val="22"/>
        </w:rPr>
      </w:pPr>
    </w:p>
    <w:p w14:paraId="46380378" w14:textId="36AE32BA" w:rsidR="00507343" w:rsidRPr="00A260BD" w:rsidRDefault="00507343" w:rsidP="00507343">
      <w:pPr>
        <w:pStyle w:val="Default"/>
        <w:numPr>
          <w:ilvl w:val="0"/>
          <w:numId w:val="12"/>
        </w:numPr>
        <w:spacing w:line="276" w:lineRule="auto"/>
        <w:rPr>
          <w:rFonts w:asciiTheme="minorHAnsi" w:hAnsiTheme="minorHAnsi" w:cstheme="minorHAnsi"/>
          <w:b/>
          <w:bCs/>
          <w:sz w:val="22"/>
          <w:szCs w:val="22"/>
        </w:rPr>
      </w:pPr>
      <w:r w:rsidRPr="00A260BD">
        <w:rPr>
          <w:rFonts w:asciiTheme="minorHAnsi" w:hAnsiTheme="minorHAnsi" w:cstheme="minorHAnsi"/>
          <w:b/>
          <w:bCs/>
          <w:sz w:val="22"/>
          <w:szCs w:val="22"/>
        </w:rPr>
        <w:t>Persons to Whom the Scheme Applies</w:t>
      </w:r>
    </w:p>
    <w:p w14:paraId="5C54E195" w14:textId="6CD2C3DE" w:rsidR="00507343" w:rsidRPr="00A260BD" w:rsidRDefault="00507343" w:rsidP="005D5D84">
      <w:pPr>
        <w:pStyle w:val="Default"/>
        <w:numPr>
          <w:ilvl w:val="1"/>
          <w:numId w:val="17"/>
        </w:numPr>
        <w:spacing w:line="276" w:lineRule="auto"/>
        <w:rPr>
          <w:rFonts w:asciiTheme="minorHAnsi" w:hAnsiTheme="minorHAnsi" w:cstheme="minorHAnsi"/>
          <w:sz w:val="22"/>
          <w:szCs w:val="22"/>
        </w:rPr>
      </w:pPr>
      <w:r w:rsidRPr="00A260BD">
        <w:rPr>
          <w:rFonts w:asciiTheme="minorHAnsi" w:hAnsiTheme="minorHAnsi" w:cstheme="minorHAnsi"/>
          <w:sz w:val="22"/>
          <w:szCs w:val="22"/>
        </w:rPr>
        <w:t>The Scheme applies to:</w:t>
      </w:r>
    </w:p>
    <w:p w14:paraId="516A1272" w14:textId="2E01DE1B" w:rsidR="00507343" w:rsidRPr="00507343" w:rsidRDefault="00507343" w:rsidP="00507343">
      <w:pPr>
        <w:pStyle w:val="Default"/>
        <w:numPr>
          <w:ilvl w:val="2"/>
          <w:numId w:val="12"/>
        </w:numPr>
        <w:spacing w:line="276" w:lineRule="auto"/>
        <w:rPr>
          <w:rFonts w:asciiTheme="minorHAnsi" w:hAnsiTheme="minorHAnsi" w:cstheme="minorHAnsi"/>
          <w:sz w:val="22"/>
          <w:szCs w:val="22"/>
        </w:rPr>
      </w:pPr>
      <w:r w:rsidRPr="00A260BD">
        <w:rPr>
          <w:rFonts w:asciiTheme="minorHAnsi" w:hAnsiTheme="minorHAnsi" w:cstheme="minorHAnsi"/>
          <w:sz w:val="22"/>
          <w:szCs w:val="22"/>
        </w:rPr>
        <w:t>a</w:t>
      </w:r>
      <w:r w:rsidRPr="00507343">
        <w:rPr>
          <w:rFonts w:asciiTheme="minorHAnsi" w:hAnsiTheme="minorHAnsi" w:cstheme="minorHAnsi"/>
          <w:sz w:val="22"/>
          <w:szCs w:val="22"/>
        </w:rPr>
        <w:t xml:space="preserve">ll Members who are natural persons and who hold API certification of Certified Practising Valuer, Certified Practising Valuer (Residential), Residential Property Valuer and/or Certified Practising Valuer (Plant &amp; Machinery) and are eligible to participate in the Scheme; </w:t>
      </w:r>
    </w:p>
    <w:p w14:paraId="0FFC18FE" w14:textId="1D60EE55" w:rsidR="00507343" w:rsidRPr="00507343" w:rsidRDefault="00507343" w:rsidP="00507343">
      <w:pPr>
        <w:pStyle w:val="Default"/>
        <w:numPr>
          <w:ilvl w:val="2"/>
          <w:numId w:val="12"/>
        </w:numPr>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all </w:t>
      </w:r>
      <w:r w:rsidRPr="00507343">
        <w:rPr>
          <w:rFonts w:asciiTheme="minorHAnsi" w:hAnsiTheme="minorHAnsi" w:cstheme="minorHAnsi"/>
          <w:sz w:val="22"/>
          <w:szCs w:val="22"/>
        </w:rPr>
        <w:t xml:space="preserve">Corporate Members; and </w:t>
      </w:r>
    </w:p>
    <w:p w14:paraId="3BA92603" w14:textId="127C96D5" w:rsidR="00507343" w:rsidRPr="00507343" w:rsidRDefault="00507343" w:rsidP="00507343">
      <w:pPr>
        <w:pStyle w:val="Default"/>
        <w:numPr>
          <w:ilvl w:val="2"/>
          <w:numId w:val="12"/>
        </w:numPr>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all </w:t>
      </w:r>
      <w:r w:rsidRPr="00507343">
        <w:rPr>
          <w:rFonts w:asciiTheme="minorHAnsi" w:hAnsiTheme="minorHAnsi" w:cstheme="minorHAnsi"/>
          <w:sz w:val="22"/>
          <w:szCs w:val="22"/>
        </w:rPr>
        <w:t xml:space="preserve">Persons to whom the Scheme applies by virtue of the Act and the Corresponding Laws of other jurisdictions in which the Scheme applies. </w:t>
      </w:r>
    </w:p>
    <w:p w14:paraId="20E6FA21" w14:textId="77C38671" w:rsidR="00507343" w:rsidRPr="00A260BD" w:rsidRDefault="00507343" w:rsidP="005D5D84">
      <w:pPr>
        <w:pStyle w:val="Default"/>
        <w:numPr>
          <w:ilvl w:val="1"/>
          <w:numId w:val="17"/>
        </w:numPr>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The </w:t>
      </w:r>
      <w:r w:rsidRPr="00507343">
        <w:rPr>
          <w:rFonts w:asciiTheme="minorHAnsi" w:hAnsiTheme="minorHAnsi" w:cstheme="minorHAnsi"/>
          <w:sz w:val="22"/>
          <w:szCs w:val="22"/>
        </w:rPr>
        <w:t xml:space="preserve">APIV may, on application by an individual referred to in clause 2.1.1, exempt that individual from participating in the Scheme from the date on which the exemption is granted or a later date specified in the exemption. </w:t>
      </w:r>
    </w:p>
    <w:p w14:paraId="571AF31D" w14:textId="77777777" w:rsidR="00507343" w:rsidRPr="00507343" w:rsidRDefault="00507343" w:rsidP="00507343">
      <w:pPr>
        <w:pStyle w:val="Default"/>
        <w:spacing w:line="276" w:lineRule="auto"/>
        <w:ind w:left="1440"/>
        <w:rPr>
          <w:rFonts w:asciiTheme="minorHAnsi" w:hAnsiTheme="minorHAnsi" w:cstheme="minorHAnsi"/>
          <w:sz w:val="22"/>
          <w:szCs w:val="22"/>
        </w:rPr>
      </w:pPr>
    </w:p>
    <w:p w14:paraId="63240F3D" w14:textId="09A3EF26" w:rsidR="00507343" w:rsidRPr="00A260BD" w:rsidRDefault="00507343" w:rsidP="00A260BD">
      <w:pPr>
        <w:pStyle w:val="Default"/>
        <w:numPr>
          <w:ilvl w:val="0"/>
          <w:numId w:val="12"/>
        </w:numPr>
        <w:spacing w:line="276" w:lineRule="auto"/>
        <w:rPr>
          <w:rFonts w:asciiTheme="minorHAnsi" w:hAnsiTheme="minorHAnsi" w:cstheme="minorHAnsi"/>
          <w:b/>
          <w:bCs/>
          <w:sz w:val="22"/>
          <w:szCs w:val="22"/>
        </w:rPr>
      </w:pPr>
      <w:r w:rsidRPr="00A260BD">
        <w:rPr>
          <w:rFonts w:asciiTheme="minorHAnsi" w:hAnsiTheme="minorHAnsi" w:cstheme="minorHAnsi"/>
          <w:b/>
          <w:bCs/>
          <w:sz w:val="22"/>
          <w:szCs w:val="22"/>
        </w:rPr>
        <w:t>Jurisdiction</w:t>
      </w:r>
    </w:p>
    <w:p w14:paraId="2FCD5ED9" w14:textId="36397F58" w:rsidR="00507343" w:rsidRPr="00A260BD" w:rsidRDefault="00507343" w:rsidP="00A260BD">
      <w:pPr>
        <w:pStyle w:val="Default"/>
        <w:numPr>
          <w:ilvl w:val="1"/>
          <w:numId w:val="10"/>
        </w:numPr>
        <w:spacing w:line="276" w:lineRule="auto"/>
        <w:rPr>
          <w:rFonts w:asciiTheme="minorHAnsi" w:hAnsiTheme="minorHAnsi" w:cstheme="minorHAnsi"/>
          <w:sz w:val="22"/>
          <w:szCs w:val="22"/>
        </w:rPr>
      </w:pPr>
      <w:r w:rsidRPr="00A260BD">
        <w:rPr>
          <w:rFonts w:asciiTheme="minorHAnsi" w:hAnsiTheme="minorHAnsi" w:cstheme="minorHAnsi"/>
          <w:sz w:val="22"/>
          <w:szCs w:val="22"/>
        </w:rPr>
        <w:t>The Scheme applies in Victoria.</w:t>
      </w:r>
    </w:p>
    <w:p w14:paraId="294F5423" w14:textId="60C13BAF" w:rsidR="00507343" w:rsidRPr="00A260BD" w:rsidRDefault="00507343" w:rsidP="00A260BD">
      <w:pPr>
        <w:pStyle w:val="Default"/>
        <w:numPr>
          <w:ilvl w:val="1"/>
          <w:numId w:val="10"/>
        </w:numPr>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In </w:t>
      </w:r>
      <w:r w:rsidRPr="00507343">
        <w:rPr>
          <w:rFonts w:asciiTheme="minorHAnsi" w:hAnsiTheme="minorHAnsi" w:cstheme="minorHAnsi"/>
          <w:sz w:val="22"/>
          <w:szCs w:val="22"/>
        </w:rPr>
        <w:t xml:space="preserve">addition to Victoria, the Scheme is intended to operate in the Australian Capital Territory, New South Wales, the Northern Territory, Queensland, South Australia, Tasmania and Western Australia in accordance with the Professional Standards Legislation of those states and territories and </w:t>
      </w:r>
      <w:r w:rsidRPr="00507343">
        <w:rPr>
          <w:rFonts w:asciiTheme="minorHAnsi" w:hAnsiTheme="minorHAnsi" w:cstheme="minorHAnsi"/>
          <w:sz w:val="22"/>
          <w:szCs w:val="22"/>
        </w:rPr>
        <w:lastRenderedPageBreak/>
        <w:t xml:space="preserve">subject to the requirements of that legislation (“the Corresponding Laws”), so that references to a provision of the Act, the application of the scheme to a liability, the limit of a liability under the Act, or what constitutes Occupational Liability, are intended to pick up the relevant provisions of the Corresponding Laws to the extent that is necessary for the application of the Scheme in any of those jurisdictions. </w:t>
      </w:r>
    </w:p>
    <w:p w14:paraId="29E1005B" w14:textId="77777777" w:rsidR="005D5D84" w:rsidRPr="00A260BD" w:rsidRDefault="005D5D84" w:rsidP="005D5D84">
      <w:pPr>
        <w:pStyle w:val="Default"/>
        <w:spacing w:line="276" w:lineRule="auto"/>
        <w:ind w:left="1440"/>
        <w:rPr>
          <w:rFonts w:asciiTheme="minorHAnsi" w:hAnsiTheme="minorHAnsi" w:cstheme="minorHAnsi"/>
          <w:sz w:val="22"/>
          <w:szCs w:val="22"/>
        </w:rPr>
      </w:pPr>
    </w:p>
    <w:p w14:paraId="50312122" w14:textId="3387B906" w:rsidR="005D5D84" w:rsidRPr="00A260BD" w:rsidRDefault="005D5D84" w:rsidP="00A260BD">
      <w:pPr>
        <w:pStyle w:val="Default"/>
        <w:numPr>
          <w:ilvl w:val="0"/>
          <w:numId w:val="10"/>
        </w:numPr>
        <w:spacing w:line="276" w:lineRule="auto"/>
        <w:rPr>
          <w:rFonts w:asciiTheme="minorHAnsi" w:hAnsiTheme="minorHAnsi" w:cstheme="minorHAnsi"/>
          <w:b/>
          <w:bCs/>
          <w:sz w:val="22"/>
          <w:szCs w:val="22"/>
        </w:rPr>
      </w:pPr>
      <w:r w:rsidRPr="00A260BD">
        <w:rPr>
          <w:rFonts w:asciiTheme="minorHAnsi" w:hAnsiTheme="minorHAnsi" w:cstheme="minorHAnsi"/>
          <w:b/>
          <w:bCs/>
          <w:sz w:val="22"/>
          <w:szCs w:val="22"/>
        </w:rPr>
        <w:t xml:space="preserve">Limitation of Liability </w:t>
      </w:r>
    </w:p>
    <w:p w14:paraId="1D1282A4" w14:textId="5CA08CD3" w:rsidR="005D5D84" w:rsidRPr="00A260BD" w:rsidRDefault="005D5D84" w:rsidP="00A260BD">
      <w:pPr>
        <w:pStyle w:val="Default"/>
        <w:numPr>
          <w:ilvl w:val="1"/>
          <w:numId w:val="10"/>
        </w:numPr>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This </w:t>
      </w:r>
      <w:r w:rsidRPr="005D5D84">
        <w:rPr>
          <w:rFonts w:asciiTheme="minorHAnsi" w:hAnsiTheme="minorHAnsi" w:cstheme="minorHAnsi"/>
          <w:sz w:val="22"/>
          <w:szCs w:val="22"/>
        </w:rPr>
        <w:t xml:space="preserve">Scheme only affects the liability for Damages arising from a single cause of action to the extent to which the liability results in Damages exceeding $1,000,000. </w:t>
      </w:r>
    </w:p>
    <w:p w14:paraId="613E3377" w14:textId="77777777" w:rsidR="005D5D84" w:rsidRPr="00A260BD" w:rsidRDefault="005D5D84" w:rsidP="00A260BD">
      <w:pPr>
        <w:pStyle w:val="Default"/>
        <w:numPr>
          <w:ilvl w:val="1"/>
          <w:numId w:val="10"/>
        </w:numPr>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If </w:t>
      </w:r>
      <w:r w:rsidRPr="005D5D84">
        <w:rPr>
          <w:rFonts w:asciiTheme="minorHAnsi" w:hAnsiTheme="minorHAnsi" w:cstheme="minorHAnsi"/>
          <w:sz w:val="22"/>
          <w:szCs w:val="22"/>
        </w:rPr>
        <w:t xml:space="preserve">a Person, who or which was, at the time of the act or omission giving rise to Occupational Liability, a Participating Member and against whom a proceeding relating to Occupational Liability is brought, is able to satisfy the court that such person has the benefit of an insurance policy: </w:t>
      </w:r>
    </w:p>
    <w:p w14:paraId="521F675B" w14:textId="77777777" w:rsidR="005D5D84" w:rsidRPr="00A260BD" w:rsidRDefault="005D5D84" w:rsidP="00A260BD">
      <w:pPr>
        <w:pStyle w:val="Default"/>
        <w:numPr>
          <w:ilvl w:val="3"/>
          <w:numId w:val="10"/>
        </w:numPr>
        <w:spacing w:line="276" w:lineRule="auto"/>
        <w:rPr>
          <w:rFonts w:asciiTheme="minorHAnsi" w:hAnsiTheme="minorHAnsi" w:cstheme="minorHAnsi"/>
          <w:sz w:val="22"/>
          <w:szCs w:val="22"/>
        </w:rPr>
      </w:pPr>
      <w:r w:rsidRPr="005D5D84">
        <w:rPr>
          <w:rFonts w:asciiTheme="minorHAnsi" w:hAnsiTheme="minorHAnsi" w:cstheme="minorHAnsi"/>
          <w:sz w:val="22"/>
          <w:szCs w:val="22"/>
        </w:rPr>
        <w:t xml:space="preserve">of a kind which complies with the APIV Insurance Standards; </w:t>
      </w:r>
    </w:p>
    <w:p w14:paraId="60AA6D0A" w14:textId="77777777" w:rsidR="005D5D84" w:rsidRPr="00A260BD" w:rsidRDefault="005D5D84" w:rsidP="00A260BD">
      <w:pPr>
        <w:pStyle w:val="Default"/>
        <w:numPr>
          <w:ilvl w:val="3"/>
          <w:numId w:val="10"/>
        </w:numPr>
        <w:spacing w:line="276" w:lineRule="auto"/>
        <w:rPr>
          <w:rFonts w:asciiTheme="minorHAnsi" w:hAnsiTheme="minorHAnsi" w:cstheme="minorHAnsi"/>
          <w:sz w:val="22"/>
          <w:szCs w:val="22"/>
        </w:rPr>
      </w:pPr>
      <w:r w:rsidRPr="005D5D84">
        <w:rPr>
          <w:rFonts w:asciiTheme="minorHAnsi" w:hAnsiTheme="minorHAnsi" w:cstheme="minorHAnsi"/>
          <w:sz w:val="22"/>
          <w:szCs w:val="22"/>
        </w:rPr>
        <w:t xml:space="preserve">insuring such Person against the Occupational Liability to which the cause of action relates; and </w:t>
      </w:r>
      <w:r w:rsidRPr="00A260BD">
        <w:rPr>
          <w:rFonts w:asciiTheme="minorHAnsi" w:hAnsiTheme="minorHAnsi" w:cstheme="minorHAnsi"/>
          <w:sz w:val="22"/>
          <w:szCs w:val="22"/>
        </w:rPr>
        <w:t>u</w:t>
      </w:r>
    </w:p>
    <w:p w14:paraId="5CF943AF" w14:textId="0525EFA1" w:rsidR="005D5D84" w:rsidRPr="00A260BD" w:rsidRDefault="005D5D84" w:rsidP="00A260BD">
      <w:pPr>
        <w:pStyle w:val="Default"/>
        <w:numPr>
          <w:ilvl w:val="3"/>
          <w:numId w:val="10"/>
        </w:numPr>
        <w:spacing w:line="276" w:lineRule="auto"/>
        <w:rPr>
          <w:rFonts w:asciiTheme="minorHAnsi" w:hAnsiTheme="minorHAnsi" w:cstheme="minorHAnsi"/>
          <w:sz w:val="22"/>
          <w:szCs w:val="22"/>
        </w:rPr>
      </w:pPr>
      <w:r w:rsidRPr="00A260BD">
        <w:rPr>
          <w:rFonts w:asciiTheme="minorHAnsi" w:hAnsiTheme="minorHAnsi" w:cstheme="minorHAnsi"/>
          <w:sz w:val="22"/>
          <w:szCs w:val="22"/>
        </w:rPr>
        <w:t>u</w:t>
      </w:r>
      <w:r w:rsidRPr="005D5D84">
        <w:rPr>
          <w:rFonts w:asciiTheme="minorHAnsi" w:hAnsiTheme="minorHAnsi" w:cstheme="minorHAnsi"/>
          <w:sz w:val="22"/>
          <w:szCs w:val="22"/>
        </w:rPr>
        <w:t xml:space="preserve">nder which the amount payable in respect of that Occupational Liability is not less than the applicable Monetary Ceiling specified in the table at clause 4.3, </w:t>
      </w:r>
    </w:p>
    <w:p w14:paraId="4B768B08" w14:textId="2598DC5E" w:rsidR="005D5D84" w:rsidRPr="005D5D84" w:rsidRDefault="005D5D84" w:rsidP="00A260BD">
      <w:pPr>
        <w:pStyle w:val="Default"/>
        <w:spacing w:line="276" w:lineRule="auto"/>
        <w:ind w:left="2160" w:firstLine="360"/>
        <w:rPr>
          <w:rFonts w:asciiTheme="minorHAnsi" w:hAnsiTheme="minorHAnsi" w:cstheme="minorHAnsi"/>
          <w:sz w:val="22"/>
          <w:szCs w:val="22"/>
        </w:rPr>
      </w:pPr>
      <w:r w:rsidRPr="00A260BD">
        <w:rPr>
          <w:rFonts w:asciiTheme="minorHAnsi" w:hAnsiTheme="minorHAnsi" w:cstheme="minorHAnsi"/>
          <w:sz w:val="22"/>
          <w:szCs w:val="22"/>
        </w:rPr>
        <w:t>then that Person is not liable in Damages in relation to that cause of action above the Monetary Ceiling specified in clause 4.3 of this Scheme.</w:t>
      </w:r>
    </w:p>
    <w:p w14:paraId="758DE111" w14:textId="3EB95DD7" w:rsidR="005D5D84" w:rsidRPr="005D5D84" w:rsidRDefault="005D5D84" w:rsidP="00A260BD">
      <w:pPr>
        <w:pStyle w:val="Default"/>
        <w:numPr>
          <w:ilvl w:val="1"/>
          <w:numId w:val="10"/>
        </w:numPr>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The </w:t>
      </w:r>
      <w:r w:rsidRPr="005D5D84">
        <w:rPr>
          <w:rFonts w:asciiTheme="minorHAnsi" w:hAnsiTheme="minorHAnsi" w:cstheme="minorHAnsi"/>
          <w:sz w:val="22"/>
          <w:szCs w:val="22"/>
        </w:rPr>
        <w:t xml:space="preserve">Monetary Ceiling is to be determined according to the following table: </w:t>
      </w:r>
    </w:p>
    <w:p w14:paraId="61A68A68" w14:textId="5F00481A" w:rsidR="005D5D84" w:rsidRPr="00A260BD" w:rsidRDefault="005D5D84" w:rsidP="005D5D84">
      <w:pPr>
        <w:pStyle w:val="Default"/>
        <w:spacing w:line="276" w:lineRule="auto"/>
        <w:ind w:left="1440"/>
        <w:rPr>
          <w:rFonts w:asciiTheme="minorHAnsi" w:hAnsiTheme="minorHAnsi" w:cstheme="minorHAnsi"/>
          <w:sz w:val="22"/>
          <w:szCs w:val="22"/>
        </w:rPr>
      </w:pPr>
    </w:p>
    <w:tbl>
      <w:tblPr>
        <w:tblStyle w:val="TableGrid"/>
        <w:tblW w:w="0" w:type="auto"/>
        <w:tblInd w:w="1440" w:type="dxa"/>
        <w:tblLook w:val="04A0" w:firstRow="1" w:lastRow="0" w:firstColumn="1" w:lastColumn="0" w:noHBand="0" w:noVBand="1"/>
      </w:tblPr>
      <w:tblGrid>
        <w:gridCol w:w="2210"/>
        <w:gridCol w:w="2341"/>
        <w:gridCol w:w="2306"/>
      </w:tblGrid>
      <w:tr w:rsidR="005D5D84" w:rsidRPr="00A260BD" w14:paraId="1B8B85DC" w14:textId="77777777" w:rsidTr="00EE7015">
        <w:tc>
          <w:tcPr>
            <w:tcW w:w="2210" w:type="dxa"/>
            <w:shd w:val="clear" w:color="auto" w:fill="DBE5F1" w:themeFill="accent1" w:themeFillTint="33"/>
          </w:tcPr>
          <w:p w14:paraId="553DD896" w14:textId="180C77DF" w:rsidR="005D5D84" w:rsidRPr="00A260BD" w:rsidRDefault="005D5D84" w:rsidP="00EE7015">
            <w:pPr>
              <w:pStyle w:val="Default"/>
              <w:rPr>
                <w:rFonts w:asciiTheme="minorHAnsi" w:hAnsiTheme="minorHAnsi" w:cstheme="minorHAnsi"/>
                <w:b/>
                <w:bCs/>
                <w:sz w:val="22"/>
                <w:szCs w:val="22"/>
              </w:rPr>
            </w:pPr>
            <w:r w:rsidRPr="00A260BD">
              <w:rPr>
                <w:rFonts w:asciiTheme="minorHAnsi" w:hAnsiTheme="minorHAnsi" w:cstheme="minorHAnsi"/>
                <w:b/>
                <w:bCs/>
                <w:sz w:val="22"/>
                <w:szCs w:val="22"/>
              </w:rPr>
              <w:t>Category</w:t>
            </w:r>
          </w:p>
        </w:tc>
        <w:tc>
          <w:tcPr>
            <w:tcW w:w="2341" w:type="dxa"/>
            <w:shd w:val="clear" w:color="auto" w:fill="DBE5F1" w:themeFill="accent1" w:themeFillTint="33"/>
          </w:tcPr>
          <w:p w14:paraId="40AAE00A" w14:textId="0237B524" w:rsidR="005D5D84" w:rsidRPr="00A260BD" w:rsidRDefault="005D5D84" w:rsidP="00EE7015">
            <w:pPr>
              <w:pStyle w:val="Default"/>
              <w:rPr>
                <w:rFonts w:asciiTheme="minorHAnsi" w:hAnsiTheme="minorHAnsi" w:cstheme="minorHAnsi"/>
                <w:b/>
                <w:bCs/>
                <w:sz w:val="22"/>
                <w:szCs w:val="22"/>
              </w:rPr>
            </w:pPr>
            <w:r w:rsidRPr="00A260BD">
              <w:rPr>
                <w:rFonts w:asciiTheme="minorHAnsi" w:hAnsiTheme="minorHAnsi" w:cstheme="minorHAnsi"/>
                <w:b/>
                <w:bCs/>
                <w:sz w:val="22"/>
                <w:szCs w:val="22"/>
              </w:rPr>
              <w:t>Assessed Value or Indicative Value</w:t>
            </w:r>
          </w:p>
        </w:tc>
        <w:tc>
          <w:tcPr>
            <w:tcW w:w="2306" w:type="dxa"/>
            <w:shd w:val="clear" w:color="auto" w:fill="DBE5F1" w:themeFill="accent1" w:themeFillTint="33"/>
          </w:tcPr>
          <w:p w14:paraId="7661A889" w14:textId="04ED7D44" w:rsidR="005D5D84" w:rsidRPr="00A260BD" w:rsidRDefault="005D5D84" w:rsidP="00EE7015">
            <w:pPr>
              <w:pStyle w:val="Default"/>
              <w:rPr>
                <w:rFonts w:asciiTheme="minorHAnsi" w:hAnsiTheme="minorHAnsi" w:cstheme="minorHAnsi"/>
                <w:b/>
                <w:bCs/>
                <w:sz w:val="22"/>
                <w:szCs w:val="22"/>
              </w:rPr>
            </w:pPr>
            <w:r w:rsidRPr="00A260BD">
              <w:rPr>
                <w:rFonts w:asciiTheme="minorHAnsi" w:hAnsiTheme="minorHAnsi" w:cstheme="minorHAnsi"/>
                <w:b/>
                <w:bCs/>
                <w:sz w:val="22"/>
                <w:szCs w:val="22"/>
              </w:rPr>
              <w:t>Monetary Ceiling</w:t>
            </w:r>
          </w:p>
        </w:tc>
      </w:tr>
      <w:tr w:rsidR="005D5D84" w:rsidRPr="00A260BD" w14:paraId="1900752C" w14:textId="77777777" w:rsidTr="005D5D84">
        <w:trPr>
          <w:trHeight w:val="435"/>
        </w:trPr>
        <w:tc>
          <w:tcPr>
            <w:tcW w:w="2210" w:type="dxa"/>
            <w:vMerge w:val="restart"/>
          </w:tcPr>
          <w:p w14:paraId="350DA250" w14:textId="77777777" w:rsidR="005D5D84" w:rsidRPr="00A260BD" w:rsidRDefault="005D5D84" w:rsidP="00EE7015">
            <w:pPr>
              <w:pStyle w:val="Default"/>
              <w:rPr>
                <w:rFonts w:asciiTheme="minorHAnsi" w:hAnsiTheme="minorHAnsi" w:cstheme="minorHAnsi"/>
                <w:b/>
                <w:bCs/>
                <w:sz w:val="22"/>
                <w:szCs w:val="22"/>
              </w:rPr>
            </w:pPr>
            <w:r w:rsidRPr="00A260BD">
              <w:rPr>
                <w:rFonts w:asciiTheme="minorHAnsi" w:hAnsiTheme="minorHAnsi" w:cstheme="minorHAnsi"/>
                <w:b/>
                <w:bCs/>
                <w:sz w:val="22"/>
                <w:szCs w:val="22"/>
              </w:rPr>
              <w:t>Category 1 Services</w:t>
            </w:r>
          </w:p>
          <w:p w14:paraId="35144FF5" w14:textId="77777777" w:rsidR="005D5D84" w:rsidRPr="00A260BD" w:rsidRDefault="005D5D84" w:rsidP="00EE7015">
            <w:pPr>
              <w:pStyle w:val="Default"/>
              <w:rPr>
                <w:rFonts w:asciiTheme="minorHAnsi" w:hAnsiTheme="minorHAnsi" w:cstheme="minorHAnsi"/>
                <w:sz w:val="22"/>
                <w:szCs w:val="22"/>
              </w:rPr>
            </w:pPr>
          </w:p>
          <w:p w14:paraId="529B0696" w14:textId="1671B349" w:rsidR="005D5D84" w:rsidRPr="00A260BD" w:rsidRDefault="005D5D84" w:rsidP="00EE7015">
            <w:pPr>
              <w:pStyle w:val="Default"/>
              <w:rPr>
                <w:rFonts w:asciiTheme="minorHAnsi" w:hAnsiTheme="minorHAnsi" w:cstheme="minorHAnsi"/>
                <w:sz w:val="22"/>
                <w:szCs w:val="22"/>
              </w:rPr>
            </w:pPr>
            <w:r w:rsidRPr="00A260BD">
              <w:rPr>
                <w:rFonts w:asciiTheme="minorHAnsi" w:hAnsiTheme="minorHAnsi" w:cstheme="minorHAnsi"/>
                <w:sz w:val="22"/>
                <w:szCs w:val="22"/>
              </w:rPr>
              <w:t xml:space="preserve">Real Property Valuation and Desktop Services </w:t>
            </w:r>
          </w:p>
        </w:tc>
        <w:tc>
          <w:tcPr>
            <w:tcW w:w="2341" w:type="dxa"/>
          </w:tcPr>
          <w:p w14:paraId="20589524" w14:textId="1D632051" w:rsidR="005D5D84" w:rsidRPr="00A260BD" w:rsidRDefault="005D5D84" w:rsidP="00EE7015">
            <w:pPr>
              <w:pStyle w:val="Default"/>
              <w:rPr>
                <w:rFonts w:asciiTheme="minorHAnsi" w:hAnsiTheme="minorHAnsi" w:cstheme="minorHAnsi"/>
                <w:sz w:val="22"/>
                <w:szCs w:val="22"/>
              </w:rPr>
            </w:pPr>
            <w:r w:rsidRPr="00A260BD">
              <w:rPr>
                <w:rFonts w:asciiTheme="minorHAnsi" w:hAnsiTheme="minorHAnsi" w:cstheme="minorHAnsi"/>
                <w:sz w:val="22"/>
                <w:szCs w:val="22"/>
              </w:rPr>
              <w:t xml:space="preserve">$0 to $3,500,000 </w:t>
            </w:r>
          </w:p>
        </w:tc>
        <w:tc>
          <w:tcPr>
            <w:tcW w:w="2306" w:type="dxa"/>
          </w:tcPr>
          <w:p w14:paraId="015E4818" w14:textId="31D0300C" w:rsidR="005D5D84" w:rsidRPr="00A260BD" w:rsidRDefault="005D5D84" w:rsidP="00EE7015">
            <w:pPr>
              <w:pStyle w:val="Default"/>
              <w:rPr>
                <w:rFonts w:asciiTheme="minorHAnsi" w:hAnsiTheme="minorHAnsi" w:cstheme="minorHAnsi"/>
                <w:sz w:val="22"/>
                <w:szCs w:val="22"/>
              </w:rPr>
            </w:pPr>
            <w:r w:rsidRPr="00A260BD">
              <w:rPr>
                <w:rFonts w:asciiTheme="minorHAnsi" w:hAnsiTheme="minorHAnsi" w:cstheme="minorHAnsi"/>
                <w:sz w:val="22"/>
                <w:szCs w:val="22"/>
              </w:rPr>
              <w:t xml:space="preserve">$1,000,000 (fixed) </w:t>
            </w:r>
          </w:p>
        </w:tc>
      </w:tr>
      <w:tr w:rsidR="005D5D84" w:rsidRPr="00A260BD" w14:paraId="7D154798" w14:textId="77777777" w:rsidTr="005D5D84">
        <w:tc>
          <w:tcPr>
            <w:tcW w:w="2210" w:type="dxa"/>
            <w:vMerge/>
          </w:tcPr>
          <w:p w14:paraId="419BD228" w14:textId="77777777" w:rsidR="005D5D84" w:rsidRPr="00A260BD" w:rsidRDefault="005D5D84" w:rsidP="00EE7015">
            <w:pPr>
              <w:pStyle w:val="Default"/>
              <w:rPr>
                <w:rFonts w:asciiTheme="minorHAnsi" w:hAnsiTheme="minorHAnsi" w:cstheme="minorHAnsi"/>
                <w:sz w:val="22"/>
                <w:szCs w:val="22"/>
              </w:rPr>
            </w:pPr>
          </w:p>
        </w:tc>
        <w:tc>
          <w:tcPr>
            <w:tcW w:w="2341" w:type="dxa"/>
          </w:tcPr>
          <w:p w14:paraId="11DA1E37" w14:textId="3AFC1F31" w:rsidR="005D5D84" w:rsidRPr="00A260BD" w:rsidRDefault="005D5D84" w:rsidP="00EE7015">
            <w:pPr>
              <w:pStyle w:val="Default"/>
              <w:rPr>
                <w:rFonts w:asciiTheme="minorHAnsi" w:hAnsiTheme="minorHAnsi" w:cstheme="minorHAnsi"/>
                <w:sz w:val="22"/>
                <w:szCs w:val="22"/>
              </w:rPr>
            </w:pPr>
            <w:r w:rsidRPr="00A260BD">
              <w:rPr>
                <w:rFonts w:asciiTheme="minorHAnsi" w:hAnsiTheme="minorHAnsi" w:cstheme="minorHAnsi"/>
                <w:sz w:val="22"/>
                <w:szCs w:val="22"/>
              </w:rPr>
              <w:t xml:space="preserve">$3,500,001 to $7,500,000 </w:t>
            </w:r>
          </w:p>
        </w:tc>
        <w:tc>
          <w:tcPr>
            <w:tcW w:w="2306" w:type="dxa"/>
          </w:tcPr>
          <w:p w14:paraId="77C5DF52" w14:textId="1AD00FD5" w:rsidR="005D5D84" w:rsidRPr="00A260BD" w:rsidRDefault="005D5D84" w:rsidP="00EE7015">
            <w:pPr>
              <w:pStyle w:val="Default"/>
              <w:rPr>
                <w:rFonts w:asciiTheme="minorHAnsi" w:hAnsiTheme="minorHAnsi" w:cstheme="minorHAnsi"/>
                <w:sz w:val="22"/>
                <w:szCs w:val="22"/>
              </w:rPr>
            </w:pPr>
            <w:r w:rsidRPr="00A260BD">
              <w:rPr>
                <w:rFonts w:asciiTheme="minorHAnsi" w:hAnsiTheme="minorHAnsi" w:cstheme="minorHAnsi"/>
                <w:sz w:val="22"/>
                <w:szCs w:val="22"/>
              </w:rPr>
              <w:t xml:space="preserve">Assessed Value x 33% </w:t>
            </w:r>
          </w:p>
        </w:tc>
      </w:tr>
      <w:tr w:rsidR="005D5D84" w:rsidRPr="00A260BD" w14:paraId="53C88397" w14:textId="77777777" w:rsidTr="005D5D84">
        <w:tc>
          <w:tcPr>
            <w:tcW w:w="2210" w:type="dxa"/>
            <w:vMerge/>
          </w:tcPr>
          <w:p w14:paraId="34688755" w14:textId="77777777" w:rsidR="005D5D84" w:rsidRPr="00A260BD" w:rsidRDefault="005D5D84" w:rsidP="00EE7015">
            <w:pPr>
              <w:pStyle w:val="Default"/>
              <w:rPr>
                <w:rFonts w:asciiTheme="minorHAnsi" w:hAnsiTheme="minorHAnsi" w:cstheme="minorHAnsi"/>
                <w:sz w:val="22"/>
                <w:szCs w:val="22"/>
              </w:rPr>
            </w:pPr>
          </w:p>
        </w:tc>
        <w:tc>
          <w:tcPr>
            <w:tcW w:w="2341" w:type="dxa"/>
          </w:tcPr>
          <w:p w14:paraId="291C9E20" w14:textId="0547E15D" w:rsidR="005D5D84" w:rsidRPr="00A260BD" w:rsidRDefault="005D5D84" w:rsidP="00EE7015">
            <w:pPr>
              <w:pStyle w:val="Default"/>
              <w:rPr>
                <w:rFonts w:asciiTheme="minorHAnsi" w:hAnsiTheme="minorHAnsi" w:cstheme="minorHAnsi"/>
                <w:sz w:val="22"/>
                <w:szCs w:val="22"/>
              </w:rPr>
            </w:pPr>
            <w:r w:rsidRPr="00A260BD">
              <w:rPr>
                <w:rFonts w:asciiTheme="minorHAnsi" w:hAnsiTheme="minorHAnsi" w:cstheme="minorHAnsi"/>
                <w:sz w:val="22"/>
                <w:szCs w:val="22"/>
              </w:rPr>
              <w:t>$7,500,001 to $100,000,000</w:t>
            </w:r>
          </w:p>
        </w:tc>
        <w:tc>
          <w:tcPr>
            <w:tcW w:w="2306" w:type="dxa"/>
          </w:tcPr>
          <w:p w14:paraId="49EAE7B9" w14:textId="319D710C" w:rsidR="005D5D84" w:rsidRPr="00A260BD" w:rsidRDefault="005D5D84" w:rsidP="00EE7015">
            <w:pPr>
              <w:pStyle w:val="Default"/>
              <w:rPr>
                <w:rFonts w:asciiTheme="minorHAnsi" w:hAnsiTheme="minorHAnsi" w:cstheme="minorHAnsi"/>
                <w:sz w:val="22"/>
                <w:szCs w:val="22"/>
              </w:rPr>
            </w:pPr>
            <w:r w:rsidRPr="00A260BD">
              <w:rPr>
                <w:rFonts w:asciiTheme="minorHAnsi" w:hAnsiTheme="minorHAnsi" w:cstheme="minorHAnsi"/>
                <w:sz w:val="22"/>
                <w:szCs w:val="22"/>
              </w:rPr>
              <w:t xml:space="preserve">$2,000,000 + (Assessed Value x 7.5%) </w:t>
            </w:r>
          </w:p>
        </w:tc>
      </w:tr>
      <w:tr w:rsidR="005D5D84" w:rsidRPr="00A260BD" w14:paraId="03B84BCE" w14:textId="77777777" w:rsidTr="005D5D84">
        <w:tc>
          <w:tcPr>
            <w:tcW w:w="2210" w:type="dxa"/>
            <w:vMerge/>
          </w:tcPr>
          <w:p w14:paraId="4E6D1A76" w14:textId="77777777" w:rsidR="005D5D84" w:rsidRPr="00A260BD" w:rsidRDefault="005D5D84" w:rsidP="00EE7015">
            <w:pPr>
              <w:pStyle w:val="Default"/>
              <w:rPr>
                <w:rFonts w:asciiTheme="minorHAnsi" w:hAnsiTheme="minorHAnsi" w:cstheme="minorHAnsi"/>
                <w:sz w:val="22"/>
                <w:szCs w:val="22"/>
              </w:rPr>
            </w:pPr>
          </w:p>
        </w:tc>
        <w:tc>
          <w:tcPr>
            <w:tcW w:w="2341" w:type="dxa"/>
          </w:tcPr>
          <w:p w14:paraId="4A9CFC34" w14:textId="00069F0C" w:rsidR="005D5D84" w:rsidRPr="00A260BD" w:rsidRDefault="005D5D84" w:rsidP="00EE7015">
            <w:pPr>
              <w:pStyle w:val="Default"/>
              <w:rPr>
                <w:rFonts w:asciiTheme="minorHAnsi" w:hAnsiTheme="minorHAnsi" w:cstheme="minorHAnsi"/>
                <w:sz w:val="22"/>
                <w:szCs w:val="22"/>
              </w:rPr>
            </w:pPr>
            <w:r w:rsidRPr="00A260BD">
              <w:rPr>
                <w:rFonts w:asciiTheme="minorHAnsi" w:hAnsiTheme="minorHAnsi" w:cstheme="minorHAnsi"/>
                <w:sz w:val="22"/>
                <w:szCs w:val="22"/>
              </w:rPr>
              <w:t xml:space="preserve">$100,000,001 or greater </w:t>
            </w:r>
          </w:p>
        </w:tc>
        <w:tc>
          <w:tcPr>
            <w:tcW w:w="2306" w:type="dxa"/>
          </w:tcPr>
          <w:p w14:paraId="0B1298D3" w14:textId="77777777" w:rsidR="005D5D84" w:rsidRPr="00A260BD" w:rsidRDefault="005D5D84" w:rsidP="00EE7015">
            <w:pPr>
              <w:pStyle w:val="Default"/>
              <w:rPr>
                <w:rFonts w:asciiTheme="minorHAnsi" w:hAnsiTheme="minorHAnsi" w:cstheme="minorHAnsi"/>
                <w:sz w:val="22"/>
                <w:szCs w:val="22"/>
              </w:rPr>
            </w:pPr>
            <w:r w:rsidRPr="00A260BD">
              <w:rPr>
                <w:rFonts w:asciiTheme="minorHAnsi" w:hAnsiTheme="minorHAnsi" w:cstheme="minorHAnsi"/>
                <w:sz w:val="22"/>
                <w:szCs w:val="22"/>
              </w:rPr>
              <w:t xml:space="preserve">$10,000,000 (fixed) </w:t>
            </w:r>
          </w:p>
          <w:p w14:paraId="038440D8" w14:textId="77777777" w:rsidR="005D5D84" w:rsidRPr="00A260BD" w:rsidRDefault="005D5D84" w:rsidP="00EE7015">
            <w:pPr>
              <w:pStyle w:val="Default"/>
              <w:rPr>
                <w:rFonts w:asciiTheme="minorHAnsi" w:hAnsiTheme="minorHAnsi" w:cstheme="minorHAnsi"/>
                <w:sz w:val="22"/>
                <w:szCs w:val="22"/>
              </w:rPr>
            </w:pPr>
          </w:p>
        </w:tc>
      </w:tr>
      <w:tr w:rsidR="005D5D84" w:rsidRPr="00A260BD" w14:paraId="1A829703" w14:textId="77777777" w:rsidTr="00EE7015">
        <w:tc>
          <w:tcPr>
            <w:tcW w:w="2210" w:type="dxa"/>
            <w:shd w:val="clear" w:color="auto" w:fill="DBE5F1" w:themeFill="accent1" w:themeFillTint="33"/>
          </w:tcPr>
          <w:p w14:paraId="5040CD31" w14:textId="76ED4405" w:rsidR="005D5D84" w:rsidRPr="00A260BD" w:rsidRDefault="005D5D84" w:rsidP="00EE7015">
            <w:pPr>
              <w:pStyle w:val="Default"/>
              <w:rPr>
                <w:rFonts w:asciiTheme="minorHAnsi" w:hAnsiTheme="minorHAnsi" w:cstheme="minorHAnsi"/>
                <w:b/>
                <w:bCs/>
                <w:sz w:val="22"/>
                <w:szCs w:val="22"/>
              </w:rPr>
            </w:pPr>
            <w:r w:rsidRPr="00A260BD">
              <w:rPr>
                <w:rFonts w:asciiTheme="minorHAnsi" w:hAnsiTheme="minorHAnsi" w:cstheme="minorHAnsi"/>
                <w:b/>
                <w:bCs/>
                <w:sz w:val="22"/>
                <w:szCs w:val="22"/>
              </w:rPr>
              <w:t>Category</w:t>
            </w:r>
          </w:p>
        </w:tc>
        <w:tc>
          <w:tcPr>
            <w:tcW w:w="2341" w:type="dxa"/>
            <w:shd w:val="clear" w:color="auto" w:fill="DBE5F1" w:themeFill="accent1" w:themeFillTint="33"/>
          </w:tcPr>
          <w:p w14:paraId="610CA2D8" w14:textId="41BB4E58" w:rsidR="005D5D84" w:rsidRPr="00A260BD" w:rsidRDefault="005D5D84" w:rsidP="00EE7015">
            <w:pPr>
              <w:pStyle w:val="Default"/>
              <w:rPr>
                <w:rFonts w:asciiTheme="minorHAnsi" w:hAnsiTheme="minorHAnsi" w:cstheme="minorHAnsi"/>
                <w:b/>
                <w:bCs/>
                <w:sz w:val="22"/>
                <w:szCs w:val="22"/>
              </w:rPr>
            </w:pPr>
            <w:r w:rsidRPr="00A260BD">
              <w:rPr>
                <w:rFonts w:asciiTheme="minorHAnsi" w:hAnsiTheme="minorHAnsi" w:cstheme="minorHAnsi"/>
                <w:b/>
                <w:bCs/>
                <w:sz w:val="22"/>
                <w:szCs w:val="22"/>
              </w:rPr>
              <w:t>Category Description</w:t>
            </w:r>
          </w:p>
        </w:tc>
        <w:tc>
          <w:tcPr>
            <w:tcW w:w="2306" w:type="dxa"/>
            <w:shd w:val="clear" w:color="auto" w:fill="DBE5F1" w:themeFill="accent1" w:themeFillTint="33"/>
          </w:tcPr>
          <w:p w14:paraId="3CD034B3" w14:textId="303F9325" w:rsidR="005D5D84" w:rsidRPr="00A260BD" w:rsidRDefault="005D5D84" w:rsidP="00EE7015">
            <w:pPr>
              <w:pStyle w:val="Default"/>
              <w:rPr>
                <w:rFonts w:asciiTheme="minorHAnsi" w:hAnsiTheme="minorHAnsi" w:cstheme="minorHAnsi"/>
                <w:b/>
                <w:bCs/>
                <w:sz w:val="22"/>
                <w:szCs w:val="22"/>
              </w:rPr>
            </w:pPr>
            <w:r w:rsidRPr="00A260BD">
              <w:rPr>
                <w:rFonts w:asciiTheme="minorHAnsi" w:hAnsiTheme="minorHAnsi" w:cstheme="minorHAnsi"/>
                <w:b/>
                <w:bCs/>
                <w:sz w:val="22"/>
                <w:szCs w:val="22"/>
              </w:rPr>
              <w:t>Monetary Ceiling</w:t>
            </w:r>
          </w:p>
        </w:tc>
      </w:tr>
      <w:tr w:rsidR="005D5D84" w:rsidRPr="00A260BD" w14:paraId="68F33580" w14:textId="77777777" w:rsidTr="005D5D84">
        <w:tc>
          <w:tcPr>
            <w:tcW w:w="2210" w:type="dxa"/>
          </w:tcPr>
          <w:p w14:paraId="1A4C5E03" w14:textId="7D565830" w:rsidR="005D5D84" w:rsidRPr="00A260BD" w:rsidRDefault="00EE7015" w:rsidP="00EE7015">
            <w:pPr>
              <w:pStyle w:val="Default"/>
              <w:rPr>
                <w:rFonts w:asciiTheme="minorHAnsi" w:hAnsiTheme="minorHAnsi" w:cstheme="minorHAnsi"/>
                <w:b/>
                <w:bCs/>
                <w:sz w:val="22"/>
                <w:szCs w:val="22"/>
              </w:rPr>
            </w:pPr>
            <w:r w:rsidRPr="00A260BD">
              <w:rPr>
                <w:rFonts w:asciiTheme="minorHAnsi" w:hAnsiTheme="minorHAnsi" w:cstheme="minorHAnsi"/>
                <w:b/>
                <w:bCs/>
                <w:sz w:val="22"/>
                <w:szCs w:val="22"/>
              </w:rPr>
              <w:t>Category 2 Services</w:t>
            </w:r>
          </w:p>
        </w:tc>
        <w:tc>
          <w:tcPr>
            <w:tcW w:w="2341" w:type="dxa"/>
          </w:tcPr>
          <w:p w14:paraId="7EBF5926" w14:textId="4D6C9816" w:rsidR="005D5D84" w:rsidRPr="00A260BD" w:rsidRDefault="00EE7015" w:rsidP="00EE7015">
            <w:pPr>
              <w:pStyle w:val="Default"/>
              <w:rPr>
                <w:rFonts w:asciiTheme="minorHAnsi" w:hAnsiTheme="minorHAnsi" w:cstheme="minorHAnsi"/>
                <w:sz w:val="22"/>
                <w:szCs w:val="22"/>
              </w:rPr>
            </w:pPr>
            <w:r w:rsidRPr="00A260BD">
              <w:rPr>
                <w:rFonts w:asciiTheme="minorHAnsi" w:hAnsiTheme="minorHAnsi" w:cstheme="minorHAnsi"/>
                <w:sz w:val="22"/>
                <w:szCs w:val="22"/>
              </w:rPr>
              <w:t>Low Risk Valuation Services</w:t>
            </w:r>
          </w:p>
        </w:tc>
        <w:tc>
          <w:tcPr>
            <w:tcW w:w="2306" w:type="dxa"/>
          </w:tcPr>
          <w:p w14:paraId="5BDAD09B" w14:textId="77777777" w:rsidR="00EE7015" w:rsidRPr="00A260BD" w:rsidRDefault="00EE7015" w:rsidP="00EE7015">
            <w:pPr>
              <w:pStyle w:val="Default"/>
              <w:rPr>
                <w:rFonts w:asciiTheme="minorHAnsi" w:hAnsiTheme="minorHAnsi" w:cstheme="minorHAnsi"/>
                <w:sz w:val="22"/>
                <w:szCs w:val="22"/>
              </w:rPr>
            </w:pPr>
            <w:r w:rsidRPr="00A260BD">
              <w:rPr>
                <w:rFonts w:asciiTheme="minorHAnsi" w:hAnsiTheme="minorHAnsi" w:cstheme="minorHAnsi"/>
                <w:sz w:val="22"/>
                <w:szCs w:val="22"/>
              </w:rPr>
              <w:t xml:space="preserve">$1,000,000 (fixed) </w:t>
            </w:r>
          </w:p>
          <w:p w14:paraId="0DCC12A0" w14:textId="77777777" w:rsidR="005D5D84" w:rsidRPr="00A260BD" w:rsidRDefault="005D5D84" w:rsidP="00EE7015">
            <w:pPr>
              <w:pStyle w:val="Default"/>
              <w:rPr>
                <w:rFonts w:asciiTheme="minorHAnsi" w:hAnsiTheme="minorHAnsi" w:cstheme="minorHAnsi"/>
                <w:sz w:val="22"/>
                <w:szCs w:val="22"/>
              </w:rPr>
            </w:pPr>
          </w:p>
        </w:tc>
      </w:tr>
      <w:tr w:rsidR="005D5D84" w:rsidRPr="00A260BD" w14:paraId="45555931" w14:textId="77777777" w:rsidTr="005D5D84">
        <w:tc>
          <w:tcPr>
            <w:tcW w:w="2210" w:type="dxa"/>
          </w:tcPr>
          <w:p w14:paraId="20EC1B18" w14:textId="03E91478" w:rsidR="005D5D84" w:rsidRPr="00A260BD" w:rsidRDefault="00EE7015" w:rsidP="00EE7015">
            <w:pPr>
              <w:pStyle w:val="Default"/>
              <w:rPr>
                <w:rFonts w:asciiTheme="minorHAnsi" w:hAnsiTheme="minorHAnsi" w:cstheme="minorHAnsi"/>
                <w:b/>
                <w:bCs/>
                <w:sz w:val="22"/>
                <w:szCs w:val="22"/>
              </w:rPr>
            </w:pPr>
            <w:r w:rsidRPr="00A260BD">
              <w:rPr>
                <w:rFonts w:asciiTheme="minorHAnsi" w:hAnsiTheme="minorHAnsi" w:cstheme="minorHAnsi"/>
                <w:b/>
                <w:bCs/>
                <w:sz w:val="22"/>
                <w:szCs w:val="22"/>
              </w:rPr>
              <w:t>Category 3 Services</w:t>
            </w:r>
          </w:p>
        </w:tc>
        <w:tc>
          <w:tcPr>
            <w:tcW w:w="2341" w:type="dxa"/>
          </w:tcPr>
          <w:p w14:paraId="1CD83532" w14:textId="420FB434" w:rsidR="005D5D84" w:rsidRPr="00A260BD" w:rsidRDefault="00EE7015" w:rsidP="00EE7015">
            <w:pPr>
              <w:pStyle w:val="Default"/>
              <w:rPr>
                <w:rFonts w:asciiTheme="minorHAnsi" w:hAnsiTheme="minorHAnsi" w:cstheme="minorHAnsi"/>
                <w:sz w:val="22"/>
                <w:szCs w:val="22"/>
              </w:rPr>
            </w:pPr>
            <w:r w:rsidRPr="00A260BD">
              <w:rPr>
                <w:rFonts w:asciiTheme="minorHAnsi" w:hAnsiTheme="minorHAnsi" w:cstheme="minorHAnsi"/>
                <w:sz w:val="22"/>
                <w:szCs w:val="22"/>
              </w:rPr>
              <w:t>Plant &amp; Machinery Valuations</w:t>
            </w:r>
          </w:p>
        </w:tc>
        <w:tc>
          <w:tcPr>
            <w:tcW w:w="2306" w:type="dxa"/>
          </w:tcPr>
          <w:p w14:paraId="26BD8EDE" w14:textId="77777777" w:rsidR="00EE7015" w:rsidRPr="00A260BD" w:rsidRDefault="00EE7015" w:rsidP="00EE7015">
            <w:pPr>
              <w:pStyle w:val="Default"/>
              <w:rPr>
                <w:rFonts w:asciiTheme="minorHAnsi" w:hAnsiTheme="minorHAnsi" w:cstheme="minorHAnsi"/>
                <w:sz w:val="22"/>
                <w:szCs w:val="22"/>
              </w:rPr>
            </w:pPr>
            <w:r w:rsidRPr="00A260BD">
              <w:rPr>
                <w:rFonts w:asciiTheme="minorHAnsi" w:hAnsiTheme="minorHAnsi" w:cstheme="minorHAnsi"/>
                <w:sz w:val="22"/>
                <w:szCs w:val="22"/>
              </w:rPr>
              <w:t xml:space="preserve">$1,000,000 (fixed) </w:t>
            </w:r>
          </w:p>
          <w:p w14:paraId="2D7D91F6" w14:textId="77777777" w:rsidR="005D5D84" w:rsidRPr="00A260BD" w:rsidRDefault="005D5D84" w:rsidP="00EE7015">
            <w:pPr>
              <w:pStyle w:val="Default"/>
              <w:rPr>
                <w:rFonts w:asciiTheme="minorHAnsi" w:hAnsiTheme="minorHAnsi" w:cstheme="minorHAnsi"/>
                <w:sz w:val="22"/>
                <w:szCs w:val="22"/>
              </w:rPr>
            </w:pPr>
          </w:p>
        </w:tc>
      </w:tr>
      <w:tr w:rsidR="005D5D84" w:rsidRPr="00A260BD" w14:paraId="6E9F23CB" w14:textId="77777777" w:rsidTr="005D5D84">
        <w:tc>
          <w:tcPr>
            <w:tcW w:w="2210" w:type="dxa"/>
          </w:tcPr>
          <w:p w14:paraId="61268577" w14:textId="29F5B3FD" w:rsidR="005D5D84" w:rsidRPr="00A260BD" w:rsidRDefault="00EE7015" w:rsidP="00EE7015">
            <w:pPr>
              <w:pStyle w:val="Default"/>
              <w:rPr>
                <w:rFonts w:asciiTheme="minorHAnsi" w:hAnsiTheme="minorHAnsi" w:cstheme="minorHAnsi"/>
                <w:b/>
                <w:bCs/>
                <w:sz w:val="22"/>
                <w:szCs w:val="22"/>
              </w:rPr>
            </w:pPr>
            <w:r w:rsidRPr="00A260BD">
              <w:rPr>
                <w:rFonts w:asciiTheme="minorHAnsi" w:hAnsiTheme="minorHAnsi" w:cstheme="minorHAnsi"/>
                <w:b/>
                <w:bCs/>
                <w:sz w:val="22"/>
                <w:szCs w:val="22"/>
              </w:rPr>
              <w:t>Category 4 Services</w:t>
            </w:r>
          </w:p>
        </w:tc>
        <w:tc>
          <w:tcPr>
            <w:tcW w:w="2341" w:type="dxa"/>
          </w:tcPr>
          <w:p w14:paraId="1DDB0E9C" w14:textId="616CA2BF" w:rsidR="005D5D84" w:rsidRPr="00A260BD" w:rsidRDefault="00EE7015" w:rsidP="00EE7015">
            <w:pPr>
              <w:pStyle w:val="Default"/>
              <w:rPr>
                <w:rFonts w:asciiTheme="minorHAnsi" w:hAnsiTheme="minorHAnsi" w:cstheme="minorHAnsi"/>
                <w:sz w:val="22"/>
                <w:szCs w:val="22"/>
              </w:rPr>
            </w:pPr>
            <w:r w:rsidRPr="00A260BD">
              <w:rPr>
                <w:rFonts w:asciiTheme="minorHAnsi" w:hAnsiTheme="minorHAnsi" w:cstheme="minorHAnsi"/>
                <w:sz w:val="22"/>
                <w:szCs w:val="22"/>
              </w:rPr>
              <w:t>Other Occupational Services</w:t>
            </w:r>
          </w:p>
        </w:tc>
        <w:tc>
          <w:tcPr>
            <w:tcW w:w="2306" w:type="dxa"/>
          </w:tcPr>
          <w:p w14:paraId="75C440F7" w14:textId="77777777" w:rsidR="00EE7015" w:rsidRPr="00A260BD" w:rsidRDefault="00EE7015" w:rsidP="00EE7015">
            <w:pPr>
              <w:pStyle w:val="Default"/>
              <w:rPr>
                <w:rFonts w:asciiTheme="minorHAnsi" w:hAnsiTheme="minorHAnsi" w:cstheme="minorHAnsi"/>
                <w:sz w:val="22"/>
                <w:szCs w:val="22"/>
              </w:rPr>
            </w:pPr>
            <w:r w:rsidRPr="00A260BD">
              <w:rPr>
                <w:rFonts w:asciiTheme="minorHAnsi" w:hAnsiTheme="minorHAnsi" w:cstheme="minorHAnsi"/>
                <w:sz w:val="22"/>
                <w:szCs w:val="22"/>
              </w:rPr>
              <w:t xml:space="preserve">$1,000,000 (fixed) </w:t>
            </w:r>
          </w:p>
          <w:p w14:paraId="77CC2B1E" w14:textId="77777777" w:rsidR="005D5D84" w:rsidRPr="00A260BD" w:rsidRDefault="005D5D84" w:rsidP="00EE7015">
            <w:pPr>
              <w:pStyle w:val="Default"/>
              <w:rPr>
                <w:rFonts w:asciiTheme="minorHAnsi" w:hAnsiTheme="minorHAnsi" w:cstheme="minorHAnsi"/>
                <w:sz w:val="22"/>
                <w:szCs w:val="22"/>
              </w:rPr>
            </w:pPr>
          </w:p>
        </w:tc>
      </w:tr>
    </w:tbl>
    <w:p w14:paraId="5FBD3073" w14:textId="77777777" w:rsidR="005D5D84" w:rsidRPr="005D5D84" w:rsidRDefault="005D5D84" w:rsidP="005D5D84">
      <w:pPr>
        <w:pStyle w:val="Default"/>
        <w:spacing w:line="276" w:lineRule="auto"/>
        <w:ind w:left="1440"/>
        <w:rPr>
          <w:rFonts w:asciiTheme="minorHAnsi" w:hAnsiTheme="minorHAnsi" w:cstheme="minorHAnsi"/>
          <w:sz w:val="22"/>
          <w:szCs w:val="22"/>
        </w:rPr>
      </w:pPr>
    </w:p>
    <w:p w14:paraId="5A1A0790" w14:textId="7CA8D126" w:rsidR="00A260BD" w:rsidRPr="00A260BD" w:rsidRDefault="00A260BD" w:rsidP="00A260BD">
      <w:pPr>
        <w:pStyle w:val="Default"/>
        <w:numPr>
          <w:ilvl w:val="1"/>
          <w:numId w:val="10"/>
        </w:numPr>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This Scheme limits the Occupational Liability in respect of a cause of action founded on an act or omission occurring during the period when the </w:t>
      </w:r>
      <w:r w:rsidRPr="00A260BD">
        <w:rPr>
          <w:rFonts w:asciiTheme="minorHAnsi" w:hAnsiTheme="minorHAnsi" w:cstheme="minorHAnsi"/>
          <w:sz w:val="22"/>
          <w:szCs w:val="22"/>
        </w:rPr>
        <w:lastRenderedPageBreak/>
        <w:t xml:space="preserve">Scheme was in force of any Person to whom the Scheme applied at the time the act or omission occurred. </w:t>
      </w:r>
    </w:p>
    <w:p w14:paraId="6790C0B0" w14:textId="77777777" w:rsidR="00A260BD" w:rsidRPr="00A260BD" w:rsidRDefault="00A260BD" w:rsidP="00A260BD">
      <w:pPr>
        <w:pStyle w:val="Default"/>
        <w:numPr>
          <w:ilvl w:val="1"/>
          <w:numId w:val="10"/>
        </w:numPr>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Clause 4.2 does not limit the amount of Damages to which a Person to whom the Scheme applies is liable if the amount is less than the amount specified for the purpose in this Scheme in relation to a Person to whom the Scheme applies. </w:t>
      </w:r>
    </w:p>
    <w:p w14:paraId="211F086C" w14:textId="77777777" w:rsidR="00A260BD" w:rsidRPr="00A260BD" w:rsidRDefault="00A260BD" w:rsidP="00A260BD">
      <w:pPr>
        <w:pStyle w:val="Default"/>
        <w:numPr>
          <w:ilvl w:val="1"/>
          <w:numId w:val="10"/>
        </w:numPr>
        <w:spacing w:line="276" w:lineRule="auto"/>
        <w:rPr>
          <w:rFonts w:asciiTheme="minorHAnsi" w:hAnsiTheme="minorHAnsi" w:cstheme="minorHAnsi"/>
          <w:sz w:val="22"/>
          <w:szCs w:val="22"/>
        </w:rPr>
      </w:pPr>
      <w:r w:rsidRPr="00A260BD">
        <w:rPr>
          <w:rFonts w:asciiTheme="minorHAnsi" w:hAnsiTheme="minorHAnsi" w:cstheme="minorHAnsi"/>
          <w:sz w:val="22"/>
          <w:szCs w:val="22"/>
        </w:rPr>
        <w:t>For the avoidance of doubt, the applicable limitation of liability in respect of a Claim is the Monetary Ceiling as in force at the time at which the act or omission giving rise to the cause of action concerned occurred.</w:t>
      </w:r>
    </w:p>
    <w:p w14:paraId="4BC01D94" w14:textId="33ED64CF" w:rsidR="005D5D84" w:rsidRPr="005D5D84" w:rsidRDefault="00A260BD" w:rsidP="00A260BD">
      <w:pPr>
        <w:pStyle w:val="Default"/>
        <w:numPr>
          <w:ilvl w:val="1"/>
          <w:numId w:val="10"/>
        </w:numPr>
        <w:spacing w:line="276" w:lineRule="auto"/>
        <w:rPr>
          <w:rFonts w:asciiTheme="minorHAnsi" w:hAnsiTheme="minorHAnsi" w:cstheme="minorHAnsi"/>
          <w:sz w:val="22"/>
          <w:szCs w:val="22"/>
        </w:rPr>
      </w:pPr>
      <w:r w:rsidRPr="00A260BD">
        <w:rPr>
          <w:rFonts w:asciiTheme="minorHAnsi" w:hAnsiTheme="minorHAnsi" w:cstheme="minorHAnsi"/>
          <w:sz w:val="22"/>
          <w:szCs w:val="22"/>
        </w:rPr>
        <w:t>Where a Person, who at the time of the acts or omissions referred to in clause 4.2 incurs an Occupational Liability as a result of:</w:t>
      </w:r>
    </w:p>
    <w:p w14:paraId="22EB7947" w14:textId="0F7574AF" w:rsidR="00A260BD" w:rsidRPr="00A260BD" w:rsidRDefault="00A260BD" w:rsidP="00A260BD">
      <w:pPr>
        <w:pStyle w:val="Default"/>
        <w:numPr>
          <w:ilvl w:val="2"/>
          <w:numId w:val="10"/>
        </w:numPr>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an act or omission by that Person in the performance of Category 1 Services; and </w:t>
      </w:r>
    </w:p>
    <w:p w14:paraId="7A23AF15" w14:textId="7A1C0980" w:rsidR="00A260BD" w:rsidRPr="00A260BD" w:rsidRDefault="00A260BD" w:rsidP="00A260BD">
      <w:pPr>
        <w:pStyle w:val="Default"/>
        <w:numPr>
          <w:ilvl w:val="2"/>
          <w:numId w:val="10"/>
        </w:numPr>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an act or omission by that Person in the performance of: </w:t>
      </w:r>
    </w:p>
    <w:p w14:paraId="5F4167D9" w14:textId="005CDEE1" w:rsidR="005D5D84" w:rsidRPr="00A260BD" w:rsidRDefault="00A260BD" w:rsidP="00A260BD">
      <w:pPr>
        <w:pStyle w:val="Default"/>
        <w:numPr>
          <w:ilvl w:val="3"/>
          <w:numId w:val="10"/>
        </w:numPr>
        <w:spacing w:line="276" w:lineRule="auto"/>
        <w:rPr>
          <w:rFonts w:asciiTheme="minorHAnsi" w:hAnsiTheme="minorHAnsi" w:cstheme="minorHAnsi"/>
          <w:sz w:val="22"/>
          <w:szCs w:val="22"/>
        </w:rPr>
      </w:pPr>
      <w:r w:rsidRPr="00A260BD">
        <w:rPr>
          <w:rFonts w:asciiTheme="minorHAnsi" w:hAnsiTheme="minorHAnsi" w:cstheme="minorHAnsi"/>
          <w:sz w:val="22"/>
          <w:szCs w:val="22"/>
        </w:rPr>
        <w:t>Category 2 Services;</w:t>
      </w:r>
    </w:p>
    <w:p w14:paraId="2287F9B6" w14:textId="2E456750" w:rsidR="00A260BD" w:rsidRPr="00A260BD" w:rsidRDefault="00A260BD" w:rsidP="00A260BD">
      <w:pPr>
        <w:pStyle w:val="Default"/>
        <w:numPr>
          <w:ilvl w:val="3"/>
          <w:numId w:val="10"/>
        </w:numPr>
        <w:spacing w:line="276" w:lineRule="auto"/>
        <w:rPr>
          <w:rFonts w:asciiTheme="minorHAnsi" w:hAnsiTheme="minorHAnsi" w:cstheme="minorHAnsi"/>
          <w:sz w:val="22"/>
          <w:szCs w:val="22"/>
        </w:rPr>
      </w:pPr>
      <w:r w:rsidRPr="00A260BD">
        <w:rPr>
          <w:rFonts w:asciiTheme="minorHAnsi" w:hAnsiTheme="minorHAnsi" w:cstheme="minorHAnsi"/>
          <w:sz w:val="22"/>
          <w:szCs w:val="22"/>
        </w:rPr>
        <w:t>Category 3 Services;</w:t>
      </w:r>
    </w:p>
    <w:p w14:paraId="53FEC5E9" w14:textId="653E625B" w:rsidR="00A260BD" w:rsidRPr="00A260BD" w:rsidRDefault="00A260BD" w:rsidP="00A260BD">
      <w:pPr>
        <w:pStyle w:val="Default"/>
        <w:numPr>
          <w:ilvl w:val="3"/>
          <w:numId w:val="10"/>
        </w:numPr>
        <w:spacing w:line="276" w:lineRule="auto"/>
        <w:rPr>
          <w:rFonts w:asciiTheme="minorHAnsi" w:hAnsiTheme="minorHAnsi" w:cstheme="minorHAnsi"/>
          <w:sz w:val="22"/>
          <w:szCs w:val="22"/>
        </w:rPr>
      </w:pPr>
      <w:r w:rsidRPr="00A260BD">
        <w:rPr>
          <w:rFonts w:asciiTheme="minorHAnsi" w:hAnsiTheme="minorHAnsi" w:cstheme="minorHAnsi"/>
          <w:sz w:val="22"/>
          <w:szCs w:val="22"/>
        </w:rPr>
        <w:t>Category 4 Services; or</w:t>
      </w:r>
    </w:p>
    <w:p w14:paraId="61465BFA" w14:textId="056FD404" w:rsidR="00A260BD" w:rsidRPr="00A260BD" w:rsidRDefault="00A260BD" w:rsidP="00A260BD">
      <w:pPr>
        <w:pStyle w:val="Default"/>
        <w:numPr>
          <w:ilvl w:val="3"/>
          <w:numId w:val="10"/>
        </w:numPr>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Any combination of Category 2 Services, Category 3 Services and/or Category 4 Services; </w:t>
      </w:r>
    </w:p>
    <w:p w14:paraId="673A1C2B" w14:textId="381DCF89" w:rsidR="00A260BD" w:rsidRPr="00A260BD" w:rsidRDefault="00A260BD" w:rsidP="00A260BD">
      <w:pPr>
        <w:pStyle w:val="Default"/>
        <w:spacing w:line="276" w:lineRule="auto"/>
        <w:ind w:left="2880"/>
        <w:rPr>
          <w:rFonts w:asciiTheme="minorHAnsi" w:hAnsiTheme="minorHAnsi" w:cstheme="minorHAnsi"/>
          <w:sz w:val="22"/>
          <w:szCs w:val="22"/>
        </w:rPr>
      </w:pPr>
      <w:r w:rsidRPr="00A260BD">
        <w:rPr>
          <w:rFonts w:asciiTheme="minorHAnsi" w:hAnsiTheme="minorHAnsi" w:cstheme="minorHAnsi"/>
          <w:sz w:val="22"/>
          <w:szCs w:val="22"/>
        </w:rPr>
        <w:t>Such Person’s Occupational Liability under this Scheme for Damages in excess of the amount specified in clause 4.1 will be determined in accordance with those provisions of the Scheme relating to Category 1 Services only, as set out in the table at clause 4.3.</w:t>
      </w:r>
    </w:p>
    <w:p w14:paraId="6E38AEE5" w14:textId="31589364" w:rsidR="00A260BD" w:rsidRPr="00A260BD" w:rsidRDefault="00A260BD" w:rsidP="00A260BD">
      <w:pPr>
        <w:pStyle w:val="Default"/>
        <w:numPr>
          <w:ilvl w:val="1"/>
          <w:numId w:val="10"/>
        </w:numPr>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Where a Person who at the time of the acts or omissions incurs an Occupational Liability as a result of: </w:t>
      </w:r>
    </w:p>
    <w:p w14:paraId="46D5E8C5" w14:textId="3C9F3366" w:rsidR="00A260BD" w:rsidRPr="00A260BD" w:rsidRDefault="00A260BD" w:rsidP="00A260BD">
      <w:pPr>
        <w:pStyle w:val="Default"/>
        <w:numPr>
          <w:ilvl w:val="2"/>
          <w:numId w:val="10"/>
        </w:numPr>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an act or omission in the performance of a Category 1 Service; and </w:t>
      </w:r>
    </w:p>
    <w:p w14:paraId="7016EB50" w14:textId="20927F13" w:rsidR="00A260BD" w:rsidRPr="00A260BD" w:rsidRDefault="00A260BD" w:rsidP="00A260BD">
      <w:pPr>
        <w:pStyle w:val="Default"/>
        <w:numPr>
          <w:ilvl w:val="2"/>
          <w:numId w:val="10"/>
        </w:numPr>
        <w:spacing w:line="276" w:lineRule="auto"/>
        <w:rPr>
          <w:rFonts w:asciiTheme="minorHAnsi" w:hAnsiTheme="minorHAnsi" w:cstheme="minorHAnsi"/>
          <w:sz w:val="22"/>
          <w:szCs w:val="22"/>
        </w:rPr>
      </w:pPr>
      <w:r w:rsidRPr="00A260BD">
        <w:rPr>
          <w:rFonts w:asciiTheme="minorHAnsi" w:hAnsiTheme="minorHAnsi" w:cstheme="minorHAnsi"/>
          <w:sz w:val="22"/>
          <w:szCs w:val="22"/>
        </w:rPr>
        <w:t xml:space="preserve">an act or omission in the performance of one or more other Category 1 Service; </w:t>
      </w:r>
    </w:p>
    <w:p w14:paraId="07790AD0" w14:textId="0E87F15E" w:rsidR="00A260BD" w:rsidRPr="00A260BD" w:rsidRDefault="00A260BD" w:rsidP="00A260BD">
      <w:pPr>
        <w:pStyle w:val="Default"/>
        <w:numPr>
          <w:ilvl w:val="1"/>
          <w:numId w:val="10"/>
        </w:numPr>
        <w:spacing w:line="276" w:lineRule="auto"/>
        <w:rPr>
          <w:rFonts w:asciiTheme="minorHAnsi" w:hAnsiTheme="minorHAnsi" w:cstheme="minorHAnsi"/>
          <w:sz w:val="22"/>
          <w:szCs w:val="22"/>
        </w:rPr>
      </w:pPr>
      <w:r w:rsidRPr="00A260BD">
        <w:rPr>
          <w:rFonts w:asciiTheme="minorHAnsi" w:hAnsiTheme="minorHAnsi" w:cstheme="minorHAnsi"/>
          <w:sz w:val="22"/>
          <w:szCs w:val="22"/>
        </w:rPr>
        <w:t>the Monetary Ceiling shall be calculated by reference to the Assessed Value or Indicative Value.</w:t>
      </w:r>
    </w:p>
    <w:p w14:paraId="4CDC0324" w14:textId="0F26AD58" w:rsidR="00992EE6" w:rsidRDefault="00992EE6" w:rsidP="00992EE6">
      <w:pPr>
        <w:pStyle w:val="Default"/>
        <w:numPr>
          <w:ilvl w:val="1"/>
          <w:numId w:val="10"/>
        </w:numPr>
        <w:spacing w:line="276" w:lineRule="auto"/>
        <w:rPr>
          <w:sz w:val="22"/>
          <w:szCs w:val="22"/>
        </w:rPr>
      </w:pPr>
      <w:r>
        <w:rPr>
          <w:sz w:val="22"/>
          <w:szCs w:val="22"/>
        </w:rPr>
        <w:t xml:space="preserve">Notwithstanding </w:t>
      </w:r>
      <w:r w:rsidRPr="00992EE6">
        <w:rPr>
          <w:sz w:val="22"/>
          <w:szCs w:val="22"/>
        </w:rPr>
        <w:t xml:space="preserve">anything to the contrary contained in this Scheme if, in particular circumstances giving rise to Occupational Liability, the liability of any Person who is subject to this Scheme is capped both by this Scheme and also by any other scheme under Professional Standards Legislation (whether of this jurisdiction or under the law of any other Australian state or territory) and, if the amount of such caps should differ, then the cap on the liability of such Person arising from such circumstances which is higher shall be the applicable cap. </w:t>
      </w:r>
    </w:p>
    <w:p w14:paraId="59A3678B" w14:textId="77777777" w:rsidR="00992EE6" w:rsidRPr="00992EE6" w:rsidRDefault="00992EE6" w:rsidP="00992EE6">
      <w:pPr>
        <w:pStyle w:val="Default"/>
        <w:spacing w:line="276" w:lineRule="auto"/>
        <w:ind w:left="1588"/>
        <w:rPr>
          <w:sz w:val="22"/>
          <w:szCs w:val="22"/>
        </w:rPr>
      </w:pPr>
    </w:p>
    <w:p w14:paraId="01FEBE22" w14:textId="08FFDC29" w:rsidR="00A260BD" w:rsidRPr="00AC0B9C" w:rsidRDefault="00992EE6" w:rsidP="00992EE6">
      <w:pPr>
        <w:pStyle w:val="Default"/>
        <w:numPr>
          <w:ilvl w:val="0"/>
          <w:numId w:val="10"/>
        </w:numPr>
        <w:spacing w:line="276" w:lineRule="auto"/>
        <w:rPr>
          <w:b/>
          <w:bCs/>
          <w:sz w:val="22"/>
          <w:szCs w:val="22"/>
        </w:rPr>
      </w:pPr>
      <w:r w:rsidRPr="00AC0B9C">
        <w:rPr>
          <w:b/>
          <w:bCs/>
          <w:sz w:val="22"/>
          <w:szCs w:val="22"/>
        </w:rPr>
        <w:t>Conferral of discretionary authority</w:t>
      </w:r>
    </w:p>
    <w:p w14:paraId="4F6C7D45" w14:textId="227FFA4E" w:rsidR="00992EE6" w:rsidRDefault="00992EE6" w:rsidP="00992EE6">
      <w:pPr>
        <w:pStyle w:val="Default"/>
        <w:numPr>
          <w:ilvl w:val="1"/>
          <w:numId w:val="10"/>
        </w:numPr>
        <w:spacing w:line="276" w:lineRule="auto"/>
        <w:rPr>
          <w:sz w:val="22"/>
          <w:szCs w:val="22"/>
        </w:rPr>
      </w:pPr>
      <w:r>
        <w:rPr>
          <w:sz w:val="22"/>
          <w:szCs w:val="22"/>
        </w:rPr>
        <w:t xml:space="preserve">Pursuant </w:t>
      </w:r>
      <w:r w:rsidRPr="00992EE6">
        <w:rPr>
          <w:sz w:val="22"/>
          <w:szCs w:val="22"/>
        </w:rPr>
        <w:t xml:space="preserve">to section 26 of the Act, the APIV has discretionary authority, on application by a Person referred to in clause 2.1, to specify in relation to that Person a higher Monetary Ceiling (maximum amount of liability) not </w:t>
      </w:r>
      <w:r w:rsidRPr="00992EE6">
        <w:rPr>
          <w:sz w:val="22"/>
          <w:szCs w:val="22"/>
        </w:rPr>
        <w:lastRenderedPageBreak/>
        <w:t xml:space="preserve">exceeding $20 million, than would otherwise apply under the Scheme, in all cases or in any specified case or class of case. </w:t>
      </w:r>
    </w:p>
    <w:p w14:paraId="7E648D08" w14:textId="77777777" w:rsidR="00992EE6" w:rsidRDefault="00992EE6" w:rsidP="00992EE6">
      <w:pPr>
        <w:pStyle w:val="Default"/>
        <w:spacing w:line="276" w:lineRule="auto"/>
        <w:ind w:left="1588"/>
        <w:rPr>
          <w:sz w:val="22"/>
          <w:szCs w:val="22"/>
        </w:rPr>
      </w:pPr>
    </w:p>
    <w:p w14:paraId="2DC97011" w14:textId="2F61A61C" w:rsidR="00992EE6" w:rsidRPr="00AC0B9C" w:rsidRDefault="00992EE6" w:rsidP="00992EE6">
      <w:pPr>
        <w:pStyle w:val="Default"/>
        <w:numPr>
          <w:ilvl w:val="0"/>
          <w:numId w:val="10"/>
        </w:numPr>
        <w:spacing w:line="276" w:lineRule="auto"/>
        <w:rPr>
          <w:b/>
          <w:bCs/>
          <w:sz w:val="22"/>
          <w:szCs w:val="22"/>
        </w:rPr>
      </w:pPr>
      <w:r w:rsidRPr="00AC0B9C">
        <w:rPr>
          <w:b/>
          <w:bCs/>
          <w:sz w:val="22"/>
          <w:szCs w:val="22"/>
        </w:rPr>
        <w:t>Commencement and duration</w:t>
      </w:r>
    </w:p>
    <w:p w14:paraId="1D655515" w14:textId="115EBD58" w:rsidR="00992EE6" w:rsidRDefault="00992EE6" w:rsidP="00992EE6">
      <w:pPr>
        <w:pStyle w:val="Default"/>
        <w:numPr>
          <w:ilvl w:val="1"/>
          <w:numId w:val="10"/>
        </w:numPr>
        <w:spacing w:line="276" w:lineRule="auto"/>
        <w:rPr>
          <w:sz w:val="22"/>
          <w:szCs w:val="22"/>
        </w:rPr>
      </w:pPr>
      <w:r>
        <w:rPr>
          <w:sz w:val="22"/>
          <w:szCs w:val="22"/>
        </w:rPr>
        <w:t>The Scheme will commence:</w:t>
      </w:r>
    </w:p>
    <w:p w14:paraId="785F48AB" w14:textId="0E7871A2" w:rsidR="00992EE6" w:rsidRPr="00992EE6" w:rsidRDefault="00992EE6" w:rsidP="00992EE6">
      <w:pPr>
        <w:pStyle w:val="Default"/>
        <w:numPr>
          <w:ilvl w:val="2"/>
          <w:numId w:val="10"/>
        </w:numPr>
        <w:spacing w:line="276" w:lineRule="auto"/>
        <w:rPr>
          <w:sz w:val="22"/>
          <w:szCs w:val="22"/>
        </w:rPr>
      </w:pPr>
      <w:r>
        <w:rPr>
          <w:sz w:val="22"/>
          <w:szCs w:val="22"/>
        </w:rPr>
        <w:t xml:space="preserve">In </w:t>
      </w:r>
      <w:r w:rsidRPr="00992EE6">
        <w:rPr>
          <w:sz w:val="22"/>
          <w:szCs w:val="22"/>
        </w:rPr>
        <w:t xml:space="preserve">New South Wales, the Northern Territory, Queensland, Tasmania, Victoria and Western Australia, on 1 September 2026; and </w:t>
      </w:r>
    </w:p>
    <w:p w14:paraId="0987966B" w14:textId="1F938EB9" w:rsidR="00992EE6" w:rsidRPr="00992EE6" w:rsidRDefault="00992EE6" w:rsidP="00992EE6">
      <w:pPr>
        <w:pStyle w:val="Default"/>
        <w:numPr>
          <w:ilvl w:val="2"/>
          <w:numId w:val="10"/>
        </w:numPr>
        <w:spacing w:line="276" w:lineRule="auto"/>
        <w:rPr>
          <w:sz w:val="22"/>
          <w:szCs w:val="22"/>
        </w:rPr>
      </w:pPr>
      <w:r>
        <w:rPr>
          <w:sz w:val="22"/>
          <w:szCs w:val="22"/>
        </w:rPr>
        <w:t xml:space="preserve">In </w:t>
      </w:r>
      <w:r w:rsidRPr="00992EE6">
        <w:rPr>
          <w:sz w:val="22"/>
          <w:szCs w:val="22"/>
        </w:rPr>
        <w:t xml:space="preserve">the Australian Capital Territory and in South Australia, on this same date, or such other later date, provided the date is specified in the relevant Minister’s notice in relation to the Scheme; or </w:t>
      </w:r>
    </w:p>
    <w:p w14:paraId="070C407B" w14:textId="6D9D144F" w:rsidR="00992EE6" w:rsidRPr="00992EE6" w:rsidRDefault="00992EE6" w:rsidP="00992EE6">
      <w:pPr>
        <w:pStyle w:val="Default"/>
        <w:numPr>
          <w:ilvl w:val="2"/>
          <w:numId w:val="10"/>
        </w:numPr>
        <w:spacing w:line="276" w:lineRule="auto"/>
        <w:rPr>
          <w:sz w:val="22"/>
          <w:szCs w:val="22"/>
        </w:rPr>
      </w:pPr>
      <w:r>
        <w:rPr>
          <w:sz w:val="22"/>
          <w:szCs w:val="22"/>
        </w:rPr>
        <w:t xml:space="preserve">In </w:t>
      </w:r>
      <w:r w:rsidRPr="00992EE6">
        <w:rPr>
          <w:sz w:val="22"/>
          <w:szCs w:val="22"/>
        </w:rPr>
        <w:t xml:space="preserve">all other cases, subject to the statutory provisions of each applicable jurisdiction. </w:t>
      </w:r>
    </w:p>
    <w:p w14:paraId="1A2C561A" w14:textId="3133E444" w:rsidR="00992EE6" w:rsidRPr="00992EE6" w:rsidRDefault="00992EE6" w:rsidP="00992EE6">
      <w:pPr>
        <w:pStyle w:val="Default"/>
        <w:numPr>
          <w:ilvl w:val="1"/>
          <w:numId w:val="10"/>
        </w:numPr>
        <w:spacing w:line="276" w:lineRule="auto"/>
        <w:rPr>
          <w:sz w:val="22"/>
          <w:szCs w:val="22"/>
        </w:rPr>
      </w:pPr>
      <w:r>
        <w:rPr>
          <w:sz w:val="22"/>
          <w:szCs w:val="22"/>
        </w:rPr>
        <w:t xml:space="preserve">The </w:t>
      </w:r>
      <w:r w:rsidRPr="00992EE6">
        <w:rPr>
          <w:sz w:val="22"/>
          <w:szCs w:val="22"/>
        </w:rPr>
        <w:t xml:space="preserve">scheme will be in force in all applicable jurisdictions for five (5) years from the date of its commencement in Victoria. </w:t>
      </w:r>
    </w:p>
    <w:p w14:paraId="52E55CFC" w14:textId="7DC4087A" w:rsidR="00992EE6" w:rsidRDefault="00992EE6" w:rsidP="00992EE6">
      <w:pPr>
        <w:pStyle w:val="Default"/>
        <w:numPr>
          <w:ilvl w:val="1"/>
          <w:numId w:val="10"/>
        </w:numPr>
        <w:spacing w:line="276" w:lineRule="auto"/>
        <w:rPr>
          <w:sz w:val="22"/>
          <w:szCs w:val="22"/>
        </w:rPr>
      </w:pPr>
      <w:r>
        <w:rPr>
          <w:sz w:val="22"/>
          <w:szCs w:val="22"/>
        </w:rPr>
        <w:t xml:space="preserve">Clause </w:t>
      </w:r>
      <w:r w:rsidRPr="00992EE6">
        <w:rPr>
          <w:sz w:val="22"/>
          <w:szCs w:val="22"/>
        </w:rPr>
        <w:t xml:space="preserve">6.2 is subject to the provisions of each jurisdiction in relation to the revocation, extension, or cessation of a Scheme. </w:t>
      </w:r>
    </w:p>
    <w:p w14:paraId="7E503A8D" w14:textId="77777777" w:rsidR="00992EE6" w:rsidRPr="00992EE6" w:rsidRDefault="00992EE6" w:rsidP="00992EE6">
      <w:pPr>
        <w:pStyle w:val="Default"/>
        <w:spacing w:line="276" w:lineRule="auto"/>
        <w:ind w:left="1588"/>
        <w:rPr>
          <w:sz w:val="22"/>
          <w:szCs w:val="22"/>
        </w:rPr>
      </w:pPr>
    </w:p>
    <w:p w14:paraId="7C125711" w14:textId="454A2CB5" w:rsidR="00992EE6" w:rsidRPr="00AC0B9C" w:rsidRDefault="00992EE6" w:rsidP="00992EE6">
      <w:pPr>
        <w:pStyle w:val="Default"/>
        <w:numPr>
          <w:ilvl w:val="0"/>
          <w:numId w:val="10"/>
        </w:numPr>
        <w:spacing w:line="276" w:lineRule="auto"/>
        <w:rPr>
          <w:b/>
          <w:bCs/>
          <w:sz w:val="22"/>
          <w:szCs w:val="22"/>
        </w:rPr>
      </w:pPr>
      <w:r w:rsidRPr="00AC0B9C">
        <w:rPr>
          <w:b/>
          <w:bCs/>
          <w:sz w:val="22"/>
          <w:szCs w:val="22"/>
        </w:rPr>
        <w:t>Definitions</w:t>
      </w:r>
    </w:p>
    <w:p w14:paraId="0C85E47A" w14:textId="7A1121B1" w:rsidR="00992EE6" w:rsidRPr="00992EE6" w:rsidRDefault="00992EE6" w:rsidP="00992EE6">
      <w:pPr>
        <w:pStyle w:val="Default"/>
        <w:numPr>
          <w:ilvl w:val="1"/>
          <w:numId w:val="10"/>
        </w:numPr>
        <w:spacing w:line="276" w:lineRule="auto"/>
        <w:rPr>
          <w:sz w:val="22"/>
          <w:szCs w:val="22"/>
        </w:rPr>
      </w:pPr>
      <w:r>
        <w:rPr>
          <w:sz w:val="22"/>
          <w:szCs w:val="22"/>
        </w:rPr>
        <w:t xml:space="preserve">The definitions </w:t>
      </w:r>
      <w:r w:rsidRPr="00992EE6">
        <w:rPr>
          <w:sz w:val="22"/>
          <w:szCs w:val="22"/>
        </w:rPr>
        <w:t xml:space="preserve">below and elsewhere in this Scheme Instrument have been included for interpretation and understanding of certain stated terms used within this Scheme Instrument. </w:t>
      </w:r>
    </w:p>
    <w:p w14:paraId="402C74EE" w14:textId="3BE7C5AC" w:rsidR="00992EE6" w:rsidRDefault="00992EE6" w:rsidP="00992EE6">
      <w:pPr>
        <w:pStyle w:val="Default"/>
        <w:numPr>
          <w:ilvl w:val="1"/>
          <w:numId w:val="10"/>
        </w:numPr>
        <w:spacing w:line="276" w:lineRule="auto"/>
        <w:rPr>
          <w:sz w:val="22"/>
          <w:szCs w:val="22"/>
        </w:rPr>
      </w:pPr>
      <w:r>
        <w:rPr>
          <w:sz w:val="22"/>
          <w:szCs w:val="22"/>
        </w:rPr>
        <w:t xml:space="preserve">For </w:t>
      </w:r>
      <w:r w:rsidRPr="00992EE6">
        <w:rPr>
          <w:sz w:val="22"/>
          <w:szCs w:val="22"/>
        </w:rPr>
        <w:t xml:space="preserve">the avoidance of doubt, the use and meanings of defined terms in this Scheme Instrument take precedence over a common meaning or interpretation of the same term. </w:t>
      </w:r>
    </w:p>
    <w:p w14:paraId="52F31E58" w14:textId="368A09F1" w:rsidR="00992EE6" w:rsidRPr="003B58A6" w:rsidRDefault="00992EE6" w:rsidP="003B58A6">
      <w:pPr>
        <w:pStyle w:val="Default"/>
        <w:numPr>
          <w:ilvl w:val="1"/>
          <w:numId w:val="10"/>
        </w:numPr>
        <w:spacing w:line="276" w:lineRule="auto"/>
        <w:rPr>
          <w:sz w:val="22"/>
          <w:szCs w:val="22"/>
        </w:rPr>
      </w:pPr>
      <w:r>
        <w:rPr>
          <w:sz w:val="22"/>
          <w:szCs w:val="22"/>
        </w:rPr>
        <w:t xml:space="preserve">Where </w:t>
      </w:r>
      <w:r w:rsidRPr="00992EE6">
        <w:rPr>
          <w:sz w:val="22"/>
          <w:szCs w:val="22"/>
        </w:rPr>
        <w:t xml:space="preserve">a defined term is included in this Scheme Instrument it is shown as a Title Case term. Where not shown as Title Case the ordinary meaning of the term applies in the context in which it is used. </w:t>
      </w:r>
    </w:p>
    <w:p w14:paraId="5F12D789" w14:textId="77777777" w:rsidR="003B58A6" w:rsidRDefault="003B58A6" w:rsidP="003B58A6">
      <w:pPr>
        <w:pStyle w:val="Default"/>
        <w:spacing w:line="276" w:lineRule="auto"/>
        <w:ind w:left="1588"/>
        <w:rPr>
          <w:sz w:val="22"/>
          <w:szCs w:val="22"/>
        </w:rPr>
      </w:pPr>
    </w:p>
    <w:p w14:paraId="0C9655A2" w14:textId="77777777" w:rsidR="003B58A6" w:rsidRPr="003B58A6" w:rsidRDefault="003B58A6" w:rsidP="003B58A6">
      <w:pPr>
        <w:pStyle w:val="Default"/>
        <w:spacing w:line="276" w:lineRule="auto"/>
        <w:ind w:left="1080"/>
        <w:rPr>
          <w:sz w:val="22"/>
          <w:szCs w:val="22"/>
        </w:rPr>
      </w:pPr>
      <w:r w:rsidRPr="003B58A6">
        <w:rPr>
          <w:b/>
          <w:bCs/>
          <w:sz w:val="22"/>
          <w:szCs w:val="22"/>
        </w:rPr>
        <w:t xml:space="preserve">“Act” </w:t>
      </w:r>
      <w:r w:rsidRPr="003B58A6">
        <w:rPr>
          <w:sz w:val="22"/>
          <w:szCs w:val="22"/>
        </w:rPr>
        <w:t xml:space="preserve">means the Professional Standards Act 2003 (Vic). </w:t>
      </w:r>
    </w:p>
    <w:p w14:paraId="7E5FCE5C" w14:textId="77777777" w:rsidR="003B58A6" w:rsidRPr="003B58A6" w:rsidRDefault="003B58A6" w:rsidP="003B58A6">
      <w:pPr>
        <w:pStyle w:val="Default"/>
        <w:spacing w:line="276" w:lineRule="auto"/>
        <w:ind w:left="1080"/>
        <w:rPr>
          <w:sz w:val="22"/>
          <w:szCs w:val="22"/>
        </w:rPr>
      </w:pPr>
      <w:r w:rsidRPr="003B58A6">
        <w:rPr>
          <w:b/>
          <w:bCs/>
          <w:sz w:val="22"/>
          <w:szCs w:val="22"/>
        </w:rPr>
        <w:t xml:space="preserve">“API” </w:t>
      </w:r>
      <w:r w:rsidRPr="003B58A6">
        <w:rPr>
          <w:sz w:val="22"/>
          <w:szCs w:val="22"/>
        </w:rPr>
        <w:t xml:space="preserve">means the Australian Property Institute Ltd ACN 608 309 128. </w:t>
      </w:r>
    </w:p>
    <w:p w14:paraId="3C7CAD90" w14:textId="77777777" w:rsidR="003B58A6" w:rsidRPr="003B58A6" w:rsidRDefault="003B58A6" w:rsidP="003B58A6">
      <w:pPr>
        <w:pStyle w:val="Default"/>
        <w:spacing w:line="276" w:lineRule="auto"/>
        <w:ind w:left="1080"/>
        <w:rPr>
          <w:sz w:val="22"/>
          <w:szCs w:val="22"/>
        </w:rPr>
      </w:pPr>
      <w:r w:rsidRPr="003B58A6">
        <w:rPr>
          <w:b/>
          <w:bCs/>
          <w:sz w:val="22"/>
          <w:szCs w:val="22"/>
        </w:rPr>
        <w:t xml:space="preserve">“APIV” </w:t>
      </w:r>
      <w:r w:rsidRPr="003B58A6">
        <w:rPr>
          <w:sz w:val="22"/>
          <w:szCs w:val="22"/>
        </w:rPr>
        <w:t xml:space="preserve">means the Australian Property Institute Valuers Limited ACN 143 638 975. </w:t>
      </w:r>
    </w:p>
    <w:p w14:paraId="61A364AE" w14:textId="161B36D2" w:rsidR="003B58A6" w:rsidRDefault="003B58A6" w:rsidP="003B58A6">
      <w:pPr>
        <w:pStyle w:val="Default"/>
        <w:spacing w:line="276" w:lineRule="auto"/>
        <w:ind w:left="1080"/>
        <w:rPr>
          <w:sz w:val="22"/>
          <w:szCs w:val="22"/>
        </w:rPr>
      </w:pPr>
      <w:r w:rsidRPr="003B58A6">
        <w:rPr>
          <w:b/>
          <w:bCs/>
          <w:sz w:val="22"/>
          <w:szCs w:val="22"/>
        </w:rPr>
        <w:t xml:space="preserve">“APIV Insurance Standards” </w:t>
      </w:r>
      <w:r w:rsidRPr="003B58A6">
        <w:rPr>
          <w:sz w:val="22"/>
          <w:szCs w:val="22"/>
        </w:rPr>
        <w:t>means the insurance standards approved by the APIV and presented to, and considered by, the Professional Standards Councils in connection with the Councils’ approval of the Scheme (subject to any amendment to such APIV Insurance Standards as are subsequently approved by the APIV and presented to the Councils and approved or endorsed by the Councils in writing).</w:t>
      </w:r>
    </w:p>
    <w:p w14:paraId="15CD19DF" w14:textId="3292216D" w:rsidR="003B58A6" w:rsidRPr="003B58A6" w:rsidRDefault="003B58A6" w:rsidP="003B58A6">
      <w:pPr>
        <w:pStyle w:val="Default"/>
        <w:spacing w:line="276" w:lineRule="auto"/>
        <w:ind w:left="1080"/>
        <w:rPr>
          <w:sz w:val="22"/>
          <w:szCs w:val="22"/>
        </w:rPr>
      </w:pPr>
      <w:r w:rsidRPr="003B58A6">
        <w:rPr>
          <w:b/>
          <w:bCs/>
          <w:sz w:val="22"/>
          <w:szCs w:val="22"/>
        </w:rPr>
        <w:t xml:space="preserve">“Assessed Value” </w:t>
      </w:r>
      <w:r w:rsidRPr="003B58A6">
        <w:rPr>
          <w:sz w:val="22"/>
          <w:szCs w:val="22"/>
        </w:rPr>
        <w:t xml:space="preserve">means an express statement of professional opinion by a natural person who is or was a Participating Member as to the value of any right, interest or benefit related to the ownership, occupation or use of real property </w:t>
      </w:r>
      <w:r w:rsidRPr="003B58A6">
        <w:rPr>
          <w:sz w:val="22"/>
          <w:szCs w:val="22"/>
        </w:rPr>
        <w:lastRenderedPageBreak/>
        <w:t>or plant, machinery or equipment as a result of a Valuation Process</w:t>
      </w:r>
      <w:r w:rsidR="008F6572">
        <w:rPr>
          <w:rStyle w:val="FootnoteReference"/>
        </w:rPr>
        <w:footnoteReference w:id="1"/>
      </w:r>
      <w:r w:rsidRPr="003B58A6">
        <w:rPr>
          <w:sz w:val="22"/>
          <w:szCs w:val="22"/>
        </w:rPr>
        <w:t xml:space="preserve">. Where a valuation report states a range of values, rather than a single value, the Assessed Value shall be deemed to be the mid-point value in such range. </w:t>
      </w:r>
    </w:p>
    <w:p w14:paraId="78663342" w14:textId="30DE7260" w:rsidR="003B58A6" w:rsidRPr="003B58A6" w:rsidRDefault="003B58A6" w:rsidP="003B58A6">
      <w:pPr>
        <w:pStyle w:val="Default"/>
        <w:spacing w:line="276" w:lineRule="auto"/>
        <w:ind w:left="1080"/>
        <w:rPr>
          <w:sz w:val="22"/>
          <w:szCs w:val="22"/>
        </w:rPr>
      </w:pPr>
      <w:r w:rsidRPr="003B58A6">
        <w:rPr>
          <w:b/>
          <w:bCs/>
          <w:sz w:val="22"/>
          <w:szCs w:val="22"/>
        </w:rPr>
        <w:t xml:space="preserve">“Category 1 Services” </w:t>
      </w:r>
      <w:r w:rsidRPr="003B58A6">
        <w:rPr>
          <w:sz w:val="22"/>
          <w:szCs w:val="22"/>
        </w:rPr>
        <w:t>means any Valuation of Real Property</w:t>
      </w:r>
      <w:r w:rsidR="008F6572">
        <w:rPr>
          <w:rStyle w:val="FootnoteReference"/>
        </w:rPr>
        <w:footnoteReference w:id="2"/>
      </w:r>
      <w:r w:rsidRPr="003B58A6">
        <w:rPr>
          <w:sz w:val="22"/>
          <w:szCs w:val="22"/>
        </w:rPr>
        <w:t xml:space="preserve"> or Desktop of Real Property</w:t>
      </w:r>
      <w:r w:rsidR="008F6572">
        <w:rPr>
          <w:rStyle w:val="FootnoteReference"/>
        </w:rPr>
        <w:footnoteReference w:id="3"/>
      </w:r>
      <w:r w:rsidRPr="003B58A6">
        <w:rPr>
          <w:sz w:val="22"/>
          <w:szCs w:val="22"/>
        </w:rPr>
        <w:t xml:space="preserve"> in Australia excluding any Low Risk Valuation Services. </w:t>
      </w:r>
    </w:p>
    <w:p w14:paraId="03C97479" w14:textId="77777777" w:rsidR="003B58A6" w:rsidRPr="003B58A6" w:rsidRDefault="003B58A6" w:rsidP="003B58A6">
      <w:pPr>
        <w:pStyle w:val="Default"/>
        <w:spacing w:line="276" w:lineRule="auto"/>
        <w:ind w:left="1080"/>
        <w:rPr>
          <w:sz w:val="22"/>
          <w:szCs w:val="22"/>
        </w:rPr>
      </w:pPr>
      <w:r w:rsidRPr="003B58A6">
        <w:rPr>
          <w:b/>
          <w:bCs/>
          <w:sz w:val="22"/>
          <w:szCs w:val="22"/>
        </w:rPr>
        <w:t xml:space="preserve">“Category 2 Services” </w:t>
      </w:r>
      <w:r w:rsidRPr="003B58A6">
        <w:rPr>
          <w:sz w:val="22"/>
          <w:szCs w:val="22"/>
        </w:rPr>
        <w:t xml:space="preserve">means the provision of Low Risk Valuation Services in Australia. </w:t>
      </w:r>
    </w:p>
    <w:p w14:paraId="6286056B" w14:textId="77777777" w:rsidR="003B58A6" w:rsidRPr="003B58A6" w:rsidRDefault="003B58A6" w:rsidP="003B58A6">
      <w:pPr>
        <w:pStyle w:val="Default"/>
        <w:spacing w:line="276" w:lineRule="auto"/>
        <w:ind w:left="1080"/>
        <w:rPr>
          <w:sz w:val="22"/>
          <w:szCs w:val="22"/>
        </w:rPr>
      </w:pPr>
      <w:r w:rsidRPr="003B58A6">
        <w:rPr>
          <w:b/>
          <w:bCs/>
          <w:i/>
          <w:iCs/>
          <w:sz w:val="22"/>
          <w:szCs w:val="22"/>
        </w:rPr>
        <w:t>“</w:t>
      </w:r>
      <w:r w:rsidRPr="003B58A6">
        <w:rPr>
          <w:b/>
          <w:bCs/>
          <w:sz w:val="22"/>
          <w:szCs w:val="22"/>
        </w:rPr>
        <w:t xml:space="preserve">Category 3 Services” </w:t>
      </w:r>
      <w:r w:rsidRPr="003B58A6">
        <w:rPr>
          <w:sz w:val="22"/>
          <w:szCs w:val="22"/>
        </w:rPr>
        <w:t xml:space="preserve">means the provision of Plant &amp; Machinery Valuation Services in Australia. </w:t>
      </w:r>
    </w:p>
    <w:p w14:paraId="4A8AD44E" w14:textId="77777777" w:rsidR="003B58A6" w:rsidRPr="003B58A6" w:rsidRDefault="003B58A6" w:rsidP="003B58A6">
      <w:pPr>
        <w:pStyle w:val="Default"/>
        <w:spacing w:line="276" w:lineRule="auto"/>
        <w:ind w:left="1080"/>
        <w:rPr>
          <w:sz w:val="22"/>
          <w:szCs w:val="22"/>
        </w:rPr>
      </w:pPr>
      <w:r w:rsidRPr="003B58A6">
        <w:rPr>
          <w:b/>
          <w:bCs/>
          <w:sz w:val="22"/>
          <w:szCs w:val="22"/>
        </w:rPr>
        <w:t xml:space="preserve">“Category 4 Services” </w:t>
      </w:r>
      <w:r w:rsidRPr="003B58A6">
        <w:rPr>
          <w:sz w:val="22"/>
          <w:szCs w:val="22"/>
        </w:rPr>
        <w:t xml:space="preserve">means the provision of Other Occupational Services in Australia. </w:t>
      </w:r>
    </w:p>
    <w:p w14:paraId="4AFF8688" w14:textId="77777777" w:rsidR="003B58A6" w:rsidRPr="003B58A6" w:rsidRDefault="003B58A6" w:rsidP="003B58A6">
      <w:pPr>
        <w:pStyle w:val="Default"/>
        <w:spacing w:line="276" w:lineRule="auto"/>
        <w:ind w:left="1080"/>
        <w:rPr>
          <w:sz w:val="22"/>
          <w:szCs w:val="22"/>
        </w:rPr>
      </w:pPr>
      <w:r w:rsidRPr="003B58A6">
        <w:rPr>
          <w:b/>
          <w:bCs/>
          <w:sz w:val="22"/>
          <w:szCs w:val="22"/>
        </w:rPr>
        <w:t xml:space="preserve">“Corporate Member” </w:t>
      </w:r>
      <w:r w:rsidRPr="003B58A6">
        <w:rPr>
          <w:sz w:val="22"/>
          <w:szCs w:val="22"/>
        </w:rPr>
        <w:t xml:space="preserve">means a corporation which has been admitted as a Member pursuant to the eligibility criteria prescribed by the APIV Constitution. </w:t>
      </w:r>
    </w:p>
    <w:p w14:paraId="47D8F336" w14:textId="77777777" w:rsidR="003B58A6" w:rsidRPr="003B58A6" w:rsidRDefault="003B58A6" w:rsidP="003B58A6">
      <w:pPr>
        <w:pStyle w:val="Default"/>
        <w:spacing w:line="276" w:lineRule="auto"/>
        <w:ind w:left="1080"/>
        <w:rPr>
          <w:sz w:val="22"/>
          <w:szCs w:val="22"/>
        </w:rPr>
      </w:pPr>
      <w:r w:rsidRPr="003B58A6">
        <w:rPr>
          <w:b/>
          <w:bCs/>
          <w:sz w:val="22"/>
          <w:szCs w:val="22"/>
        </w:rPr>
        <w:t xml:space="preserve">“Corresponding laws” </w:t>
      </w:r>
      <w:r w:rsidRPr="003B58A6">
        <w:rPr>
          <w:sz w:val="22"/>
          <w:szCs w:val="22"/>
        </w:rPr>
        <w:t xml:space="preserve">has the same meaning as it has in the Act. </w:t>
      </w:r>
    </w:p>
    <w:p w14:paraId="68F7365B" w14:textId="77777777" w:rsidR="003B58A6" w:rsidRPr="003B58A6" w:rsidRDefault="003B58A6" w:rsidP="003B58A6">
      <w:pPr>
        <w:pStyle w:val="Default"/>
        <w:spacing w:line="276" w:lineRule="auto"/>
        <w:ind w:left="1080"/>
        <w:rPr>
          <w:sz w:val="22"/>
          <w:szCs w:val="22"/>
        </w:rPr>
      </w:pPr>
      <w:r w:rsidRPr="003B58A6">
        <w:rPr>
          <w:b/>
          <w:bCs/>
          <w:sz w:val="22"/>
          <w:szCs w:val="22"/>
        </w:rPr>
        <w:t xml:space="preserve">“Court” </w:t>
      </w:r>
      <w:r w:rsidRPr="003B58A6">
        <w:rPr>
          <w:sz w:val="22"/>
          <w:szCs w:val="22"/>
        </w:rPr>
        <w:t xml:space="preserve">has the same meaning as it has in the Act. </w:t>
      </w:r>
    </w:p>
    <w:p w14:paraId="122A8C92" w14:textId="6EED35CB" w:rsidR="003B58A6" w:rsidRDefault="003B58A6" w:rsidP="003B58A6">
      <w:pPr>
        <w:pStyle w:val="Default"/>
        <w:spacing w:line="276" w:lineRule="auto"/>
        <w:ind w:left="1080"/>
        <w:rPr>
          <w:sz w:val="22"/>
          <w:szCs w:val="22"/>
        </w:rPr>
      </w:pPr>
      <w:r w:rsidRPr="003B58A6">
        <w:rPr>
          <w:b/>
          <w:bCs/>
          <w:sz w:val="22"/>
          <w:szCs w:val="22"/>
        </w:rPr>
        <w:t xml:space="preserve">“Damages” </w:t>
      </w:r>
      <w:r w:rsidRPr="003B58A6">
        <w:rPr>
          <w:sz w:val="22"/>
          <w:szCs w:val="22"/>
        </w:rPr>
        <w:t>has the meaning given in Section 4 of the Act.</w:t>
      </w:r>
    </w:p>
    <w:p w14:paraId="23C9618E" w14:textId="77777777" w:rsidR="003B58A6" w:rsidRPr="003B58A6" w:rsidRDefault="003B58A6" w:rsidP="003B58A6">
      <w:pPr>
        <w:pStyle w:val="Default"/>
        <w:spacing w:line="276" w:lineRule="auto"/>
        <w:ind w:left="1080"/>
        <w:rPr>
          <w:sz w:val="22"/>
          <w:szCs w:val="22"/>
        </w:rPr>
      </w:pPr>
      <w:r w:rsidRPr="003B58A6">
        <w:rPr>
          <w:b/>
          <w:bCs/>
          <w:sz w:val="22"/>
          <w:szCs w:val="22"/>
        </w:rPr>
        <w:t xml:space="preserve">“Government Valuation” </w:t>
      </w:r>
      <w:r w:rsidRPr="003B58A6">
        <w:rPr>
          <w:sz w:val="22"/>
          <w:szCs w:val="22"/>
        </w:rPr>
        <w:t xml:space="preserve">means any valuation or desktop prepared on instructions from any: </w:t>
      </w:r>
    </w:p>
    <w:p w14:paraId="7FB03762" w14:textId="1BEE50E4" w:rsidR="003B58A6" w:rsidRDefault="003B58A6" w:rsidP="003B58A6">
      <w:pPr>
        <w:pStyle w:val="Default"/>
        <w:numPr>
          <w:ilvl w:val="3"/>
          <w:numId w:val="12"/>
        </w:numPr>
        <w:spacing w:line="276" w:lineRule="auto"/>
        <w:rPr>
          <w:sz w:val="22"/>
          <w:szCs w:val="22"/>
        </w:rPr>
      </w:pPr>
      <w:r w:rsidRPr="003B58A6">
        <w:rPr>
          <w:sz w:val="22"/>
          <w:szCs w:val="22"/>
        </w:rPr>
        <w:t xml:space="preserve"> Government in Australia (including Federal, State or Territory and Local government); </w:t>
      </w:r>
    </w:p>
    <w:p w14:paraId="7CDF4004" w14:textId="26408B4D" w:rsidR="003B58A6" w:rsidRDefault="003B58A6" w:rsidP="003B58A6">
      <w:pPr>
        <w:pStyle w:val="Default"/>
        <w:numPr>
          <w:ilvl w:val="3"/>
          <w:numId w:val="12"/>
        </w:numPr>
        <w:spacing w:line="276" w:lineRule="auto"/>
        <w:rPr>
          <w:sz w:val="22"/>
          <w:szCs w:val="22"/>
        </w:rPr>
      </w:pPr>
      <w:r>
        <w:rPr>
          <w:sz w:val="22"/>
          <w:szCs w:val="22"/>
        </w:rPr>
        <w:t>Government department; or</w:t>
      </w:r>
    </w:p>
    <w:p w14:paraId="751A61D6" w14:textId="3E29B6DB" w:rsidR="003B58A6" w:rsidRDefault="003B58A6" w:rsidP="003B58A6">
      <w:pPr>
        <w:pStyle w:val="Default"/>
        <w:numPr>
          <w:ilvl w:val="3"/>
          <w:numId w:val="12"/>
        </w:numPr>
        <w:spacing w:line="276" w:lineRule="auto"/>
        <w:rPr>
          <w:sz w:val="22"/>
          <w:szCs w:val="22"/>
        </w:rPr>
      </w:pPr>
      <w:r>
        <w:rPr>
          <w:sz w:val="22"/>
          <w:szCs w:val="22"/>
        </w:rPr>
        <w:t>Government agency; or</w:t>
      </w:r>
    </w:p>
    <w:p w14:paraId="618A9573" w14:textId="45616939" w:rsidR="00992EE6" w:rsidRDefault="003B58A6" w:rsidP="003B58A6">
      <w:pPr>
        <w:pStyle w:val="Default"/>
        <w:numPr>
          <w:ilvl w:val="3"/>
          <w:numId w:val="12"/>
        </w:numPr>
        <w:spacing w:line="276" w:lineRule="auto"/>
        <w:rPr>
          <w:sz w:val="22"/>
          <w:szCs w:val="22"/>
        </w:rPr>
      </w:pPr>
      <w:r>
        <w:rPr>
          <w:sz w:val="22"/>
          <w:szCs w:val="22"/>
        </w:rPr>
        <w:t>Government statutory or non-statutory body or authority.</w:t>
      </w:r>
    </w:p>
    <w:p w14:paraId="57416E3E" w14:textId="77777777" w:rsidR="003B58A6" w:rsidRPr="003B58A6" w:rsidRDefault="003B58A6" w:rsidP="003B58A6">
      <w:pPr>
        <w:pStyle w:val="Default"/>
        <w:spacing w:line="276" w:lineRule="auto"/>
        <w:ind w:left="2880"/>
        <w:rPr>
          <w:sz w:val="22"/>
          <w:szCs w:val="22"/>
        </w:rPr>
      </w:pPr>
    </w:p>
    <w:p w14:paraId="1D21BE53" w14:textId="0B71CDDF" w:rsidR="003B58A6" w:rsidRDefault="003B58A6" w:rsidP="003B58A6">
      <w:pPr>
        <w:pStyle w:val="Default"/>
        <w:spacing w:line="276" w:lineRule="auto"/>
        <w:ind w:left="1080"/>
        <w:rPr>
          <w:sz w:val="22"/>
          <w:szCs w:val="22"/>
        </w:rPr>
      </w:pPr>
      <w:r w:rsidRPr="003B58A6">
        <w:rPr>
          <w:b/>
          <w:bCs/>
          <w:sz w:val="22"/>
          <w:szCs w:val="22"/>
        </w:rPr>
        <w:t xml:space="preserve">“Indicative Value" </w:t>
      </w:r>
      <w:r w:rsidRPr="003B58A6">
        <w:rPr>
          <w:sz w:val="22"/>
          <w:szCs w:val="22"/>
        </w:rPr>
        <w:t>means a qualified estimate by a natural person who is or was a Participating Member as to the value of any right, interest or benefit related to the ownership, occupation or use of real property or plant machinery or equipment, where the scope of work is limited or restricted such that the valuer does not undertake all the necessary enquiries, investigations, procedures and processes to fully inform the valuer’s reasoning and analysis that is a prerequisite for a Valuation Process. Where a report states a range of indicative values, rather than a single indicative value, the Indicative Value shall be deemed to be the mid-point of such range.</w:t>
      </w:r>
    </w:p>
    <w:p w14:paraId="46DF695D" w14:textId="0673CEBA" w:rsidR="003B58A6" w:rsidRPr="003B58A6" w:rsidRDefault="003B58A6" w:rsidP="003B58A6">
      <w:pPr>
        <w:pStyle w:val="Default"/>
        <w:numPr>
          <w:ilvl w:val="0"/>
          <w:numId w:val="19"/>
        </w:numPr>
        <w:spacing w:line="276" w:lineRule="auto"/>
        <w:rPr>
          <w:sz w:val="22"/>
          <w:szCs w:val="22"/>
        </w:rPr>
      </w:pPr>
      <w:r>
        <w:rPr>
          <w:sz w:val="22"/>
          <w:szCs w:val="22"/>
        </w:rPr>
        <w:lastRenderedPageBreak/>
        <w:t xml:space="preserve">Valuation </w:t>
      </w:r>
      <w:r w:rsidRPr="003B58A6">
        <w:rPr>
          <w:sz w:val="22"/>
          <w:szCs w:val="22"/>
        </w:rPr>
        <w:t xml:space="preserve">of Real Property or Desktop of Real Property undertaken in the capacity as an arbitrator; </w:t>
      </w:r>
    </w:p>
    <w:p w14:paraId="312F4D38" w14:textId="704B41D5" w:rsidR="003B58A6" w:rsidRDefault="003B58A6" w:rsidP="003B58A6">
      <w:pPr>
        <w:pStyle w:val="Default"/>
        <w:numPr>
          <w:ilvl w:val="0"/>
          <w:numId w:val="19"/>
        </w:numPr>
      </w:pPr>
      <w:r w:rsidRPr="003B58A6">
        <w:rPr>
          <w:sz w:val="22"/>
          <w:szCs w:val="22"/>
        </w:rPr>
        <w:t xml:space="preserve">Valuation of Real Property or Desktop of Real Property undertaken for the purpose of asset means testing; </w:t>
      </w:r>
    </w:p>
    <w:p w14:paraId="22ED909E" w14:textId="63145B30" w:rsidR="003B58A6" w:rsidRPr="003B58A6" w:rsidRDefault="003B58A6" w:rsidP="003B58A6">
      <w:pPr>
        <w:pStyle w:val="Default"/>
        <w:numPr>
          <w:ilvl w:val="0"/>
          <w:numId w:val="19"/>
        </w:numPr>
        <w:rPr>
          <w:sz w:val="22"/>
          <w:szCs w:val="22"/>
        </w:rPr>
      </w:pPr>
      <w:r>
        <w:rPr>
          <w:sz w:val="22"/>
          <w:szCs w:val="22"/>
        </w:rPr>
        <w:t>Expert Determination</w:t>
      </w:r>
      <w:r w:rsidR="008F6572">
        <w:rPr>
          <w:rStyle w:val="FootnoteReference"/>
        </w:rPr>
        <w:footnoteReference w:id="4"/>
      </w:r>
      <w:r>
        <w:rPr>
          <w:sz w:val="22"/>
          <w:szCs w:val="22"/>
        </w:rPr>
        <w:t xml:space="preserve">; </w:t>
      </w:r>
    </w:p>
    <w:p w14:paraId="3ADB4F1A" w14:textId="5FD63126" w:rsidR="003B58A6" w:rsidRPr="003B58A6" w:rsidRDefault="003B58A6" w:rsidP="003B58A6">
      <w:pPr>
        <w:pStyle w:val="Default"/>
        <w:numPr>
          <w:ilvl w:val="0"/>
          <w:numId w:val="19"/>
        </w:numPr>
        <w:rPr>
          <w:sz w:val="22"/>
          <w:szCs w:val="22"/>
        </w:rPr>
      </w:pPr>
      <w:r>
        <w:rPr>
          <w:sz w:val="22"/>
          <w:szCs w:val="22"/>
        </w:rPr>
        <w:t>Expert Evidence Valuation</w:t>
      </w:r>
      <w:r w:rsidR="008F6572">
        <w:rPr>
          <w:rStyle w:val="FootnoteReference"/>
        </w:rPr>
        <w:footnoteReference w:id="5"/>
      </w:r>
      <w:r>
        <w:rPr>
          <w:sz w:val="22"/>
          <w:szCs w:val="22"/>
        </w:rPr>
        <w:t xml:space="preserve">; </w:t>
      </w:r>
    </w:p>
    <w:p w14:paraId="55E56322" w14:textId="4C08077B" w:rsidR="003B58A6" w:rsidRPr="003B58A6" w:rsidRDefault="003B58A6" w:rsidP="003B58A6">
      <w:pPr>
        <w:pStyle w:val="Default"/>
        <w:numPr>
          <w:ilvl w:val="0"/>
          <w:numId w:val="19"/>
        </w:numPr>
        <w:rPr>
          <w:sz w:val="22"/>
          <w:szCs w:val="22"/>
        </w:rPr>
      </w:pPr>
      <w:r>
        <w:rPr>
          <w:sz w:val="22"/>
          <w:szCs w:val="22"/>
        </w:rPr>
        <w:t>Financial Reporting Valuation</w:t>
      </w:r>
      <w:r w:rsidR="008F6572">
        <w:rPr>
          <w:rStyle w:val="FootnoteReference"/>
        </w:rPr>
        <w:footnoteReference w:id="6"/>
      </w:r>
      <w:r>
        <w:rPr>
          <w:sz w:val="22"/>
          <w:szCs w:val="22"/>
        </w:rPr>
        <w:t xml:space="preserve">; </w:t>
      </w:r>
    </w:p>
    <w:p w14:paraId="2BAC5B83" w14:textId="684E466A" w:rsidR="003B58A6" w:rsidRPr="003B58A6" w:rsidRDefault="003B58A6" w:rsidP="003B58A6">
      <w:pPr>
        <w:pStyle w:val="Default"/>
        <w:numPr>
          <w:ilvl w:val="0"/>
          <w:numId w:val="19"/>
        </w:numPr>
        <w:rPr>
          <w:sz w:val="22"/>
          <w:szCs w:val="22"/>
        </w:rPr>
      </w:pPr>
      <w:r>
        <w:rPr>
          <w:sz w:val="22"/>
          <w:szCs w:val="22"/>
        </w:rPr>
        <w:t xml:space="preserve">Government Valuation; </w:t>
      </w:r>
    </w:p>
    <w:p w14:paraId="1BA4795A" w14:textId="0862AB4A" w:rsidR="003B58A6" w:rsidRPr="003B58A6" w:rsidRDefault="003B58A6" w:rsidP="003B58A6">
      <w:pPr>
        <w:pStyle w:val="Default"/>
        <w:numPr>
          <w:ilvl w:val="0"/>
          <w:numId w:val="19"/>
        </w:numPr>
        <w:rPr>
          <w:sz w:val="22"/>
          <w:szCs w:val="22"/>
        </w:rPr>
      </w:pPr>
      <w:r>
        <w:rPr>
          <w:sz w:val="22"/>
          <w:szCs w:val="22"/>
        </w:rPr>
        <w:t>Insurance Valuation</w:t>
      </w:r>
      <w:r w:rsidR="001015BA">
        <w:rPr>
          <w:rStyle w:val="FootnoteReference"/>
        </w:rPr>
        <w:footnoteReference w:id="7"/>
      </w:r>
      <w:r>
        <w:rPr>
          <w:sz w:val="22"/>
          <w:szCs w:val="22"/>
        </w:rPr>
        <w:t xml:space="preserve">; </w:t>
      </w:r>
    </w:p>
    <w:p w14:paraId="659A5602" w14:textId="5C052D2D" w:rsidR="003B58A6" w:rsidRPr="003B58A6" w:rsidRDefault="003B58A6" w:rsidP="003B58A6">
      <w:pPr>
        <w:pStyle w:val="Default"/>
        <w:numPr>
          <w:ilvl w:val="0"/>
          <w:numId w:val="19"/>
        </w:numPr>
        <w:rPr>
          <w:sz w:val="22"/>
          <w:szCs w:val="22"/>
        </w:rPr>
      </w:pPr>
      <w:r>
        <w:rPr>
          <w:sz w:val="22"/>
          <w:szCs w:val="22"/>
        </w:rPr>
        <w:t xml:space="preserve">assessment of any unit entitlement in respect of any subdivision, strata title, company title (or similar) property; </w:t>
      </w:r>
    </w:p>
    <w:p w14:paraId="55B99EDD" w14:textId="0165EDD1" w:rsidR="003B58A6" w:rsidRPr="003B58A6" w:rsidRDefault="003B58A6" w:rsidP="003B58A6">
      <w:pPr>
        <w:pStyle w:val="Default"/>
        <w:numPr>
          <w:ilvl w:val="0"/>
          <w:numId w:val="19"/>
        </w:numPr>
        <w:rPr>
          <w:sz w:val="22"/>
          <w:szCs w:val="22"/>
        </w:rPr>
      </w:pPr>
      <w:r>
        <w:rPr>
          <w:sz w:val="22"/>
          <w:szCs w:val="22"/>
        </w:rPr>
        <w:t xml:space="preserve">Valuation of Real Property or Desktop of Real Property undertaken for the purpose of determining a rate, tax, duty or levy that applies in respect of the property including but not limited to any council rates, Good &amp; Services Tax or stamp duty; or </w:t>
      </w:r>
    </w:p>
    <w:p w14:paraId="4D10774D" w14:textId="04A04979" w:rsidR="003B58A6" w:rsidRDefault="003B58A6" w:rsidP="003B58A6">
      <w:pPr>
        <w:pStyle w:val="Default"/>
        <w:numPr>
          <w:ilvl w:val="0"/>
          <w:numId w:val="19"/>
        </w:numPr>
        <w:rPr>
          <w:sz w:val="22"/>
          <w:szCs w:val="22"/>
        </w:rPr>
      </w:pPr>
      <w:r>
        <w:rPr>
          <w:sz w:val="22"/>
          <w:szCs w:val="22"/>
        </w:rPr>
        <w:t>Valuation of Real Property or Desktop of Real Property undertaken for Resumption</w:t>
      </w:r>
      <w:r w:rsidR="001015BA">
        <w:rPr>
          <w:rStyle w:val="FootnoteReference"/>
        </w:rPr>
        <w:footnoteReference w:id="8"/>
      </w:r>
      <w:r>
        <w:rPr>
          <w:sz w:val="14"/>
          <w:szCs w:val="14"/>
        </w:rPr>
        <w:t xml:space="preserve"> </w:t>
      </w:r>
      <w:r>
        <w:rPr>
          <w:sz w:val="22"/>
          <w:szCs w:val="22"/>
        </w:rPr>
        <w:t xml:space="preserve">purposes. </w:t>
      </w:r>
    </w:p>
    <w:p w14:paraId="4465A746" w14:textId="0E72F644" w:rsidR="00507343" w:rsidRPr="00507343" w:rsidRDefault="00507343" w:rsidP="00507343">
      <w:pPr>
        <w:pStyle w:val="Default"/>
        <w:ind w:left="2160"/>
        <w:rPr>
          <w:rFonts w:ascii="Times New Roman" w:hAnsi="Times New Roman" w:cs="Times New Roman"/>
          <w:b/>
          <w:bCs/>
          <w:sz w:val="22"/>
          <w:szCs w:val="22"/>
        </w:rPr>
      </w:pPr>
    </w:p>
    <w:p w14:paraId="0FDB50D9" w14:textId="77777777" w:rsidR="0093404D" w:rsidRPr="00507343" w:rsidRDefault="0093404D" w:rsidP="00232478">
      <w:pPr>
        <w:tabs>
          <w:tab w:val="left" w:pos="4320"/>
        </w:tabs>
      </w:pPr>
    </w:p>
    <w:p w14:paraId="6820F203" w14:textId="78B461D3" w:rsidR="003B58A6" w:rsidRDefault="003B58A6" w:rsidP="003B58A6">
      <w:pPr>
        <w:pStyle w:val="Default"/>
        <w:spacing w:line="276" w:lineRule="auto"/>
        <w:ind w:left="1080"/>
        <w:rPr>
          <w:sz w:val="22"/>
          <w:szCs w:val="22"/>
        </w:rPr>
      </w:pPr>
      <w:r w:rsidRPr="003B58A6">
        <w:rPr>
          <w:b/>
          <w:bCs/>
          <w:sz w:val="22"/>
          <w:szCs w:val="22"/>
        </w:rPr>
        <w:t xml:space="preserve">“Member” </w:t>
      </w:r>
      <w:r w:rsidRPr="003B58A6">
        <w:rPr>
          <w:sz w:val="22"/>
          <w:szCs w:val="22"/>
        </w:rPr>
        <w:t>means a member of the APIV.</w:t>
      </w:r>
    </w:p>
    <w:p w14:paraId="73268CEB" w14:textId="77777777" w:rsidR="003B58A6" w:rsidRPr="003B58A6" w:rsidRDefault="003B58A6" w:rsidP="003B58A6">
      <w:pPr>
        <w:pStyle w:val="Default"/>
        <w:spacing w:line="276" w:lineRule="auto"/>
        <w:ind w:left="1080"/>
        <w:rPr>
          <w:sz w:val="22"/>
          <w:szCs w:val="22"/>
        </w:rPr>
      </w:pPr>
      <w:r w:rsidRPr="003B58A6">
        <w:rPr>
          <w:b/>
          <w:bCs/>
          <w:sz w:val="22"/>
          <w:szCs w:val="22"/>
        </w:rPr>
        <w:t xml:space="preserve">“Monetary Ceiling” </w:t>
      </w:r>
      <w:r w:rsidRPr="003B58A6">
        <w:rPr>
          <w:sz w:val="22"/>
          <w:szCs w:val="22"/>
        </w:rPr>
        <w:t xml:space="preserve">means the applicable monetary ceiling specified in the table at clause 3.4 of this document. </w:t>
      </w:r>
    </w:p>
    <w:p w14:paraId="66991A65" w14:textId="28F9099C" w:rsidR="003B58A6" w:rsidRDefault="003B58A6" w:rsidP="003B58A6">
      <w:pPr>
        <w:pStyle w:val="Default"/>
        <w:spacing w:line="276" w:lineRule="auto"/>
        <w:ind w:left="1080"/>
        <w:rPr>
          <w:sz w:val="22"/>
          <w:szCs w:val="22"/>
        </w:rPr>
      </w:pPr>
      <w:r w:rsidRPr="003B58A6">
        <w:rPr>
          <w:b/>
          <w:bCs/>
          <w:sz w:val="22"/>
          <w:szCs w:val="22"/>
        </w:rPr>
        <w:t xml:space="preserve">“Non-Government Entity” </w:t>
      </w:r>
      <w:r w:rsidRPr="003B58A6">
        <w:rPr>
          <w:sz w:val="22"/>
          <w:szCs w:val="22"/>
        </w:rPr>
        <w:t>means a person or entity which is not a government entity of the type identified in the definition of Government Valuation at clause 5.1 (including, for the avoidance of doubt, any joint venture or partnership between one or more Government Entity(s) with one or more Non-Government Entity(s)).</w:t>
      </w:r>
    </w:p>
    <w:p w14:paraId="4C8D6F33" w14:textId="77777777" w:rsidR="00467E3F" w:rsidRPr="00467E3F" w:rsidRDefault="00467E3F" w:rsidP="00467E3F">
      <w:pPr>
        <w:pStyle w:val="Default"/>
        <w:spacing w:line="276" w:lineRule="auto"/>
        <w:ind w:left="1080"/>
        <w:rPr>
          <w:sz w:val="22"/>
          <w:szCs w:val="22"/>
        </w:rPr>
      </w:pPr>
      <w:r w:rsidRPr="00467E3F">
        <w:rPr>
          <w:b/>
          <w:bCs/>
          <w:sz w:val="22"/>
          <w:szCs w:val="22"/>
        </w:rPr>
        <w:t xml:space="preserve">“Occupational Liability” </w:t>
      </w:r>
      <w:r w:rsidRPr="00467E3F">
        <w:rPr>
          <w:sz w:val="22"/>
          <w:szCs w:val="22"/>
        </w:rPr>
        <w:t xml:space="preserve">has the same meaning as it has in the Act. </w:t>
      </w:r>
    </w:p>
    <w:p w14:paraId="40E3902B" w14:textId="18EDE30F" w:rsidR="0093404D" w:rsidRPr="00680AF3" w:rsidRDefault="00467E3F" w:rsidP="00680AF3">
      <w:pPr>
        <w:pStyle w:val="Default"/>
        <w:spacing w:line="276" w:lineRule="auto"/>
        <w:ind w:left="1080"/>
        <w:rPr>
          <w:sz w:val="22"/>
          <w:szCs w:val="22"/>
        </w:rPr>
      </w:pPr>
      <w:r w:rsidRPr="00467E3F">
        <w:rPr>
          <w:b/>
          <w:bCs/>
          <w:sz w:val="22"/>
          <w:szCs w:val="22"/>
        </w:rPr>
        <w:lastRenderedPageBreak/>
        <w:t xml:space="preserve">“Other Occupational Services” </w:t>
      </w:r>
      <w:r w:rsidRPr="00467E3F">
        <w:rPr>
          <w:sz w:val="22"/>
          <w:szCs w:val="22"/>
        </w:rPr>
        <w:t>means any Occupational Services</w:t>
      </w:r>
      <w:r w:rsidR="001015BA">
        <w:rPr>
          <w:rStyle w:val="FootnoteReference"/>
        </w:rPr>
        <w:footnoteReference w:id="9"/>
      </w:r>
      <w:r w:rsidRPr="00467E3F">
        <w:rPr>
          <w:sz w:val="22"/>
          <w:szCs w:val="22"/>
        </w:rPr>
        <w:t xml:space="preserve"> provided by a Participating Member in the performance of the Occupation</w:t>
      </w:r>
      <w:r w:rsidR="001015BA">
        <w:rPr>
          <w:rStyle w:val="FootnoteReference"/>
        </w:rPr>
        <w:footnoteReference w:id="10"/>
      </w:r>
      <w:r w:rsidRPr="00467E3F">
        <w:rPr>
          <w:sz w:val="22"/>
          <w:szCs w:val="22"/>
        </w:rPr>
        <w:t xml:space="preserve"> other than any:</w:t>
      </w:r>
    </w:p>
    <w:p w14:paraId="4C790DCA" w14:textId="6717C96D" w:rsidR="0093404D" w:rsidRPr="00467E3F" w:rsidRDefault="00467E3F" w:rsidP="00467E3F">
      <w:pPr>
        <w:pStyle w:val="Default"/>
        <w:numPr>
          <w:ilvl w:val="0"/>
          <w:numId w:val="20"/>
        </w:numPr>
        <w:spacing w:line="276" w:lineRule="auto"/>
      </w:pPr>
      <w:r>
        <w:rPr>
          <w:sz w:val="22"/>
          <w:szCs w:val="22"/>
        </w:rPr>
        <w:t>Category 1 Services;</w:t>
      </w:r>
    </w:p>
    <w:p w14:paraId="46009D94" w14:textId="03368675" w:rsidR="00467E3F" w:rsidRPr="00467E3F" w:rsidRDefault="00467E3F" w:rsidP="00467E3F">
      <w:pPr>
        <w:pStyle w:val="Default"/>
        <w:numPr>
          <w:ilvl w:val="0"/>
          <w:numId w:val="20"/>
        </w:numPr>
        <w:spacing w:line="276" w:lineRule="auto"/>
      </w:pPr>
      <w:r>
        <w:rPr>
          <w:sz w:val="22"/>
          <w:szCs w:val="22"/>
        </w:rPr>
        <w:t>Category 2 Services;</w:t>
      </w:r>
    </w:p>
    <w:p w14:paraId="2FD2F4B5" w14:textId="724D997F" w:rsidR="00467E3F" w:rsidRPr="00467E3F" w:rsidRDefault="00467E3F" w:rsidP="00467E3F">
      <w:pPr>
        <w:pStyle w:val="Default"/>
        <w:numPr>
          <w:ilvl w:val="0"/>
          <w:numId w:val="20"/>
        </w:numPr>
        <w:spacing w:line="276" w:lineRule="auto"/>
      </w:pPr>
      <w:r>
        <w:rPr>
          <w:sz w:val="22"/>
          <w:szCs w:val="22"/>
        </w:rPr>
        <w:t>Category 3 Services.</w:t>
      </w:r>
    </w:p>
    <w:p w14:paraId="62FAB087" w14:textId="77777777" w:rsidR="00467E3F" w:rsidRDefault="00467E3F" w:rsidP="00467E3F">
      <w:pPr>
        <w:pStyle w:val="Default"/>
        <w:spacing w:line="276" w:lineRule="auto"/>
      </w:pPr>
    </w:p>
    <w:p w14:paraId="6D6EF350" w14:textId="77777777" w:rsidR="00467E3F" w:rsidRPr="00467E3F" w:rsidRDefault="00467E3F" w:rsidP="00467E3F">
      <w:pPr>
        <w:pStyle w:val="Default"/>
        <w:spacing w:line="276" w:lineRule="auto"/>
        <w:ind w:left="1080"/>
        <w:rPr>
          <w:sz w:val="22"/>
          <w:szCs w:val="22"/>
        </w:rPr>
      </w:pPr>
      <w:r w:rsidRPr="003B58A6">
        <w:rPr>
          <w:b/>
          <w:bCs/>
          <w:sz w:val="22"/>
          <w:szCs w:val="22"/>
        </w:rPr>
        <w:t>“</w:t>
      </w:r>
      <w:r w:rsidRPr="00467E3F">
        <w:rPr>
          <w:b/>
          <w:bCs/>
          <w:sz w:val="22"/>
          <w:szCs w:val="22"/>
        </w:rPr>
        <w:t xml:space="preserve">Participating Member” </w:t>
      </w:r>
      <w:r w:rsidRPr="00467E3F">
        <w:rPr>
          <w:sz w:val="22"/>
          <w:szCs w:val="22"/>
        </w:rPr>
        <w:t xml:space="preserve">means a Member to whom the Scheme applies pursuant to clause 2.1 and who has not been granted an exemption pursuant to clause 2.2. </w:t>
      </w:r>
    </w:p>
    <w:p w14:paraId="5479356E" w14:textId="77777777" w:rsidR="00467E3F" w:rsidRPr="00467E3F" w:rsidRDefault="00467E3F" w:rsidP="00467E3F">
      <w:pPr>
        <w:pStyle w:val="Default"/>
        <w:spacing w:line="276" w:lineRule="auto"/>
        <w:ind w:left="1080"/>
        <w:rPr>
          <w:sz w:val="22"/>
          <w:szCs w:val="22"/>
        </w:rPr>
      </w:pPr>
      <w:r w:rsidRPr="00467E3F">
        <w:rPr>
          <w:b/>
          <w:bCs/>
          <w:sz w:val="22"/>
          <w:szCs w:val="22"/>
        </w:rPr>
        <w:t xml:space="preserve">“Plant &amp; Machinery Valuation Services” </w:t>
      </w:r>
      <w:r w:rsidRPr="00467E3F">
        <w:rPr>
          <w:sz w:val="22"/>
          <w:szCs w:val="22"/>
        </w:rPr>
        <w:t xml:space="preserve">means any valuation or desktop of any right, interest or benefit related to the ownership, possession or use of plant, machinery or equipment expressed as an Assessed Value or Indicative Value. </w:t>
      </w:r>
    </w:p>
    <w:p w14:paraId="4903900E" w14:textId="77777777" w:rsidR="00467E3F" w:rsidRPr="00467E3F" w:rsidRDefault="00467E3F" w:rsidP="00467E3F">
      <w:pPr>
        <w:pStyle w:val="Default"/>
        <w:spacing w:line="276" w:lineRule="auto"/>
        <w:ind w:left="1080"/>
        <w:rPr>
          <w:sz w:val="22"/>
          <w:szCs w:val="22"/>
        </w:rPr>
      </w:pPr>
      <w:r w:rsidRPr="00467E3F">
        <w:rPr>
          <w:sz w:val="22"/>
          <w:szCs w:val="22"/>
        </w:rPr>
        <w:t xml:space="preserve">“Person” means an individual or a body corporate. </w:t>
      </w:r>
    </w:p>
    <w:p w14:paraId="28BA53C9" w14:textId="77777777" w:rsidR="00467E3F" w:rsidRPr="00467E3F" w:rsidRDefault="00467E3F" w:rsidP="00467E3F">
      <w:pPr>
        <w:pStyle w:val="Default"/>
        <w:spacing w:line="276" w:lineRule="auto"/>
        <w:ind w:left="1080"/>
        <w:rPr>
          <w:sz w:val="22"/>
          <w:szCs w:val="22"/>
        </w:rPr>
      </w:pPr>
      <w:r w:rsidRPr="00467E3F">
        <w:rPr>
          <w:b/>
          <w:bCs/>
          <w:i/>
          <w:iCs/>
          <w:sz w:val="22"/>
          <w:szCs w:val="22"/>
        </w:rPr>
        <w:t>"</w:t>
      </w:r>
      <w:r w:rsidRPr="00467E3F">
        <w:rPr>
          <w:b/>
          <w:bCs/>
          <w:sz w:val="22"/>
          <w:szCs w:val="22"/>
        </w:rPr>
        <w:t>Professional Indemnity Insurance Policy</w:t>
      </w:r>
      <w:r w:rsidRPr="00467E3F">
        <w:rPr>
          <w:b/>
          <w:bCs/>
          <w:i/>
          <w:iCs/>
          <w:sz w:val="22"/>
          <w:szCs w:val="22"/>
        </w:rPr>
        <w:t xml:space="preserve">" </w:t>
      </w:r>
      <w:r w:rsidRPr="00467E3F">
        <w:rPr>
          <w:sz w:val="22"/>
          <w:szCs w:val="22"/>
        </w:rPr>
        <w:t xml:space="preserve">means a policy of insurance that provides cover for the Participating Member in compliance with the APIV Insurance Standards. </w:t>
      </w:r>
    </w:p>
    <w:p w14:paraId="505140B8" w14:textId="0F2D12AD" w:rsidR="00467E3F" w:rsidRDefault="00467E3F" w:rsidP="00467E3F">
      <w:pPr>
        <w:pStyle w:val="Default"/>
        <w:spacing w:line="276" w:lineRule="auto"/>
        <w:ind w:left="1080"/>
        <w:rPr>
          <w:sz w:val="22"/>
          <w:szCs w:val="22"/>
        </w:rPr>
      </w:pPr>
      <w:r w:rsidRPr="00467E3F">
        <w:rPr>
          <w:b/>
          <w:bCs/>
          <w:sz w:val="22"/>
          <w:szCs w:val="22"/>
        </w:rPr>
        <w:t xml:space="preserve">“Professional Standards Legislation” </w:t>
      </w:r>
      <w:r w:rsidRPr="00467E3F">
        <w:rPr>
          <w:sz w:val="22"/>
          <w:szCs w:val="22"/>
        </w:rPr>
        <w:t>means:</w:t>
      </w:r>
    </w:p>
    <w:p w14:paraId="56D602F5" w14:textId="20F4EF46" w:rsidR="00680AF3" w:rsidRDefault="00680AF3" w:rsidP="00680AF3">
      <w:pPr>
        <w:pStyle w:val="Default"/>
        <w:numPr>
          <w:ilvl w:val="0"/>
          <w:numId w:val="21"/>
        </w:numPr>
        <w:spacing w:line="276" w:lineRule="auto"/>
      </w:pPr>
      <w:r>
        <w:rPr>
          <w:sz w:val="22"/>
          <w:szCs w:val="22"/>
        </w:rPr>
        <w:t>The Act;</w:t>
      </w:r>
    </w:p>
    <w:p w14:paraId="6BC42E6E" w14:textId="609D24C1" w:rsidR="00680AF3" w:rsidRPr="00680AF3" w:rsidRDefault="00680AF3" w:rsidP="00680AF3">
      <w:pPr>
        <w:pStyle w:val="Default"/>
        <w:numPr>
          <w:ilvl w:val="0"/>
          <w:numId w:val="21"/>
        </w:numPr>
        <w:rPr>
          <w:sz w:val="22"/>
          <w:szCs w:val="22"/>
        </w:rPr>
      </w:pPr>
      <w:r>
        <w:rPr>
          <w:i/>
          <w:iCs/>
          <w:sz w:val="22"/>
          <w:szCs w:val="22"/>
        </w:rPr>
        <w:t xml:space="preserve">Professional Standards Act 1994 </w:t>
      </w:r>
      <w:r>
        <w:rPr>
          <w:sz w:val="22"/>
          <w:szCs w:val="22"/>
        </w:rPr>
        <w:t xml:space="preserve">(NSW); </w:t>
      </w:r>
    </w:p>
    <w:p w14:paraId="7B80B928" w14:textId="0D436F5F" w:rsidR="00680AF3" w:rsidRPr="00680AF3" w:rsidRDefault="00680AF3" w:rsidP="00680AF3">
      <w:pPr>
        <w:pStyle w:val="Default"/>
        <w:numPr>
          <w:ilvl w:val="0"/>
          <w:numId w:val="21"/>
        </w:numPr>
        <w:rPr>
          <w:sz w:val="22"/>
          <w:szCs w:val="22"/>
        </w:rPr>
      </w:pPr>
      <w:r>
        <w:rPr>
          <w:i/>
          <w:iCs/>
          <w:sz w:val="22"/>
          <w:szCs w:val="22"/>
        </w:rPr>
        <w:t xml:space="preserve">Professional Standards Act 2004 </w:t>
      </w:r>
      <w:r>
        <w:rPr>
          <w:sz w:val="22"/>
          <w:szCs w:val="22"/>
        </w:rPr>
        <w:t xml:space="preserve">(Qld); </w:t>
      </w:r>
    </w:p>
    <w:p w14:paraId="1B7EB20E" w14:textId="7EB34F18" w:rsidR="00680AF3" w:rsidRPr="00680AF3" w:rsidRDefault="00680AF3" w:rsidP="00680AF3">
      <w:pPr>
        <w:pStyle w:val="Default"/>
        <w:numPr>
          <w:ilvl w:val="0"/>
          <w:numId w:val="21"/>
        </w:numPr>
        <w:rPr>
          <w:sz w:val="22"/>
          <w:szCs w:val="22"/>
        </w:rPr>
      </w:pPr>
      <w:r>
        <w:rPr>
          <w:i/>
          <w:iCs/>
          <w:sz w:val="22"/>
          <w:szCs w:val="22"/>
        </w:rPr>
        <w:t xml:space="preserve">Professional Standards Act 2004 </w:t>
      </w:r>
      <w:r>
        <w:rPr>
          <w:sz w:val="22"/>
          <w:szCs w:val="22"/>
        </w:rPr>
        <w:t xml:space="preserve">(SA); </w:t>
      </w:r>
    </w:p>
    <w:p w14:paraId="708CCF62" w14:textId="330A0F3D" w:rsidR="00680AF3" w:rsidRPr="00680AF3" w:rsidRDefault="00680AF3" w:rsidP="00680AF3">
      <w:pPr>
        <w:pStyle w:val="Default"/>
        <w:numPr>
          <w:ilvl w:val="0"/>
          <w:numId w:val="21"/>
        </w:numPr>
        <w:rPr>
          <w:sz w:val="22"/>
          <w:szCs w:val="22"/>
        </w:rPr>
      </w:pPr>
      <w:r>
        <w:rPr>
          <w:i/>
          <w:iCs/>
          <w:sz w:val="22"/>
          <w:szCs w:val="22"/>
        </w:rPr>
        <w:t xml:space="preserve">Professional Standards Act 2005 </w:t>
      </w:r>
      <w:r>
        <w:rPr>
          <w:sz w:val="22"/>
          <w:szCs w:val="22"/>
        </w:rPr>
        <w:t xml:space="preserve">(Tas); </w:t>
      </w:r>
    </w:p>
    <w:p w14:paraId="4570565F" w14:textId="733F94F8" w:rsidR="00680AF3" w:rsidRPr="00680AF3" w:rsidRDefault="00680AF3" w:rsidP="00680AF3">
      <w:pPr>
        <w:pStyle w:val="Default"/>
        <w:numPr>
          <w:ilvl w:val="0"/>
          <w:numId w:val="21"/>
        </w:numPr>
        <w:rPr>
          <w:sz w:val="22"/>
          <w:szCs w:val="22"/>
        </w:rPr>
      </w:pPr>
      <w:r>
        <w:rPr>
          <w:i/>
          <w:iCs/>
          <w:sz w:val="22"/>
          <w:szCs w:val="22"/>
        </w:rPr>
        <w:t xml:space="preserve">Professional Standards Act 1997 </w:t>
      </w:r>
      <w:r>
        <w:rPr>
          <w:sz w:val="22"/>
          <w:szCs w:val="22"/>
        </w:rPr>
        <w:t xml:space="preserve">(WA); </w:t>
      </w:r>
    </w:p>
    <w:p w14:paraId="41765BEE" w14:textId="5AEB051D" w:rsidR="00680AF3" w:rsidRPr="00680AF3" w:rsidRDefault="00680AF3" w:rsidP="00680AF3">
      <w:pPr>
        <w:pStyle w:val="Default"/>
        <w:numPr>
          <w:ilvl w:val="0"/>
          <w:numId w:val="21"/>
        </w:numPr>
        <w:rPr>
          <w:sz w:val="22"/>
          <w:szCs w:val="22"/>
        </w:rPr>
      </w:pPr>
      <w:r>
        <w:rPr>
          <w:i/>
          <w:iCs/>
          <w:sz w:val="22"/>
          <w:szCs w:val="22"/>
        </w:rPr>
        <w:t xml:space="preserve">Professional Standards Act 2004 </w:t>
      </w:r>
      <w:r>
        <w:rPr>
          <w:sz w:val="22"/>
          <w:szCs w:val="22"/>
        </w:rPr>
        <w:t xml:space="preserve">(NT); and </w:t>
      </w:r>
    </w:p>
    <w:p w14:paraId="74B1934C" w14:textId="77777777" w:rsidR="00680AF3" w:rsidRDefault="00680AF3" w:rsidP="00680AF3">
      <w:pPr>
        <w:pStyle w:val="Default"/>
        <w:numPr>
          <w:ilvl w:val="0"/>
          <w:numId w:val="21"/>
        </w:numPr>
        <w:rPr>
          <w:sz w:val="22"/>
          <w:szCs w:val="22"/>
        </w:rPr>
      </w:pPr>
      <w:r>
        <w:rPr>
          <w:i/>
          <w:iCs/>
          <w:sz w:val="22"/>
          <w:szCs w:val="22"/>
        </w:rPr>
        <w:t xml:space="preserve">Civil Law (Wrongs) Act 2002 </w:t>
      </w:r>
      <w:r>
        <w:rPr>
          <w:sz w:val="22"/>
          <w:szCs w:val="22"/>
        </w:rPr>
        <w:t xml:space="preserve">(ACT). </w:t>
      </w:r>
    </w:p>
    <w:p w14:paraId="76D380A8" w14:textId="77777777" w:rsidR="00680AF3" w:rsidRDefault="00680AF3" w:rsidP="00680AF3">
      <w:pPr>
        <w:pStyle w:val="Default"/>
        <w:spacing w:line="276" w:lineRule="auto"/>
      </w:pPr>
    </w:p>
    <w:p w14:paraId="4FBAC792" w14:textId="396068AD" w:rsidR="00680AF3" w:rsidRPr="00680AF3" w:rsidRDefault="00680AF3" w:rsidP="00680AF3">
      <w:pPr>
        <w:pStyle w:val="Default"/>
        <w:spacing w:line="276" w:lineRule="auto"/>
        <w:ind w:left="1080"/>
        <w:rPr>
          <w:sz w:val="22"/>
          <w:szCs w:val="22"/>
        </w:rPr>
      </w:pPr>
      <w:r w:rsidRPr="00467E3F">
        <w:rPr>
          <w:b/>
          <w:bCs/>
          <w:sz w:val="22"/>
          <w:szCs w:val="22"/>
        </w:rPr>
        <w:t>“</w:t>
      </w:r>
      <w:r w:rsidRPr="00680AF3">
        <w:rPr>
          <w:b/>
          <w:bCs/>
          <w:sz w:val="22"/>
          <w:szCs w:val="22"/>
        </w:rPr>
        <w:t xml:space="preserve">Real Property Valuation and Desktop Services” </w:t>
      </w:r>
      <w:r w:rsidRPr="00680AF3">
        <w:rPr>
          <w:sz w:val="22"/>
          <w:szCs w:val="22"/>
        </w:rPr>
        <w:t xml:space="preserve">means any Valuation of Real Property or Desktop of Real Property but excluding any Low Risk Valuation Services. </w:t>
      </w:r>
    </w:p>
    <w:p w14:paraId="3CAAB1E5" w14:textId="4B86FEFC" w:rsidR="00680AF3" w:rsidRPr="00680AF3" w:rsidRDefault="00680AF3" w:rsidP="00680AF3">
      <w:pPr>
        <w:pStyle w:val="Default"/>
        <w:spacing w:line="276" w:lineRule="auto"/>
        <w:ind w:left="1080"/>
      </w:pPr>
      <w:r w:rsidRPr="00680AF3">
        <w:rPr>
          <w:b/>
          <w:bCs/>
          <w:sz w:val="22"/>
          <w:szCs w:val="22"/>
        </w:rPr>
        <w:t xml:space="preserve">“Scheme” </w:t>
      </w:r>
      <w:r w:rsidRPr="00680AF3">
        <w:rPr>
          <w:sz w:val="22"/>
          <w:szCs w:val="22"/>
        </w:rPr>
        <w:t>means The Australian Property Institute Valuers Limited Professional Standards Scheme set out in this document.</w:t>
      </w:r>
    </w:p>
    <w:sectPr w:rsidR="00680AF3" w:rsidRPr="00680AF3" w:rsidSect="00F15AC3">
      <w:headerReference w:type="even" r:id="rId11"/>
      <w:headerReference w:type="default" r:id="rId12"/>
      <w:footerReference w:type="even" r:id="rId13"/>
      <w:footerReference w:type="default" r:id="rId14"/>
      <w:headerReference w:type="first" r:id="rId15"/>
      <w:footerReference w:type="first" r:id="rId16"/>
      <w:footnotePr>
        <w:numFmt w:val="lowerRoman"/>
      </w:footnotePr>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89E12" w14:textId="77777777" w:rsidR="00CA29F6" w:rsidRDefault="00CA29F6" w:rsidP="00F10CB2">
      <w:r>
        <w:separator/>
      </w:r>
    </w:p>
  </w:endnote>
  <w:endnote w:type="continuationSeparator" w:id="0">
    <w:p w14:paraId="495F0075" w14:textId="77777777" w:rsidR="00CA29F6" w:rsidRDefault="00CA29F6" w:rsidP="00F10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C669" w14:textId="77777777" w:rsidR="00704DC3" w:rsidRDefault="00704D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D5A5" w14:textId="5EB64787" w:rsidR="00704DC3" w:rsidRPr="007069CE" w:rsidRDefault="007069CE" w:rsidP="007069CE">
    <w:pPr>
      <w:pStyle w:val="Footer"/>
      <w:jc w:val="center"/>
      <w:rPr>
        <w:rFonts w:cs="Arial"/>
        <w:sz w:val="14"/>
      </w:rPr>
    </w:pPr>
    <w:r w:rsidRPr="007069CE">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F396" w14:textId="77777777" w:rsidR="00704DC3" w:rsidRDefault="00704D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F11BF" w14:textId="77777777" w:rsidR="00CA29F6" w:rsidRDefault="00CA29F6" w:rsidP="00F10CB2">
      <w:r>
        <w:separator/>
      </w:r>
    </w:p>
  </w:footnote>
  <w:footnote w:type="continuationSeparator" w:id="0">
    <w:p w14:paraId="17CC2BD9" w14:textId="77777777" w:rsidR="00CA29F6" w:rsidRDefault="00CA29F6" w:rsidP="00F10CB2">
      <w:r>
        <w:continuationSeparator/>
      </w:r>
    </w:p>
  </w:footnote>
  <w:footnote w:id="1">
    <w:p w14:paraId="2B1919EE" w14:textId="1713034A" w:rsidR="008F6572" w:rsidRPr="001015BA" w:rsidRDefault="008F6572" w:rsidP="001015BA">
      <w:pPr>
        <w:pStyle w:val="FootnoteText"/>
        <w:rPr>
          <w:rFonts w:asciiTheme="minorHAnsi" w:hAnsiTheme="minorHAnsi" w:cstheme="minorHAnsi"/>
        </w:rPr>
      </w:pPr>
      <w:r w:rsidRPr="001015BA">
        <w:rPr>
          <w:rStyle w:val="FootnoteReference"/>
          <w:rFonts w:asciiTheme="minorHAnsi" w:hAnsiTheme="minorHAnsi" w:cstheme="minorHAnsi"/>
        </w:rPr>
        <w:footnoteRef/>
      </w:r>
      <w:r w:rsidRPr="001015BA">
        <w:rPr>
          <w:rFonts w:asciiTheme="minorHAnsi" w:hAnsiTheme="minorHAnsi" w:cstheme="minorHAnsi"/>
        </w:rPr>
        <w:t xml:space="preserve"> </w:t>
      </w:r>
      <w:r w:rsidRPr="001015BA">
        <w:rPr>
          <w:rFonts w:asciiTheme="minorHAnsi" w:hAnsiTheme="minorHAnsi" w:cstheme="minorHAnsi"/>
          <w:b/>
          <w:bCs/>
          <w:sz w:val="18"/>
          <w:szCs w:val="18"/>
        </w:rPr>
        <w:t xml:space="preserve">“Valuation Process” </w:t>
      </w:r>
      <w:r w:rsidRPr="001015BA">
        <w:rPr>
          <w:rFonts w:asciiTheme="minorHAnsi" w:hAnsiTheme="minorHAnsi" w:cstheme="minorHAnsi"/>
          <w:sz w:val="18"/>
          <w:szCs w:val="18"/>
        </w:rPr>
        <w:t xml:space="preserve">means an established evidence based process for assessing the value of a tangible asset which includes all the necessary enquiries, investigations, procedures and processes including the physical inspection of the asset by the valuer, required to fully inform the valuer’s reasoning and analysis in accordance with practice accepted as proper by the API.  </w:t>
      </w:r>
    </w:p>
  </w:footnote>
  <w:footnote w:id="2">
    <w:p w14:paraId="2EABC926" w14:textId="5A44F685" w:rsidR="008F6572" w:rsidRPr="001015BA" w:rsidRDefault="008F6572" w:rsidP="001015BA">
      <w:pPr>
        <w:pStyle w:val="FootnoteText"/>
        <w:rPr>
          <w:rFonts w:asciiTheme="minorHAnsi" w:hAnsiTheme="minorHAnsi" w:cstheme="minorHAnsi"/>
        </w:rPr>
      </w:pPr>
      <w:r w:rsidRPr="001015BA">
        <w:rPr>
          <w:rStyle w:val="FootnoteReference"/>
          <w:rFonts w:asciiTheme="minorHAnsi" w:hAnsiTheme="minorHAnsi" w:cstheme="minorHAnsi"/>
        </w:rPr>
        <w:footnoteRef/>
      </w:r>
      <w:r w:rsidRPr="001015BA">
        <w:rPr>
          <w:rFonts w:asciiTheme="minorHAnsi" w:hAnsiTheme="minorHAnsi" w:cstheme="minorHAnsi"/>
        </w:rPr>
        <w:t xml:space="preserve"> </w:t>
      </w:r>
      <w:r w:rsidRPr="001015BA">
        <w:rPr>
          <w:rFonts w:asciiTheme="minorHAnsi" w:hAnsiTheme="minorHAnsi" w:cstheme="minorHAnsi"/>
          <w:b/>
          <w:bCs/>
          <w:sz w:val="18"/>
          <w:szCs w:val="18"/>
        </w:rPr>
        <w:t xml:space="preserve">“Valuation of Real Property” </w:t>
      </w:r>
      <w:r w:rsidRPr="001015BA">
        <w:rPr>
          <w:rFonts w:asciiTheme="minorHAnsi" w:hAnsiTheme="minorHAnsi" w:cstheme="minorHAnsi"/>
          <w:sz w:val="18"/>
          <w:szCs w:val="18"/>
        </w:rPr>
        <w:t>means any valuation, undertaken in accordance with Rule 11 of the API Rules of Professional Conduct, of any right, interest or benefit related to the ownership, occupation or use of real property including land and all things that are a natural part of the land as well as any improvements to the land (but excluding plant, machinery and equipment) expressed as an Assessed Value.</w:t>
      </w:r>
      <w:r w:rsidRPr="001015BA">
        <w:rPr>
          <w:rFonts w:asciiTheme="minorHAnsi" w:hAnsiTheme="minorHAnsi" w:cstheme="minorHAnsi"/>
        </w:rPr>
        <w:t xml:space="preserve">  </w:t>
      </w:r>
    </w:p>
  </w:footnote>
  <w:footnote w:id="3">
    <w:p w14:paraId="60D687B1" w14:textId="0412AEBC" w:rsidR="008F6572" w:rsidRDefault="008F6572" w:rsidP="001015BA">
      <w:pPr>
        <w:pStyle w:val="FootnoteText"/>
      </w:pPr>
      <w:r w:rsidRPr="001015BA">
        <w:rPr>
          <w:rStyle w:val="FootnoteReference"/>
          <w:rFonts w:asciiTheme="minorHAnsi" w:hAnsiTheme="minorHAnsi" w:cstheme="minorHAnsi"/>
        </w:rPr>
        <w:footnoteRef/>
      </w:r>
      <w:r w:rsidRPr="001015BA">
        <w:rPr>
          <w:rFonts w:asciiTheme="minorHAnsi" w:hAnsiTheme="minorHAnsi" w:cstheme="minorHAnsi"/>
        </w:rPr>
        <w:t xml:space="preserve"> </w:t>
      </w:r>
      <w:r w:rsidRPr="001015BA">
        <w:rPr>
          <w:rFonts w:asciiTheme="minorHAnsi" w:hAnsiTheme="minorHAnsi" w:cstheme="minorHAnsi"/>
          <w:b/>
          <w:bCs/>
          <w:sz w:val="18"/>
          <w:szCs w:val="18"/>
        </w:rPr>
        <w:t xml:space="preserve">“Desktop of Real Property” </w:t>
      </w:r>
      <w:r w:rsidRPr="001015BA">
        <w:rPr>
          <w:rFonts w:asciiTheme="minorHAnsi" w:hAnsiTheme="minorHAnsi" w:cstheme="minorHAnsi"/>
          <w:sz w:val="18"/>
          <w:szCs w:val="18"/>
        </w:rPr>
        <w:t>means any desktop, undertaken in accordance with Rule 12 of the API Rules of Professional Conduct, of any right, interest or benefit related to the ownership, occupation or use of real property including land and all things that are a natural part of the land as well as any improvements to the land (but excluding plant, machinery and equipment) expressed as an Indicative Value.</w:t>
      </w:r>
      <w:r w:rsidRPr="008F6572">
        <w:t xml:space="preserve">  </w:t>
      </w:r>
    </w:p>
  </w:footnote>
  <w:footnote w:id="4">
    <w:p w14:paraId="1EFB35B4" w14:textId="45B09D08" w:rsidR="008F6572" w:rsidRPr="001015BA" w:rsidRDefault="008F6572" w:rsidP="001015BA">
      <w:pPr>
        <w:pStyle w:val="FootnoteText"/>
        <w:rPr>
          <w:rFonts w:asciiTheme="minorHAnsi" w:hAnsiTheme="minorHAnsi" w:cstheme="minorHAnsi"/>
        </w:rPr>
      </w:pPr>
      <w:r w:rsidRPr="001015BA">
        <w:rPr>
          <w:rStyle w:val="FootnoteReference"/>
          <w:rFonts w:asciiTheme="minorHAnsi" w:hAnsiTheme="minorHAnsi" w:cstheme="minorHAnsi"/>
        </w:rPr>
        <w:footnoteRef/>
      </w:r>
      <w:r w:rsidRPr="001015BA">
        <w:rPr>
          <w:rFonts w:asciiTheme="minorHAnsi" w:hAnsiTheme="minorHAnsi" w:cstheme="minorHAnsi"/>
        </w:rPr>
        <w:t xml:space="preserve"> </w:t>
      </w:r>
      <w:r w:rsidRPr="001015BA">
        <w:rPr>
          <w:rFonts w:asciiTheme="minorHAnsi" w:hAnsiTheme="minorHAnsi" w:cstheme="minorHAnsi"/>
          <w:b/>
          <w:bCs/>
          <w:sz w:val="18"/>
          <w:szCs w:val="18"/>
        </w:rPr>
        <w:t xml:space="preserve">“Expert Determination” </w:t>
      </w:r>
      <w:r w:rsidRPr="001015BA">
        <w:rPr>
          <w:rFonts w:asciiTheme="minorHAnsi" w:hAnsiTheme="minorHAnsi" w:cstheme="minorHAnsi"/>
          <w:sz w:val="18"/>
          <w:szCs w:val="18"/>
        </w:rPr>
        <w:t xml:space="preserve">means any Valuation of Real Property or Desktop of Real Property undertaken for the purpose of making a determination acting as an expert pursuant to an agreement or deed where all relevant parties have agreed to indemnify, release or hold the valuer harmless in respect of any liability in connection with the valuation. An Expert Determination can be binding or non-binding.  </w:t>
      </w:r>
    </w:p>
  </w:footnote>
  <w:footnote w:id="5">
    <w:p w14:paraId="37285905" w14:textId="1DF7602A" w:rsidR="008F6572" w:rsidRPr="001015BA" w:rsidRDefault="008F6572" w:rsidP="001015BA">
      <w:pPr>
        <w:pStyle w:val="FootnoteText"/>
        <w:rPr>
          <w:rFonts w:asciiTheme="minorHAnsi" w:hAnsiTheme="minorHAnsi" w:cstheme="minorHAnsi"/>
        </w:rPr>
      </w:pPr>
      <w:r w:rsidRPr="001015BA">
        <w:rPr>
          <w:rStyle w:val="FootnoteReference"/>
          <w:rFonts w:asciiTheme="minorHAnsi" w:hAnsiTheme="minorHAnsi" w:cstheme="minorHAnsi"/>
        </w:rPr>
        <w:footnoteRef/>
      </w:r>
      <w:r w:rsidRPr="001015BA">
        <w:rPr>
          <w:rFonts w:asciiTheme="minorHAnsi" w:hAnsiTheme="minorHAnsi" w:cstheme="minorHAnsi"/>
        </w:rPr>
        <w:t xml:space="preserve"> </w:t>
      </w:r>
      <w:r w:rsidRPr="001015BA">
        <w:rPr>
          <w:rFonts w:asciiTheme="minorHAnsi" w:hAnsiTheme="minorHAnsi" w:cstheme="minorHAnsi"/>
          <w:b/>
          <w:bCs/>
          <w:sz w:val="18"/>
          <w:szCs w:val="18"/>
        </w:rPr>
        <w:t xml:space="preserve">“Expert Evidence Valuation” </w:t>
      </w:r>
      <w:r w:rsidRPr="001015BA">
        <w:rPr>
          <w:rFonts w:asciiTheme="minorHAnsi" w:hAnsiTheme="minorHAnsi" w:cstheme="minorHAnsi"/>
          <w:sz w:val="18"/>
          <w:szCs w:val="18"/>
        </w:rPr>
        <w:t xml:space="preserve">means any Valuation of Real Property or Desktop of Real Property undertaken for the purpose of providing expert evidence in relation to a proceeding before a court or tribunal where the expert’s primary duty is to the court or tribunal (excluding a Valuation of Real Property or Desktop of Real Property undertaken for Resumption purposes).  </w:t>
      </w:r>
    </w:p>
  </w:footnote>
  <w:footnote w:id="6">
    <w:p w14:paraId="6B13D58B" w14:textId="697E8694" w:rsidR="008F6572" w:rsidRPr="001015BA" w:rsidRDefault="008F6572" w:rsidP="001015BA">
      <w:pPr>
        <w:pStyle w:val="FootnoteText"/>
        <w:rPr>
          <w:rFonts w:asciiTheme="minorHAnsi" w:hAnsiTheme="minorHAnsi" w:cstheme="minorHAnsi"/>
        </w:rPr>
      </w:pPr>
      <w:r w:rsidRPr="001015BA">
        <w:rPr>
          <w:rStyle w:val="FootnoteReference"/>
          <w:rFonts w:asciiTheme="minorHAnsi" w:hAnsiTheme="minorHAnsi" w:cstheme="minorHAnsi"/>
        </w:rPr>
        <w:footnoteRef/>
      </w:r>
      <w:r w:rsidRPr="001015BA">
        <w:rPr>
          <w:rFonts w:asciiTheme="minorHAnsi" w:hAnsiTheme="minorHAnsi" w:cstheme="minorHAnsi"/>
        </w:rPr>
        <w:t xml:space="preserve"> </w:t>
      </w:r>
      <w:r w:rsidRPr="001015BA">
        <w:rPr>
          <w:rFonts w:asciiTheme="minorHAnsi" w:hAnsiTheme="minorHAnsi" w:cstheme="minorHAnsi"/>
          <w:b/>
          <w:bCs/>
          <w:sz w:val="18"/>
          <w:szCs w:val="18"/>
        </w:rPr>
        <w:t xml:space="preserve">“Financial Reporting Valuation” </w:t>
      </w:r>
      <w:r w:rsidRPr="001015BA">
        <w:rPr>
          <w:rFonts w:asciiTheme="minorHAnsi" w:hAnsiTheme="minorHAnsi" w:cstheme="minorHAnsi"/>
          <w:sz w:val="18"/>
          <w:szCs w:val="18"/>
        </w:rPr>
        <w:t>means any Valuation of Real Property or Desktop of Real Property undertaken for the purpose of the preparation and issue of financial reports by any entity in the general course of the entity’s operations. It excludes special purpose financial reports prepared in respect of a specific transaction including any sale, merger, takeover or fundraising.</w:t>
      </w:r>
      <w:r w:rsidRPr="001015BA">
        <w:rPr>
          <w:rFonts w:asciiTheme="minorHAnsi" w:hAnsiTheme="minorHAnsi" w:cstheme="minorHAnsi"/>
        </w:rPr>
        <w:t xml:space="preserve">  </w:t>
      </w:r>
    </w:p>
  </w:footnote>
  <w:footnote w:id="7">
    <w:p w14:paraId="4C51FC17" w14:textId="61CD203F" w:rsidR="001015BA" w:rsidRPr="001015BA" w:rsidRDefault="001015BA" w:rsidP="001015BA">
      <w:pPr>
        <w:pStyle w:val="FootnoteText"/>
        <w:rPr>
          <w:rFonts w:asciiTheme="minorHAnsi" w:hAnsiTheme="minorHAnsi" w:cstheme="minorHAnsi"/>
        </w:rPr>
      </w:pPr>
      <w:r w:rsidRPr="001015BA">
        <w:rPr>
          <w:rStyle w:val="FootnoteReference"/>
          <w:rFonts w:asciiTheme="minorHAnsi" w:hAnsiTheme="minorHAnsi" w:cstheme="minorHAnsi"/>
        </w:rPr>
        <w:footnoteRef/>
      </w:r>
      <w:r w:rsidRPr="001015BA">
        <w:rPr>
          <w:rFonts w:asciiTheme="minorHAnsi" w:hAnsiTheme="minorHAnsi" w:cstheme="minorHAnsi"/>
        </w:rPr>
        <w:t xml:space="preserve"> </w:t>
      </w:r>
      <w:r w:rsidRPr="001015BA">
        <w:rPr>
          <w:rFonts w:asciiTheme="minorHAnsi" w:hAnsiTheme="minorHAnsi" w:cstheme="minorHAnsi"/>
          <w:b/>
          <w:bCs/>
          <w:sz w:val="18"/>
          <w:szCs w:val="18"/>
        </w:rPr>
        <w:t xml:space="preserve">“Insurance Valuation” </w:t>
      </w:r>
      <w:r w:rsidRPr="001015BA">
        <w:rPr>
          <w:rFonts w:asciiTheme="minorHAnsi" w:hAnsiTheme="minorHAnsi" w:cstheme="minorHAnsi"/>
          <w:sz w:val="18"/>
          <w:szCs w:val="18"/>
        </w:rPr>
        <w:t xml:space="preserve">means any assessment of the cost of replacement of destructible improvements to real property or plant, machinery or equipment undertaken for the purpose of advising on the insurable value of such property in connection with the entry into, or proposed entry into, a contract of insurance.  </w:t>
      </w:r>
    </w:p>
  </w:footnote>
  <w:footnote w:id="8">
    <w:p w14:paraId="142F4DB3" w14:textId="3D1A52DC" w:rsidR="001015BA" w:rsidRDefault="001015BA" w:rsidP="001015BA">
      <w:pPr>
        <w:pStyle w:val="FootnoteText"/>
      </w:pPr>
      <w:r w:rsidRPr="001015BA">
        <w:rPr>
          <w:rStyle w:val="FootnoteReference"/>
          <w:rFonts w:asciiTheme="minorHAnsi" w:hAnsiTheme="minorHAnsi" w:cstheme="minorHAnsi"/>
        </w:rPr>
        <w:footnoteRef/>
      </w:r>
      <w:r w:rsidRPr="001015BA">
        <w:rPr>
          <w:rFonts w:asciiTheme="minorHAnsi" w:hAnsiTheme="minorHAnsi" w:cstheme="minorHAnsi"/>
        </w:rPr>
        <w:t xml:space="preserve"> </w:t>
      </w:r>
      <w:r w:rsidRPr="001015BA">
        <w:rPr>
          <w:rFonts w:asciiTheme="minorHAnsi" w:hAnsiTheme="minorHAnsi" w:cstheme="minorHAnsi"/>
          <w:b/>
          <w:bCs/>
          <w:sz w:val="18"/>
          <w:szCs w:val="18"/>
        </w:rPr>
        <w:t xml:space="preserve">“Resumption” </w:t>
      </w:r>
      <w:r w:rsidRPr="001015BA">
        <w:rPr>
          <w:rFonts w:asciiTheme="minorHAnsi" w:hAnsiTheme="minorHAnsi" w:cstheme="minorHAnsi"/>
          <w:sz w:val="18"/>
          <w:szCs w:val="18"/>
        </w:rPr>
        <w:t>means compulsory acquisition of land (including compulsory acquisition or appropriation of Crown land) under the provision of any Act of the Commonwealth or of a State or Territory authorising compulsory acquisition or appropriation of land.</w:t>
      </w:r>
      <w:r w:rsidRPr="001015BA">
        <w:t xml:space="preserve">  </w:t>
      </w:r>
    </w:p>
  </w:footnote>
  <w:footnote w:id="9">
    <w:p w14:paraId="3E853869" w14:textId="118511C3" w:rsidR="001015BA" w:rsidRDefault="001015BA">
      <w:pPr>
        <w:pStyle w:val="FootnoteText"/>
      </w:pPr>
      <w:r>
        <w:rPr>
          <w:rStyle w:val="FootnoteReference"/>
        </w:rPr>
        <w:footnoteRef/>
      </w:r>
      <w:r>
        <w:t xml:space="preserve"> </w:t>
      </w:r>
      <w:r w:rsidRPr="001015BA">
        <w:rPr>
          <w:rFonts w:asciiTheme="minorHAnsi" w:hAnsiTheme="minorHAnsi" w:cstheme="minorHAnsi"/>
          <w:b/>
          <w:bCs/>
          <w:sz w:val="18"/>
          <w:szCs w:val="18"/>
        </w:rPr>
        <w:t xml:space="preserve">“Occupational Services” </w:t>
      </w:r>
      <w:r w:rsidRPr="001015BA">
        <w:rPr>
          <w:rFonts w:asciiTheme="minorHAnsi" w:hAnsiTheme="minorHAnsi" w:cstheme="minorHAnsi"/>
          <w:sz w:val="18"/>
          <w:szCs w:val="18"/>
        </w:rPr>
        <w:t>means any Category 1 Services, the Category 2 Services, the Category 3 Services and the Category 4 Services provided by a Participating Member in the performance of the Occupation.</w:t>
      </w:r>
      <w:r w:rsidRPr="001015BA">
        <w:t xml:space="preserve">  </w:t>
      </w:r>
    </w:p>
  </w:footnote>
  <w:footnote w:id="10">
    <w:p w14:paraId="792C6A99" w14:textId="2A7B1A02" w:rsidR="001015BA" w:rsidRDefault="001015BA">
      <w:pPr>
        <w:pStyle w:val="FootnoteText"/>
      </w:pPr>
      <w:r>
        <w:rPr>
          <w:rStyle w:val="FootnoteReference"/>
        </w:rPr>
        <w:footnoteRef/>
      </w:r>
      <w:r>
        <w:t xml:space="preserve"> </w:t>
      </w:r>
      <w:r w:rsidRPr="001015BA">
        <w:rPr>
          <w:rFonts w:asciiTheme="minorHAnsi" w:hAnsiTheme="minorHAnsi" w:cstheme="minorHAnsi"/>
          <w:b/>
          <w:bCs/>
          <w:sz w:val="18"/>
          <w:szCs w:val="18"/>
        </w:rPr>
        <w:t xml:space="preserve">“Occupation” </w:t>
      </w:r>
      <w:r w:rsidRPr="001015BA">
        <w:rPr>
          <w:rFonts w:asciiTheme="minorHAnsi" w:hAnsiTheme="minorHAnsi" w:cstheme="minorHAnsi"/>
          <w:sz w:val="18"/>
          <w:szCs w:val="18"/>
        </w:rPr>
        <w:t>means the occupational vocation carried out by Participating Members by application of the qualifications, training, skills, practices, disciplines, specialisations, standards, guidelines and experience of a natural person holding the API certification of Certified Practicing Valuer, Certified Practising Valuer (Residential), Residential Property Valuer and/or Certified Practising Valuer (Plant &amp; Machinery).</w:t>
      </w:r>
      <w:r w:rsidRPr="001015B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77777777" w:rsidR="00704DC3" w:rsidRDefault="00704D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A809" w14:textId="77777777" w:rsidR="00704DC3" w:rsidRDefault="00704D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B00A" w14:textId="77777777" w:rsidR="00704DC3" w:rsidRDefault="00704D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0A31AE5"/>
    <w:multiLevelType w:val="multilevel"/>
    <w:tmpl w:val="9E0E19F2"/>
    <w:lvl w:ilvl="0">
      <w:start w:val="1"/>
      <w:numFmt w:val="decimal"/>
      <w:lvlText w:val="%1."/>
      <w:lvlJc w:val="left"/>
      <w:pPr>
        <w:ind w:left="737" w:hanging="397"/>
      </w:pPr>
      <w:rPr>
        <w:rFonts w:hint="default"/>
      </w:rPr>
    </w:lvl>
    <w:lvl w:ilvl="1">
      <w:start w:val="1"/>
      <w:numFmt w:val="decimal"/>
      <w:isLgl/>
      <w:lvlText w:val="%1.%2"/>
      <w:lvlJc w:val="left"/>
      <w:pPr>
        <w:ind w:left="1588" w:hanging="508"/>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2" w15:restartNumberingAfterBreak="0">
    <w:nsid w:val="027F63D1"/>
    <w:multiLevelType w:val="multilevel"/>
    <w:tmpl w:val="14C05C5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5" w15:restartNumberingAfterBreak="0">
    <w:nsid w:val="0D2E58EC"/>
    <w:multiLevelType w:val="hybridMultilevel"/>
    <w:tmpl w:val="48C2875E"/>
    <w:lvl w:ilvl="0" w:tplc="9A0E7572">
      <w:start w:val="1"/>
      <w:numFmt w:val="lowerLetter"/>
      <w:lvlText w:val="(%1)"/>
      <w:lvlJc w:val="left"/>
      <w:pPr>
        <w:ind w:left="28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17583E"/>
    <w:multiLevelType w:val="hybridMultilevel"/>
    <w:tmpl w:val="AC2EF7E6"/>
    <w:lvl w:ilvl="0" w:tplc="D5EE8E54">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597C48"/>
    <w:multiLevelType w:val="multilevel"/>
    <w:tmpl w:val="F23EEEA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233F514F"/>
    <w:multiLevelType w:val="hybridMultilevel"/>
    <w:tmpl w:val="0E0C512A"/>
    <w:lvl w:ilvl="0" w:tplc="0C090017">
      <w:start w:val="1"/>
      <w:numFmt w:val="lowerLetter"/>
      <w:lvlText w:val="%1)"/>
      <w:lvlJc w:val="left"/>
      <w:pPr>
        <w:ind w:left="3600" w:hanging="360"/>
      </w:p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0" w15:restartNumberingAfterBreak="0">
    <w:nsid w:val="2D512544"/>
    <w:multiLevelType w:val="hybridMultilevel"/>
    <w:tmpl w:val="48C2875E"/>
    <w:lvl w:ilvl="0" w:tplc="FFFFFFFF">
      <w:start w:val="1"/>
      <w:numFmt w:val="lowerLetter"/>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0FE3C5F"/>
    <w:multiLevelType w:val="multilevel"/>
    <w:tmpl w:val="934EB54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32022A0B"/>
    <w:multiLevelType w:val="hybridMultilevel"/>
    <w:tmpl w:val="840E88C8"/>
    <w:lvl w:ilvl="0" w:tplc="E10040C4">
      <w:start w:val="1"/>
      <w:numFmt w:val="decimal"/>
      <w:lvlText w:val="%1."/>
      <w:lvlJc w:val="left"/>
      <w:pPr>
        <w:ind w:left="624" w:hanging="264"/>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9A0E7572">
      <w:start w:val="1"/>
      <w:numFmt w:val="lowerLetter"/>
      <w:lvlText w:val="(%4)"/>
      <w:lvlJc w:val="left"/>
      <w:pPr>
        <w:ind w:left="2880" w:hanging="360"/>
      </w:pPr>
      <w:rPr>
        <w:rFonts w:hint="default"/>
      </w:r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2385057"/>
    <w:multiLevelType w:val="multilevel"/>
    <w:tmpl w:val="D4009D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abstractNum w:abstractNumId="14"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15"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16"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17" w15:restartNumberingAfterBreak="0">
    <w:nsid w:val="64A72DBD"/>
    <w:multiLevelType w:val="multilevel"/>
    <w:tmpl w:val="78B09660"/>
    <w:lvl w:ilvl="0">
      <w:start w:val="2"/>
      <w:numFmt w:val="decimal"/>
      <w:lvlText w:val="%1"/>
      <w:lvlJc w:val="left"/>
      <w:pPr>
        <w:ind w:left="170" w:hanging="170"/>
      </w:pPr>
      <w:rPr>
        <w:rFonts w:hint="default"/>
      </w:rPr>
    </w:lvl>
    <w:lvl w:ilvl="1">
      <w:start w:val="1"/>
      <w:numFmt w:val="decimal"/>
      <w:lvlText w:val="%1.%2"/>
      <w:lvlJc w:val="left"/>
      <w:pPr>
        <w:ind w:left="1644" w:hanging="564"/>
      </w:pPr>
      <w:rPr>
        <w:rFonts w:hint="default"/>
      </w:rPr>
    </w:lvl>
    <w:lvl w:ilvl="2">
      <w:start w:val="1"/>
      <w:numFmt w:val="decimal"/>
      <w:lvlText w:val="%1.%2.%3"/>
      <w:lvlJc w:val="left"/>
      <w:pPr>
        <w:ind w:left="2880" w:hanging="720"/>
      </w:pPr>
      <w:rPr>
        <w:rFonts w:hint="default"/>
      </w:rPr>
    </w:lvl>
    <w:lvl w:ilvl="3">
      <w:start w:val="1"/>
      <w:numFmt w:val="lowerLetter"/>
      <w:lvlText w:val="(%4)"/>
      <w:lvlJc w:val="left"/>
      <w:pPr>
        <w:ind w:left="3960" w:hanging="720"/>
      </w:pPr>
      <w:rPr>
        <w:rFonts w:ascii="Times New Roman" w:eastAsia="Times New Roman" w:hAnsi="Times New Roman" w:cs="Times New Roman"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663C59A2"/>
    <w:multiLevelType w:val="hybridMultilevel"/>
    <w:tmpl w:val="D916A670"/>
    <w:lvl w:ilvl="0" w:tplc="0C090015">
      <w:start w:val="1"/>
      <w:numFmt w:val="upperLetter"/>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9" w15:restartNumberingAfterBreak="0">
    <w:nsid w:val="6C3B58E8"/>
    <w:multiLevelType w:val="hybridMultilevel"/>
    <w:tmpl w:val="48C2875E"/>
    <w:lvl w:ilvl="0" w:tplc="FFFFFFFF">
      <w:start w:val="1"/>
      <w:numFmt w:val="lowerLetter"/>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num w:numId="1" w16cid:durableId="633559726">
    <w:abstractNumId w:val="4"/>
  </w:num>
  <w:num w:numId="2" w16cid:durableId="1372539176">
    <w:abstractNumId w:val="0"/>
  </w:num>
  <w:num w:numId="3" w16cid:durableId="1698770036">
    <w:abstractNumId w:val="6"/>
  </w:num>
  <w:num w:numId="4" w16cid:durableId="1674453111">
    <w:abstractNumId w:val="16"/>
  </w:num>
  <w:num w:numId="5" w16cid:durableId="2122063236">
    <w:abstractNumId w:val="20"/>
  </w:num>
  <w:num w:numId="6" w16cid:durableId="638144084">
    <w:abstractNumId w:val="3"/>
  </w:num>
  <w:num w:numId="7" w16cid:durableId="1862740697">
    <w:abstractNumId w:val="14"/>
  </w:num>
  <w:num w:numId="8" w16cid:durableId="1074662599">
    <w:abstractNumId w:val="15"/>
  </w:num>
  <w:num w:numId="9" w16cid:durableId="1667631984">
    <w:abstractNumId w:val="13"/>
  </w:num>
  <w:num w:numId="10" w16cid:durableId="1964845621">
    <w:abstractNumId w:val="1"/>
  </w:num>
  <w:num w:numId="11" w16cid:durableId="2065788313">
    <w:abstractNumId w:val="18"/>
  </w:num>
  <w:num w:numId="12" w16cid:durableId="40520920">
    <w:abstractNumId w:val="12"/>
  </w:num>
  <w:num w:numId="13" w16cid:durableId="501050042">
    <w:abstractNumId w:val="11"/>
  </w:num>
  <w:num w:numId="14" w16cid:durableId="895242231">
    <w:abstractNumId w:val="2"/>
  </w:num>
  <w:num w:numId="15" w16cid:durableId="16854188">
    <w:abstractNumId w:val="7"/>
  </w:num>
  <w:num w:numId="16" w16cid:durableId="2029602083">
    <w:abstractNumId w:val="9"/>
  </w:num>
  <w:num w:numId="17" w16cid:durableId="1611087981">
    <w:abstractNumId w:val="17"/>
  </w:num>
  <w:num w:numId="18" w16cid:durableId="446779286">
    <w:abstractNumId w:val="8"/>
  </w:num>
  <w:num w:numId="19" w16cid:durableId="854878041">
    <w:abstractNumId w:val="5"/>
  </w:num>
  <w:num w:numId="20" w16cid:durableId="1378772717">
    <w:abstractNumId w:val="10"/>
  </w:num>
  <w:num w:numId="21" w16cid:durableId="3117568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defaultTabStop w:val="720"/>
  <w:displayHorizontalDrawingGridEvery w:val="0"/>
  <w:displayVerticalDrawingGridEvery w:val="0"/>
  <w:doNotUseMarginsForDrawingGridOrigin/>
  <w:noPunctuationKerning/>
  <w:characterSpacingControl w:val="doNotCompres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85C"/>
    <w:rsid w:val="00015C3F"/>
    <w:rsid w:val="00022B16"/>
    <w:rsid w:val="00062C7D"/>
    <w:rsid w:val="000A1A69"/>
    <w:rsid w:val="001015BA"/>
    <w:rsid w:val="001757A6"/>
    <w:rsid w:val="00194AC7"/>
    <w:rsid w:val="00232478"/>
    <w:rsid w:val="00364B6D"/>
    <w:rsid w:val="003B58A6"/>
    <w:rsid w:val="00467E3F"/>
    <w:rsid w:val="004957AD"/>
    <w:rsid w:val="00507343"/>
    <w:rsid w:val="005204C1"/>
    <w:rsid w:val="00563B66"/>
    <w:rsid w:val="005D5D84"/>
    <w:rsid w:val="00604E6D"/>
    <w:rsid w:val="00627F0C"/>
    <w:rsid w:val="00667281"/>
    <w:rsid w:val="00680AF3"/>
    <w:rsid w:val="00697BC2"/>
    <w:rsid w:val="006F5E47"/>
    <w:rsid w:val="00704DC3"/>
    <w:rsid w:val="007069CE"/>
    <w:rsid w:val="0072003E"/>
    <w:rsid w:val="0082599E"/>
    <w:rsid w:val="008C3874"/>
    <w:rsid w:val="008F6572"/>
    <w:rsid w:val="0092608A"/>
    <w:rsid w:val="0093404D"/>
    <w:rsid w:val="00992EE6"/>
    <w:rsid w:val="00A0585C"/>
    <w:rsid w:val="00A260BD"/>
    <w:rsid w:val="00A26BF8"/>
    <w:rsid w:val="00AC0B9C"/>
    <w:rsid w:val="00AD6E67"/>
    <w:rsid w:val="00B30B9A"/>
    <w:rsid w:val="00BA52F5"/>
    <w:rsid w:val="00BB241F"/>
    <w:rsid w:val="00C41B1B"/>
    <w:rsid w:val="00C76D4D"/>
    <w:rsid w:val="00CA19FA"/>
    <w:rsid w:val="00CA29F6"/>
    <w:rsid w:val="00CD4E55"/>
    <w:rsid w:val="00D16245"/>
    <w:rsid w:val="00D47F13"/>
    <w:rsid w:val="00E556F2"/>
    <w:rsid w:val="00E819C0"/>
    <w:rsid w:val="00EE7015"/>
    <w:rsid w:val="00F10CB2"/>
    <w:rsid w:val="00F15AC3"/>
    <w:rsid w:val="00F17EC6"/>
    <w:rsid w:val="00FC0955"/>
    <w:rsid w:val="00FD37A4"/>
    <w:rsid w:val="3C072CD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14BC16"/>
  <w15:docId w15:val="{BA255ED2-B3BD-414B-928B-FE12BCEA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AC3"/>
    <w:rPr>
      <w:sz w:val="24"/>
      <w:lang w:eastAsia="en-US"/>
    </w:rPr>
  </w:style>
  <w:style w:type="paragraph" w:styleId="Heading1">
    <w:name w:val="heading 1"/>
    <w:basedOn w:val="Normal"/>
    <w:next w:val="Normal"/>
    <w:qFormat/>
    <w:rsid w:val="00F15AC3"/>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F15AC3"/>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F15AC3"/>
    <w:pPr>
      <w:keepNext/>
      <w:pBdr>
        <w:right w:val="single" w:sz="4" w:space="4" w:color="auto"/>
      </w:pBdr>
      <w:outlineLvl w:val="2"/>
    </w:pPr>
    <w:rPr>
      <w:i/>
      <w:iCs/>
      <w:sz w:val="22"/>
      <w:szCs w:val="22"/>
    </w:rPr>
  </w:style>
  <w:style w:type="paragraph" w:styleId="Heading4">
    <w:name w:val="heading 4"/>
    <w:basedOn w:val="Normal"/>
    <w:next w:val="Normal"/>
    <w:qFormat/>
    <w:rsid w:val="00F15AC3"/>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15AC3"/>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F15AC3"/>
    <w:pPr>
      <w:tabs>
        <w:tab w:val="left" w:pos="2880"/>
      </w:tabs>
      <w:spacing w:before="120" w:after="60" w:line="240" w:lineRule="exact"/>
    </w:pPr>
    <w:rPr>
      <w:rFonts w:ascii="Arial" w:hAnsi="Arial"/>
      <w:sz w:val="18"/>
    </w:rPr>
  </w:style>
  <w:style w:type="paragraph" w:customStyle="1" w:styleId="Billname">
    <w:name w:val="Billname"/>
    <w:basedOn w:val="Normal"/>
    <w:rsid w:val="00F15AC3"/>
    <w:pPr>
      <w:tabs>
        <w:tab w:val="left" w:pos="2400"/>
        <w:tab w:val="left" w:pos="2880"/>
      </w:tabs>
      <w:spacing w:before="1220" w:after="100"/>
    </w:pPr>
    <w:rPr>
      <w:rFonts w:ascii="Arial" w:hAnsi="Arial"/>
      <w:b/>
      <w:sz w:val="40"/>
    </w:rPr>
  </w:style>
  <w:style w:type="paragraph" w:customStyle="1" w:styleId="Amain">
    <w:name w:val="A main"/>
    <w:basedOn w:val="Normal"/>
    <w:rsid w:val="00F15AC3"/>
    <w:pPr>
      <w:tabs>
        <w:tab w:val="right" w:pos="500"/>
        <w:tab w:val="left" w:pos="700"/>
      </w:tabs>
      <w:spacing w:before="80" w:after="60"/>
      <w:ind w:left="700" w:hanging="700"/>
      <w:jc w:val="both"/>
      <w:outlineLvl w:val="5"/>
    </w:pPr>
  </w:style>
  <w:style w:type="paragraph" w:customStyle="1" w:styleId="N-line3">
    <w:name w:val="N-line3"/>
    <w:basedOn w:val="Normal"/>
    <w:next w:val="Normal"/>
    <w:rsid w:val="00F15AC3"/>
    <w:pPr>
      <w:pBdr>
        <w:bottom w:val="single" w:sz="12" w:space="1" w:color="auto"/>
      </w:pBdr>
      <w:jc w:val="both"/>
    </w:pPr>
  </w:style>
  <w:style w:type="paragraph" w:customStyle="1" w:styleId="madeunder">
    <w:name w:val="made under"/>
    <w:basedOn w:val="Normal"/>
    <w:rsid w:val="00F15AC3"/>
    <w:pPr>
      <w:spacing w:before="180" w:after="60"/>
      <w:jc w:val="both"/>
    </w:pPr>
  </w:style>
  <w:style w:type="paragraph" w:customStyle="1" w:styleId="CoverActName">
    <w:name w:val="CoverActName"/>
    <w:basedOn w:val="Normal"/>
    <w:rsid w:val="00F15AC3"/>
    <w:pPr>
      <w:tabs>
        <w:tab w:val="left" w:pos="2600"/>
      </w:tabs>
      <w:spacing w:before="200" w:after="60"/>
      <w:jc w:val="both"/>
    </w:pPr>
    <w:rPr>
      <w:rFonts w:ascii="Arial" w:hAnsi="Arial"/>
      <w:b/>
    </w:rPr>
  </w:style>
  <w:style w:type="paragraph" w:customStyle="1" w:styleId="06Copyright">
    <w:name w:val="06Copyright"/>
    <w:basedOn w:val="Normal"/>
    <w:rsid w:val="00F15AC3"/>
    <w:pPr>
      <w:tabs>
        <w:tab w:val="left" w:pos="2880"/>
      </w:tabs>
    </w:pPr>
  </w:style>
  <w:style w:type="paragraph" w:customStyle="1" w:styleId="Apara">
    <w:name w:val="A para"/>
    <w:basedOn w:val="Normal"/>
    <w:rsid w:val="00F15AC3"/>
    <w:pPr>
      <w:numPr>
        <w:ilvl w:val="6"/>
        <w:numId w:val="9"/>
      </w:numPr>
      <w:spacing w:before="80" w:after="60"/>
      <w:jc w:val="both"/>
      <w:outlineLvl w:val="6"/>
    </w:pPr>
  </w:style>
  <w:style w:type="paragraph" w:customStyle="1" w:styleId="Asubpara">
    <w:name w:val="A subpara"/>
    <w:basedOn w:val="Normal"/>
    <w:rsid w:val="00F15AC3"/>
    <w:pPr>
      <w:numPr>
        <w:ilvl w:val="7"/>
        <w:numId w:val="9"/>
      </w:numPr>
      <w:spacing w:before="80" w:after="60"/>
      <w:jc w:val="both"/>
      <w:outlineLvl w:val="7"/>
    </w:pPr>
  </w:style>
  <w:style w:type="paragraph" w:customStyle="1" w:styleId="Asubsubpara">
    <w:name w:val="A subsubpara"/>
    <w:basedOn w:val="Normal"/>
    <w:rsid w:val="00F15AC3"/>
    <w:pPr>
      <w:numPr>
        <w:ilvl w:val="8"/>
        <w:numId w:val="9"/>
      </w:numPr>
      <w:spacing w:before="80" w:after="60"/>
      <w:jc w:val="both"/>
      <w:outlineLvl w:val="8"/>
    </w:pPr>
  </w:style>
  <w:style w:type="paragraph" w:customStyle="1" w:styleId="AH5Sec">
    <w:name w:val="A H5 Sec"/>
    <w:basedOn w:val="Normal"/>
    <w:next w:val="Amain"/>
    <w:rsid w:val="00F15AC3"/>
    <w:pPr>
      <w:keepNext/>
      <w:numPr>
        <w:ilvl w:val="4"/>
        <w:numId w:val="1"/>
      </w:numPr>
      <w:spacing w:before="180" w:after="60"/>
      <w:outlineLvl w:val="4"/>
    </w:pPr>
    <w:rPr>
      <w:rFonts w:ascii="Arial" w:hAnsi="Arial"/>
      <w:b/>
    </w:rPr>
  </w:style>
  <w:style w:type="paragraph" w:styleId="Header">
    <w:name w:val="header"/>
    <w:basedOn w:val="Normal"/>
    <w:semiHidden/>
    <w:rsid w:val="00F15AC3"/>
    <w:pPr>
      <w:tabs>
        <w:tab w:val="left" w:pos="2880"/>
        <w:tab w:val="center" w:pos="4153"/>
        <w:tab w:val="right" w:pos="8306"/>
      </w:tabs>
    </w:pPr>
  </w:style>
  <w:style w:type="paragraph" w:customStyle="1" w:styleId="ref">
    <w:name w:val="ref"/>
    <w:basedOn w:val="Normal"/>
    <w:next w:val="Normal"/>
    <w:rsid w:val="00F15AC3"/>
    <w:pPr>
      <w:spacing w:after="60"/>
      <w:jc w:val="both"/>
    </w:pPr>
    <w:rPr>
      <w:sz w:val="18"/>
    </w:rPr>
  </w:style>
  <w:style w:type="character" w:customStyle="1" w:styleId="CharDivText">
    <w:name w:val="CharDivText"/>
    <w:basedOn w:val="DefaultParagraphFont"/>
    <w:rsid w:val="00F15AC3"/>
  </w:style>
  <w:style w:type="paragraph" w:customStyle="1" w:styleId="CoverInForce">
    <w:name w:val="CoverInForce"/>
    <w:basedOn w:val="Normal"/>
    <w:rsid w:val="00F15AC3"/>
    <w:pPr>
      <w:tabs>
        <w:tab w:val="left" w:pos="2600"/>
      </w:tabs>
      <w:spacing w:before="200" w:after="60"/>
      <w:jc w:val="both"/>
    </w:pPr>
    <w:rPr>
      <w:rFonts w:ascii="Arial" w:hAnsi="Arial"/>
    </w:rPr>
  </w:style>
  <w:style w:type="paragraph" w:customStyle="1" w:styleId="AFHdg">
    <w:name w:val="AFHdg"/>
    <w:basedOn w:val="Normal"/>
    <w:rsid w:val="00F15AC3"/>
    <w:pPr>
      <w:tabs>
        <w:tab w:val="left" w:pos="2600"/>
      </w:tabs>
      <w:spacing w:before="80" w:after="60"/>
      <w:jc w:val="both"/>
    </w:pPr>
    <w:rPr>
      <w:rFonts w:ascii="Arial" w:hAnsi="Arial"/>
      <w:b/>
      <w:sz w:val="32"/>
    </w:rPr>
  </w:style>
  <w:style w:type="paragraph" w:customStyle="1" w:styleId="ApprFormHd">
    <w:name w:val="ApprFormHd"/>
    <w:basedOn w:val="Normal"/>
    <w:rsid w:val="00F15AC3"/>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F15AC3"/>
  </w:style>
  <w:style w:type="paragraph" w:customStyle="1" w:styleId="Aparabullet">
    <w:name w:val="A para bullet"/>
    <w:basedOn w:val="Normal"/>
    <w:rsid w:val="00F15AC3"/>
    <w:pPr>
      <w:numPr>
        <w:numId w:val="4"/>
      </w:numPr>
    </w:pPr>
  </w:style>
  <w:style w:type="paragraph" w:styleId="TOC1">
    <w:name w:val="toc 1"/>
    <w:basedOn w:val="Normal"/>
    <w:next w:val="Normal"/>
    <w:autoRedefine/>
    <w:semiHidden/>
    <w:rsid w:val="00F15AC3"/>
  </w:style>
  <w:style w:type="paragraph" w:styleId="TOC2">
    <w:name w:val="toc 2"/>
    <w:basedOn w:val="Normal"/>
    <w:next w:val="Normal"/>
    <w:autoRedefine/>
    <w:semiHidden/>
    <w:rsid w:val="00F15AC3"/>
    <w:pPr>
      <w:ind w:left="240"/>
    </w:pPr>
  </w:style>
  <w:style w:type="paragraph" w:styleId="TOC3">
    <w:name w:val="toc 3"/>
    <w:basedOn w:val="Normal"/>
    <w:next w:val="Normal"/>
    <w:autoRedefine/>
    <w:semiHidden/>
    <w:rsid w:val="00F15AC3"/>
    <w:pPr>
      <w:ind w:left="480"/>
    </w:pPr>
  </w:style>
  <w:style w:type="paragraph" w:styleId="TOC4">
    <w:name w:val="toc 4"/>
    <w:basedOn w:val="Normal"/>
    <w:next w:val="Normal"/>
    <w:autoRedefine/>
    <w:semiHidden/>
    <w:rsid w:val="00F15AC3"/>
    <w:pPr>
      <w:ind w:left="720"/>
    </w:pPr>
  </w:style>
  <w:style w:type="paragraph" w:styleId="TOC5">
    <w:name w:val="toc 5"/>
    <w:basedOn w:val="Normal"/>
    <w:next w:val="Normal"/>
    <w:autoRedefine/>
    <w:semiHidden/>
    <w:rsid w:val="00F15AC3"/>
    <w:pPr>
      <w:ind w:left="960"/>
    </w:pPr>
  </w:style>
  <w:style w:type="paragraph" w:styleId="TOC6">
    <w:name w:val="toc 6"/>
    <w:basedOn w:val="Normal"/>
    <w:next w:val="Normal"/>
    <w:autoRedefine/>
    <w:semiHidden/>
    <w:rsid w:val="00F15AC3"/>
    <w:pPr>
      <w:ind w:left="1200"/>
    </w:pPr>
  </w:style>
  <w:style w:type="paragraph" w:styleId="TOC7">
    <w:name w:val="toc 7"/>
    <w:basedOn w:val="Normal"/>
    <w:next w:val="Normal"/>
    <w:autoRedefine/>
    <w:semiHidden/>
    <w:rsid w:val="00F15AC3"/>
    <w:pPr>
      <w:ind w:left="1440"/>
    </w:pPr>
  </w:style>
  <w:style w:type="paragraph" w:styleId="TOC8">
    <w:name w:val="toc 8"/>
    <w:basedOn w:val="Normal"/>
    <w:next w:val="Normal"/>
    <w:autoRedefine/>
    <w:semiHidden/>
    <w:rsid w:val="00F15AC3"/>
    <w:pPr>
      <w:ind w:left="1680"/>
    </w:pPr>
  </w:style>
  <w:style w:type="paragraph" w:styleId="TOC9">
    <w:name w:val="toc 9"/>
    <w:basedOn w:val="Normal"/>
    <w:next w:val="Normal"/>
    <w:autoRedefine/>
    <w:semiHidden/>
    <w:rsid w:val="00F15AC3"/>
    <w:pPr>
      <w:ind w:left="1920"/>
    </w:pPr>
  </w:style>
  <w:style w:type="character" w:styleId="Hyperlink">
    <w:name w:val="Hyperlink"/>
    <w:basedOn w:val="DefaultParagraphFont"/>
    <w:semiHidden/>
    <w:rsid w:val="00F15AC3"/>
    <w:rPr>
      <w:color w:val="0000FF"/>
      <w:u w:val="single"/>
    </w:rPr>
  </w:style>
  <w:style w:type="paragraph" w:styleId="BodyTextIndent">
    <w:name w:val="Body Text Indent"/>
    <w:basedOn w:val="Normal"/>
    <w:semiHidden/>
    <w:rsid w:val="00F15AC3"/>
    <w:pPr>
      <w:spacing w:before="120" w:after="60"/>
      <w:ind w:left="709"/>
    </w:pPr>
  </w:style>
  <w:style w:type="paragraph" w:customStyle="1" w:styleId="Minister">
    <w:name w:val="Minister"/>
    <w:basedOn w:val="Normal"/>
    <w:rsid w:val="00F15AC3"/>
    <w:pPr>
      <w:spacing w:before="880" w:after="60"/>
      <w:jc w:val="right"/>
    </w:pPr>
    <w:rPr>
      <w:caps/>
      <w:szCs w:val="24"/>
    </w:rPr>
  </w:style>
  <w:style w:type="paragraph" w:customStyle="1" w:styleId="DateLine">
    <w:name w:val="DateLine"/>
    <w:basedOn w:val="Normal"/>
    <w:rsid w:val="00F15AC3"/>
    <w:pPr>
      <w:tabs>
        <w:tab w:val="left" w:pos="4320"/>
      </w:tabs>
      <w:spacing w:before="80" w:after="60"/>
      <w:jc w:val="both"/>
    </w:pPr>
    <w:rPr>
      <w:szCs w:val="24"/>
    </w:rPr>
  </w:style>
  <w:style w:type="paragraph" w:customStyle="1" w:styleId="MinisterWord">
    <w:name w:val="MinisterWord"/>
    <w:basedOn w:val="Normal"/>
    <w:rsid w:val="00F15AC3"/>
    <w:pPr>
      <w:tabs>
        <w:tab w:val="left" w:pos="2880"/>
      </w:tabs>
      <w:jc w:val="right"/>
    </w:pPr>
    <w:rPr>
      <w:szCs w:val="24"/>
    </w:rPr>
  </w:style>
  <w:style w:type="character" w:styleId="FollowedHyperlink">
    <w:name w:val="FollowedHyperlink"/>
    <w:basedOn w:val="DefaultParagraphFont"/>
    <w:semiHidden/>
    <w:rsid w:val="00F15AC3"/>
    <w:rPr>
      <w:color w:val="800080"/>
      <w:u w:val="single"/>
    </w:rPr>
  </w:style>
  <w:style w:type="character" w:styleId="FootnoteReference">
    <w:name w:val="footnote reference"/>
    <w:basedOn w:val="DefaultParagraphFont"/>
    <w:semiHidden/>
    <w:rsid w:val="00F15AC3"/>
    <w:rPr>
      <w:rFonts w:ascii="Times New Roman" w:hAnsi="Times New Roman" w:cs="Times New Roman"/>
      <w:sz w:val="24"/>
      <w:szCs w:val="24"/>
      <w:vertAlign w:val="superscript"/>
    </w:rPr>
  </w:style>
  <w:style w:type="paragraph" w:styleId="FootnoteText">
    <w:name w:val="footnote text"/>
    <w:basedOn w:val="Normal"/>
    <w:semiHidden/>
    <w:rsid w:val="00F15AC3"/>
    <w:pPr>
      <w:spacing w:before="80" w:after="60"/>
      <w:jc w:val="both"/>
    </w:pPr>
    <w:rPr>
      <w:szCs w:val="24"/>
    </w:rPr>
  </w:style>
  <w:style w:type="paragraph" w:customStyle="1" w:styleId="ShadedSchClause">
    <w:name w:val="Shaded Sch Clause"/>
    <w:basedOn w:val="Normal"/>
    <w:next w:val="Normal"/>
    <w:rsid w:val="00F15AC3"/>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F15AC3"/>
  </w:style>
  <w:style w:type="paragraph" w:styleId="ListParagraph">
    <w:name w:val="List Paragraph"/>
    <w:basedOn w:val="Normal"/>
    <w:uiPriority w:val="34"/>
    <w:qFormat/>
    <w:rsid w:val="00507343"/>
    <w:pPr>
      <w:ind w:left="720"/>
      <w:contextualSpacing/>
    </w:pPr>
  </w:style>
  <w:style w:type="paragraph" w:customStyle="1" w:styleId="Default">
    <w:name w:val="Default"/>
    <w:rsid w:val="00507343"/>
    <w:pPr>
      <w:autoSpaceDE w:val="0"/>
      <w:autoSpaceDN w:val="0"/>
      <w:adjustRightInd w:val="0"/>
    </w:pPr>
    <w:rPr>
      <w:rFonts w:ascii="Calibri" w:hAnsi="Calibri" w:cs="Calibri"/>
      <w:color w:val="000000"/>
      <w:sz w:val="24"/>
      <w:szCs w:val="24"/>
    </w:rPr>
  </w:style>
  <w:style w:type="table" w:styleId="TableGrid">
    <w:name w:val="Table Grid"/>
    <w:basedOn w:val="TableNormal"/>
    <w:uiPriority w:val="59"/>
    <w:rsid w:val="005D5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185F116098CB47A3120E255EB74557" ma:contentTypeVersion="4" ma:contentTypeDescription="Create a new document." ma:contentTypeScope="" ma:versionID="6c3763f71e3d02378b4401c73dd9705d">
  <xsd:schema xmlns:xsd="http://www.w3.org/2001/XMLSchema" xmlns:xs="http://www.w3.org/2001/XMLSchema" xmlns:p="http://schemas.microsoft.com/office/2006/metadata/properties" xmlns:ns2="26727f76-2648-4047-ad17-59c4a72e71f9" targetNamespace="http://schemas.microsoft.com/office/2006/metadata/properties" ma:root="true" ma:fieldsID="a96a69e9cff9d29e052e5ee53b3f593b" ns2:_="">
    <xsd:import namespace="26727f76-2648-4047-ad17-59c4a72e71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27f76-2648-4047-ad17-59c4a72e71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336327-D999-4DE3-980E-3E68783103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4707F9-37BF-406D-BEBF-0334F469F3C1}">
  <ds:schemaRefs>
    <ds:schemaRef ds:uri="http://schemas.microsoft.com/sharepoint/v3/contenttype/forms"/>
  </ds:schemaRefs>
</ds:datastoreItem>
</file>

<file path=customXml/itemProps3.xml><?xml version="1.0" encoding="utf-8"?>
<ds:datastoreItem xmlns:ds="http://schemas.openxmlformats.org/officeDocument/2006/customXml" ds:itemID="{D90F4023-BD67-4B04-B6CF-68DB96223846}">
  <ds:schemaRefs>
    <ds:schemaRef ds:uri="http://schemas.openxmlformats.org/officeDocument/2006/bibliography"/>
  </ds:schemaRefs>
</ds:datastoreItem>
</file>

<file path=customXml/itemProps4.xml><?xml version="1.0" encoding="utf-8"?>
<ds:datastoreItem xmlns:ds="http://schemas.openxmlformats.org/officeDocument/2006/customXml" ds:itemID="{39583F0D-80E4-4A46-858C-CBD5659F6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27f76-2648-4047-ad17-59c4a72e71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2731</Words>
  <Characters>14395</Characters>
  <Application>Microsoft Office Word</Application>
  <DocSecurity>0</DocSecurity>
  <Lines>378</Lines>
  <Paragraphs>190</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16936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2004-04-05T00:37:00Z</cp:lastPrinted>
  <dcterms:created xsi:type="dcterms:W3CDTF">2026-08-11T05:34:00Z</dcterms:created>
  <dcterms:modified xsi:type="dcterms:W3CDTF">2026-08-11T05:34:00Z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0x01010089185F116098CB47A3120E255EB74557</vt:lpwstr>
  </property>
  <property fmtid="{D5CDD505-2E9C-101B-9397-08002B2CF9AE}" pid="3" name="MSIP_Label_69af8531-eb46-4968-8cb3-105d2f5ea87e_Enabled">
    <vt:lpwstr>true</vt:lpwstr>
  </property>
  <property fmtid="{D5CDD505-2E9C-101B-9397-08002B2CF9AE}" pid="4" name="MSIP_Label_69af8531-eb46-4968-8cb3-105d2f5ea87e_SetDate">
    <vt:lpwstr>2025-11-23T23:41:38Z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b7fcba5a-816e-42c0-814d-1a6fa25a36c0</vt:lpwstr>
  </property>
  <property fmtid="{D5CDD505-2E9C-101B-9397-08002B2CF9AE}" pid="9" name="MSIP_Label_69af8531-eb46-4968-8cb3-105d2f5ea87e_ContentBits">
    <vt:lpwstr>0</vt:lpwstr>
  </property>
  <property fmtid="{D5CDD505-2E9C-101B-9397-08002B2CF9AE}" pid="10" name="MSIP_Label_69af8531-eb46-4968-8cb3-105d2f5ea87e_Tag">
    <vt:lpwstr>10, 3, 0, 2</vt:lpwstr>
  </property>
</Properties>
</file>