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E6" w:rsidRPr="00D56C91" w:rsidRDefault="009925F8" w:rsidP="00753DDB">
      <w:pPr>
        <w:jc w:val="center"/>
        <w:rPr>
          <w:rFonts w:cs="Arial"/>
          <w:b/>
          <w:bCs/>
          <w:sz w:val="24"/>
        </w:rPr>
      </w:pPr>
      <w:bookmarkStart w:id="0" w:name="_GoBack"/>
      <w:bookmarkEnd w:id="0"/>
      <w:r w:rsidRPr="00D56C91">
        <w:rPr>
          <w:rFonts w:cs="Arial"/>
          <w:b/>
          <w:bCs/>
          <w:sz w:val="24"/>
        </w:rPr>
        <w:t>2018</w:t>
      </w:r>
    </w:p>
    <w:p w:rsidR="001C3AE6" w:rsidRPr="00D56C91" w:rsidRDefault="001C3AE6" w:rsidP="00753DDB">
      <w:pPr>
        <w:jc w:val="center"/>
        <w:rPr>
          <w:rFonts w:cs="Arial"/>
          <w:b/>
          <w:bCs/>
          <w:sz w:val="24"/>
        </w:rPr>
      </w:pPr>
    </w:p>
    <w:p w:rsidR="001C3AE6" w:rsidRPr="00D56C91" w:rsidRDefault="001C3AE6" w:rsidP="00753DDB">
      <w:pPr>
        <w:pStyle w:val="BodyText"/>
        <w:jc w:val="center"/>
        <w:rPr>
          <w:rFonts w:ascii="Calibri" w:hAnsi="Calibri" w:cs="Arial"/>
          <w:b/>
          <w:bCs/>
          <w:sz w:val="24"/>
        </w:rPr>
      </w:pPr>
      <w:r w:rsidRPr="00D56C91">
        <w:rPr>
          <w:rFonts w:ascii="Calibri" w:hAnsi="Calibri" w:cs="Arial"/>
          <w:b/>
          <w:bCs/>
          <w:sz w:val="24"/>
        </w:rPr>
        <w:t>THE LEGISLATIVE ASSEMBLY FOR THE</w:t>
      </w:r>
    </w:p>
    <w:p w:rsidR="001C3AE6" w:rsidRPr="00D56C91" w:rsidRDefault="001C3AE6" w:rsidP="00753DDB">
      <w:pPr>
        <w:pStyle w:val="BodyText"/>
        <w:jc w:val="center"/>
        <w:rPr>
          <w:rFonts w:ascii="Calibri" w:hAnsi="Calibri" w:cs="Arial"/>
          <w:b/>
          <w:bCs/>
          <w:sz w:val="24"/>
        </w:rPr>
      </w:pPr>
      <w:smartTag w:uri="urn:schemas-microsoft-com:office:smarttags" w:element="place">
        <w:smartTag w:uri="urn:schemas-microsoft-com:office:smarttags" w:element="State">
          <w:r w:rsidRPr="00D56C91">
            <w:rPr>
              <w:rFonts w:ascii="Calibri" w:hAnsi="Calibri" w:cs="Arial"/>
              <w:b/>
              <w:bCs/>
              <w:sz w:val="24"/>
            </w:rPr>
            <w:t>AUSTRALIAN CAPITAL TERRITORY</w:t>
          </w:r>
        </w:smartTag>
      </w:smartTag>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9925F8" w:rsidRPr="00D56C91" w:rsidRDefault="009925F8"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9925F8" w:rsidP="00753DDB">
      <w:pPr>
        <w:pStyle w:val="Heading2"/>
        <w:jc w:val="center"/>
        <w:rPr>
          <w:rFonts w:ascii="Calibri" w:hAnsi="Calibri" w:cs="Arial"/>
          <w:bCs/>
        </w:rPr>
      </w:pPr>
      <w:r w:rsidRPr="00D56C91">
        <w:rPr>
          <w:rFonts w:ascii="Calibri" w:hAnsi="Calibri" w:cs="Arial"/>
          <w:bCs/>
        </w:rPr>
        <w:t>GAMING LEGISLATION AMENDMENT BILL 2018</w:t>
      </w: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6B3F">
      <w:pPr>
        <w:jc w:val="center"/>
        <w:rPr>
          <w:rFonts w:cs="Arial"/>
          <w:b/>
          <w:bCs/>
          <w:sz w:val="24"/>
        </w:rPr>
      </w:pPr>
      <w:r w:rsidRPr="00D56C91">
        <w:rPr>
          <w:rFonts w:cs="Arial"/>
          <w:b/>
          <w:bCs/>
          <w:sz w:val="24"/>
        </w:rPr>
        <w:t>GOVERNMENT AMENDMENTS</w:t>
      </w:r>
    </w:p>
    <w:p w:rsidR="001C3AE6" w:rsidRPr="00D56C91" w:rsidRDefault="001C3AE6" w:rsidP="00756B3F">
      <w:pPr>
        <w:jc w:val="center"/>
        <w:rPr>
          <w:rFonts w:cs="Arial"/>
          <w:b/>
          <w:bCs/>
          <w:sz w:val="24"/>
        </w:rPr>
      </w:pPr>
    </w:p>
    <w:p w:rsidR="001C3AE6" w:rsidRPr="00D56C91" w:rsidRDefault="001C3AE6" w:rsidP="00756B3F">
      <w:pPr>
        <w:jc w:val="center"/>
        <w:rPr>
          <w:rFonts w:cs="Arial"/>
          <w:b/>
          <w:bCs/>
          <w:sz w:val="24"/>
        </w:rPr>
      </w:pPr>
    </w:p>
    <w:p w:rsidR="001C3AE6" w:rsidRPr="00D56C91" w:rsidRDefault="001C3AE6" w:rsidP="00756B3F">
      <w:pPr>
        <w:jc w:val="center"/>
        <w:rPr>
          <w:rFonts w:cs="Arial"/>
          <w:b/>
          <w:bCs/>
          <w:sz w:val="24"/>
        </w:rPr>
      </w:pPr>
      <w:r w:rsidRPr="00D56C91">
        <w:rPr>
          <w:rFonts w:cs="Arial"/>
          <w:b/>
          <w:bCs/>
          <w:sz w:val="24"/>
        </w:rPr>
        <w:t>SUPPLEMENTARY EXPLANATORY STATEMENT</w:t>
      </w:r>
    </w:p>
    <w:p w:rsidR="001C3AE6" w:rsidRPr="00D56C91" w:rsidRDefault="001C3AE6" w:rsidP="00756B3F">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9925F8" w:rsidRPr="00D56C91" w:rsidRDefault="009925F8" w:rsidP="00753DDB">
      <w:pPr>
        <w:jc w:val="center"/>
        <w:rPr>
          <w:rFonts w:cs="Arial"/>
          <w:b/>
          <w:bCs/>
          <w:sz w:val="24"/>
        </w:rPr>
      </w:pPr>
    </w:p>
    <w:p w:rsidR="009925F8" w:rsidRPr="00D56C91" w:rsidRDefault="009925F8"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jc w:val="center"/>
        <w:rPr>
          <w:rFonts w:cs="Arial"/>
          <w:b/>
          <w:bCs/>
          <w:sz w:val="24"/>
        </w:rPr>
      </w:pPr>
    </w:p>
    <w:p w:rsidR="001C3AE6" w:rsidRPr="00D56C91" w:rsidRDefault="001C3AE6" w:rsidP="00753DDB">
      <w:pPr>
        <w:pStyle w:val="Heading1"/>
        <w:rPr>
          <w:rFonts w:ascii="Calibri" w:hAnsi="Calibri"/>
          <w:u w:val="none"/>
        </w:rPr>
      </w:pPr>
      <w:r w:rsidRPr="00D56C91">
        <w:rPr>
          <w:rFonts w:ascii="Calibri" w:hAnsi="Calibri"/>
          <w:u w:val="none"/>
        </w:rPr>
        <w:t>Presented by</w:t>
      </w:r>
    </w:p>
    <w:p w:rsidR="001C3AE6" w:rsidRPr="00D56C91" w:rsidRDefault="009925F8" w:rsidP="00532597">
      <w:pPr>
        <w:spacing w:after="0" w:line="240" w:lineRule="auto"/>
        <w:jc w:val="right"/>
        <w:rPr>
          <w:rFonts w:cs="Arial"/>
          <w:b/>
          <w:bCs/>
          <w:sz w:val="24"/>
        </w:rPr>
      </w:pPr>
      <w:r w:rsidRPr="00D56C91">
        <w:rPr>
          <w:rFonts w:cs="Arial"/>
          <w:b/>
          <w:bCs/>
          <w:sz w:val="24"/>
        </w:rPr>
        <w:t>Gordon Ramsay</w:t>
      </w:r>
      <w:r w:rsidR="001C3AE6" w:rsidRPr="00D56C91">
        <w:rPr>
          <w:rFonts w:cs="Arial"/>
          <w:b/>
          <w:bCs/>
          <w:sz w:val="24"/>
        </w:rPr>
        <w:t xml:space="preserve"> MLA</w:t>
      </w:r>
    </w:p>
    <w:p w:rsidR="001C3AE6" w:rsidRPr="00D56C91" w:rsidRDefault="009925F8" w:rsidP="00753DDB">
      <w:pPr>
        <w:jc w:val="right"/>
        <w:rPr>
          <w:rFonts w:cs="Arial"/>
          <w:b/>
          <w:bCs/>
          <w:sz w:val="24"/>
        </w:rPr>
      </w:pPr>
      <w:r w:rsidRPr="00D56C91">
        <w:rPr>
          <w:rFonts w:cs="Arial"/>
          <w:b/>
          <w:bCs/>
          <w:sz w:val="24"/>
        </w:rPr>
        <w:t>Attorney-General</w:t>
      </w:r>
    </w:p>
    <w:p w:rsidR="001C3AE6" w:rsidRPr="00D56C91" w:rsidRDefault="001C3AE6" w:rsidP="00753DDB">
      <w:pPr>
        <w:rPr>
          <w:rFonts w:cs="Calibri"/>
          <w:b/>
          <w:bCs/>
          <w:sz w:val="24"/>
          <w:szCs w:val="24"/>
          <w:u w:val="single"/>
        </w:rPr>
      </w:pPr>
      <w:r w:rsidRPr="00D56C91">
        <w:rPr>
          <w:rFonts w:cs="Calibri"/>
          <w:b/>
          <w:bCs/>
          <w:u w:val="single"/>
        </w:rPr>
        <w:br w:type="page"/>
      </w:r>
      <w:r w:rsidRPr="00D56C91">
        <w:rPr>
          <w:rFonts w:cs="Calibri"/>
          <w:b/>
          <w:bCs/>
          <w:sz w:val="24"/>
          <w:szCs w:val="24"/>
          <w:u w:val="single"/>
        </w:rPr>
        <w:lastRenderedPageBreak/>
        <w:t>Overview</w:t>
      </w:r>
    </w:p>
    <w:p w:rsidR="009925F8" w:rsidRPr="009925F8" w:rsidRDefault="001C3AE6" w:rsidP="009925F8">
      <w:pPr>
        <w:spacing w:after="0"/>
        <w:rPr>
          <w:bCs/>
          <w:sz w:val="24"/>
          <w:szCs w:val="24"/>
        </w:rPr>
      </w:pPr>
      <w:r w:rsidRPr="00D56C91">
        <w:rPr>
          <w:bCs/>
          <w:sz w:val="24"/>
          <w:szCs w:val="24"/>
        </w:rPr>
        <w:t>This Supplementary Explanatory Statement</w:t>
      </w:r>
      <w:r w:rsidR="009925F8" w:rsidRPr="00D56C91">
        <w:rPr>
          <w:bCs/>
          <w:sz w:val="24"/>
          <w:szCs w:val="24"/>
        </w:rPr>
        <w:t xml:space="preserve"> outlines proposed amendments to the </w:t>
      </w:r>
      <w:r w:rsidR="009925F8" w:rsidRPr="009925F8">
        <w:rPr>
          <w:sz w:val="24"/>
          <w:szCs w:val="24"/>
        </w:rPr>
        <w:t xml:space="preserve">Gaming Legislation Amendment Bill 2018 </w:t>
      </w:r>
      <w:r w:rsidR="009925F8" w:rsidRPr="009925F8">
        <w:rPr>
          <w:bCs/>
          <w:sz w:val="24"/>
          <w:szCs w:val="24"/>
        </w:rPr>
        <w:t>(the Bill) to be moved by the Attorney-General.</w:t>
      </w:r>
    </w:p>
    <w:p w:rsidR="009925F8" w:rsidRPr="00D56C91" w:rsidRDefault="009925F8" w:rsidP="009925F8">
      <w:pPr>
        <w:spacing w:after="0"/>
        <w:rPr>
          <w:bCs/>
          <w:sz w:val="24"/>
          <w:szCs w:val="24"/>
        </w:rPr>
      </w:pPr>
    </w:p>
    <w:p w:rsidR="009925F8" w:rsidRPr="00D56C91" w:rsidRDefault="001C3AE6" w:rsidP="009925F8">
      <w:pPr>
        <w:spacing w:after="0"/>
        <w:rPr>
          <w:bCs/>
          <w:sz w:val="24"/>
          <w:szCs w:val="24"/>
        </w:rPr>
      </w:pPr>
      <w:r w:rsidRPr="00D56C91">
        <w:rPr>
          <w:bCs/>
          <w:sz w:val="24"/>
          <w:szCs w:val="24"/>
        </w:rPr>
        <w:t>The</w:t>
      </w:r>
      <w:r w:rsidR="00A917CB" w:rsidRPr="00D56C91">
        <w:rPr>
          <w:bCs/>
          <w:sz w:val="24"/>
          <w:szCs w:val="24"/>
        </w:rPr>
        <w:t>se Government</w:t>
      </w:r>
      <w:r w:rsidRPr="00D56C91">
        <w:rPr>
          <w:bCs/>
          <w:sz w:val="24"/>
          <w:szCs w:val="24"/>
        </w:rPr>
        <w:t xml:space="preserve"> amendments </w:t>
      </w:r>
      <w:r w:rsidR="009925F8" w:rsidRPr="00D56C91">
        <w:rPr>
          <w:bCs/>
          <w:sz w:val="24"/>
          <w:szCs w:val="24"/>
        </w:rPr>
        <w:t xml:space="preserve">are minor and technical amendments that correct errors, </w:t>
      </w:r>
      <w:r w:rsidR="00ED4648" w:rsidRPr="00D56C91">
        <w:rPr>
          <w:bCs/>
          <w:sz w:val="24"/>
          <w:szCs w:val="24"/>
        </w:rPr>
        <w:t>adjust</w:t>
      </w:r>
      <w:r w:rsidR="00A917CB" w:rsidRPr="00D56C91">
        <w:rPr>
          <w:bCs/>
          <w:sz w:val="24"/>
          <w:szCs w:val="24"/>
        </w:rPr>
        <w:t xml:space="preserve"> the commencement or</w:t>
      </w:r>
      <w:r w:rsidR="009925F8" w:rsidRPr="00D56C91">
        <w:rPr>
          <w:bCs/>
          <w:sz w:val="24"/>
          <w:szCs w:val="24"/>
        </w:rPr>
        <w:t xml:space="preserve"> expiry of certain provisions</w:t>
      </w:r>
      <w:r w:rsidR="00A917CB" w:rsidRPr="00D56C91">
        <w:rPr>
          <w:bCs/>
          <w:sz w:val="24"/>
          <w:szCs w:val="24"/>
        </w:rPr>
        <w:t xml:space="preserve"> to align with the Bill’s intent,</w:t>
      </w:r>
      <w:r w:rsidR="009925F8" w:rsidRPr="00D56C91">
        <w:rPr>
          <w:bCs/>
          <w:sz w:val="24"/>
          <w:szCs w:val="24"/>
        </w:rPr>
        <w:t xml:space="preserve"> and make minor amendments to </w:t>
      </w:r>
      <w:r w:rsidR="00ED4648" w:rsidRPr="00D56C91">
        <w:rPr>
          <w:bCs/>
          <w:sz w:val="24"/>
          <w:szCs w:val="24"/>
        </w:rPr>
        <w:t>wording used</w:t>
      </w:r>
      <w:r w:rsidR="009925F8" w:rsidRPr="00D56C91">
        <w:rPr>
          <w:bCs/>
          <w:sz w:val="24"/>
          <w:szCs w:val="24"/>
        </w:rPr>
        <w:t>.</w:t>
      </w:r>
    </w:p>
    <w:p w:rsidR="009925F8" w:rsidRPr="00D56C91" w:rsidRDefault="009925F8" w:rsidP="009925F8">
      <w:pPr>
        <w:spacing w:after="0"/>
        <w:rPr>
          <w:bCs/>
          <w:sz w:val="24"/>
          <w:szCs w:val="24"/>
        </w:rPr>
      </w:pPr>
    </w:p>
    <w:p w:rsidR="009925F8" w:rsidRPr="00A917CB" w:rsidRDefault="009925F8" w:rsidP="009925F8">
      <w:pPr>
        <w:spacing w:after="0"/>
        <w:rPr>
          <w:bCs/>
          <w:sz w:val="24"/>
          <w:szCs w:val="24"/>
        </w:rPr>
      </w:pPr>
      <w:r w:rsidRPr="009925F8">
        <w:rPr>
          <w:bCs/>
          <w:sz w:val="24"/>
          <w:szCs w:val="24"/>
        </w:rPr>
        <w:t>This Supplementary Explanatory Statement should be read in the context of the Explanatory Statement that outlines the Bill as a whole</w:t>
      </w:r>
      <w:r>
        <w:rPr>
          <w:bCs/>
          <w:sz w:val="24"/>
          <w:szCs w:val="24"/>
        </w:rPr>
        <w:t xml:space="preserve">, as </w:t>
      </w:r>
      <w:r w:rsidR="00A917CB">
        <w:rPr>
          <w:bCs/>
          <w:sz w:val="24"/>
          <w:szCs w:val="24"/>
        </w:rPr>
        <w:t>tabled</w:t>
      </w:r>
      <w:r>
        <w:rPr>
          <w:bCs/>
          <w:sz w:val="24"/>
          <w:szCs w:val="24"/>
        </w:rPr>
        <w:t xml:space="preserve"> in the ACT Legislative Assembly</w:t>
      </w:r>
      <w:r w:rsidRPr="009925F8">
        <w:rPr>
          <w:bCs/>
          <w:sz w:val="24"/>
          <w:szCs w:val="24"/>
        </w:rPr>
        <w:t>.</w:t>
      </w:r>
    </w:p>
    <w:p w:rsidR="009925F8" w:rsidRPr="00D56C91" w:rsidRDefault="009925F8" w:rsidP="009925F8">
      <w:pPr>
        <w:spacing w:after="0"/>
        <w:rPr>
          <w:bCs/>
          <w:sz w:val="24"/>
          <w:szCs w:val="24"/>
        </w:rPr>
      </w:pPr>
    </w:p>
    <w:p w:rsidR="00DF1F18" w:rsidRPr="00D56C91" w:rsidRDefault="00DF1F18" w:rsidP="009925F8">
      <w:pPr>
        <w:spacing w:after="0"/>
        <w:rPr>
          <w:bCs/>
          <w:sz w:val="24"/>
          <w:szCs w:val="24"/>
        </w:rPr>
      </w:pPr>
    </w:p>
    <w:p w:rsidR="001C3AE6" w:rsidRPr="00D56C91" w:rsidRDefault="001C3AE6" w:rsidP="00753DDB">
      <w:pPr>
        <w:rPr>
          <w:b/>
          <w:bCs/>
          <w:sz w:val="24"/>
          <w:szCs w:val="24"/>
          <w:u w:val="single"/>
        </w:rPr>
      </w:pPr>
      <w:r w:rsidRPr="00D56C91">
        <w:rPr>
          <w:b/>
          <w:bCs/>
          <w:sz w:val="24"/>
          <w:szCs w:val="24"/>
          <w:u w:val="single"/>
        </w:rPr>
        <w:t>Outline of Amendments</w:t>
      </w:r>
    </w:p>
    <w:p w:rsidR="001C3AE6" w:rsidRPr="00D56C91" w:rsidRDefault="009925F8" w:rsidP="00A917CB">
      <w:pPr>
        <w:keepNext/>
        <w:ind w:left="2160" w:hanging="2160"/>
        <w:rPr>
          <w:b/>
          <w:bCs/>
          <w:sz w:val="24"/>
          <w:szCs w:val="24"/>
          <w:u w:val="single"/>
        </w:rPr>
      </w:pPr>
      <w:r w:rsidRPr="00D56C91">
        <w:rPr>
          <w:b/>
          <w:bCs/>
          <w:sz w:val="24"/>
          <w:szCs w:val="24"/>
        </w:rPr>
        <w:t>Amendment 1</w:t>
      </w:r>
      <w:r w:rsidRPr="00D56C91">
        <w:rPr>
          <w:b/>
          <w:bCs/>
          <w:sz w:val="24"/>
          <w:szCs w:val="24"/>
        </w:rPr>
        <w:tab/>
      </w:r>
      <w:r w:rsidR="001C3AE6" w:rsidRPr="00D56C91">
        <w:rPr>
          <w:b/>
          <w:bCs/>
          <w:sz w:val="24"/>
          <w:szCs w:val="24"/>
        </w:rPr>
        <w:t>Clause 2</w:t>
      </w:r>
      <w:r w:rsidRPr="00D56C91">
        <w:rPr>
          <w:b/>
          <w:bCs/>
          <w:sz w:val="24"/>
          <w:szCs w:val="24"/>
        </w:rPr>
        <w:t>0</w:t>
      </w:r>
      <w:r w:rsidRPr="00D56C91">
        <w:rPr>
          <w:b/>
          <w:bCs/>
          <w:sz w:val="24"/>
          <w:szCs w:val="24"/>
        </w:rPr>
        <w:br/>
        <w:t>Proposed new section 10A, definition of</w:t>
      </w:r>
      <w:r w:rsidRPr="00D56C91">
        <w:rPr>
          <w:b/>
          <w:bCs/>
          <w:i/>
          <w:sz w:val="24"/>
          <w:szCs w:val="24"/>
        </w:rPr>
        <w:t xml:space="preserve"> voluntary surrender day</w:t>
      </w:r>
      <w:r w:rsidRPr="00D56C91">
        <w:rPr>
          <w:b/>
          <w:bCs/>
          <w:sz w:val="24"/>
          <w:szCs w:val="24"/>
        </w:rPr>
        <w:t>, paragraph (b)</w:t>
      </w:r>
      <w:r w:rsidRPr="00D56C91">
        <w:rPr>
          <w:b/>
          <w:bCs/>
          <w:sz w:val="24"/>
          <w:szCs w:val="24"/>
        </w:rPr>
        <w:br/>
      </w:r>
      <w:r w:rsidR="0015044F" w:rsidRPr="00D56C91">
        <w:rPr>
          <w:b/>
          <w:bCs/>
          <w:sz w:val="24"/>
          <w:szCs w:val="24"/>
        </w:rPr>
        <w:t>Page 11, line 4</w:t>
      </w:r>
    </w:p>
    <w:p w:rsidR="00A917CB" w:rsidRPr="00D56C91" w:rsidRDefault="009925F8" w:rsidP="00A676B0">
      <w:pPr>
        <w:spacing w:after="0"/>
        <w:rPr>
          <w:bCs/>
          <w:sz w:val="24"/>
          <w:szCs w:val="24"/>
        </w:rPr>
      </w:pPr>
      <w:r w:rsidRPr="00D56C91">
        <w:rPr>
          <w:bCs/>
          <w:sz w:val="24"/>
          <w:szCs w:val="24"/>
        </w:rPr>
        <w:t xml:space="preserve">Clause 20 </w:t>
      </w:r>
      <w:r w:rsidR="00115B4E" w:rsidRPr="00D56C91">
        <w:rPr>
          <w:bCs/>
          <w:sz w:val="24"/>
          <w:szCs w:val="24"/>
        </w:rPr>
        <w:t xml:space="preserve">of the Bill </w:t>
      </w:r>
      <w:r w:rsidR="00A917CB" w:rsidRPr="00D56C91">
        <w:rPr>
          <w:bCs/>
          <w:sz w:val="24"/>
          <w:szCs w:val="24"/>
        </w:rPr>
        <w:t>inserts</w:t>
      </w:r>
      <w:r w:rsidRPr="00D56C91">
        <w:rPr>
          <w:bCs/>
          <w:sz w:val="24"/>
          <w:szCs w:val="24"/>
        </w:rPr>
        <w:t xml:space="preserve"> new section 10A </w:t>
      </w:r>
      <w:r w:rsidR="00A917CB" w:rsidRPr="00D56C91">
        <w:rPr>
          <w:bCs/>
          <w:sz w:val="24"/>
          <w:szCs w:val="24"/>
        </w:rPr>
        <w:t xml:space="preserve">in the </w:t>
      </w:r>
      <w:r w:rsidR="00A917CB" w:rsidRPr="00D56C91">
        <w:rPr>
          <w:bCs/>
          <w:i/>
          <w:sz w:val="24"/>
          <w:szCs w:val="24"/>
        </w:rPr>
        <w:t>Gaming Machine Act 2004</w:t>
      </w:r>
      <w:r w:rsidR="00A917CB" w:rsidRPr="00D56C91">
        <w:rPr>
          <w:bCs/>
          <w:sz w:val="24"/>
          <w:szCs w:val="24"/>
        </w:rPr>
        <w:t xml:space="preserve"> to provide</w:t>
      </w:r>
      <w:r w:rsidR="00010123" w:rsidRPr="00D56C91">
        <w:rPr>
          <w:bCs/>
          <w:sz w:val="24"/>
          <w:szCs w:val="24"/>
        </w:rPr>
        <w:t xml:space="preserve"> definitions for division 2A.2 (Voluntary surrenders). The definition of </w:t>
      </w:r>
      <w:r w:rsidR="00010123" w:rsidRPr="00D56C91">
        <w:rPr>
          <w:bCs/>
          <w:i/>
          <w:sz w:val="24"/>
          <w:szCs w:val="24"/>
        </w:rPr>
        <w:t>voluntary surrender day</w:t>
      </w:r>
      <w:r w:rsidR="00A917CB" w:rsidRPr="00D56C91">
        <w:rPr>
          <w:bCs/>
          <w:sz w:val="24"/>
          <w:szCs w:val="24"/>
        </w:rPr>
        <w:t xml:space="preserve"> is </w:t>
      </w:r>
      <w:r w:rsidR="00ED4648" w:rsidRPr="00D56C91">
        <w:rPr>
          <w:bCs/>
          <w:sz w:val="24"/>
          <w:szCs w:val="24"/>
        </w:rPr>
        <w:t>included in this section.</w:t>
      </w:r>
    </w:p>
    <w:p w:rsidR="00B426B2" w:rsidRPr="00D56C91" w:rsidRDefault="00B426B2" w:rsidP="00A676B0">
      <w:pPr>
        <w:spacing w:after="0"/>
        <w:rPr>
          <w:bCs/>
          <w:sz w:val="24"/>
          <w:szCs w:val="24"/>
        </w:rPr>
      </w:pPr>
    </w:p>
    <w:p w:rsidR="00010123" w:rsidRPr="00D56C91" w:rsidRDefault="00010123" w:rsidP="00A676B0">
      <w:pPr>
        <w:spacing w:after="0"/>
        <w:rPr>
          <w:bCs/>
          <w:sz w:val="24"/>
          <w:szCs w:val="24"/>
        </w:rPr>
      </w:pPr>
      <w:r w:rsidRPr="00D56C91">
        <w:rPr>
          <w:bCs/>
          <w:sz w:val="24"/>
          <w:szCs w:val="24"/>
        </w:rPr>
        <w:t xml:space="preserve">This amendment omits the word ‘Commission’ in paragraph (b) of the definition of </w:t>
      </w:r>
      <w:r w:rsidRPr="00D56C91">
        <w:rPr>
          <w:bCs/>
          <w:i/>
          <w:sz w:val="24"/>
          <w:szCs w:val="24"/>
        </w:rPr>
        <w:t>voluntary surrender day</w:t>
      </w:r>
      <w:r w:rsidRPr="00D56C91">
        <w:rPr>
          <w:bCs/>
          <w:sz w:val="24"/>
          <w:szCs w:val="24"/>
        </w:rPr>
        <w:t>, and replaces it with the word ‘Territory’.</w:t>
      </w:r>
    </w:p>
    <w:p w:rsidR="00B426B2" w:rsidRPr="00D56C91" w:rsidRDefault="00B426B2" w:rsidP="00A676B0">
      <w:pPr>
        <w:spacing w:after="0"/>
        <w:rPr>
          <w:bCs/>
          <w:sz w:val="24"/>
          <w:szCs w:val="24"/>
        </w:rPr>
      </w:pPr>
    </w:p>
    <w:p w:rsidR="00010123" w:rsidRPr="00D56C91" w:rsidRDefault="00010123" w:rsidP="00A676B0">
      <w:pPr>
        <w:spacing w:after="0"/>
        <w:rPr>
          <w:bCs/>
          <w:sz w:val="24"/>
          <w:szCs w:val="24"/>
        </w:rPr>
      </w:pPr>
      <w:r w:rsidRPr="00D56C91">
        <w:rPr>
          <w:bCs/>
          <w:sz w:val="24"/>
          <w:szCs w:val="24"/>
        </w:rPr>
        <w:t>T</w:t>
      </w:r>
      <w:r w:rsidR="00A917CB" w:rsidRPr="00D56C91">
        <w:rPr>
          <w:bCs/>
          <w:sz w:val="24"/>
          <w:szCs w:val="24"/>
        </w:rPr>
        <w:t>he</w:t>
      </w:r>
      <w:r w:rsidRPr="00D56C91">
        <w:rPr>
          <w:bCs/>
          <w:sz w:val="24"/>
          <w:szCs w:val="24"/>
        </w:rPr>
        <w:t xml:space="preserve"> amendment ensures that the definition of </w:t>
      </w:r>
      <w:r w:rsidRPr="00D56C91">
        <w:rPr>
          <w:bCs/>
          <w:i/>
          <w:sz w:val="24"/>
          <w:szCs w:val="24"/>
        </w:rPr>
        <w:t>voluntary surrender da</w:t>
      </w:r>
      <w:r w:rsidRPr="00D56C91">
        <w:rPr>
          <w:bCs/>
          <w:sz w:val="24"/>
          <w:szCs w:val="24"/>
        </w:rPr>
        <w:t xml:space="preserve">y aligns with the definition of </w:t>
      </w:r>
      <w:r w:rsidRPr="00D56C91">
        <w:rPr>
          <w:bCs/>
          <w:i/>
          <w:sz w:val="24"/>
          <w:szCs w:val="24"/>
        </w:rPr>
        <w:t>voluntary surrender agreement</w:t>
      </w:r>
      <w:r w:rsidRPr="00D56C91">
        <w:rPr>
          <w:bCs/>
          <w:sz w:val="24"/>
          <w:szCs w:val="24"/>
        </w:rPr>
        <w:t xml:space="preserve"> in section 10C, which provides that an agreement is entered into between the Territory and a gaming machine licensee.</w:t>
      </w:r>
    </w:p>
    <w:p w:rsidR="009925F8" w:rsidRPr="00D56C91" w:rsidRDefault="009925F8" w:rsidP="00A676B0">
      <w:pPr>
        <w:spacing w:after="0"/>
        <w:rPr>
          <w:bCs/>
          <w:sz w:val="24"/>
          <w:szCs w:val="24"/>
        </w:rPr>
      </w:pPr>
    </w:p>
    <w:p w:rsidR="000D4E62" w:rsidRPr="00D56C91" w:rsidRDefault="001C3AE6" w:rsidP="00A917CB">
      <w:pPr>
        <w:keepNext/>
        <w:ind w:left="2160" w:hanging="2160"/>
        <w:rPr>
          <w:b/>
          <w:bCs/>
          <w:sz w:val="24"/>
          <w:szCs w:val="24"/>
        </w:rPr>
      </w:pPr>
      <w:r w:rsidRPr="00D56C91">
        <w:rPr>
          <w:b/>
          <w:bCs/>
          <w:sz w:val="24"/>
          <w:szCs w:val="24"/>
        </w:rPr>
        <w:t>Amendment 2</w:t>
      </w:r>
      <w:r w:rsidRPr="00D56C91">
        <w:rPr>
          <w:b/>
          <w:bCs/>
          <w:sz w:val="24"/>
          <w:szCs w:val="24"/>
        </w:rPr>
        <w:tab/>
        <w:t xml:space="preserve">Clause </w:t>
      </w:r>
      <w:r w:rsidR="000D4E62" w:rsidRPr="00D56C91">
        <w:rPr>
          <w:b/>
          <w:bCs/>
          <w:sz w:val="24"/>
          <w:szCs w:val="24"/>
        </w:rPr>
        <w:t>20</w:t>
      </w:r>
      <w:r w:rsidR="000D4E62" w:rsidRPr="00D56C91">
        <w:rPr>
          <w:b/>
          <w:bCs/>
          <w:sz w:val="24"/>
          <w:szCs w:val="24"/>
        </w:rPr>
        <w:br/>
        <w:t>Proposed new section 10J (2), except note</w:t>
      </w:r>
      <w:r w:rsidR="000D4E62" w:rsidRPr="00D56C91">
        <w:rPr>
          <w:b/>
          <w:bCs/>
          <w:sz w:val="24"/>
          <w:szCs w:val="24"/>
        </w:rPr>
        <w:br/>
        <w:t>Page 17, line 17</w:t>
      </w:r>
    </w:p>
    <w:p w:rsidR="00115B4E" w:rsidRPr="00D56C91" w:rsidRDefault="000D4E62" w:rsidP="00B426B2">
      <w:pPr>
        <w:spacing w:after="0"/>
        <w:rPr>
          <w:bCs/>
          <w:sz w:val="24"/>
          <w:szCs w:val="24"/>
        </w:rPr>
      </w:pPr>
      <w:r w:rsidRPr="00D56C91">
        <w:rPr>
          <w:bCs/>
          <w:sz w:val="24"/>
          <w:szCs w:val="24"/>
        </w:rPr>
        <w:t xml:space="preserve">New section 10J is part of division 2A.3 </w:t>
      </w:r>
      <w:r w:rsidR="003F6DFD" w:rsidRPr="00D56C91">
        <w:rPr>
          <w:bCs/>
          <w:sz w:val="24"/>
          <w:szCs w:val="24"/>
        </w:rPr>
        <w:t xml:space="preserve">of the Bill </w:t>
      </w:r>
      <w:r w:rsidRPr="00D56C91">
        <w:rPr>
          <w:bCs/>
          <w:sz w:val="24"/>
          <w:szCs w:val="24"/>
        </w:rPr>
        <w:t xml:space="preserve">that </w:t>
      </w:r>
      <w:r w:rsidR="00115B4E" w:rsidRPr="00D56C91">
        <w:rPr>
          <w:bCs/>
          <w:sz w:val="24"/>
          <w:szCs w:val="24"/>
        </w:rPr>
        <w:t xml:space="preserve">provides for the </w:t>
      </w:r>
      <w:r w:rsidRPr="00D56C91">
        <w:rPr>
          <w:bCs/>
          <w:sz w:val="24"/>
          <w:szCs w:val="24"/>
        </w:rPr>
        <w:t xml:space="preserve">compulsory surrender </w:t>
      </w:r>
      <w:r w:rsidR="00115B4E" w:rsidRPr="00D56C91">
        <w:rPr>
          <w:bCs/>
          <w:sz w:val="24"/>
          <w:szCs w:val="24"/>
        </w:rPr>
        <w:t>of gaming machine authorisations to reach 4,000 by 2020, if required after the voluntary surrender stage established under division 2A.2</w:t>
      </w:r>
      <w:r w:rsidR="003F6DFD" w:rsidRPr="00D56C91">
        <w:rPr>
          <w:bCs/>
          <w:sz w:val="24"/>
          <w:szCs w:val="24"/>
        </w:rPr>
        <w:t>.</w:t>
      </w:r>
    </w:p>
    <w:p w:rsidR="00B426B2" w:rsidRPr="00D56C91" w:rsidRDefault="00B426B2" w:rsidP="00B426B2">
      <w:pPr>
        <w:spacing w:after="0"/>
        <w:rPr>
          <w:bCs/>
          <w:sz w:val="24"/>
          <w:szCs w:val="24"/>
        </w:rPr>
      </w:pPr>
    </w:p>
    <w:p w:rsidR="00A917CB" w:rsidRPr="00D56C91" w:rsidRDefault="000D4E62" w:rsidP="00B426B2">
      <w:pPr>
        <w:spacing w:after="0"/>
        <w:rPr>
          <w:bCs/>
          <w:sz w:val="24"/>
          <w:szCs w:val="24"/>
        </w:rPr>
      </w:pPr>
      <w:r w:rsidRPr="00D56C91">
        <w:rPr>
          <w:bCs/>
          <w:sz w:val="24"/>
          <w:szCs w:val="24"/>
        </w:rPr>
        <w:t xml:space="preserve">New section 10J </w:t>
      </w:r>
      <w:r w:rsidR="00115B4E" w:rsidRPr="00D56C91">
        <w:rPr>
          <w:bCs/>
          <w:sz w:val="24"/>
          <w:szCs w:val="24"/>
        </w:rPr>
        <w:t xml:space="preserve">provides that </w:t>
      </w:r>
      <w:r w:rsidR="00A917CB" w:rsidRPr="00D56C91">
        <w:rPr>
          <w:bCs/>
          <w:sz w:val="24"/>
          <w:szCs w:val="24"/>
        </w:rPr>
        <w:t xml:space="preserve">the Minister </w:t>
      </w:r>
      <w:r w:rsidR="00FB5D2C" w:rsidRPr="00D56C91">
        <w:rPr>
          <w:bCs/>
          <w:sz w:val="24"/>
          <w:szCs w:val="24"/>
        </w:rPr>
        <w:t xml:space="preserve">(currently the Attorney-General) </w:t>
      </w:r>
      <w:r w:rsidR="00A676B0" w:rsidRPr="00D56C91">
        <w:rPr>
          <w:bCs/>
          <w:sz w:val="24"/>
          <w:szCs w:val="24"/>
        </w:rPr>
        <w:t>must</w:t>
      </w:r>
      <w:r w:rsidR="00A917CB" w:rsidRPr="00D56C91">
        <w:rPr>
          <w:bCs/>
          <w:sz w:val="24"/>
          <w:szCs w:val="24"/>
        </w:rPr>
        <w:t xml:space="preserve"> make a determination that establishes the surrender obligation of licensees for each of</w:t>
      </w:r>
      <w:r w:rsidR="00FB5D2C" w:rsidRPr="00D56C91">
        <w:rPr>
          <w:bCs/>
          <w:sz w:val="24"/>
          <w:szCs w:val="24"/>
        </w:rPr>
        <w:t xml:space="preserve"> two compulsory surrender days – the first compulsory surrender day on </w:t>
      </w:r>
      <w:r w:rsidR="00A917CB" w:rsidRPr="00D56C91">
        <w:rPr>
          <w:bCs/>
          <w:sz w:val="24"/>
          <w:szCs w:val="24"/>
        </w:rPr>
        <w:t xml:space="preserve">1 April 2019 and </w:t>
      </w:r>
      <w:r w:rsidR="00FB5D2C" w:rsidRPr="00D56C91">
        <w:rPr>
          <w:bCs/>
          <w:sz w:val="24"/>
          <w:szCs w:val="24"/>
        </w:rPr>
        <w:t xml:space="preserve">the second compulsory surrender day on </w:t>
      </w:r>
      <w:r w:rsidR="00A917CB" w:rsidRPr="00D56C91">
        <w:rPr>
          <w:bCs/>
          <w:sz w:val="24"/>
          <w:szCs w:val="24"/>
        </w:rPr>
        <w:t>30 April 2020.</w:t>
      </w:r>
    </w:p>
    <w:p w:rsidR="00B426B2" w:rsidRPr="00D56C91" w:rsidRDefault="00B426B2" w:rsidP="00B426B2">
      <w:pPr>
        <w:spacing w:after="0"/>
        <w:rPr>
          <w:bCs/>
          <w:sz w:val="24"/>
          <w:szCs w:val="24"/>
        </w:rPr>
      </w:pPr>
    </w:p>
    <w:p w:rsidR="00532597" w:rsidRDefault="002E49BC" w:rsidP="00B426B2">
      <w:pPr>
        <w:spacing w:after="0"/>
        <w:rPr>
          <w:bCs/>
          <w:sz w:val="24"/>
          <w:szCs w:val="24"/>
        </w:rPr>
      </w:pPr>
      <w:r w:rsidRPr="00D56C91">
        <w:rPr>
          <w:bCs/>
          <w:sz w:val="24"/>
          <w:szCs w:val="24"/>
        </w:rPr>
        <w:lastRenderedPageBreak/>
        <w:t xml:space="preserve">Authorisations </w:t>
      </w:r>
      <w:r w:rsidRPr="002E49BC">
        <w:rPr>
          <w:bCs/>
          <w:sz w:val="24"/>
          <w:szCs w:val="24"/>
        </w:rPr>
        <w:t xml:space="preserve">can only be surrendered in whole numbers and </w:t>
      </w:r>
      <w:r>
        <w:rPr>
          <w:bCs/>
          <w:sz w:val="24"/>
          <w:szCs w:val="24"/>
        </w:rPr>
        <w:t xml:space="preserve">as a result, </w:t>
      </w:r>
      <w:r w:rsidRPr="002E49BC">
        <w:rPr>
          <w:bCs/>
          <w:sz w:val="24"/>
          <w:szCs w:val="24"/>
        </w:rPr>
        <w:t xml:space="preserve">the surrender obligation for one of the compulsory surrender days may </w:t>
      </w:r>
      <w:r w:rsidR="00091DFD">
        <w:rPr>
          <w:bCs/>
          <w:sz w:val="24"/>
          <w:szCs w:val="24"/>
        </w:rPr>
        <w:t xml:space="preserve">potentially </w:t>
      </w:r>
      <w:r w:rsidRPr="002E49BC">
        <w:rPr>
          <w:bCs/>
          <w:sz w:val="24"/>
          <w:szCs w:val="24"/>
        </w:rPr>
        <w:t>exceed 10 per cent of the number of authorisations held on the census day</w:t>
      </w:r>
      <w:r w:rsidR="00B426B2">
        <w:rPr>
          <w:bCs/>
          <w:sz w:val="24"/>
          <w:szCs w:val="24"/>
        </w:rPr>
        <w:t xml:space="preserve"> (23 August 2018)</w:t>
      </w:r>
      <w:r w:rsidRPr="002E49BC">
        <w:rPr>
          <w:bCs/>
          <w:sz w:val="24"/>
          <w:szCs w:val="24"/>
        </w:rPr>
        <w:t xml:space="preserve">, but the aggregate surrender </w:t>
      </w:r>
      <w:r w:rsidR="00B426B2">
        <w:rPr>
          <w:bCs/>
          <w:sz w:val="24"/>
          <w:szCs w:val="24"/>
        </w:rPr>
        <w:t xml:space="preserve">obligation across both surrender days is not to </w:t>
      </w:r>
      <w:r w:rsidRPr="002E49BC">
        <w:rPr>
          <w:bCs/>
          <w:sz w:val="24"/>
          <w:szCs w:val="24"/>
        </w:rPr>
        <w:t xml:space="preserve">exceed 20 per cent of </w:t>
      </w:r>
      <w:r w:rsidR="003F6DFD">
        <w:rPr>
          <w:bCs/>
          <w:sz w:val="24"/>
          <w:szCs w:val="24"/>
        </w:rPr>
        <w:t>that</w:t>
      </w:r>
      <w:r w:rsidRPr="002E49BC">
        <w:rPr>
          <w:bCs/>
          <w:sz w:val="24"/>
          <w:szCs w:val="24"/>
        </w:rPr>
        <w:t xml:space="preserve"> number.</w:t>
      </w:r>
    </w:p>
    <w:p w:rsidR="00B426B2" w:rsidRDefault="00B426B2" w:rsidP="00B426B2">
      <w:pPr>
        <w:spacing w:after="0"/>
        <w:rPr>
          <w:bCs/>
          <w:sz w:val="24"/>
          <w:szCs w:val="24"/>
        </w:rPr>
      </w:pPr>
    </w:p>
    <w:p w:rsidR="003F6DFD" w:rsidRPr="005C230A" w:rsidRDefault="003F6DFD" w:rsidP="00B426B2">
      <w:pPr>
        <w:spacing w:after="0"/>
        <w:rPr>
          <w:bCs/>
          <w:sz w:val="24"/>
          <w:szCs w:val="24"/>
        </w:rPr>
      </w:pPr>
      <w:r w:rsidRPr="003F6DFD">
        <w:rPr>
          <w:bCs/>
          <w:sz w:val="24"/>
          <w:szCs w:val="24"/>
        </w:rPr>
        <w:t xml:space="preserve">Section 10J(2) is being amended to </w:t>
      </w:r>
      <w:r w:rsidR="00ED4648">
        <w:rPr>
          <w:bCs/>
          <w:sz w:val="24"/>
          <w:szCs w:val="24"/>
        </w:rPr>
        <w:t xml:space="preserve">better reflect the intent of this provision and </w:t>
      </w:r>
      <w:r w:rsidRPr="003F6DFD">
        <w:rPr>
          <w:bCs/>
          <w:sz w:val="24"/>
          <w:szCs w:val="24"/>
        </w:rPr>
        <w:t>clarify that the total surrender obligations for a licensee for both compulsory surrender days must not exceed 20 per cent of the authorisations held by the licensee in relation to the authorised premises on the census day.</w:t>
      </w:r>
    </w:p>
    <w:p w:rsidR="0015044F" w:rsidRPr="00D56C91" w:rsidRDefault="0015044F" w:rsidP="00B426B2">
      <w:pPr>
        <w:spacing w:after="0"/>
        <w:rPr>
          <w:bCs/>
          <w:sz w:val="24"/>
          <w:szCs w:val="24"/>
          <w:highlight w:val="yellow"/>
        </w:rPr>
      </w:pPr>
    </w:p>
    <w:p w:rsidR="0015044F" w:rsidRPr="0015044F" w:rsidRDefault="0015044F" w:rsidP="0015044F">
      <w:pPr>
        <w:ind w:left="2160" w:hanging="2160"/>
        <w:rPr>
          <w:b/>
          <w:bCs/>
          <w:sz w:val="24"/>
          <w:szCs w:val="24"/>
        </w:rPr>
      </w:pPr>
      <w:r w:rsidRPr="0015044F">
        <w:rPr>
          <w:b/>
          <w:bCs/>
          <w:sz w:val="24"/>
          <w:szCs w:val="24"/>
        </w:rPr>
        <w:t xml:space="preserve">Amendment </w:t>
      </w:r>
      <w:r>
        <w:rPr>
          <w:b/>
          <w:bCs/>
          <w:sz w:val="24"/>
          <w:szCs w:val="24"/>
        </w:rPr>
        <w:t>3</w:t>
      </w:r>
      <w:r w:rsidRPr="0015044F">
        <w:rPr>
          <w:b/>
          <w:bCs/>
          <w:sz w:val="24"/>
          <w:szCs w:val="24"/>
        </w:rPr>
        <w:tab/>
        <w:t>Clause 20</w:t>
      </w:r>
      <w:r w:rsidRPr="0015044F">
        <w:rPr>
          <w:b/>
          <w:bCs/>
          <w:sz w:val="24"/>
          <w:szCs w:val="24"/>
        </w:rPr>
        <w:br/>
      </w:r>
      <w:r>
        <w:rPr>
          <w:b/>
          <w:bCs/>
          <w:sz w:val="24"/>
          <w:szCs w:val="24"/>
        </w:rPr>
        <w:t>Proposed new section 10U</w:t>
      </w:r>
      <w:r w:rsidRPr="0015044F">
        <w:rPr>
          <w:b/>
          <w:bCs/>
          <w:sz w:val="24"/>
          <w:szCs w:val="24"/>
        </w:rPr>
        <w:br/>
        <w:t xml:space="preserve">Page </w:t>
      </w:r>
      <w:r>
        <w:rPr>
          <w:b/>
          <w:bCs/>
          <w:sz w:val="24"/>
          <w:szCs w:val="24"/>
        </w:rPr>
        <w:t>25, line 14</w:t>
      </w:r>
    </w:p>
    <w:p w:rsidR="0015044F" w:rsidRPr="00D56C91" w:rsidRDefault="00C25F93" w:rsidP="00B426B2">
      <w:pPr>
        <w:spacing w:after="0"/>
        <w:rPr>
          <w:bCs/>
          <w:sz w:val="24"/>
          <w:szCs w:val="24"/>
        </w:rPr>
      </w:pPr>
      <w:r w:rsidRPr="00D56C91">
        <w:rPr>
          <w:bCs/>
          <w:sz w:val="24"/>
          <w:szCs w:val="24"/>
        </w:rPr>
        <w:t xml:space="preserve">New section 10U provides for the expiry of provisions in </w:t>
      </w:r>
      <w:r w:rsidR="00B426B2" w:rsidRPr="00D56C91">
        <w:rPr>
          <w:bCs/>
          <w:sz w:val="24"/>
          <w:szCs w:val="24"/>
        </w:rPr>
        <w:t>new part 2A.</w:t>
      </w:r>
    </w:p>
    <w:p w:rsidR="00B426B2" w:rsidRPr="00D56C91" w:rsidRDefault="00B426B2" w:rsidP="00B426B2">
      <w:pPr>
        <w:spacing w:after="0"/>
        <w:rPr>
          <w:bCs/>
          <w:sz w:val="24"/>
          <w:szCs w:val="24"/>
        </w:rPr>
      </w:pPr>
    </w:p>
    <w:p w:rsidR="00C25F93" w:rsidRPr="00D56C91" w:rsidRDefault="00C25F93" w:rsidP="00B426B2">
      <w:pPr>
        <w:spacing w:after="0"/>
        <w:rPr>
          <w:bCs/>
          <w:sz w:val="24"/>
          <w:szCs w:val="24"/>
        </w:rPr>
      </w:pPr>
      <w:r w:rsidRPr="00D56C91">
        <w:rPr>
          <w:bCs/>
          <w:sz w:val="24"/>
          <w:szCs w:val="24"/>
        </w:rPr>
        <w:t xml:space="preserve">Division 2A.2 </w:t>
      </w:r>
      <w:r w:rsidR="00B426B2" w:rsidRPr="00D56C91">
        <w:rPr>
          <w:bCs/>
          <w:sz w:val="24"/>
          <w:szCs w:val="24"/>
        </w:rPr>
        <w:t xml:space="preserve">(Voluntary surrenders) </w:t>
      </w:r>
      <w:r w:rsidRPr="00D56C91">
        <w:rPr>
          <w:bCs/>
          <w:sz w:val="24"/>
          <w:szCs w:val="24"/>
        </w:rPr>
        <w:t>will expire on 1 April 2026, which provides licensees with seven years to access the offset amounts for land-related payments, fees and charges.</w:t>
      </w:r>
    </w:p>
    <w:p w:rsidR="00B426B2" w:rsidRPr="00D56C91" w:rsidRDefault="00B426B2" w:rsidP="00B426B2">
      <w:pPr>
        <w:spacing w:after="0"/>
        <w:rPr>
          <w:bCs/>
          <w:sz w:val="24"/>
          <w:szCs w:val="24"/>
        </w:rPr>
      </w:pPr>
    </w:p>
    <w:p w:rsidR="004408A0" w:rsidRPr="00D56C91" w:rsidRDefault="00CC21C1" w:rsidP="00B426B2">
      <w:pPr>
        <w:spacing w:after="0"/>
        <w:rPr>
          <w:bCs/>
          <w:sz w:val="24"/>
          <w:szCs w:val="24"/>
        </w:rPr>
      </w:pPr>
      <w:r w:rsidRPr="00D56C91">
        <w:rPr>
          <w:bCs/>
          <w:sz w:val="24"/>
          <w:szCs w:val="24"/>
        </w:rPr>
        <w:t xml:space="preserve">As part of the voluntary surrender incentives, licensees may elect to </w:t>
      </w:r>
      <w:r w:rsidR="00C25F93" w:rsidRPr="00D56C91">
        <w:rPr>
          <w:bCs/>
          <w:sz w:val="24"/>
          <w:szCs w:val="24"/>
        </w:rPr>
        <w:t xml:space="preserve">receive </w:t>
      </w:r>
      <w:r w:rsidRPr="00D56C91">
        <w:rPr>
          <w:bCs/>
          <w:sz w:val="24"/>
          <w:szCs w:val="24"/>
        </w:rPr>
        <w:t xml:space="preserve">a </w:t>
      </w:r>
      <w:r w:rsidRPr="00CC21C1">
        <w:rPr>
          <w:bCs/>
          <w:sz w:val="24"/>
          <w:szCs w:val="24"/>
        </w:rPr>
        <w:t xml:space="preserve">‘pokie-free’ bonus (25 per cent bonus on </w:t>
      </w:r>
      <w:r w:rsidR="00291438">
        <w:rPr>
          <w:bCs/>
          <w:sz w:val="24"/>
          <w:szCs w:val="24"/>
        </w:rPr>
        <w:t xml:space="preserve">other </w:t>
      </w:r>
      <w:r w:rsidRPr="00CC21C1">
        <w:rPr>
          <w:bCs/>
          <w:sz w:val="24"/>
          <w:szCs w:val="24"/>
        </w:rPr>
        <w:t>incentives) for voluntarily surrendering a venue’</w:t>
      </w:r>
      <w:r>
        <w:rPr>
          <w:bCs/>
          <w:sz w:val="24"/>
          <w:szCs w:val="24"/>
        </w:rPr>
        <w:t>s authorisation certificate. To receive the bonus</w:t>
      </w:r>
      <w:r w:rsidR="00C25F93" w:rsidRPr="00D56C91">
        <w:rPr>
          <w:bCs/>
          <w:sz w:val="24"/>
          <w:szCs w:val="24"/>
        </w:rPr>
        <w:t xml:space="preserve"> a licensee must commit, as part of a voluntary surrender agreement, to maintain the venue as a community facilit</w:t>
      </w:r>
      <w:r w:rsidR="004408A0" w:rsidRPr="00D56C91">
        <w:rPr>
          <w:bCs/>
          <w:sz w:val="24"/>
          <w:szCs w:val="24"/>
        </w:rPr>
        <w:t>y, available for us</w:t>
      </w:r>
      <w:r w:rsidRPr="00D56C91">
        <w:rPr>
          <w:bCs/>
          <w:sz w:val="24"/>
          <w:szCs w:val="24"/>
        </w:rPr>
        <w:t>e by members and guests, for a period of five years.</w:t>
      </w:r>
    </w:p>
    <w:p w:rsidR="00B426B2" w:rsidRPr="00D56C91" w:rsidRDefault="00B426B2" w:rsidP="00B426B2">
      <w:pPr>
        <w:spacing w:after="0"/>
        <w:rPr>
          <w:bCs/>
          <w:sz w:val="24"/>
          <w:szCs w:val="24"/>
        </w:rPr>
      </w:pPr>
    </w:p>
    <w:p w:rsidR="004408A0" w:rsidRPr="00D56C91" w:rsidRDefault="00C25F93" w:rsidP="00B426B2">
      <w:pPr>
        <w:spacing w:after="0"/>
        <w:rPr>
          <w:bCs/>
          <w:sz w:val="24"/>
          <w:szCs w:val="24"/>
        </w:rPr>
      </w:pPr>
      <w:r w:rsidRPr="00D56C91">
        <w:rPr>
          <w:bCs/>
          <w:sz w:val="24"/>
          <w:szCs w:val="24"/>
        </w:rPr>
        <w:t xml:space="preserve">To support this </w:t>
      </w:r>
      <w:r w:rsidR="00CC21C1" w:rsidRPr="00D56C91">
        <w:rPr>
          <w:bCs/>
          <w:sz w:val="24"/>
          <w:szCs w:val="24"/>
        </w:rPr>
        <w:t>commitment</w:t>
      </w:r>
      <w:r w:rsidRPr="00D56C91">
        <w:rPr>
          <w:bCs/>
          <w:sz w:val="24"/>
          <w:szCs w:val="24"/>
        </w:rPr>
        <w:t xml:space="preserve">, new section 10G </w:t>
      </w:r>
      <w:r w:rsidR="00B426B2" w:rsidRPr="00D56C91">
        <w:rPr>
          <w:bCs/>
          <w:sz w:val="24"/>
          <w:szCs w:val="24"/>
        </w:rPr>
        <w:t xml:space="preserve">within division 2A.2 </w:t>
      </w:r>
      <w:r w:rsidRPr="00D56C91">
        <w:rPr>
          <w:bCs/>
          <w:sz w:val="24"/>
          <w:szCs w:val="24"/>
        </w:rPr>
        <w:t xml:space="preserve">provides that such licensees are </w:t>
      </w:r>
      <w:r w:rsidR="00CC21C1" w:rsidRPr="00D56C91">
        <w:rPr>
          <w:bCs/>
          <w:sz w:val="24"/>
          <w:szCs w:val="24"/>
        </w:rPr>
        <w:t xml:space="preserve">not eligible to </w:t>
      </w:r>
      <w:r w:rsidR="004408A0" w:rsidRPr="00D56C91">
        <w:rPr>
          <w:bCs/>
          <w:sz w:val="24"/>
          <w:szCs w:val="24"/>
        </w:rPr>
        <w:t xml:space="preserve">apply for a new </w:t>
      </w:r>
      <w:r w:rsidR="00CC21C1" w:rsidRPr="00D56C91">
        <w:rPr>
          <w:bCs/>
          <w:sz w:val="24"/>
          <w:szCs w:val="24"/>
        </w:rPr>
        <w:t>authorisation certificate</w:t>
      </w:r>
      <w:r w:rsidR="004408A0" w:rsidRPr="00D56C91">
        <w:rPr>
          <w:bCs/>
          <w:sz w:val="24"/>
          <w:szCs w:val="24"/>
        </w:rPr>
        <w:t>, acquire an existing authorisation certific</w:t>
      </w:r>
      <w:r w:rsidR="00CC21C1" w:rsidRPr="00D56C91">
        <w:rPr>
          <w:bCs/>
          <w:sz w:val="24"/>
          <w:szCs w:val="24"/>
        </w:rPr>
        <w:t>ate from another licensee</w:t>
      </w:r>
      <w:r w:rsidR="004408A0" w:rsidRPr="00D56C91">
        <w:rPr>
          <w:bCs/>
          <w:sz w:val="24"/>
          <w:szCs w:val="24"/>
        </w:rPr>
        <w:t xml:space="preserve">, or apply for an in-principle approval for an </w:t>
      </w:r>
      <w:r w:rsidR="00CC21C1" w:rsidRPr="00D56C91">
        <w:rPr>
          <w:bCs/>
          <w:sz w:val="24"/>
          <w:szCs w:val="24"/>
        </w:rPr>
        <w:t xml:space="preserve">authorisation certificate during this </w:t>
      </w:r>
      <w:r w:rsidR="005D0E14" w:rsidRPr="00D56C91">
        <w:rPr>
          <w:bCs/>
          <w:sz w:val="24"/>
          <w:szCs w:val="24"/>
        </w:rPr>
        <w:t>five-year period</w:t>
      </w:r>
      <w:r w:rsidR="00CC21C1" w:rsidRPr="00D56C91">
        <w:rPr>
          <w:bCs/>
          <w:sz w:val="24"/>
          <w:szCs w:val="24"/>
        </w:rPr>
        <w:t>.</w:t>
      </w:r>
    </w:p>
    <w:p w:rsidR="00B426B2" w:rsidRPr="00D56C91" w:rsidRDefault="00B426B2" w:rsidP="00B426B2">
      <w:pPr>
        <w:spacing w:after="0"/>
        <w:rPr>
          <w:bCs/>
          <w:sz w:val="24"/>
          <w:szCs w:val="24"/>
        </w:rPr>
      </w:pPr>
    </w:p>
    <w:p w:rsidR="00CC21C1" w:rsidRPr="00D56C91" w:rsidRDefault="003F6DFD" w:rsidP="00B426B2">
      <w:pPr>
        <w:spacing w:after="0"/>
        <w:rPr>
          <w:bCs/>
          <w:sz w:val="24"/>
          <w:szCs w:val="24"/>
        </w:rPr>
      </w:pPr>
      <w:r w:rsidRPr="00D56C91">
        <w:rPr>
          <w:bCs/>
          <w:sz w:val="24"/>
          <w:szCs w:val="24"/>
        </w:rPr>
        <w:t xml:space="preserve">At present, the restrictions under new section 10G expire on 1 April 2026 along with the </w:t>
      </w:r>
      <w:r w:rsidR="00B426B2" w:rsidRPr="00D56C91">
        <w:rPr>
          <w:bCs/>
          <w:sz w:val="24"/>
          <w:szCs w:val="24"/>
        </w:rPr>
        <w:t>remainder</w:t>
      </w:r>
      <w:r w:rsidRPr="00D56C91">
        <w:rPr>
          <w:bCs/>
          <w:sz w:val="24"/>
          <w:szCs w:val="24"/>
        </w:rPr>
        <w:t xml:space="preserve"> of division 2A.2. This is an error and a</w:t>
      </w:r>
      <w:r w:rsidR="00CC21C1" w:rsidRPr="00D56C91">
        <w:rPr>
          <w:bCs/>
          <w:sz w:val="24"/>
          <w:szCs w:val="24"/>
        </w:rPr>
        <w:t xml:space="preserve">mendment 3 </w:t>
      </w:r>
      <w:r w:rsidRPr="00D56C91">
        <w:rPr>
          <w:bCs/>
          <w:sz w:val="24"/>
          <w:szCs w:val="24"/>
        </w:rPr>
        <w:t>revises</w:t>
      </w:r>
      <w:r w:rsidR="00CC21C1" w:rsidRPr="00D56C91">
        <w:rPr>
          <w:bCs/>
          <w:sz w:val="24"/>
          <w:szCs w:val="24"/>
        </w:rPr>
        <w:t xml:space="preserve"> section 10U to provide that the expiry date for new section 10G (only) is 1 April 2024, which is five years after the</w:t>
      </w:r>
      <w:r w:rsidR="00653346" w:rsidRPr="00D56C91">
        <w:rPr>
          <w:bCs/>
          <w:sz w:val="24"/>
          <w:szCs w:val="24"/>
        </w:rPr>
        <w:t xml:space="preserve"> first compulsory surrender day</w:t>
      </w:r>
      <w:r w:rsidR="00B426B2" w:rsidRPr="00D56C91">
        <w:rPr>
          <w:bCs/>
          <w:sz w:val="24"/>
          <w:szCs w:val="24"/>
        </w:rPr>
        <w:t>.</w:t>
      </w:r>
    </w:p>
    <w:p w:rsidR="00B426B2" w:rsidRPr="00D56C91" w:rsidRDefault="00B426B2" w:rsidP="00B426B2">
      <w:pPr>
        <w:spacing w:after="0"/>
        <w:rPr>
          <w:bCs/>
          <w:sz w:val="24"/>
          <w:szCs w:val="24"/>
        </w:rPr>
      </w:pPr>
    </w:p>
    <w:p w:rsidR="00A123A3" w:rsidRDefault="0015044F" w:rsidP="00A123A3">
      <w:pPr>
        <w:keepNext/>
        <w:ind w:left="2160" w:hanging="2160"/>
        <w:rPr>
          <w:b/>
          <w:bCs/>
          <w:sz w:val="24"/>
          <w:szCs w:val="24"/>
          <w:highlight w:val="yellow"/>
        </w:rPr>
      </w:pPr>
      <w:r w:rsidRPr="0015044F">
        <w:rPr>
          <w:b/>
          <w:bCs/>
          <w:sz w:val="24"/>
          <w:szCs w:val="24"/>
        </w:rPr>
        <w:t xml:space="preserve">Amendment </w:t>
      </w:r>
      <w:r>
        <w:rPr>
          <w:b/>
          <w:bCs/>
          <w:sz w:val="24"/>
          <w:szCs w:val="24"/>
        </w:rPr>
        <w:t>4</w:t>
      </w:r>
      <w:r w:rsidRPr="0015044F">
        <w:rPr>
          <w:b/>
          <w:bCs/>
          <w:sz w:val="24"/>
          <w:szCs w:val="24"/>
        </w:rPr>
        <w:tab/>
        <w:t>Clause 2</w:t>
      </w:r>
      <w:r>
        <w:rPr>
          <w:b/>
          <w:bCs/>
          <w:sz w:val="24"/>
          <w:szCs w:val="24"/>
        </w:rPr>
        <w:t>6</w:t>
      </w:r>
      <w:r w:rsidRPr="0015044F">
        <w:rPr>
          <w:b/>
          <w:bCs/>
          <w:sz w:val="24"/>
          <w:szCs w:val="24"/>
        </w:rPr>
        <w:br/>
        <w:t xml:space="preserve">Page </w:t>
      </w:r>
      <w:r>
        <w:rPr>
          <w:b/>
          <w:bCs/>
          <w:sz w:val="24"/>
          <w:szCs w:val="24"/>
        </w:rPr>
        <w:t>27, line 1</w:t>
      </w:r>
    </w:p>
    <w:p w:rsidR="00A123A3" w:rsidRPr="00A123A3" w:rsidRDefault="00A123A3" w:rsidP="00A123A3">
      <w:pPr>
        <w:keepNext/>
        <w:ind w:left="2160" w:hanging="2160"/>
        <w:rPr>
          <w:b/>
          <w:bCs/>
          <w:sz w:val="24"/>
          <w:szCs w:val="24"/>
        </w:rPr>
      </w:pPr>
      <w:r w:rsidRPr="00A123A3">
        <w:rPr>
          <w:b/>
          <w:bCs/>
          <w:sz w:val="24"/>
          <w:szCs w:val="24"/>
        </w:rPr>
        <w:t>Amendment 5</w:t>
      </w:r>
      <w:r w:rsidRPr="00A123A3">
        <w:rPr>
          <w:b/>
          <w:bCs/>
          <w:sz w:val="24"/>
          <w:szCs w:val="24"/>
        </w:rPr>
        <w:tab/>
        <w:t>Proposed new clause 26A</w:t>
      </w:r>
      <w:r w:rsidRPr="00A123A3">
        <w:rPr>
          <w:b/>
          <w:bCs/>
          <w:sz w:val="24"/>
          <w:szCs w:val="24"/>
        </w:rPr>
        <w:br/>
        <w:t xml:space="preserve">Page 27, line </w:t>
      </w:r>
      <w:r w:rsidR="00084076">
        <w:rPr>
          <w:b/>
          <w:bCs/>
          <w:sz w:val="24"/>
          <w:szCs w:val="24"/>
        </w:rPr>
        <w:t>7</w:t>
      </w:r>
    </w:p>
    <w:p w:rsidR="00BA2E7B" w:rsidRPr="00D56C91" w:rsidRDefault="00653346" w:rsidP="00A123A3">
      <w:pPr>
        <w:spacing w:after="0"/>
        <w:rPr>
          <w:bCs/>
          <w:sz w:val="24"/>
          <w:szCs w:val="24"/>
        </w:rPr>
      </w:pPr>
      <w:r w:rsidRPr="00D56C91">
        <w:rPr>
          <w:bCs/>
          <w:sz w:val="24"/>
          <w:szCs w:val="24"/>
        </w:rPr>
        <w:t xml:space="preserve">Clause 26 of the Bill currently provides for two new </w:t>
      </w:r>
      <w:r w:rsidR="00291438" w:rsidRPr="00D56C91">
        <w:rPr>
          <w:bCs/>
          <w:sz w:val="24"/>
          <w:szCs w:val="24"/>
        </w:rPr>
        <w:t>items</w:t>
      </w:r>
      <w:r w:rsidRPr="00D56C91">
        <w:rPr>
          <w:bCs/>
          <w:sz w:val="24"/>
          <w:szCs w:val="24"/>
        </w:rPr>
        <w:t xml:space="preserve"> to be added to the list of matters that must be included in a club’s annual report as set out in section 54 of the Gaming Machine Act</w:t>
      </w:r>
      <w:r w:rsidR="00BA2E7B" w:rsidRPr="00D56C91">
        <w:rPr>
          <w:bCs/>
          <w:sz w:val="24"/>
          <w:szCs w:val="24"/>
        </w:rPr>
        <w:t>.</w:t>
      </w:r>
    </w:p>
    <w:p w:rsidR="00BA2E7B" w:rsidRPr="00D56C91" w:rsidRDefault="00BA2E7B" w:rsidP="00A123A3">
      <w:pPr>
        <w:spacing w:after="0"/>
        <w:rPr>
          <w:bCs/>
          <w:sz w:val="24"/>
          <w:szCs w:val="24"/>
        </w:rPr>
      </w:pPr>
    </w:p>
    <w:p w:rsidR="00A123A3" w:rsidRPr="00D56C91" w:rsidRDefault="00653346" w:rsidP="00A123A3">
      <w:pPr>
        <w:spacing w:after="0"/>
        <w:rPr>
          <w:bCs/>
          <w:sz w:val="24"/>
          <w:szCs w:val="24"/>
        </w:rPr>
      </w:pPr>
      <w:r w:rsidRPr="00D56C91">
        <w:rPr>
          <w:bCs/>
          <w:sz w:val="24"/>
          <w:szCs w:val="24"/>
        </w:rPr>
        <w:t>At present, both new sections 54 (e) and (f) commence on 1 July 2019 when the community contributions reforms commence.</w:t>
      </w:r>
      <w:r w:rsidR="00BA2E7B" w:rsidRPr="00D56C91">
        <w:rPr>
          <w:bCs/>
          <w:sz w:val="24"/>
          <w:szCs w:val="24"/>
        </w:rPr>
        <w:t xml:space="preserve"> </w:t>
      </w:r>
      <w:r w:rsidR="00A123A3" w:rsidRPr="00D56C91">
        <w:rPr>
          <w:bCs/>
          <w:sz w:val="24"/>
          <w:szCs w:val="24"/>
        </w:rPr>
        <w:t>However, t</w:t>
      </w:r>
      <w:r w:rsidR="00932D3D" w:rsidRPr="00D56C91">
        <w:rPr>
          <w:bCs/>
          <w:sz w:val="24"/>
          <w:szCs w:val="24"/>
        </w:rPr>
        <w:t>he regulat</w:t>
      </w:r>
      <w:r w:rsidR="00BA2E7B" w:rsidRPr="00D56C91">
        <w:rPr>
          <w:bCs/>
          <w:sz w:val="24"/>
          <w:szCs w:val="24"/>
        </w:rPr>
        <w:t>ion-making power in new section </w:t>
      </w:r>
      <w:r w:rsidR="00932D3D" w:rsidRPr="00D56C91">
        <w:rPr>
          <w:bCs/>
          <w:sz w:val="24"/>
          <w:szCs w:val="24"/>
        </w:rPr>
        <w:t xml:space="preserve">54(f) </w:t>
      </w:r>
      <w:r w:rsidR="00A123A3" w:rsidRPr="00D56C91">
        <w:rPr>
          <w:bCs/>
          <w:sz w:val="24"/>
          <w:szCs w:val="24"/>
        </w:rPr>
        <w:t xml:space="preserve">is related to the amendments </w:t>
      </w:r>
      <w:r w:rsidR="00291438" w:rsidRPr="00D56C91">
        <w:rPr>
          <w:bCs/>
          <w:sz w:val="24"/>
          <w:szCs w:val="24"/>
        </w:rPr>
        <w:t xml:space="preserve">made by clause 109 of the Bill, which amend section </w:t>
      </w:r>
      <w:r w:rsidR="00A123A3" w:rsidRPr="00D56C91">
        <w:rPr>
          <w:bCs/>
          <w:sz w:val="24"/>
          <w:szCs w:val="24"/>
        </w:rPr>
        <w:t> </w:t>
      </w:r>
      <w:r w:rsidR="00BA2E7B" w:rsidRPr="00D56C91">
        <w:rPr>
          <w:bCs/>
          <w:sz w:val="24"/>
          <w:szCs w:val="24"/>
        </w:rPr>
        <w:t xml:space="preserve">35 of the Regulation </w:t>
      </w:r>
      <w:r w:rsidR="00291438">
        <w:rPr>
          <w:bCs/>
          <w:sz w:val="24"/>
          <w:szCs w:val="24"/>
        </w:rPr>
        <w:t>in relation to</w:t>
      </w:r>
      <w:r w:rsidR="00BA2E7B" w:rsidRPr="00BA2E7B">
        <w:rPr>
          <w:bCs/>
          <w:sz w:val="24"/>
          <w:szCs w:val="24"/>
        </w:rPr>
        <w:t xml:space="preserve"> expired cashless gaming credits</w:t>
      </w:r>
      <w:r w:rsidR="00A123A3" w:rsidRPr="00D56C91">
        <w:rPr>
          <w:bCs/>
          <w:sz w:val="24"/>
          <w:szCs w:val="24"/>
        </w:rPr>
        <w:t xml:space="preserve">. As a result, </w:t>
      </w:r>
      <w:r w:rsidR="00BA2E7B" w:rsidRPr="00D56C91">
        <w:rPr>
          <w:bCs/>
          <w:sz w:val="24"/>
          <w:szCs w:val="24"/>
        </w:rPr>
        <w:t>this regulation</w:t>
      </w:r>
      <w:r w:rsidR="00BA2E7B" w:rsidRPr="00D56C91">
        <w:rPr>
          <w:bCs/>
          <w:sz w:val="24"/>
          <w:szCs w:val="24"/>
        </w:rPr>
        <w:noBreakHyphen/>
        <w:t>making power ne</w:t>
      </w:r>
      <w:r w:rsidR="00A123A3" w:rsidRPr="00D56C91">
        <w:rPr>
          <w:bCs/>
          <w:sz w:val="24"/>
          <w:szCs w:val="24"/>
        </w:rPr>
        <w:t>eds to commence at the same time as clause 109 (i.e. on the 7</w:t>
      </w:r>
      <w:r w:rsidR="00A123A3" w:rsidRPr="00D56C91">
        <w:rPr>
          <w:bCs/>
          <w:sz w:val="24"/>
          <w:szCs w:val="24"/>
          <w:vertAlign w:val="superscript"/>
        </w:rPr>
        <w:t>th</w:t>
      </w:r>
      <w:r w:rsidR="00BA2E7B" w:rsidRPr="00D56C91">
        <w:rPr>
          <w:bCs/>
          <w:sz w:val="24"/>
          <w:szCs w:val="24"/>
        </w:rPr>
        <w:t> </w:t>
      </w:r>
      <w:r w:rsidR="00A123A3" w:rsidRPr="00D56C91">
        <w:rPr>
          <w:bCs/>
          <w:sz w:val="24"/>
          <w:szCs w:val="24"/>
        </w:rPr>
        <w:t>day after notification).</w:t>
      </w:r>
    </w:p>
    <w:p w:rsidR="00A123A3" w:rsidRPr="00D56C91" w:rsidRDefault="00A123A3" w:rsidP="00A123A3">
      <w:pPr>
        <w:spacing w:after="0"/>
        <w:rPr>
          <w:bCs/>
          <w:sz w:val="24"/>
          <w:szCs w:val="24"/>
        </w:rPr>
      </w:pPr>
    </w:p>
    <w:p w:rsidR="00A123A3" w:rsidRPr="00D56C91" w:rsidRDefault="00A123A3" w:rsidP="00A123A3">
      <w:pPr>
        <w:spacing w:after="0"/>
        <w:rPr>
          <w:bCs/>
          <w:sz w:val="24"/>
          <w:szCs w:val="24"/>
        </w:rPr>
      </w:pPr>
      <w:r w:rsidRPr="00D56C91">
        <w:rPr>
          <w:bCs/>
          <w:sz w:val="24"/>
          <w:szCs w:val="24"/>
        </w:rPr>
        <w:t>To address this</w:t>
      </w:r>
      <w:r w:rsidR="00BA2E7B" w:rsidRPr="00D56C91">
        <w:rPr>
          <w:bCs/>
          <w:sz w:val="24"/>
          <w:szCs w:val="24"/>
        </w:rPr>
        <w:t xml:space="preserve"> commencement</w:t>
      </w:r>
      <w:r w:rsidRPr="00D56C91">
        <w:rPr>
          <w:bCs/>
          <w:sz w:val="24"/>
          <w:szCs w:val="24"/>
        </w:rPr>
        <w:t xml:space="preserve"> issue, amendment 4 amends clause 26 so that it includes only the amendment </w:t>
      </w:r>
      <w:r w:rsidR="00BA2E7B" w:rsidRPr="00D56C91">
        <w:rPr>
          <w:bCs/>
          <w:sz w:val="24"/>
          <w:szCs w:val="24"/>
        </w:rPr>
        <w:t xml:space="preserve">relating to the reporting of the </w:t>
      </w:r>
      <w:r w:rsidR="00291438" w:rsidRPr="00D56C91">
        <w:rPr>
          <w:bCs/>
          <w:sz w:val="24"/>
          <w:szCs w:val="24"/>
        </w:rPr>
        <w:t xml:space="preserve">total </w:t>
      </w:r>
      <w:r w:rsidR="00BA2E7B" w:rsidRPr="00D56C91">
        <w:rPr>
          <w:bCs/>
          <w:sz w:val="24"/>
          <w:szCs w:val="24"/>
        </w:rPr>
        <w:t xml:space="preserve">value of </w:t>
      </w:r>
      <w:r w:rsidR="00291438" w:rsidRPr="00D56C91">
        <w:rPr>
          <w:bCs/>
          <w:sz w:val="24"/>
          <w:szCs w:val="24"/>
        </w:rPr>
        <w:t xml:space="preserve">any </w:t>
      </w:r>
      <w:r w:rsidR="00BA2E7B" w:rsidRPr="00D56C91">
        <w:rPr>
          <w:bCs/>
          <w:sz w:val="24"/>
          <w:szCs w:val="24"/>
        </w:rPr>
        <w:t>contributions made to registered parties and associated entities. This provision is being relocated from existing section 166(2)(d) of the Gaming Machine Act to section 54 of the Act as part of the community contributions reforms.</w:t>
      </w:r>
      <w:r w:rsidR="00DF1F18" w:rsidRPr="00D56C91">
        <w:rPr>
          <w:bCs/>
          <w:sz w:val="24"/>
          <w:szCs w:val="24"/>
        </w:rPr>
        <w:t xml:space="preserve"> As set out in clause 2(4) of the Bill, clause 26 will commence on 1 July 2019, along with the other community contributions reforms.</w:t>
      </w:r>
    </w:p>
    <w:p w:rsidR="00BA2E7B" w:rsidRPr="00D56C91" w:rsidRDefault="00BA2E7B" w:rsidP="00A123A3">
      <w:pPr>
        <w:spacing w:after="0"/>
        <w:rPr>
          <w:bCs/>
          <w:sz w:val="24"/>
          <w:szCs w:val="24"/>
        </w:rPr>
      </w:pPr>
    </w:p>
    <w:p w:rsidR="00BA2E7B" w:rsidRPr="00D56C91" w:rsidRDefault="00DF1F18" w:rsidP="00A123A3">
      <w:pPr>
        <w:spacing w:after="0"/>
        <w:rPr>
          <w:bCs/>
          <w:sz w:val="24"/>
          <w:szCs w:val="24"/>
        </w:rPr>
      </w:pPr>
      <w:r w:rsidRPr="00D56C91">
        <w:rPr>
          <w:bCs/>
          <w:sz w:val="24"/>
          <w:szCs w:val="24"/>
        </w:rPr>
        <w:t xml:space="preserve">Amendment 5 moves the </w:t>
      </w:r>
      <w:r w:rsidR="00BA2E7B" w:rsidRPr="00D56C91">
        <w:rPr>
          <w:bCs/>
          <w:sz w:val="24"/>
          <w:szCs w:val="24"/>
        </w:rPr>
        <w:t xml:space="preserve">regulation-making power </w:t>
      </w:r>
      <w:r w:rsidRPr="00D56C91">
        <w:rPr>
          <w:bCs/>
          <w:sz w:val="24"/>
          <w:szCs w:val="24"/>
        </w:rPr>
        <w:t>to</w:t>
      </w:r>
      <w:r w:rsidR="00BA2E7B" w:rsidRPr="00D56C91">
        <w:rPr>
          <w:bCs/>
          <w:sz w:val="24"/>
          <w:szCs w:val="24"/>
        </w:rPr>
        <w:t xml:space="preserve"> new clause 26A. As set out in </w:t>
      </w:r>
      <w:r w:rsidR="00291438" w:rsidRPr="00D56C91">
        <w:rPr>
          <w:bCs/>
          <w:sz w:val="24"/>
          <w:szCs w:val="24"/>
        </w:rPr>
        <w:t>clause </w:t>
      </w:r>
      <w:r w:rsidRPr="00D56C91">
        <w:rPr>
          <w:bCs/>
          <w:sz w:val="24"/>
          <w:szCs w:val="24"/>
        </w:rPr>
        <w:t xml:space="preserve">2(6) of the Bill, the remaining provisions of the </w:t>
      </w:r>
      <w:r w:rsidR="00291438" w:rsidRPr="00D56C91">
        <w:rPr>
          <w:bCs/>
          <w:sz w:val="24"/>
          <w:szCs w:val="24"/>
        </w:rPr>
        <w:t>B</w:t>
      </w:r>
      <w:r w:rsidRPr="00D56C91">
        <w:rPr>
          <w:bCs/>
          <w:sz w:val="24"/>
          <w:szCs w:val="24"/>
        </w:rPr>
        <w:t>ill commence on the 7</w:t>
      </w:r>
      <w:r w:rsidRPr="00D56C91">
        <w:rPr>
          <w:bCs/>
          <w:sz w:val="24"/>
          <w:szCs w:val="24"/>
          <w:vertAlign w:val="superscript"/>
        </w:rPr>
        <w:t>th</w:t>
      </w:r>
      <w:r w:rsidRPr="00D56C91">
        <w:rPr>
          <w:bCs/>
          <w:sz w:val="24"/>
          <w:szCs w:val="24"/>
        </w:rPr>
        <w:t xml:space="preserve"> day after notification. Since clause 26A is not l</w:t>
      </w:r>
      <w:r w:rsidR="00291438" w:rsidRPr="00D56C91">
        <w:rPr>
          <w:bCs/>
          <w:sz w:val="24"/>
          <w:szCs w:val="24"/>
        </w:rPr>
        <w:t xml:space="preserve">isted elsewhere in clause 2, new clause 26A </w:t>
      </w:r>
      <w:r w:rsidRPr="00D56C91">
        <w:rPr>
          <w:bCs/>
          <w:sz w:val="24"/>
          <w:szCs w:val="24"/>
        </w:rPr>
        <w:t>is part of the ‘remaining provisions’ and will commence on the 7</w:t>
      </w:r>
      <w:r w:rsidRPr="00D56C91">
        <w:rPr>
          <w:bCs/>
          <w:sz w:val="24"/>
          <w:szCs w:val="24"/>
          <w:vertAlign w:val="superscript"/>
        </w:rPr>
        <w:t>th</w:t>
      </w:r>
      <w:r w:rsidRPr="00D56C91">
        <w:rPr>
          <w:bCs/>
          <w:sz w:val="24"/>
          <w:szCs w:val="24"/>
        </w:rPr>
        <w:t xml:space="preserve"> day after notification.</w:t>
      </w:r>
    </w:p>
    <w:p w:rsidR="00BA2E7B" w:rsidRPr="00D56C91" w:rsidRDefault="00BA2E7B" w:rsidP="00A123A3">
      <w:pPr>
        <w:spacing w:after="0"/>
        <w:rPr>
          <w:bCs/>
          <w:sz w:val="24"/>
          <w:szCs w:val="24"/>
        </w:rPr>
      </w:pPr>
    </w:p>
    <w:p w:rsidR="00BA2E7B" w:rsidRPr="00D56C91" w:rsidRDefault="00BA2E7B" w:rsidP="00A123A3">
      <w:pPr>
        <w:spacing w:after="0"/>
        <w:rPr>
          <w:bCs/>
          <w:sz w:val="24"/>
          <w:szCs w:val="24"/>
        </w:rPr>
      </w:pPr>
      <w:r w:rsidRPr="00D56C91">
        <w:rPr>
          <w:bCs/>
          <w:sz w:val="24"/>
          <w:szCs w:val="24"/>
        </w:rPr>
        <w:t xml:space="preserve">While these changes </w:t>
      </w:r>
      <w:r w:rsidR="00291438" w:rsidRPr="00D56C91">
        <w:rPr>
          <w:bCs/>
          <w:sz w:val="24"/>
          <w:szCs w:val="24"/>
        </w:rPr>
        <w:t xml:space="preserve">to resolve the commencement issue </w:t>
      </w:r>
      <w:r w:rsidRPr="00D56C91">
        <w:rPr>
          <w:bCs/>
          <w:sz w:val="24"/>
          <w:szCs w:val="24"/>
        </w:rPr>
        <w:t>have necessitated some renumbering of the new sections (former new section 54(e) is now new section 54(da)</w:t>
      </w:r>
      <w:r w:rsidR="00DF1F18" w:rsidRPr="00D56C91">
        <w:rPr>
          <w:bCs/>
          <w:sz w:val="24"/>
          <w:szCs w:val="24"/>
        </w:rPr>
        <w:t>;</w:t>
      </w:r>
      <w:r w:rsidRPr="00D56C91">
        <w:rPr>
          <w:bCs/>
          <w:sz w:val="24"/>
          <w:szCs w:val="24"/>
        </w:rPr>
        <w:t xml:space="preserve"> and former new section 54(f) is now new section 54(e)), the effect of the amendments has not changed.</w:t>
      </w:r>
    </w:p>
    <w:p w:rsidR="0015044F" w:rsidRPr="00D56C91" w:rsidRDefault="0015044F" w:rsidP="00BA2E7B">
      <w:pPr>
        <w:spacing w:after="0"/>
        <w:rPr>
          <w:bCs/>
          <w:sz w:val="24"/>
          <w:szCs w:val="24"/>
        </w:rPr>
      </w:pPr>
    </w:p>
    <w:p w:rsidR="0015044F" w:rsidRPr="00D56C91" w:rsidRDefault="001C3AE6" w:rsidP="0015044F">
      <w:pPr>
        <w:keepNext/>
        <w:ind w:left="2160" w:hanging="2160"/>
        <w:rPr>
          <w:b/>
          <w:bCs/>
          <w:sz w:val="24"/>
          <w:szCs w:val="24"/>
        </w:rPr>
      </w:pPr>
      <w:r w:rsidRPr="00D56C91">
        <w:rPr>
          <w:b/>
          <w:bCs/>
          <w:sz w:val="24"/>
          <w:szCs w:val="24"/>
        </w:rPr>
        <w:t>Amendment 6</w:t>
      </w:r>
      <w:r w:rsidRPr="00D56C91">
        <w:rPr>
          <w:b/>
          <w:bCs/>
          <w:sz w:val="24"/>
          <w:szCs w:val="24"/>
        </w:rPr>
        <w:tab/>
      </w:r>
      <w:r w:rsidR="0015044F" w:rsidRPr="00D56C91">
        <w:rPr>
          <w:b/>
          <w:bCs/>
          <w:sz w:val="24"/>
          <w:szCs w:val="24"/>
        </w:rPr>
        <w:t>Clause 71</w:t>
      </w:r>
      <w:r w:rsidR="0015044F" w:rsidRPr="00D56C91">
        <w:rPr>
          <w:b/>
          <w:bCs/>
          <w:sz w:val="24"/>
          <w:szCs w:val="24"/>
        </w:rPr>
        <w:br/>
        <w:t xml:space="preserve">Proposed new section 166 (1), definition of </w:t>
      </w:r>
      <w:r w:rsidR="0015044F" w:rsidRPr="00D56C91">
        <w:rPr>
          <w:b/>
          <w:bCs/>
          <w:i/>
          <w:sz w:val="24"/>
          <w:szCs w:val="24"/>
        </w:rPr>
        <w:t>community purpose</w:t>
      </w:r>
      <w:r w:rsidR="0015044F" w:rsidRPr="00D56C91">
        <w:rPr>
          <w:b/>
          <w:bCs/>
          <w:i/>
          <w:sz w:val="24"/>
          <w:szCs w:val="24"/>
        </w:rPr>
        <w:br/>
        <w:t>contribution</w:t>
      </w:r>
      <w:r w:rsidR="0015044F" w:rsidRPr="00D56C91">
        <w:rPr>
          <w:b/>
          <w:bCs/>
          <w:sz w:val="24"/>
          <w:szCs w:val="24"/>
        </w:rPr>
        <w:t>, paragraph (a) (ii)</w:t>
      </w:r>
      <w:r w:rsidR="0015044F" w:rsidRPr="00D56C91">
        <w:rPr>
          <w:b/>
          <w:bCs/>
          <w:sz w:val="24"/>
          <w:szCs w:val="24"/>
        </w:rPr>
        <w:br/>
        <w:t>Page 49, line 6</w:t>
      </w:r>
    </w:p>
    <w:p w:rsidR="00AC601B" w:rsidRPr="00D56C91" w:rsidRDefault="00AC601B" w:rsidP="00B426B2">
      <w:pPr>
        <w:spacing w:after="0"/>
        <w:rPr>
          <w:bCs/>
          <w:sz w:val="24"/>
          <w:szCs w:val="24"/>
        </w:rPr>
      </w:pPr>
      <w:r w:rsidRPr="00D56C91">
        <w:rPr>
          <w:bCs/>
          <w:sz w:val="24"/>
          <w:szCs w:val="24"/>
        </w:rPr>
        <w:t>Section 163A(1) of the Gaming Machine Act establishes required payments to the Problem Gambling Assistance Fund (to be renamed the Gambling Harm Prevention and Mitigation Fund in line with amendments in the Bill).</w:t>
      </w:r>
      <w:r w:rsidR="00796893" w:rsidRPr="00D56C91">
        <w:rPr>
          <w:bCs/>
          <w:sz w:val="24"/>
          <w:szCs w:val="24"/>
        </w:rPr>
        <w:t xml:space="preserve"> The required payment to the Fund under section 163A(1) is 0.75 per cent of gross gaming machine revenue.</w:t>
      </w:r>
    </w:p>
    <w:p w:rsidR="00B426B2" w:rsidRPr="00D56C91" w:rsidRDefault="00B426B2" w:rsidP="00B426B2">
      <w:pPr>
        <w:spacing w:after="0"/>
        <w:rPr>
          <w:bCs/>
          <w:sz w:val="24"/>
          <w:szCs w:val="24"/>
        </w:rPr>
      </w:pPr>
    </w:p>
    <w:p w:rsidR="00AC601B" w:rsidRPr="00D56C91" w:rsidRDefault="00653346" w:rsidP="00B426B2">
      <w:pPr>
        <w:spacing w:after="0"/>
        <w:rPr>
          <w:bCs/>
          <w:sz w:val="24"/>
          <w:szCs w:val="24"/>
        </w:rPr>
      </w:pPr>
      <w:r w:rsidRPr="00D56C91">
        <w:rPr>
          <w:bCs/>
          <w:sz w:val="24"/>
          <w:szCs w:val="24"/>
        </w:rPr>
        <w:t>A</w:t>
      </w:r>
      <w:r w:rsidR="001C3AE6" w:rsidRPr="00D56C91">
        <w:rPr>
          <w:bCs/>
          <w:sz w:val="24"/>
          <w:szCs w:val="24"/>
        </w:rPr>
        <w:t xml:space="preserve">mendment </w:t>
      </w:r>
      <w:r w:rsidRPr="00D56C91">
        <w:rPr>
          <w:bCs/>
          <w:sz w:val="24"/>
          <w:szCs w:val="24"/>
        </w:rPr>
        <w:t xml:space="preserve">6 </w:t>
      </w:r>
      <w:r w:rsidR="001C3AE6" w:rsidRPr="00D56C91">
        <w:rPr>
          <w:bCs/>
          <w:sz w:val="24"/>
          <w:szCs w:val="24"/>
        </w:rPr>
        <w:t xml:space="preserve">corrects an error in </w:t>
      </w:r>
      <w:r w:rsidR="00AC601B" w:rsidRPr="00D56C91">
        <w:rPr>
          <w:bCs/>
          <w:sz w:val="24"/>
          <w:szCs w:val="24"/>
        </w:rPr>
        <w:t xml:space="preserve">clause 71, new section 166(1) of the Bill to remove the reference to payments </w:t>
      </w:r>
      <w:r w:rsidRPr="00D56C91">
        <w:rPr>
          <w:bCs/>
          <w:sz w:val="24"/>
          <w:szCs w:val="24"/>
        </w:rPr>
        <w:t xml:space="preserve">to the Fund </w:t>
      </w:r>
      <w:r w:rsidRPr="00653346">
        <w:rPr>
          <w:bCs/>
          <w:sz w:val="24"/>
          <w:szCs w:val="24"/>
        </w:rPr>
        <w:t xml:space="preserve">required </w:t>
      </w:r>
      <w:r w:rsidR="00AC601B" w:rsidRPr="00D56C91">
        <w:rPr>
          <w:bCs/>
          <w:sz w:val="24"/>
          <w:szCs w:val="24"/>
        </w:rPr>
        <w:t xml:space="preserve">under section 163A(1) as an exclusion under the definition of </w:t>
      </w:r>
      <w:r w:rsidR="00AC601B" w:rsidRPr="00D56C91">
        <w:rPr>
          <w:bCs/>
          <w:i/>
          <w:sz w:val="24"/>
          <w:szCs w:val="24"/>
        </w:rPr>
        <w:t>community purpose contribution</w:t>
      </w:r>
      <w:r w:rsidR="00AC601B" w:rsidRPr="00D56C91">
        <w:rPr>
          <w:bCs/>
          <w:sz w:val="24"/>
          <w:szCs w:val="24"/>
        </w:rPr>
        <w:t>.</w:t>
      </w:r>
    </w:p>
    <w:p w:rsidR="00B426B2" w:rsidRPr="00D56C91" w:rsidRDefault="00B426B2" w:rsidP="00B426B2">
      <w:pPr>
        <w:spacing w:after="0"/>
        <w:rPr>
          <w:bCs/>
          <w:sz w:val="24"/>
          <w:szCs w:val="24"/>
        </w:rPr>
      </w:pPr>
    </w:p>
    <w:p w:rsidR="0082201E" w:rsidRPr="00D56C91" w:rsidRDefault="00932D3D" w:rsidP="00B426B2">
      <w:pPr>
        <w:spacing w:after="0"/>
        <w:rPr>
          <w:bCs/>
          <w:sz w:val="24"/>
          <w:szCs w:val="24"/>
        </w:rPr>
      </w:pPr>
      <w:r w:rsidRPr="00D56C91">
        <w:rPr>
          <w:bCs/>
          <w:sz w:val="24"/>
          <w:szCs w:val="24"/>
        </w:rPr>
        <w:t xml:space="preserve">The intention </w:t>
      </w:r>
      <w:r w:rsidR="00AC601B" w:rsidRPr="00D56C91">
        <w:rPr>
          <w:bCs/>
          <w:sz w:val="24"/>
          <w:szCs w:val="24"/>
        </w:rPr>
        <w:t xml:space="preserve">of this amendment </w:t>
      </w:r>
      <w:r w:rsidRPr="00D56C91">
        <w:rPr>
          <w:bCs/>
          <w:sz w:val="24"/>
          <w:szCs w:val="24"/>
        </w:rPr>
        <w:t xml:space="preserve">is </w:t>
      </w:r>
      <w:r w:rsidR="00115B4E" w:rsidRPr="00D56C91">
        <w:rPr>
          <w:bCs/>
          <w:sz w:val="24"/>
          <w:szCs w:val="24"/>
        </w:rPr>
        <w:t xml:space="preserve">to correct the error so </w:t>
      </w:r>
      <w:r w:rsidRPr="00D56C91">
        <w:rPr>
          <w:bCs/>
          <w:sz w:val="24"/>
          <w:szCs w:val="24"/>
        </w:rPr>
        <w:t>that required payments to the Gambling Harm Prevention and Mitigation Fund under section 163A(1) can be counted as a community purpose contribution, as is currently the case under the existing</w:t>
      </w:r>
      <w:r w:rsidR="00AC601B" w:rsidRPr="00D56C91">
        <w:rPr>
          <w:bCs/>
          <w:sz w:val="24"/>
          <w:szCs w:val="24"/>
        </w:rPr>
        <w:t xml:space="preserve"> community contributions</w:t>
      </w:r>
      <w:r w:rsidRPr="00D56C91">
        <w:rPr>
          <w:bCs/>
          <w:sz w:val="24"/>
          <w:szCs w:val="24"/>
        </w:rPr>
        <w:t xml:space="preserve"> scheme (see section 164 of the </w:t>
      </w:r>
      <w:r w:rsidR="00115B4E" w:rsidRPr="00D56C91">
        <w:rPr>
          <w:bCs/>
          <w:sz w:val="24"/>
          <w:szCs w:val="24"/>
        </w:rPr>
        <w:t>current</w:t>
      </w:r>
      <w:r w:rsidRPr="00D56C91">
        <w:rPr>
          <w:bCs/>
          <w:sz w:val="24"/>
          <w:szCs w:val="24"/>
        </w:rPr>
        <w:t xml:space="preserve"> Gaming Machine Act, definition of </w:t>
      </w:r>
      <w:r w:rsidRPr="00D56C91">
        <w:rPr>
          <w:bCs/>
          <w:i/>
          <w:sz w:val="24"/>
          <w:szCs w:val="24"/>
        </w:rPr>
        <w:t>contribution</w:t>
      </w:r>
      <w:r w:rsidRPr="00D56C91">
        <w:rPr>
          <w:bCs/>
          <w:sz w:val="24"/>
          <w:szCs w:val="24"/>
        </w:rPr>
        <w:t>, paragraph (b)(xvi)).</w:t>
      </w:r>
    </w:p>
    <w:p w:rsidR="00B426B2" w:rsidRPr="00D56C91" w:rsidRDefault="00B426B2" w:rsidP="00B426B2">
      <w:pPr>
        <w:spacing w:after="0"/>
        <w:rPr>
          <w:bCs/>
          <w:sz w:val="24"/>
          <w:szCs w:val="24"/>
        </w:rPr>
      </w:pPr>
    </w:p>
    <w:p w:rsidR="0015044F" w:rsidRPr="00D56C91" w:rsidRDefault="00653346" w:rsidP="00B426B2">
      <w:pPr>
        <w:spacing w:after="0"/>
        <w:rPr>
          <w:bCs/>
          <w:sz w:val="24"/>
          <w:szCs w:val="24"/>
        </w:rPr>
      </w:pPr>
      <w:r w:rsidRPr="00D56C91">
        <w:rPr>
          <w:bCs/>
          <w:sz w:val="24"/>
          <w:szCs w:val="24"/>
        </w:rPr>
        <w:t>However, t</w:t>
      </w:r>
      <w:r w:rsidR="0082201E" w:rsidRPr="00D56C91">
        <w:rPr>
          <w:bCs/>
          <w:sz w:val="24"/>
          <w:szCs w:val="24"/>
        </w:rPr>
        <w:t xml:space="preserve">he </w:t>
      </w:r>
      <w:r w:rsidR="0015044F" w:rsidRPr="00D56C91">
        <w:rPr>
          <w:bCs/>
          <w:sz w:val="24"/>
          <w:szCs w:val="24"/>
        </w:rPr>
        <w:t>new minimum community contribution to the Fund of 0.4 per cent of net gaming machine revenue</w:t>
      </w:r>
      <w:r w:rsidR="0082201E" w:rsidRPr="00D56C91">
        <w:rPr>
          <w:bCs/>
          <w:sz w:val="24"/>
          <w:szCs w:val="24"/>
        </w:rPr>
        <w:t xml:space="preserve">, </w:t>
      </w:r>
      <w:r w:rsidR="00291438" w:rsidRPr="00D56C91">
        <w:rPr>
          <w:bCs/>
          <w:sz w:val="24"/>
          <w:szCs w:val="24"/>
        </w:rPr>
        <w:t>required</w:t>
      </w:r>
      <w:r w:rsidR="0082201E" w:rsidRPr="00D56C91">
        <w:rPr>
          <w:bCs/>
          <w:sz w:val="24"/>
          <w:szCs w:val="24"/>
        </w:rPr>
        <w:t xml:space="preserve"> under new section </w:t>
      </w:r>
      <w:r w:rsidRPr="00D56C91">
        <w:rPr>
          <w:bCs/>
          <w:sz w:val="24"/>
          <w:szCs w:val="24"/>
        </w:rPr>
        <w:t>167(1)(b),</w:t>
      </w:r>
      <w:r w:rsidR="0015044F" w:rsidRPr="00D56C91">
        <w:rPr>
          <w:bCs/>
          <w:sz w:val="24"/>
          <w:szCs w:val="24"/>
        </w:rPr>
        <w:t xml:space="preserve"> will not be able to be counted as </w:t>
      </w:r>
      <w:r w:rsidR="0082201E" w:rsidRPr="00D56C91">
        <w:rPr>
          <w:bCs/>
          <w:sz w:val="24"/>
          <w:szCs w:val="24"/>
        </w:rPr>
        <w:t xml:space="preserve">part of a club’s </w:t>
      </w:r>
      <w:r w:rsidR="0015044F" w:rsidRPr="00D56C91">
        <w:rPr>
          <w:bCs/>
          <w:sz w:val="24"/>
          <w:szCs w:val="24"/>
        </w:rPr>
        <w:t xml:space="preserve">community </w:t>
      </w:r>
      <w:r w:rsidR="0082201E" w:rsidRPr="00D56C91">
        <w:rPr>
          <w:bCs/>
          <w:sz w:val="24"/>
          <w:szCs w:val="24"/>
        </w:rPr>
        <w:t>purpose contributions.</w:t>
      </w:r>
    </w:p>
    <w:p w:rsidR="001C3AE6" w:rsidRPr="00D56C91" w:rsidRDefault="001C3AE6" w:rsidP="00B426B2">
      <w:pPr>
        <w:spacing w:after="0"/>
        <w:rPr>
          <w:bCs/>
          <w:sz w:val="24"/>
          <w:szCs w:val="24"/>
        </w:rPr>
      </w:pPr>
    </w:p>
    <w:p w:rsidR="001C3AE6" w:rsidRPr="00D56C91" w:rsidRDefault="0015044F" w:rsidP="00653346">
      <w:pPr>
        <w:keepNext/>
        <w:ind w:left="2160" w:hanging="2160"/>
        <w:rPr>
          <w:b/>
          <w:bCs/>
          <w:sz w:val="24"/>
          <w:szCs w:val="24"/>
        </w:rPr>
      </w:pPr>
      <w:r w:rsidRPr="00D56C91">
        <w:rPr>
          <w:b/>
          <w:bCs/>
          <w:sz w:val="24"/>
          <w:szCs w:val="24"/>
        </w:rPr>
        <w:t>Amendment 7</w:t>
      </w:r>
      <w:r w:rsidRPr="00D56C91">
        <w:rPr>
          <w:b/>
          <w:bCs/>
          <w:sz w:val="24"/>
          <w:szCs w:val="24"/>
        </w:rPr>
        <w:tab/>
        <w:t>Clause 109</w:t>
      </w:r>
      <w:r w:rsidRPr="00D56C91">
        <w:rPr>
          <w:b/>
          <w:bCs/>
          <w:sz w:val="24"/>
          <w:szCs w:val="24"/>
        </w:rPr>
        <w:br/>
        <w:t>Proposed new section 35 heading</w:t>
      </w:r>
      <w:r w:rsidRPr="00D56C91">
        <w:rPr>
          <w:b/>
          <w:bCs/>
          <w:sz w:val="24"/>
          <w:szCs w:val="24"/>
        </w:rPr>
        <w:br/>
        <w:t>Page 67, line 13</w:t>
      </w:r>
    </w:p>
    <w:p w:rsidR="005F4764" w:rsidRDefault="005F4764" w:rsidP="00B426B2">
      <w:pPr>
        <w:spacing w:after="0"/>
        <w:rPr>
          <w:bCs/>
          <w:sz w:val="24"/>
          <w:szCs w:val="24"/>
        </w:rPr>
      </w:pPr>
      <w:r w:rsidRPr="00653346">
        <w:rPr>
          <w:bCs/>
          <w:sz w:val="24"/>
          <w:szCs w:val="24"/>
        </w:rPr>
        <w:t>Clause 109 of the Bill is part of amendments relating to expired cashless gaming credits.</w:t>
      </w:r>
    </w:p>
    <w:p w:rsidR="00B426B2" w:rsidRDefault="00B426B2" w:rsidP="00B426B2">
      <w:pPr>
        <w:spacing w:after="0"/>
        <w:rPr>
          <w:bCs/>
          <w:sz w:val="24"/>
          <w:szCs w:val="24"/>
        </w:rPr>
      </w:pPr>
    </w:p>
    <w:p w:rsidR="00755C24" w:rsidRDefault="00653346" w:rsidP="00B426B2">
      <w:pPr>
        <w:spacing w:after="0"/>
        <w:rPr>
          <w:bCs/>
          <w:sz w:val="24"/>
          <w:szCs w:val="24"/>
        </w:rPr>
      </w:pPr>
      <w:r>
        <w:rPr>
          <w:bCs/>
          <w:sz w:val="24"/>
          <w:szCs w:val="24"/>
        </w:rPr>
        <w:t>Amendment 7</w:t>
      </w:r>
      <w:r w:rsidR="00755C24" w:rsidRPr="00755C24">
        <w:rPr>
          <w:bCs/>
          <w:sz w:val="24"/>
          <w:szCs w:val="24"/>
        </w:rPr>
        <w:t xml:space="preserve"> </w:t>
      </w:r>
      <w:r>
        <w:rPr>
          <w:bCs/>
          <w:sz w:val="24"/>
          <w:szCs w:val="24"/>
        </w:rPr>
        <w:t xml:space="preserve">is a minor and technical amendment that </w:t>
      </w:r>
      <w:r w:rsidR="00755C24" w:rsidRPr="00755C24">
        <w:rPr>
          <w:bCs/>
          <w:sz w:val="24"/>
          <w:szCs w:val="24"/>
        </w:rPr>
        <w:t>mo</w:t>
      </w:r>
      <w:r w:rsidR="00755C24">
        <w:rPr>
          <w:bCs/>
          <w:sz w:val="24"/>
          <w:szCs w:val="24"/>
        </w:rPr>
        <w:t xml:space="preserve">difies the heading of section 35 of the </w:t>
      </w:r>
      <w:r w:rsidR="00755C24" w:rsidRPr="00755C24">
        <w:rPr>
          <w:bCs/>
          <w:i/>
          <w:sz w:val="24"/>
          <w:szCs w:val="24"/>
        </w:rPr>
        <w:t>Gaming Machine Regulation 2004</w:t>
      </w:r>
      <w:r w:rsidR="00755C24" w:rsidRPr="00755C24">
        <w:rPr>
          <w:bCs/>
          <w:sz w:val="24"/>
          <w:szCs w:val="24"/>
        </w:rPr>
        <w:t xml:space="preserve"> so that it more accurately reflects the provisions of the section</w:t>
      </w:r>
      <w:r w:rsidR="005F4764">
        <w:rPr>
          <w:bCs/>
          <w:sz w:val="24"/>
          <w:szCs w:val="24"/>
        </w:rPr>
        <w:t xml:space="preserve"> and the power under which it is made, which is section 54 of the Gaming Machine Act. Section 54 of the Gaming Machine Act relates to club annual reports.</w:t>
      </w:r>
    </w:p>
    <w:p w:rsidR="00755C24" w:rsidRPr="00D56C91" w:rsidRDefault="00755C24" w:rsidP="00B426B2">
      <w:pPr>
        <w:spacing w:after="0"/>
        <w:rPr>
          <w:bCs/>
          <w:sz w:val="24"/>
          <w:szCs w:val="24"/>
        </w:rPr>
      </w:pPr>
    </w:p>
    <w:p w:rsidR="0015044F" w:rsidRPr="0015044F" w:rsidRDefault="0015044F" w:rsidP="0015044F">
      <w:pPr>
        <w:ind w:left="2160" w:hanging="2160"/>
        <w:rPr>
          <w:b/>
          <w:bCs/>
          <w:sz w:val="24"/>
          <w:szCs w:val="24"/>
        </w:rPr>
      </w:pPr>
      <w:r>
        <w:rPr>
          <w:b/>
          <w:bCs/>
          <w:sz w:val="24"/>
          <w:szCs w:val="24"/>
        </w:rPr>
        <w:t>Amendment 8</w:t>
      </w:r>
      <w:r w:rsidRPr="0015044F">
        <w:rPr>
          <w:b/>
          <w:bCs/>
          <w:sz w:val="24"/>
          <w:szCs w:val="24"/>
        </w:rPr>
        <w:tab/>
        <w:t>Clause 109</w:t>
      </w:r>
      <w:r w:rsidRPr="0015044F">
        <w:rPr>
          <w:b/>
          <w:bCs/>
          <w:sz w:val="24"/>
          <w:szCs w:val="24"/>
        </w:rPr>
        <w:br/>
      </w:r>
      <w:r>
        <w:rPr>
          <w:b/>
          <w:bCs/>
          <w:sz w:val="24"/>
          <w:szCs w:val="24"/>
        </w:rPr>
        <w:t>Proposed new section 35</w:t>
      </w:r>
      <w:r w:rsidRPr="0015044F">
        <w:rPr>
          <w:b/>
          <w:bCs/>
          <w:sz w:val="24"/>
          <w:szCs w:val="24"/>
        </w:rPr>
        <w:br/>
        <w:t xml:space="preserve">Page 67, </w:t>
      </w:r>
      <w:r>
        <w:rPr>
          <w:b/>
          <w:bCs/>
          <w:sz w:val="24"/>
          <w:szCs w:val="24"/>
        </w:rPr>
        <w:t>line 14</w:t>
      </w:r>
    </w:p>
    <w:p w:rsidR="0015044F" w:rsidRPr="0015044F" w:rsidRDefault="0015044F" w:rsidP="0015044F">
      <w:pPr>
        <w:ind w:left="2160" w:hanging="2160"/>
        <w:rPr>
          <w:b/>
          <w:bCs/>
          <w:sz w:val="24"/>
          <w:szCs w:val="24"/>
        </w:rPr>
      </w:pPr>
      <w:r>
        <w:rPr>
          <w:b/>
          <w:bCs/>
          <w:sz w:val="24"/>
          <w:szCs w:val="24"/>
        </w:rPr>
        <w:t>Amendment 9</w:t>
      </w:r>
      <w:r w:rsidRPr="0015044F">
        <w:rPr>
          <w:b/>
          <w:bCs/>
          <w:sz w:val="24"/>
          <w:szCs w:val="24"/>
        </w:rPr>
        <w:tab/>
        <w:t>Clause 109</w:t>
      </w:r>
      <w:r w:rsidRPr="0015044F">
        <w:rPr>
          <w:b/>
          <w:bCs/>
          <w:sz w:val="24"/>
          <w:szCs w:val="24"/>
        </w:rPr>
        <w:br/>
      </w:r>
      <w:r>
        <w:rPr>
          <w:b/>
          <w:bCs/>
          <w:sz w:val="24"/>
          <w:szCs w:val="24"/>
        </w:rPr>
        <w:t>Proposed new section 35</w:t>
      </w:r>
      <w:r w:rsidRPr="0015044F">
        <w:rPr>
          <w:b/>
          <w:bCs/>
          <w:sz w:val="24"/>
          <w:szCs w:val="24"/>
        </w:rPr>
        <w:br/>
        <w:t xml:space="preserve">Page 67, </w:t>
      </w:r>
      <w:r>
        <w:rPr>
          <w:b/>
          <w:bCs/>
          <w:sz w:val="24"/>
          <w:szCs w:val="24"/>
        </w:rPr>
        <w:t>line 15</w:t>
      </w:r>
    </w:p>
    <w:p w:rsidR="0015044F" w:rsidRPr="0015044F" w:rsidRDefault="0015044F" w:rsidP="0015044F">
      <w:pPr>
        <w:ind w:left="2160" w:hanging="2160"/>
        <w:rPr>
          <w:b/>
          <w:bCs/>
          <w:sz w:val="24"/>
          <w:szCs w:val="24"/>
        </w:rPr>
      </w:pPr>
      <w:r>
        <w:rPr>
          <w:b/>
          <w:bCs/>
          <w:sz w:val="24"/>
          <w:szCs w:val="24"/>
        </w:rPr>
        <w:t>Amendment 10</w:t>
      </w:r>
      <w:r w:rsidRPr="0015044F">
        <w:rPr>
          <w:b/>
          <w:bCs/>
          <w:sz w:val="24"/>
          <w:szCs w:val="24"/>
        </w:rPr>
        <w:tab/>
        <w:t>Clause 109</w:t>
      </w:r>
      <w:r w:rsidRPr="0015044F">
        <w:rPr>
          <w:b/>
          <w:bCs/>
          <w:sz w:val="24"/>
          <w:szCs w:val="24"/>
        </w:rPr>
        <w:br/>
      </w:r>
      <w:r>
        <w:rPr>
          <w:b/>
          <w:bCs/>
          <w:sz w:val="24"/>
          <w:szCs w:val="24"/>
        </w:rPr>
        <w:t>Proposed new section 35</w:t>
      </w:r>
      <w:r w:rsidR="00084076">
        <w:rPr>
          <w:b/>
          <w:bCs/>
          <w:sz w:val="24"/>
          <w:szCs w:val="24"/>
        </w:rPr>
        <w:t>(a)</w:t>
      </w:r>
      <w:r w:rsidRPr="0015044F">
        <w:rPr>
          <w:b/>
          <w:bCs/>
          <w:sz w:val="24"/>
          <w:szCs w:val="24"/>
        </w:rPr>
        <w:br/>
        <w:t xml:space="preserve">Page 67, </w:t>
      </w:r>
      <w:r>
        <w:rPr>
          <w:b/>
          <w:bCs/>
          <w:sz w:val="24"/>
          <w:szCs w:val="24"/>
        </w:rPr>
        <w:t>line 17</w:t>
      </w:r>
    </w:p>
    <w:p w:rsidR="0015044F" w:rsidRPr="0015044F" w:rsidRDefault="0015044F" w:rsidP="0015044F">
      <w:pPr>
        <w:ind w:left="2160" w:hanging="2160"/>
        <w:rPr>
          <w:b/>
          <w:bCs/>
          <w:sz w:val="24"/>
          <w:szCs w:val="24"/>
        </w:rPr>
      </w:pPr>
      <w:r>
        <w:rPr>
          <w:b/>
          <w:bCs/>
          <w:sz w:val="24"/>
          <w:szCs w:val="24"/>
        </w:rPr>
        <w:t>Amendment 11</w:t>
      </w:r>
      <w:r w:rsidRPr="0015044F">
        <w:rPr>
          <w:b/>
          <w:bCs/>
          <w:sz w:val="24"/>
          <w:szCs w:val="24"/>
        </w:rPr>
        <w:tab/>
        <w:t>Clause 109</w:t>
      </w:r>
      <w:r w:rsidRPr="0015044F">
        <w:rPr>
          <w:b/>
          <w:bCs/>
          <w:sz w:val="24"/>
          <w:szCs w:val="24"/>
        </w:rPr>
        <w:br/>
      </w:r>
      <w:r>
        <w:rPr>
          <w:b/>
          <w:bCs/>
          <w:sz w:val="24"/>
          <w:szCs w:val="24"/>
        </w:rPr>
        <w:t>Proposed new section 35</w:t>
      </w:r>
      <w:r w:rsidR="00084076">
        <w:rPr>
          <w:b/>
          <w:bCs/>
          <w:sz w:val="24"/>
          <w:szCs w:val="24"/>
        </w:rPr>
        <w:t>(b)</w:t>
      </w:r>
      <w:r w:rsidRPr="0015044F">
        <w:rPr>
          <w:b/>
          <w:bCs/>
          <w:sz w:val="24"/>
          <w:szCs w:val="24"/>
        </w:rPr>
        <w:br/>
        <w:t xml:space="preserve">Page 67, </w:t>
      </w:r>
      <w:r>
        <w:rPr>
          <w:b/>
          <w:bCs/>
          <w:sz w:val="24"/>
          <w:szCs w:val="24"/>
        </w:rPr>
        <w:t>line 19</w:t>
      </w:r>
    </w:p>
    <w:p w:rsidR="00AC601B" w:rsidRPr="00D56C91" w:rsidRDefault="00AC601B" w:rsidP="00B426B2">
      <w:pPr>
        <w:spacing w:after="0"/>
        <w:rPr>
          <w:bCs/>
          <w:sz w:val="24"/>
          <w:szCs w:val="24"/>
        </w:rPr>
      </w:pPr>
      <w:r w:rsidRPr="00D56C91">
        <w:rPr>
          <w:bCs/>
          <w:sz w:val="24"/>
          <w:szCs w:val="24"/>
        </w:rPr>
        <w:t>As noted above, clause 109 of the Bill is part of amendments relating to expired cashless gaming credits.</w:t>
      </w:r>
    </w:p>
    <w:p w:rsidR="00B426B2" w:rsidRPr="00D56C91" w:rsidRDefault="00B426B2" w:rsidP="00B426B2">
      <w:pPr>
        <w:spacing w:after="0"/>
        <w:rPr>
          <w:bCs/>
          <w:sz w:val="24"/>
          <w:szCs w:val="24"/>
        </w:rPr>
      </w:pPr>
    </w:p>
    <w:p w:rsidR="00DF1F18" w:rsidRPr="00DF1F18" w:rsidRDefault="00AC601B" w:rsidP="00DF1F18">
      <w:pPr>
        <w:spacing w:after="0"/>
        <w:rPr>
          <w:bCs/>
          <w:sz w:val="24"/>
          <w:szCs w:val="24"/>
        </w:rPr>
      </w:pPr>
      <w:r w:rsidRPr="00D56C91">
        <w:rPr>
          <w:bCs/>
          <w:sz w:val="24"/>
          <w:szCs w:val="24"/>
        </w:rPr>
        <w:t>Amendments 8 to 11 are minor</w:t>
      </w:r>
      <w:r w:rsidR="00653346" w:rsidRPr="00D56C91">
        <w:rPr>
          <w:bCs/>
          <w:sz w:val="24"/>
          <w:szCs w:val="24"/>
        </w:rPr>
        <w:t xml:space="preserve"> and</w:t>
      </w:r>
      <w:r w:rsidRPr="00D56C91">
        <w:rPr>
          <w:bCs/>
          <w:sz w:val="24"/>
          <w:szCs w:val="24"/>
        </w:rPr>
        <w:t xml:space="preserve"> technical amendments to ensure the wording used in section 35 of the Gaming Machine Regulation as amended by the Bill better reflects that the power under which that section is made (section 54 of the Gaming Machine Act) relates to club annual reports.</w:t>
      </w:r>
    </w:p>
    <w:sectPr w:rsidR="00DF1F18" w:rsidRPr="00DF1F18" w:rsidSect="00633F24">
      <w:headerReference w:type="even" r:id="rId8"/>
      <w:headerReference w:type="default" r:id="rId9"/>
      <w:footerReference w:type="even" r:id="rId10"/>
      <w:footerReference w:type="default" r:id="rId11"/>
      <w:headerReference w:type="first" r:id="rId12"/>
      <w:footerReference w:type="first" r:id="rId13"/>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A9" w:rsidRDefault="00320AA9" w:rsidP="00007B72">
      <w:pPr>
        <w:spacing w:after="0" w:line="240" w:lineRule="auto"/>
      </w:pPr>
      <w:r>
        <w:separator/>
      </w:r>
    </w:p>
  </w:endnote>
  <w:endnote w:type="continuationSeparator" w:id="0">
    <w:p w:rsidR="00320AA9" w:rsidRDefault="00320AA9" w:rsidP="0000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DE" w:rsidRDefault="00631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E6" w:rsidRDefault="00FB5D2C">
    <w:pPr>
      <w:pStyle w:val="Footer"/>
      <w:jc w:val="right"/>
      <w:rPr>
        <w:noProof/>
      </w:rPr>
    </w:pPr>
    <w:r>
      <w:rPr>
        <w:noProof/>
      </w:rPr>
      <w:fldChar w:fldCharType="begin"/>
    </w:r>
    <w:r>
      <w:rPr>
        <w:noProof/>
      </w:rPr>
      <w:instrText xml:space="preserve"> PAGE   \* MERGEFORMAT </w:instrText>
    </w:r>
    <w:r>
      <w:rPr>
        <w:noProof/>
      </w:rPr>
      <w:fldChar w:fldCharType="separate"/>
    </w:r>
    <w:r w:rsidR="006312DE">
      <w:rPr>
        <w:noProof/>
      </w:rPr>
      <w:t>1</w:t>
    </w:r>
    <w:r>
      <w:rPr>
        <w:noProof/>
      </w:rPr>
      <w:fldChar w:fldCharType="end"/>
    </w:r>
  </w:p>
  <w:p w:rsidR="006312DE" w:rsidRPr="006312DE" w:rsidRDefault="006312DE" w:rsidP="006312DE">
    <w:pPr>
      <w:pStyle w:val="Footer"/>
      <w:jc w:val="center"/>
      <w:rPr>
        <w:rFonts w:ascii="Arial" w:hAnsi="Arial" w:cs="Arial"/>
        <w:sz w:val="14"/>
      </w:rPr>
    </w:pPr>
    <w:r w:rsidRPr="006312D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DE" w:rsidRDefault="0063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A9" w:rsidRDefault="00320AA9" w:rsidP="00007B72">
      <w:pPr>
        <w:spacing w:after="0" w:line="240" w:lineRule="auto"/>
      </w:pPr>
      <w:r>
        <w:separator/>
      </w:r>
    </w:p>
  </w:footnote>
  <w:footnote w:type="continuationSeparator" w:id="0">
    <w:p w:rsidR="00320AA9" w:rsidRDefault="00320AA9" w:rsidP="0000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DE" w:rsidRDefault="00631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DE" w:rsidRDefault="00631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DE" w:rsidRDefault="00631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CE9"/>
    <w:multiLevelType w:val="multilevel"/>
    <w:tmpl w:val="2F3209DA"/>
    <w:lvl w:ilvl="0">
      <w:start w:val="1"/>
      <w:numFmt w:val="decimal"/>
      <w:pStyle w:val="Part"/>
      <w:suff w:val="space"/>
      <w:lvlText w:val="Part %1 - "/>
      <w:lvlJc w:val="left"/>
      <w:pPr>
        <w:ind w:left="426"/>
      </w:pPr>
      <w:rPr>
        <w:rFonts w:ascii="Times New Roman" w:hAnsi="Times New Roman" w:cs="Times New Roman" w:hint="default"/>
        <w:b/>
        <w:i w:val="0"/>
        <w:sz w:val="28"/>
      </w:rPr>
    </w:lvl>
    <w:lvl w:ilvl="1">
      <w:start w:val="1"/>
      <w:numFmt w:val="decimal"/>
      <w:lvlRestart w:val="0"/>
      <w:pStyle w:val="Clause"/>
      <w:suff w:val="nothing"/>
      <w:lvlText w:val="Clause %2 - "/>
      <w:lvlJc w:val="left"/>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 w15:restartNumberingAfterBreak="0">
    <w:nsid w:val="34BC3DFC"/>
    <w:multiLevelType w:val="hybridMultilevel"/>
    <w:tmpl w:val="13809C5E"/>
    <w:lvl w:ilvl="0" w:tplc="756AC8C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3D616F"/>
    <w:multiLevelType w:val="hybridMultilevel"/>
    <w:tmpl w:val="7A12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6F1F85"/>
    <w:multiLevelType w:val="hybridMultilevel"/>
    <w:tmpl w:val="EC74A6AE"/>
    <w:lvl w:ilvl="0" w:tplc="756AC8C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F37EF9"/>
    <w:multiLevelType w:val="hybridMultilevel"/>
    <w:tmpl w:val="E8B4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393A49"/>
    <w:multiLevelType w:val="hybridMultilevel"/>
    <w:tmpl w:val="9424B6F2"/>
    <w:lvl w:ilvl="0" w:tplc="756AC8C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C7"/>
    <w:rsid w:val="0000257B"/>
    <w:rsid w:val="00007B72"/>
    <w:rsid w:val="00010123"/>
    <w:rsid w:val="000340B8"/>
    <w:rsid w:val="0003610E"/>
    <w:rsid w:val="00044BCB"/>
    <w:rsid w:val="00045054"/>
    <w:rsid w:val="000453AE"/>
    <w:rsid w:val="00053291"/>
    <w:rsid w:val="000545B6"/>
    <w:rsid w:val="00055BA7"/>
    <w:rsid w:val="00062693"/>
    <w:rsid w:val="000709E7"/>
    <w:rsid w:val="00074BC4"/>
    <w:rsid w:val="00076271"/>
    <w:rsid w:val="0008337F"/>
    <w:rsid w:val="00084076"/>
    <w:rsid w:val="00087D84"/>
    <w:rsid w:val="00091DFD"/>
    <w:rsid w:val="000C010A"/>
    <w:rsid w:val="000C21CD"/>
    <w:rsid w:val="000D4E62"/>
    <w:rsid w:val="000F4752"/>
    <w:rsid w:val="0010275B"/>
    <w:rsid w:val="00113A8F"/>
    <w:rsid w:val="00115B4E"/>
    <w:rsid w:val="00122256"/>
    <w:rsid w:val="00123581"/>
    <w:rsid w:val="00130315"/>
    <w:rsid w:val="00142692"/>
    <w:rsid w:val="0015044F"/>
    <w:rsid w:val="0015690F"/>
    <w:rsid w:val="0015715F"/>
    <w:rsid w:val="001721D5"/>
    <w:rsid w:val="00182E65"/>
    <w:rsid w:val="00184EB1"/>
    <w:rsid w:val="00185C92"/>
    <w:rsid w:val="001A1E5A"/>
    <w:rsid w:val="001A4EC9"/>
    <w:rsid w:val="001A7BCE"/>
    <w:rsid w:val="001B5B7C"/>
    <w:rsid w:val="001C3AE6"/>
    <w:rsid w:val="001D0BE8"/>
    <w:rsid w:val="001D2F33"/>
    <w:rsid w:val="001E011B"/>
    <w:rsid w:val="001F636D"/>
    <w:rsid w:val="00211C51"/>
    <w:rsid w:val="0022358E"/>
    <w:rsid w:val="00224F64"/>
    <w:rsid w:val="00232444"/>
    <w:rsid w:val="002524DB"/>
    <w:rsid w:val="0025341F"/>
    <w:rsid w:val="002643D0"/>
    <w:rsid w:val="00271FE6"/>
    <w:rsid w:val="00275D5E"/>
    <w:rsid w:val="00291438"/>
    <w:rsid w:val="002A0E72"/>
    <w:rsid w:val="002A7E1C"/>
    <w:rsid w:val="002E1505"/>
    <w:rsid w:val="002E49BC"/>
    <w:rsid w:val="003079E7"/>
    <w:rsid w:val="00320AA9"/>
    <w:rsid w:val="0032407B"/>
    <w:rsid w:val="00324331"/>
    <w:rsid w:val="003250D4"/>
    <w:rsid w:val="0034020D"/>
    <w:rsid w:val="00340344"/>
    <w:rsid w:val="00345EDE"/>
    <w:rsid w:val="00354903"/>
    <w:rsid w:val="003554A0"/>
    <w:rsid w:val="00355588"/>
    <w:rsid w:val="00355869"/>
    <w:rsid w:val="003625AD"/>
    <w:rsid w:val="00374D56"/>
    <w:rsid w:val="0039076D"/>
    <w:rsid w:val="0039350C"/>
    <w:rsid w:val="003A641C"/>
    <w:rsid w:val="003B459D"/>
    <w:rsid w:val="003D6AD0"/>
    <w:rsid w:val="003E22C1"/>
    <w:rsid w:val="003E2F10"/>
    <w:rsid w:val="003E3884"/>
    <w:rsid w:val="003F6DFD"/>
    <w:rsid w:val="004019CE"/>
    <w:rsid w:val="00407CE7"/>
    <w:rsid w:val="00415982"/>
    <w:rsid w:val="004246A7"/>
    <w:rsid w:val="00436DFE"/>
    <w:rsid w:val="004408A0"/>
    <w:rsid w:val="0044345B"/>
    <w:rsid w:val="004550B4"/>
    <w:rsid w:val="004553B3"/>
    <w:rsid w:val="00463106"/>
    <w:rsid w:val="004821B1"/>
    <w:rsid w:val="0048611B"/>
    <w:rsid w:val="00486F34"/>
    <w:rsid w:val="00497ED2"/>
    <w:rsid w:val="004A1CB9"/>
    <w:rsid w:val="004C2D37"/>
    <w:rsid w:val="004D6769"/>
    <w:rsid w:val="004D7E86"/>
    <w:rsid w:val="004E570D"/>
    <w:rsid w:val="004F2AFB"/>
    <w:rsid w:val="004F2BB9"/>
    <w:rsid w:val="004F53BF"/>
    <w:rsid w:val="004F618B"/>
    <w:rsid w:val="005152CC"/>
    <w:rsid w:val="00517068"/>
    <w:rsid w:val="00520015"/>
    <w:rsid w:val="00530860"/>
    <w:rsid w:val="00532597"/>
    <w:rsid w:val="00543862"/>
    <w:rsid w:val="0059170C"/>
    <w:rsid w:val="005C230A"/>
    <w:rsid w:val="005C5AC7"/>
    <w:rsid w:val="005D03E6"/>
    <w:rsid w:val="005D0E14"/>
    <w:rsid w:val="005F0029"/>
    <w:rsid w:val="005F4764"/>
    <w:rsid w:val="00601370"/>
    <w:rsid w:val="00601FAD"/>
    <w:rsid w:val="0061617E"/>
    <w:rsid w:val="006245D6"/>
    <w:rsid w:val="00627194"/>
    <w:rsid w:val="006271EE"/>
    <w:rsid w:val="00631024"/>
    <w:rsid w:val="006312DE"/>
    <w:rsid w:val="00633F24"/>
    <w:rsid w:val="00633FB2"/>
    <w:rsid w:val="00636A6D"/>
    <w:rsid w:val="00652710"/>
    <w:rsid w:val="00653346"/>
    <w:rsid w:val="0065435E"/>
    <w:rsid w:val="006543EA"/>
    <w:rsid w:val="006569F3"/>
    <w:rsid w:val="00662B2D"/>
    <w:rsid w:val="006672E5"/>
    <w:rsid w:val="0067013E"/>
    <w:rsid w:val="0068550E"/>
    <w:rsid w:val="00693D3E"/>
    <w:rsid w:val="0069661D"/>
    <w:rsid w:val="006A2E99"/>
    <w:rsid w:val="006C126D"/>
    <w:rsid w:val="006C26FD"/>
    <w:rsid w:val="006C3BE8"/>
    <w:rsid w:val="006D7788"/>
    <w:rsid w:val="006F3ABE"/>
    <w:rsid w:val="007033EC"/>
    <w:rsid w:val="00705CED"/>
    <w:rsid w:val="0071374B"/>
    <w:rsid w:val="007169FD"/>
    <w:rsid w:val="007200BF"/>
    <w:rsid w:val="007407F1"/>
    <w:rsid w:val="00742C07"/>
    <w:rsid w:val="00743B41"/>
    <w:rsid w:val="00745CC4"/>
    <w:rsid w:val="00753DDB"/>
    <w:rsid w:val="007559AE"/>
    <w:rsid w:val="00755C24"/>
    <w:rsid w:val="00756B3F"/>
    <w:rsid w:val="00766BDE"/>
    <w:rsid w:val="00772908"/>
    <w:rsid w:val="007753F7"/>
    <w:rsid w:val="00796893"/>
    <w:rsid w:val="007A120B"/>
    <w:rsid w:val="007A5536"/>
    <w:rsid w:val="007A7099"/>
    <w:rsid w:val="007C168C"/>
    <w:rsid w:val="007D1301"/>
    <w:rsid w:val="007F394D"/>
    <w:rsid w:val="007F5AFD"/>
    <w:rsid w:val="007F62E9"/>
    <w:rsid w:val="007F6C7E"/>
    <w:rsid w:val="008038FF"/>
    <w:rsid w:val="00815963"/>
    <w:rsid w:val="00817387"/>
    <w:rsid w:val="0082201E"/>
    <w:rsid w:val="00834F2F"/>
    <w:rsid w:val="008718A3"/>
    <w:rsid w:val="00890952"/>
    <w:rsid w:val="008A66BE"/>
    <w:rsid w:val="008E1B3A"/>
    <w:rsid w:val="008E5447"/>
    <w:rsid w:val="008E7663"/>
    <w:rsid w:val="008F0365"/>
    <w:rsid w:val="008F7FF7"/>
    <w:rsid w:val="00900367"/>
    <w:rsid w:val="00901533"/>
    <w:rsid w:val="00901C9B"/>
    <w:rsid w:val="00906005"/>
    <w:rsid w:val="00914C14"/>
    <w:rsid w:val="00925754"/>
    <w:rsid w:val="00932D3D"/>
    <w:rsid w:val="0097080E"/>
    <w:rsid w:val="0097673F"/>
    <w:rsid w:val="009925F8"/>
    <w:rsid w:val="00996569"/>
    <w:rsid w:val="009B2785"/>
    <w:rsid w:val="009B4B9A"/>
    <w:rsid w:val="009C7A44"/>
    <w:rsid w:val="009D7A30"/>
    <w:rsid w:val="009E7F46"/>
    <w:rsid w:val="00A0340F"/>
    <w:rsid w:val="00A0558E"/>
    <w:rsid w:val="00A0734A"/>
    <w:rsid w:val="00A101BF"/>
    <w:rsid w:val="00A11E29"/>
    <w:rsid w:val="00A123A3"/>
    <w:rsid w:val="00A131A3"/>
    <w:rsid w:val="00A333A3"/>
    <w:rsid w:val="00A45105"/>
    <w:rsid w:val="00A620C2"/>
    <w:rsid w:val="00A6654C"/>
    <w:rsid w:val="00A670A7"/>
    <w:rsid w:val="00A676B0"/>
    <w:rsid w:val="00A917CB"/>
    <w:rsid w:val="00AB428A"/>
    <w:rsid w:val="00AC601B"/>
    <w:rsid w:val="00AF3158"/>
    <w:rsid w:val="00B426B2"/>
    <w:rsid w:val="00B54196"/>
    <w:rsid w:val="00B6518D"/>
    <w:rsid w:val="00B737B9"/>
    <w:rsid w:val="00B81BE5"/>
    <w:rsid w:val="00B87B7D"/>
    <w:rsid w:val="00BA2E7B"/>
    <w:rsid w:val="00BA6FE7"/>
    <w:rsid w:val="00BB34CA"/>
    <w:rsid w:val="00BB3ABE"/>
    <w:rsid w:val="00BC6DCB"/>
    <w:rsid w:val="00BF0971"/>
    <w:rsid w:val="00BF4B91"/>
    <w:rsid w:val="00C1619E"/>
    <w:rsid w:val="00C21785"/>
    <w:rsid w:val="00C2421F"/>
    <w:rsid w:val="00C25F93"/>
    <w:rsid w:val="00C2734E"/>
    <w:rsid w:val="00C60A99"/>
    <w:rsid w:val="00C6597F"/>
    <w:rsid w:val="00C70382"/>
    <w:rsid w:val="00C704AC"/>
    <w:rsid w:val="00C8060E"/>
    <w:rsid w:val="00C81C15"/>
    <w:rsid w:val="00C929E6"/>
    <w:rsid w:val="00C93422"/>
    <w:rsid w:val="00CA2F7E"/>
    <w:rsid w:val="00CA4264"/>
    <w:rsid w:val="00CB08C9"/>
    <w:rsid w:val="00CB2D44"/>
    <w:rsid w:val="00CB30E6"/>
    <w:rsid w:val="00CB5845"/>
    <w:rsid w:val="00CC21C1"/>
    <w:rsid w:val="00CC4477"/>
    <w:rsid w:val="00CF0F8F"/>
    <w:rsid w:val="00CF7D2A"/>
    <w:rsid w:val="00D06EB2"/>
    <w:rsid w:val="00D23E10"/>
    <w:rsid w:val="00D40F25"/>
    <w:rsid w:val="00D43158"/>
    <w:rsid w:val="00D43DB4"/>
    <w:rsid w:val="00D47B5A"/>
    <w:rsid w:val="00D56C91"/>
    <w:rsid w:val="00D64CF5"/>
    <w:rsid w:val="00D71FE7"/>
    <w:rsid w:val="00D9693A"/>
    <w:rsid w:val="00DB236B"/>
    <w:rsid w:val="00DD082E"/>
    <w:rsid w:val="00DF1F18"/>
    <w:rsid w:val="00E017AF"/>
    <w:rsid w:val="00E02345"/>
    <w:rsid w:val="00E055C0"/>
    <w:rsid w:val="00E077CA"/>
    <w:rsid w:val="00E13A72"/>
    <w:rsid w:val="00E3141D"/>
    <w:rsid w:val="00E438CD"/>
    <w:rsid w:val="00E50480"/>
    <w:rsid w:val="00E5715D"/>
    <w:rsid w:val="00E669F1"/>
    <w:rsid w:val="00E66EF0"/>
    <w:rsid w:val="00E7432E"/>
    <w:rsid w:val="00E876BA"/>
    <w:rsid w:val="00E927DF"/>
    <w:rsid w:val="00EA42A8"/>
    <w:rsid w:val="00EC1237"/>
    <w:rsid w:val="00ED2661"/>
    <w:rsid w:val="00ED4648"/>
    <w:rsid w:val="00EE57B6"/>
    <w:rsid w:val="00EE6501"/>
    <w:rsid w:val="00F01228"/>
    <w:rsid w:val="00F21930"/>
    <w:rsid w:val="00F34030"/>
    <w:rsid w:val="00F43978"/>
    <w:rsid w:val="00F50C1A"/>
    <w:rsid w:val="00FA3365"/>
    <w:rsid w:val="00FB5D2C"/>
    <w:rsid w:val="00FB7315"/>
    <w:rsid w:val="00FC1AC7"/>
    <w:rsid w:val="00FD44B1"/>
    <w:rsid w:val="00FE14D3"/>
    <w:rsid w:val="00FE519F"/>
    <w:rsid w:val="00FF02DD"/>
    <w:rsid w:val="00FF7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7E3BAFD6-21BE-42B0-AF23-2C17D7C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88"/>
    <w:pPr>
      <w:spacing w:after="200" w:line="276" w:lineRule="auto"/>
    </w:pPr>
    <w:rPr>
      <w:sz w:val="22"/>
      <w:szCs w:val="22"/>
      <w:lang w:eastAsia="en-US"/>
    </w:rPr>
  </w:style>
  <w:style w:type="paragraph" w:styleId="Heading1">
    <w:name w:val="heading 1"/>
    <w:basedOn w:val="Normal"/>
    <w:next w:val="Normal"/>
    <w:link w:val="Heading1Char"/>
    <w:uiPriority w:val="99"/>
    <w:qFormat/>
    <w:rsid w:val="00753DDB"/>
    <w:pPr>
      <w:keepNext/>
      <w:spacing w:after="0" w:line="240" w:lineRule="auto"/>
      <w:jc w:val="right"/>
      <w:outlineLvl w:val="0"/>
    </w:pPr>
    <w:rPr>
      <w:rFonts w:ascii="Arial" w:hAnsi="Arial" w:cs="Arial"/>
      <w:b/>
      <w:bCs/>
      <w:sz w:val="24"/>
      <w:szCs w:val="20"/>
      <w:u w:val="single"/>
      <w:lang w:val="en-GB"/>
    </w:rPr>
  </w:style>
  <w:style w:type="paragraph" w:styleId="Heading2">
    <w:name w:val="heading 2"/>
    <w:basedOn w:val="Normal"/>
    <w:next w:val="Normal"/>
    <w:link w:val="Heading2Char"/>
    <w:uiPriority w:val="99"/>
    <w:qFormat/>
    <w:rsid w:val="00753DDB"/>
    <w:pPr>
      <w:keepNext/>
      <w:overflowPunct w:val="0"/>
      <w:autoSpaceDE w:val="0"/>
      <w:autoSpaceDN w:val="0"/>
      <w:adjustRightInd w:val="0"/>
      <w:spacing w:after="0" w:line="240" w:lineRule="auto"/>
      <w:textAlignment w:val="baseline"/>
      <w:outlineLvl w:val="1"/>
    </w:pPr>
    <w:rPr>
      <w:rFonts w:ascii="Times New Roman" w:hAnsi="Times New Roman"/>
      <w:b/>
      <w:sz w:val="24"/>
      <w:szCs w:val="20"/>
      <w:lang w:val="en-US"/>
    </w:rPr>
  </w:style>
  <w:style w:type="paragraph" w:styleId="Heading3">
    <w:name w:val="heading 3"/>
    <w:basedOn w:val="Normal"/>
    <w:next w:val="Normal"/>
    <w:link w:val="Heading3Char"/>
    <w:uiPriority w:val="99"/>
    <w:qFormat/>
    <w:rsid w:val="00753DDB"/>
    <w:pPr>
      <w:keepNext/>
      <w:numPr>
        <w:ilvl w:val="2"/>
        <w:numId w:val="1"/>
      </w:numPr>
      <w:spacing w:after="0" w:line="240" w:lineRule="auto"/>
      <w:outlineLvl w:val="2"/>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753DDB"/>
    <w:pPr>
      <w:keepNext/>
      <w:numPr>
        <w:ilvl w:val="3"/>
        <w:numId w:val="1"/>
      </w:numPr>
      <w:spacing w:after="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753DDB"/>
    <w:pPr>
      <w:spacing w:before="240" w:after="60" w:line="240" w:lineRule="auto"/>
      <w:outlineLvl w:val="4"/>
    </w:pPr>
    <w:rPr>
      <w:rFonts w:ascii="Times New Roman" w:hAnsi="Times New Roman"/>
      <w:b/>
      <w:bCs/>
      <w:i/>
      <w:iCs/>
      <w:sz w:val="26"/>
      <w:szCs w:val="26"/>
      <w:lang w:val="en-GB"/>
    </w:rPr>
  </w:style>
  <w:style w:type="paragraph" w:styleId="Heading6">
    <w:name w:val="heading 6"/>
    <w:basedOn w:val="Normal"/>
    <w:next w:val="Normal"/>
    <w:link w:val="Heading6Char"/>
    <w:uiPriority w:val="99"/>
    <w:qFormat/>
    <w:rsid w:val="00753DDB"/>
    <w:pPr>
      <w:keepNext/>
      <w:numPr>
        <w:ilvl w:val="5"/>
        <w:numId w:val="1"/>
      </w:numPr>
      <w:spacing w:after="0" w:line="240" w:lineRule="auto"/>
      <w:jc w:val="center"/>
      <w:outlineLvl w:val="5"/>
    </w:pPr>
    <w:rPr>
      <w:rFonts w:ascii="Times New Roman" w:eastAsia="Times New Roman" w:hAnsi="Times New Roman"/>
      <w:sz w:val="24"/>
      <w:szCs w:val="24"/>
    </w:rPr>
  </w:style>
  <w:style w:type="paragraph" w:styleId="Heading7">
    <w:name w:val="heading 7"/>
    <w:basedOn w:val="Normal"/>
    <w:next w:val="Normal"/>
    <w:link w:val="Heading7Char"/>
    <w:uiPriority w:val="99"/>
    <w:qFormat/>
    <w:rsid w:val="00753DDB"/>
    <w:pPr>
      <w:keepNext/>
      <w:numPr>
        <w:ilvl w:val="6"/>
        <w:numId w:val="1"/>
      </w:numPr>
      <w:spacing w:after="0" w:line="240" w:lineRule="auto"/>
      <w:outlineLvl w:val="6"/>
    </w:pPr>
    <w:rPr>
      <w:rFonts w:ascii="Times New Roman" w:eastAsia="Times New Roman" w:hAnsi="Times New Roman"/>
      <w:b/>
      <w:bCs/>
      <w:i/>
      <w:iCs/>
      <w:sz w:val="24"/>
      <w:szCs w:val="24"/>
    </w:rPr>
  </w:style>
  <w:style w:type="paragraph" w:styleId="Heading8">
    <w:name w:val="heading 8"/>
    <w:basedOn w:val="Normal"/>
    <w:next w:val="Normal"/>
    <w:link w:val="Heading8Char"/>
    <w:uiPriority w:val="99"/>
    <w:qFormat/>
    <w:rsid w:val="00753DDB"/>
    <w:pPr>
      <w:numPr>
        <w:ilvl w:val="7"/>
        <w:numId w:val="1"/>
      </w:numPr>
      <w:spacing w:before="240" w:after="60" w:line="280" w:lineRule="exact"/>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753DDB"/>
    <w:pPr>
      <w:numPr>
        <w:ilvl w:val="8"/>
        <w:numId w:val="1"/>
      </w:numPr>
      <w:spacing w:before="240" w:after="60" w:line="280" w:lineRule="exac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3DDB"/>
    <w:rPr>
      <w:rFonts w:ascii="Arial" w:hAnsi="Arial" w:cs="Arial"/>
      <w:b/>
      <w:bCs/>
      <w:sz w:val="20"/>
      <w:szCs w:val="20"/>
      <w:u w:val="single"/>
      <w:lang w:val="en-GB"/>
    </w:rPr>
  </w:style>
  <w:style w:type="character" w:customStyle="1" w:styleId="Heading2Char">
    <w:name w:val="Heading 2 Char"/>
    <w:link w:val="Heading2"/>
    <w:uiPriority w:val="99"/>
    <w:locked/>
    <w:rsid w:val="00753DDB"/>
    <w:rPr>
      <w:rFonts w:ascii="Times New Roman" w:hAnsi="Times New Roman" w:cs="Times New Roman"/>
      <w:b/>
      <w:sz w:val="20"/>
      <w:szCs w:val="20"/>
      <w:lang w:val="en-US"/>
    </w:rPr>
  </w:style>
  <w:style w:type="character" w:customStyle="1" w:styleId="Heading3Char">
    <w:name w:val="Heading 3 Char"/>
    <w:link w:val="Heading3"/>
    <w:uiPriority w:val="99"/>
    <w:locked/>
    <w:rsid w:val="00753DDB"/>
    <w:rPr>
      <w:rFonts w:ascii="Times New Roman" w:hAnsi="Times New Roman" w:cs="Times New Roman"/>
      <w:sz w:val="24"/>
      <w:szCs w:val="24"/>
    </w:rPr>
  </w:style>
  <w:style w:type="character" w:customStyle="1" w:styleId="Heading4Char">
    <w:name w:val="Heading 4 Char"/>
    <w:link w:val="Heading4"/>
    <w:uiPriority w:val="99"/>
    <w:locked/>
    <w:rsid w:val="00753DDB"/>
    <w:rPr>
      <w:rFonts w:ascii="Times New Roman" w:hAnsi="Times New Roman" w:cs="Times New Roman"/>
      <w:b/>
      <w:bCs/>
      <w:sz w:val="28"/>
      <w:szCs w:val="28"/>
    </w:rPr>
  </w:style>
  <w:style w:type="character" w:customStyle="1" w:styleId="Heading5Char">
    <w:name w:val="Heading 5 Char"/>
    <w:link w:val="Heading5"/>
    <w:uiPriority w:val="99"/>
    <w:locked/>
    <w:rsid w:val="00753DDB"/>
    <w:rPr>
      <w:rFonts w:ascii="Times New Roman" w:hAnsi="Times New Roman" w:cs="Times New Roman"/>
      <w:b/>
      <w:bCs/>
      <w:i/>
      <w:iCs/>
      <w:sz w:val="26"/>
      <w:szCs w:val="26"/>
      <w:lang w:val="en-GB"/>
    </w:rPr>
  </w:style>
  <w:style w:type="character" w:customStyle="1" w:styleId="Heading6Char">
    <w:name w:val="Heading 6 Char"/>
    <w:link w:val="Heading6"/>
    <w:uiPriority w:val="99"/>
    <w:locked/>
    <w:rsid w:val="00753DDB"/>
    <w:rPr>
      <w:rFonts w:ascii="Times New Roman" w:hAnsi="Times New Roman" w:cs="Times New Roman"/>
      <w:sz w:val="24"/>
      <w:szCs w:val="24"/>
    </w:rPr>
  </w:style>
  <w:style w:type="character" w:customStyle="1" w:styleId="Heading7Char">
    <w:name w:val="Heading 7 Char"/>
    <w:link w:val="Heading7"/>
    <w:uiPriority w:val="99"/>
    <w:locked/>
    <w:rsid w:val="00753DDB"/>
    <w:rPr>
      <w:rFonts w:ascii="Times New Roman" w:hAnsi="Times New Roman" w:cs="Times New Roman"/>
      <w:b/>
      <w:bCs/>
      <w:i/>
      <w:iCs/>
      <w:sz w:val="24"/>
      <w:szCs w:val="24"/>
    </w:rPr>
  </w:style>
  <w:style w:type="character" w:customStyle="1" w:styleId="Heading8Char">
    <w:name w:val="Heading 8 Char"/>
    <w:link w:val="Heading8"/>
    <w:uiPriority w:val="99"/>
    <w:locked/>
    <w:rsid w:val="00753DDB"/>
    <w:rPr>
      <w:rFonts w:ascii="Times New Roman" w:hAnsi="Times New Roman" w:cs="Times New Roman"/>
      <w:i/>
      <w:iCs/>
      <w:sz w:val="24"/>
      <w:szCs w:val="24"/>
    </w:rPr>
  </w:style>
  <w:style w:type="character" w:customStyle="1" w:styleId="Heading9Char">
    <w:name w:val="Heading 9 Char"/>
    <w:link w:val="Heading9"/>
    <w:uiPriority w:val="99"/>
    <w:locked/>
    <w:rsid w:val="00753DDB"/>
    <w:rPr>
      <w:rFonts w:ascii="Arial" w:hAnsi="Arial" w:cs="Arial"/>
    </w:rPr>
  </w:style>
  <w:style w:type="paragraph" w:styleId="BodyText">
    <w:name w:val="Body Text"/>
    <w:basedOn w:val="Normal"/>
    <w:link w:val="BodyTextChar"/>
    <w:uiPriority w:val="99"/>
    <w:rsid w:val="00753DDB"/>
    <w:pPr>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BodyTextChar">
    <w:name w:val="Body Text Char"/>
    <w:link w:val="BodyText"/>
    <w:uiPriority w:val="99"/>
    <w:locked/>
    <w:rsid w:val="00753DDB"/>
    <w:rPr>
      <w:rFonts w:ascii="Times New Roman" w:hAnsi="Times New Roman" w:cs="Times New Roman"/>
      <w:sz w:val="20"/>
      <w:szCs w:val="20"/>
      <w:lang w:val="en-US"/>
    </w:rPr>
  </w:style>
  <w:style w:type="paragraph" w:customStyle="1" w:styleId="clause0">
    <w:name w:val="clause"/>
    <w:basedOn w:val="Normal"/>
    <w:uiPriority w:val="99"/>
    <w:rsid w:val="00753DDB"/>
    <w:pPr>
      <w:spacing w:after="0" w:line="240" w:lineRule="auto"/>
    </w:pPr>
    <w:rPr>
      <w:rFonts w:ascii="Times New Roman" w:eastAsia="Times New Roman" w:hAnsi="Times New Roman"/>
      <w:sz w:val="24"/>
      <w:szCs w:val="24"/>
    </w:rPr>
  </w:style>
  <w:style w:type="paragraph" w:customStyle="1" w:styleId="Clause">
    <w:name w:val="Clause"/>
    <w:basedOn w:val="Heading5"/>
    <w:next w:val="Normal"/>
    <w:uiPriority w:val="99"/>
    <w:rsid w:val="00753DDB"/>
    <w:pPr>
      <w:keepNext/>
      <w:numPr>
        <w:ilvl w:val="1"/>
        <w:numId w:val="1"/>
      </w:numPr>
      <w:spacing w:line="280" w:lineRule="exact"/>
    </w:pPr>
    <w:rPr>
      <w:rFonts w:eastAsia="Times New Roman"/>
      <w:bCs w:val="0"/>
      <w:i w:val="0"/>
      <w:iCs w:val="0"/>
      <w:sz w:val="24"/>
      <w:szCs w:val="20"/>
      <w:lang w:val="en-AU"/>
    </w:rPr>
  </w:style>
  <w:style w:type="paragraph" w:customStyle="1" w:styleId="Part">
    <w:name w:val="Part"/>
    <w:basedOn w:val="Heading1"/>
    <w:next w:val="Clause"/>
    <w:uiPriority w:val="99"/>
    <w:rsid w:val="00753DDB"/>
    <w:pPr>
      <w:numPr>
        <w:numId w:val="1"/>
      </w:numPr>
      <w:spacing w:before="240" w:after="60" w:line="280" w:lineRule="exact"/>
      <w:jc w:val="left"/>
    </w:pPr>
    <w:rPr>
      <w:rFonts w:ascii="Times New Roman" w:eastAsia="Times New Roman" w:hAnsi="Times New Roman" w:cs="Times New Roman"/>
      <w:bCs w:val="0"/>
      <w:kern w:val="28"/>
      <w:sz w:val="28"/>
      <w:u w:val="none"/>
      <w:lang w:val="en-AU"/>
    </w:rPr>
  </w:style>
  <w:style w:type="paragraph" w:styleId="ListParagraph">
    <w:name w:val="List Paragraph"/>
    <w:basedOn w:val="Normal"/>
    <w:uiPriority w:val="34"/>
    <w:qFormat/>
    <w:rsid w:val="008E5447"/>
    <w:pPr>
      <w:ind w:left="720"/>
      <w:contextualSpacing/>
    </w:pPr>
  </w:style>
  <w:style w:type="paragraph" w:styleId="Header">
    <w:name w:val="header"/>
    <w:basedOn w:val="Normal"/>
    <w:link w:val="HeaderChar"/>
    <w:uiPriority w:val="99"/>
    <w:semiHidden/>
    <w:rsid w:val="00007B72"/>
    <w:pPr>
      <w:tabs>
        <w:tab w:val="center" w:pos="4513"/>
        <w:tab w:val="right" w:pos="9026"/>
      </w:tabs>
      <w:spacing w:after="0" w:line="240" w:lineRule="auto"/>
    </w:pPr>
  </w:style>
  <w:style w:type="character" w:customStyle="1" w:styleId="HeaderChar">
    <w:name w:val="Header Char"/>
    <w:link w:val="Header"/>
    <w:uiPriority w:val="99"/>
    <w:semiHidden/>
    <w:locked/>
    <w:rsid w:val="00007B72"/>
    <w:rPr>
      <w:rFonts w:cs="Times New Roman"/>
    </w:rPr>
  </w:style>
  <w:style w:type="paragraph" w:styleId="Footer">
    <w:name w:val="footer"/>
    <w:basedOn w:val="Normal"/>
    <w:link w:val="FooterChar"/>
    <w:uiPriority w:val="99"/>
    <w:rsid w:val="00007B72"/>
    <w:pPr>
      <w:tabs>
        <w:tab w:val="center" w:pos="4513"/>
        <w:tab w:val="right" w:pos="9026"/>
      </w:tabs>
      <w:spacing w:after="0" w:line="240" w:lineRule="auto"/>
    </w:pPr>
  </w:style>
  <w:style w:type="character" w:customStyle="1" w:styleId="FooterChar">
    <w:name w:val="Footer Char"/>
    <w:link w:val="Footer"/>
    <w:uiPriority w:val="99"/>
    <w:locked/>
    <w:rsid w:val="00007B72"/>
    <w:rPr>
      <w:rFonts w:cs="Times New Roman"/>
    </w:rPr>
  </w:style>
  <w:style w:type="paragraph" w:styleId="BalloonText">
    <w:name w:val="Balloon Text"/>
    <w:basedOn w:val="Normal"/>
    <w:link w:val="BalloonTextChar"/>
    <w:uiPriority w:val="99"/>
    <w:semiHidden/>
    <w:rsid w:val="008F0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0365"/>
    <w:rPr>
      <w:rFonts w:ascii="Tahoma" w:hAnsi="Tahoma" w:cs="Tahoma"/>
      <w:sz w:val="16"/>
      <w:szCs w:val="16"/>
    </w:rPr>
  </w:style>
  <w:style w:type="paragraph" w:customStyle="1" w:styleId="Intro">
    <w:name w:val="Intro"/>
    <w:basedOn w:val="Normal"/>
    <w:rsid w:val="004408A0"/>
    <w:pPr>
      <w:spacing w:line="300" w:lineRule="exact"/>
    </w:pPr>
    <w:rPr>
      <w:rFonts w:ascii="Montserrat" w:hAnsi="Montserrat"/>
      <w:color w:val="7030A0"/>
      <w:szCs w:val="24"/>
      <w:lang w:eastAsia="en-AU"/>
    </w:rPr>
  </w:style>
  <w:style w:type="paragraph" w:customStyle="1" w:styleId="Bullet1">
    <w:name w:val="Bullet 1"/>
    <w:basedOn w:val="Normal"/>
    <w:qFormat/>
    <w:rsid w:val="004408A0"/>
    <w:pPr>
      <w:numPr>
        <w:numId w:val="7"/>
      </w:numPr>
      <w:spacing w:after="60" w:line="240" w:lineRule="auto"/>
      <w:ind w:left="357" w:hanging="35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9963-BB29-4747-AD0B-ABDE362A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7120</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2011</vt:lpstr>
    </vt:vector>
  </TitlesOfParts>
  <Company>InTACT</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ACT Government</dc:creator>
  <cp:keywords/>
  <dc:description/>
  <cp:lastModifiedBy>PCODCS</cp:lastModifiedBy>
  <cp:revision>5</cp:revision>
  <cp:lastPrinted>2018-11-26T00:02:00Z</cp:lastPrinted>
  <dcterms:created xsi:type="dcterms:W3CDTF">2018-11-27T06:04:00Z</dcterms:created>
  <dcterms:modified xsi:type="dcterms:W3CDTF">2018-11-27T06:04:00Z</dcterms:modified>
</cp:coreProperties>
</file>