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AB" w:rsidRDefault="00C17FAB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C17FAB" w:rsidRDefault="00395780">
      <w:pPr>
        <w:pStyle w:val="Billname"/>
        <w:spacing w:before="700"/>
      </w:pPr>
      <w:r>
        <w:t>Housing Assistance</w:t>
      </w:r>
      <w:r w:rsidR="00890A2D">
        <w:t xml:space="preserve"> </w:t>
      </w:r>
      <w:r>
        <w:t>Rental Bond</w:t>
      </w:r>
      <w:r w:rsidR="00FD75CE">
        <w:t xml:space="preserve"> </w:t>
      </w:r>
      <w:r>
        <w:t>Program</w:t>
      </w:r>
      <w:r w:rsidR="00FD75CE">
        <w:t xml:space="preserve"> </w:t>
      </w:r>
      <w:r>
        <w:t xml:space="preserve">2018 </w:t>
      </w:r>
      <w:r w:rsidR="00FD75CE">
        <w:t xml:space="preserve">(No </w:t>
      </w:r>
      <w:r>
        <w:t>1</w:t>
      </w:r>
      <w:r w:rsidR="00FD75CE">
        <w:t>)</w:t>
      </w:r>
    </w:p>
    <w:p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395780">
        <w:rPr>
          <w:rFonts w:ascii="Arial" w:hAnsi="Arial" w:cs="Arial"/>
          <w:b/>
          <w:bCs/>
        </w:rPr>
        <w:t>2018-</w:t>
      </w:r>
      <w:r w:rsidR="00862549">
        <w:rPr>
          <w:rFonts w:ascii="Arial" w:hAnsi="Arial" w:cs="Arial"/>
          <w:b/>
          <w:bCs/>
        </w:rPr>
        <w:t>270</w:t>
      </w:r>
    </w:p>
    <w:p w:rsidR="00C17FAB" w:rsidRDefault="00C17FAB" w:rsidP="00DA3B00">
      <w:pPr>
        <w:pStyle w:val="madeunder"/>
        <w:spacing w:before="300" w:after="0"/>
      </w:pPr>
      <w:proofErr w:type="gramStart"/>
      <w:r>
        <w:t>made</w:t>
      </w:r>
      <w:proofErr w:type="gramEnd"/>
      <w:r>
        <w:t xml:space="preserve"> under the  </w:t>
      </w:r>
    </w:p>
    <w:p w:rsidR="00C17FAB" w:rsidRPr="00395780" w:rsidRDefault="00395780" w:rsidP="00DA3B0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sz w:val="20"/>
        </w:rPr>
        <w:t xml:space="preserve">Housing Assistance Act 2007, </w:t>
      </w:r>
      <w:r>
        <w:rPr>
          <w:rFonts w:cs="Arial"/>
          <w:sz w:val="20"/>
        </w:rPr>
        <w:t>s19(1) Approved housing assistance programs</w:t>
      </w:r>
    </w:p>
    <w:p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:rsidR="00C17FAB" w:rsidRDefault="00C17FAB">
      <w:pPr>
        <w:pStyle w:val="N-line3"/>
        <w:pBdr>
          <w:bottom w:val="none" w:sz="0" w:space="0" w:color="auto"/>
        </w:pBdr>
      </w:pPr>
    </w:p>
    <w:p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:rsidR="00DB2DAB" w:rsidRDefault="00B65161" w:rsidP="003227BF">
      <w:pPr>
        <w:spacing w:after="240"/>
        <w:ind w:right="-57"/>
      </w:pPr>
      <w:r>
        <w:t>The Rental Bond</w:t>
      </w:r>
      <w:r w:rsidR="008D7621">
        <w:t xml:space="preserve"> Program 2018 (No 1) (the P</w:t>
      </w:r>
      <w:r>
        <w:t xml:space="preserve">rogram) is designed to help people who receive low to moderate income, and have the capacity to sustain a tenancy under the </w:t>
      </w:r>
      <w:r>
        <w:rPr>
          <w:i/>
        </w:rPr>
        <w:t>Residential Tenancies Act 1997</w:t>
      </w:r>
      <w:r>
        <w:t xml:space="preserve">, to meet the financial requirements </w:t>
      </w:r>
      <w:r w:rsidR="00EE2F02">
        <w:t>of</w:t>
      </w:r>
      <w:r w:rsidR="003227BF">
        <w:t xml:space="preserve"> a rental bond. The Program acknowledges the significant challenge that some households experience </w:t>
      </w:r>
      <w:r w:rsidR="00796F2A">
        <w:t>meeting</w:t>
      </w:r>
      <w:r w:rsidR="003227BF">
        <w:t xml:space="preserve"> the lump sum upfront costs of establishing a home and seeks to remove rental bonds as a </w:t>
      </w:r>
      <w:r w:rsidR="00796F2A">
        <w:t xml:space="preserve">potential </w:t>
      </w:r>
      <w:r w:rsidR="003227BF">
        <w:t xml:space="preserve">barrier to </w:t>
      </w:r>
      <w:r w:rsidR="00796F2A">
        <w:t xml:space="preserve">gaining </w:t>
      </w:r>
      <w:r w:rsidR="003227BF">
        <w:t>s</w:t>
      </w:r>
      <w:r w:rsidR="00796F2A">
        <w:t xml:space="preserve">table and secure accommodation. </w:t>
      </w:r>
    </w:p>
    <w:p w:rsidR="008D7621" w:rsidRDefault="00796F2A" w:rsidP="00464FEE">
      <w:pPr>
        <w:spacing w:after="240"/>
        <w:ind w:right="-57"/>
      </w:pPr>
      <w:r>
        <w:t xml:space="preserve">The Program is </w:t>
      </w:r>
      <w:r w:rsidR="00604768">
        <w:t>approved by the Minister for Housing and Suburban Development</w:t>
      </w:r>
      <w:r>
        <w:t xml:space="preserve"> under section 19(1) of the </w:t>
      </w:r>
      <w:r>
        <w:rPr>
          <w:i/>
        </w:rPr>
        <w:t xml:space="preserve">Housing </w:t>
      </w:r>
      <w:r w:rsidR="00DB2DAB">
        <w:rPr>
          <w:i/>
        </w:rPr>
        <w:t>Assistance Act 2007.</w:t>
      </w:r>
      <w:r w:rsidR="00DB2DAB">
        <w:t xml:space="preserve"> It establishes a framework </w:t>
      </w:r>
      <w:r w:rsidR="008D7621">
        <w:t xml:space="preserve">for </w:t>
      </w:r>
      <w:r w:rsidR="00DB2DAB">
        <w:t xml:space="preserve">the Commissioner for Social Housing (the </w:t>
      </w:r>
      <w:r w:rsidR="00464FEE">
        <w:t>housing c</w:t>
      </w:r>
      <w:r w:rsidR="00DB2DAB">
        <w:t xml:space="preserve">ommissioner) to provide an amount to the Territory entity responsible for holding a rental bond (see </w:t>
      </w:r>
      <w:r w:rsidR="00BA6E33">
        <w:t xml:space="preserve">the </w:t>
      </w:r>
      <w:r w:rsidR="00DB2DAB" w:rsidRPr="008D7621">
        <w:rPr>
          <w:i/>
        </w:rPr>
        <w:t>Residential Tenancies Act 1997</w:t>
      </w:r>
      <w:r w:rsidR="008B121E">
        <w:t>, section 24</w:t>
      </w:r>
      <w:r w:rsidR="00DB2DAB">
        <w:t>)</w:t>
      </w:r>
      <w:r w:rsidR="008D7621">
        <w:t xml:space="preserve"> up to the value of the rental bond sought by an eligible applicant’s lessor. This amount is then </w:t>
      </w:r>
      <w:r w:rsidR="00890A2D">
        <w:t>paid</w:t>
      </w:r>
      <w:r w:rsidR="008D7621">
        <w:t xml:space="preserve"> to the </w:t>
      </w:r>
      <w:r w:rsidR="00464FEE">
        <w:t>housing commissioner</w:t>
      </w:r>
      <w:r w:rsidR="008D7621">
        <w:t xml:space="preserve"> in small instalments, without interest or financial penalty, over an agreed period.  </w:t>
      </w:r>
    </w:p>
    <w:p w:rsidR="00B65161" w:rsidRDefault="00464FEE" w:rsidP="00464FEE">
      <w:pPr>
        <w:spacing w:after="240"/>
        <w:rPr>
          <w:bCs/>
          <w:szCs w:val="24"/>
        </w:rPr>
      </w:pPr>
      <w:r>
        <w:rPr>
          <w:b/>
          <w:bCs/>
          <w:szCs w:val="24"/>
        </w:rPr>
        <w:t xml:space="preserve">Clauses 1, 2, 3 and 4 </w:t>
      </w:r>
      <w:r>
        <w:rPr>
          <w:bCs/>
          <w:szCs w:val="24"/>
        </w:rPr>
        <w:t>are formal requirements. These clauses establish the name of the Program, its commencement date, the object of the Program</w:t>
      </w:r>
      <w:r w:rsidR="00A74B2E">
        <w:rPr>
          <w:bCs/>
          <w:szCs w:val="24"/>
        </w:rPr>
        <w:t>,</w:t>
      </w:r>
      <w:r>
        <w:rPr>
          <w:bCs/>
          <w:szCs w:val="24"/>
        </w:rPr>
        <w:t xml:space="preserve"> and define particular terms used in the instrument. </w:t>
      </w:r>
    </w:p>
    <w:p w:rsidR="00464FEE" w:rsidRDefault="00464FEE" w:rsidP="00464FEE">
      <w:pPr>
        <w:spacing w:after="240"/>
        <w:rPr>
          <w:bCs/>
          <w:szCs w:val="24"/>
        </w:rPr>
      </w:pPr>
      <w:r>
        <w:rPr>
          <w:b/>
          <w:bCs/>
          <w:szCs w:val="24"/>
        </w:rPr>
        <w:t xml:space="preserve">Clause 5 </w:t>
      </w:r>
      <w:r>
        <w:rPr>
          <w:bCs/>
          <w:szCs w:val="24"/>
        </w:rPr>
        <w:t xml:space="preserve">enables the housing commissioner to make operation guidelines outlining procedures </w:t>
      </w:r>
      <w:r w:rsidR="009024F6">
        <w:rPr>
          <w:bCs/>
          <w:szCs w:val="24"/>
        </w:rPr>
        <w:t xml:space="preserve">for the program. </w:t>
      </w:r>
    </w:p>
    <w:p w:rsidR="00A84940" w:rsidRDefault="009024F6" w:rsidP="0056597E">
      <w:pPr>
        <w:spacing w:after="240"/>
        <w:rPr>
          <w:bCs/>
          <w:szCs w:val="24"/>
        </w:rPr>
      </w:pPr>
      <w:r>
        <w:rPr>
          <w:b/>
          <w:bCs/>
          <w:szCs w:val="24"/>
        </w:rPr>
        <w:t xml:space="preserve">Clause 6 </w:t>
      </w:r>
      <w:r w:rsidR="00962A29">
        <w:rPr>
          <w:bCs/>
          <w:szCs w:val="24"/>
        </w:rPr>
        <w:t>establishes the type and amount of assistance that the housing commissioner may provide to an eligible applicant under the Program</w:t>
      </w:r>
      <w:r w:rsidR="00A669B6">
        <w:rPr>
          <w:bCs/>
          <w:szCs w:val="24"/>
        </w:rPr>
        <w:t>, and imposes mutual obligations on the applicant and housing commissioner</w:t>
      </w:r>
      <w:r w:rsidR="00962A29">
        <w:rPr>
          <w:bCs/>
          <w:szCs w:val="24"/>
        </w:rPr>
        <w:t xml:space="preserve">. </w:t>
      </w:r>
      <w:r w:rsidR="00A84940">
        <w:rPr>
          <w:bCs/>
          <w:szCs w:val="24"/>
        </w:rPr>
        <w:t xml:space="preserve">It allows for the provision of an amount, up to and including the </w:t>
      </w:r>
      <w:r w:rsidR="00A74B2E">
        <w:rPr>
          <w:bCs/>
          <w:szCs w:val="24"/>
        </w:rPr>
        <w:t xml:space="preserve">total </w:t>
      </w:r>
      <w:r w:rsidR="00A84940">
        <w:rPr>
          <w:bCs/>
          <w:szCs w:val="24"/>
        </w:rPr>
        <w:t>rental bond amount sought by a lessor</w:t>
      </w:r>
      <w:r w:rsidR="00A74B2E">
        <w:rPr>
          <w:bCs/>
          <w:szCs w:val="24"/>
        </w:rPr>
        <w:t xml:space="preserve"> in accordance with the </w:t>
      </w:r>
      <w:r w:rsidR="00A74B2E">
        <w:rPr>
          <w:bCs/>
          <w:i/>
          <w:szCs w:val="24"/>
        </w:rPr>
        <w:t xml:space="preserve">Residential Tenancies Act 1997 </w:t>
      </w:r>
      <w:r w:rsidR="00A74B2E">
        <w:rPr>
          <w:bCs/>
          <w:szCs w:val="24"/>
        </w:rPr>
        <w:t xml:space="preserve">(section 20), by the housing commissioner to the Territory entity responsible for holding a rental bond. </w:t>
      </w:r>
    </w:p>
    <w:p w:rsidR="0056597E" w:rsidRDefault="0056597E" w:rsidP="0056597E">
      <w:pPr>
        <w:spacing w:after="240"/>
        <w:rPr>
          <w:bCs/>
          <w:szCs w:val="24"/>
        </w:rPr>
      </w:pPr>
      <w:r>
        <w:rPr>
          <w:b/>
          <w:bCs/>
          <w:szCs w:val="24"/>
        </w:rPr>
        <w:t xml:space="preserve">Clause 7 </w:t>
      </w:r>
      <w:r w:rsidR="00D4547C">
        <w:rPr>
          <w:bCs/>
          <w:szCs w:val="24"/>
        </w:rPr>
        <w:t>sets parameters for the rental bond agreement held between the eligible applican</w:t>
      </w:r>
      <w:r w:rsidR="00204562">
        <w:rPr>
          <w:bCs/>
          <w:szCs w:val="24"/>
        </w:rPr>
        <w:t xml:space="preserve">t and the housing commissioner. It requires </w:t>
      </w:r>
      <w:r w:rsidR="00E61CA3">
        <w:rPr>
          <w:bCs/>
          <w:szCs w:val="24"/>
        </w:rPr>
        <w:t xml:space="preserve">that, upon entering into the agreement, the applicant comply with its terms and </w:t>
      </w:r>
      <w:r w:rsidR="00204562">
        <w:rPr>
          <w:bCs/>
          <w:szCs w:val="24"/>
        </w:rPr>
        <w:t xml:space="preserve">resign their right or interest </w:t>
      </w:r>
      <w:r w:rsidR="00E61CA3">
        <w:rPr>
          <w:bCs/>
          <w:szCs w:val="24"/>
        </w:rPr>
        <w:t>in</w:t>
      </w:r>
      <w:r w:rsidR="00204562">
        <w:rPr>
          <w:bCs/>
          <w:szCs w:val="24"/>
        </w:rPr>
        <w:t xml:space="preserve"> any </w:t>
      </w:r>
      <w:r w:rsidR="00E61CA3">
        <w:rPr>
          <w:bCs/>
          <w:szCs w:val="24"/>
        </w:rPr>
        <w:t xml:space="preserve">monies that remains unpaid under the agreement to the housing commissioner. It also </w:t>
      </w:r>
      <w:r w:rsidR="00E61CA3">
        <w:rPr>
          <w:bCs/>
          <w:szCs w:val="24"/>
        </w:rPr>
        <w:lastRenderedPageBreak/>
        <w:t>allows for an application to be made by a single or joint applicant</w:t>
      </w:r>
      <w:r w:rsidR="00AD4096">
        <w:rPr>
          <w:bCs/>
          <w:szCs w:val="24"/>
        </w:rPr>
        <w:t>,</w:t>
      </w:r>
      <w:r w:rsidR="00E61CA3">
        <w:rPr>
          <w:bCs/>
          <w:szCs w:val="24"/>
        </w:rPr>
        <w:t xml:space="preserve"> </w:t>
      </w:r>
      <w:r w:rsidR="00AD4096">
        <w:rPr>
          <w:bCs/>
          <w:szCs w:val="24"/>
        </w:rPr>
        <w:t xml:space="preserve">provided </w:t>
      </w:r>
      <w:r w:rsidR="00E61CA3">
        <w:rPr>
          <w:bCs/>
          <w:szCs w:val="24"/>
        </w:rPr>
        <w:t xml:space="preserve">both applicants to enter into the agreement with the housing commissioner. </w:t>
      </w:r>
    </w:p>
    <w:p w:rsidR="00BD504E" w:rsidRDefault="00BD504E" w:rsidP="00C47613">
      <w:pPr>
        <w:spacing w:after="240"/>
        <w:rPr>
          <w:rFonts w:eastAsia="Arial Unicode MS"/>
          <w:bCs/>
        </w:rPr>
      </w:pPr>
      <w:r>
        <w:rPr>
          <w:rFonts w:eastAsia="Arial Unicode MS"/>
          <w:b/>
          <w:bCs/>
        </w:rPr>
        <w:t>Clause 8</w:t>
      </w:r>
      <w:r>
        <w:rPr>
          <w:rFonts w:eastAsia="Arial Unicode MS"/>
          <w:bCs/>
        </w:rPr>
        <w:t xml:space="preserve"> sets parameters for the application process to be followed </w:t>
      </w:r>
      <w:r w:rsidR="00C47613">
        <w:rPr>
          <w:rFonts w:eastAsia="Arial Unicode MS"/>
          <w:bCs/>
        </w:rPr>
        <w:t xml:space="preserve">when applying </w:t>
      </w:r>
      <w:r w:rsidR="00902CBB">
        <w:rPr>
          <w:rFonts w:eastAsia="Arial Unicode MS"/>
          <w:bCs/>
        </w:rPr>
        <w:t xml:space="preserve">for </w:t>
      </w:r>
      <w:r>
        <w:rPr>
          <w:rFonts w:eastAsia="Arial Unicode MS"/>
          <w:bCs/>
        </w:rPr>
        <w:t>rental bond</w:t>
      </w:r>
      <w:r w:rsidR="00902CBB">
        <w:rPr>
          <w:rFonts w:eastAsia="Arial Unicode MS"/>
          <w:bCs/>
        </w:rPr>
        <w:t xml:space="preserve"> assistance</w:t>
      </w:r>
      <w:r>
        <w:rPr>
          <w:rFonts w:eastAsia="Arial Unicode MS"/>
          <w:bCs/>
        </w:rPr>
        <w:t xml:space="preserve">, including who may make an application under the Program, the information that must be provided to the housing commissioner by the applicant, </w:t>
      </w:r>
      <w:r w:rsidR="00C47613">
        <w:rPr>
          <w:rFonts w:eastAsia="Arial Unicode MS"/>
          <w:bCs/>
        </w:rPr>
        <w:t xml:space="preserve">the number of parties to an application and the length of time that an application remains valid. </w:t>
      </w:r>
    </w:p>
    <w:p w:rsidR="00D14180" w:rsidRDefault="00C47613" w:rsidP="00D14180">
      <w:pPr>
        <w:spacing w:before="120" w:after="240"/>
        <w:rPr>
          <w:rFonts w:eastAsia="Arial Unicode MS"/>
          <w:bCs/>
        </w:rPr>
      </w:pPr>
      <w:r>
        <w:rPr>
          <w:rFonts w:eastAsia="Arial Unicode MS"/>
          <w:b/>
          <w:bCs/>
        </w:rPr>
        <w:t xml:space="preserve">Clause 9 </w:t>
      </w:r>
      <w:r w:rsidR="004A2ED9">
        <w:rPr>
          <w:rFonts w:eastAsia="Arial Unicode MS"/>
          <w:bCs/>
        </w:rPr>
        <w:t>establishe</w:t>
      </w:r>
      <w:r w:rsidR="00370890">
        <w:rPr>
          <w:rFonts w:eastAsia="Arial Unicode MS"/>
          <w:bCs/>
        </w:rPr>
        <w:t>s the eligibility criteria for</w:t>
      </w:r>
      <w:r w:rsidR="004A2ED9">
        <w:rPr>
          <w:rFonts w:eastAsia="Arial Unicode MS"/>
          <w:bCs/>
        </w:rPr>
        <w:t xml:space="preserve"> rental bond </w:t>
      </w:r>
      <w:r w:rsidR="00370890">
        <w:rPr>
          <w:rFonts w:eastAsia="Arial Unicode MS"/>
          <w:bCs/>
        </w:rPr>
        <w:t>assistance</w:t>
      </w:r>
      <w:r w:rsidR="004A2ED9">
        <w:rPr>
          <w:rFonts w:eastAsia="Arial Unicode MS"/>
          <w:bCs/>
        </w:rPr>
        <w:t xml:space="preserve">. </w:t>
      </w:r>
      <w:r w:rsidR="004A2ED9" w:rsidRPr="004A2ED9">
        <w:rPr>
          <w:rFonts w:eastAsia="Arial Unicode MS"/>
          <w:bCs/>
        </w:rPr>
        <w:t xml:space="preserve">An applicant’s eligibility is determined by their age, their intent to enter a tenancy agreement in the Territory and to reside in the tenanted residence for the duration of their tenancy; the cash or cash equivalent holdings of the applicants; and the income of the single and/or joint applicants for the financial year. </w:t>
      </w:r>
      <w:r w:rsidR="00D14180">
        <w:rPr>
          <w:rFonts w:eastAsia="Arial Unicode MS"/>
          <w:bCs/>
        </w:rPr>
        <w:t xml:space="preserve">The clause also sets limits on the application of eligibility criteria, including where an applicant: already holds a rental bond </w:t>
      </w:r>
      <w:r w:rsidR="00370890">
        <w:rPr>
          <w:rFonts w:eastAsia="Arial Unicode MS"/>
          <w:bCs/>
        </w:rPr>
        <w:t>agreement</w:t>
      </w:r>
      <w:r w:rsidR="00D14180">
        <w:rPr>
          <w:rFonts w:eastAsia="Arial Unicode MS"/>
          <w:bCs/>
        </w:rPr>
        <w:t xml:space="preserve"> with the housing commissioner, cannot meet the schedule of repayments contained in the loan agreement, or has provided false or misleading information.</w:t>
      </w:r>
    </w:p>
    <w:p w:rsidR="004A2ED9" w:rsidRDefault="004A2ED9" w:rsidP="007A17DD">
      <w:pPr>
        <w:spacing w:before="120" w:after="240"/>
        <w:rPr>
          <w:rFonts w:eastAsia="Arial Unicode MS"/>
          <w:bCs/>
        </w:rPr>
      </w:pPr>
      <w:r>
        <w:rPr>
          <w:rFonts w:eastAsia="Arial Unicode MS"/>
          <w:bCs/>
        </w:rPr>
        <w:t xml:space="preserve">The Program does not require an applicant to have identified a tenancy to satisfy </w:t>
      </w:r>
      <w:r w:rsidR="00FC2AE0">
        <w:rPr>
          <w:rFonts w:eastAsia="Arial Unicode MS"/>
          <w:bCs/>
        </w:rPr>
        <w:t xml:space="preserve">the </w:t>
      </w:r>
      <w:r>
        <w:rPr>
          <w:rFonts w:eastAsia="Arial Unicode MS"/>
          <w:bCs/>
        </w:rPr>
        <w:t xml:space="preserve">eligibility criteria. Rather, a </w:t>
      </w:r>
      <w:r w:rsidR="00370890">
        <w:rPr>
          <w:rFonts w:eastAsia="Arial Unicode MS"/>
          <w:bCs/>
        </w:rPr>
        <w:t>rental bond</w:t>
      </w:r>
      <w:r>
        <w:rPr>
          <w:rFonts w:eastAsia="Arial Unicode MS"/>
          <w:bCs/>
        </w:rPr>
        <w:t xml:space="preserve"> agreement will not be entered into until a rental bond is sought by a lessor from the applicant under the </w:t>
      </w:r>
      <w:r>
        <w:rPr>
          <w:rFonts w:eastAsia="Arial Unicode MS"/>
          <w:bCs/>
          <w:i/>
        </w:rPr>
        <w:t>Residential Tenancy Act 1997</w:t>
      </w:r>
      <w:r>
        <w:rPr>
          <w:rFonts w:eastAsia="Arial Unicode MS"/>
          <w:bCs/>
        </w:rPr>
        <w:t xml:space="preserve"> (see clause 6).</w:t>
      </w:r>
      <w:r w:rsidR="00FC2AE0">
        <w:rPr>
          <w:rFonts w:eastAsia="Arial Unicode MS"/>
          <w:bCs/>
        </w:rPr>
        <w:t xml:space="preserve"> Combined with the application of clause 8,</w:t>
      </w:r>
      <w:r>
        <w:rPr>
          <w:rFonts w:eastAsia="Arial Unicode MS"/>
          <w:bCs/>
        </w:rPr>
        <w:t xml:space="preserve"> </w:t>
      </w:r>
      <w:r w:rsidR="00FC2AE0">
        <w:rPr>
          <w:rFonts w:eastAsia="Arial Unicode MS"/>
          <w:bCs/>
        </w:rPr>
        <w:t>t</w:t>
      </w:r>
      <w:r>
        <w:rPr>
          <w:rFonts w:eastAsia="Arial Unicode MS"/>
          <w:bCs/>
        </w:rPr>
        <w:t xml:space="preserve">his </w:t>
      </w:r>
      <w:r w:rsidR="00FC2AE0">
        <w:rPr>
          <w:rFonts w:eastAsia="Arial Unicode MS"/>
          <w:bCs/>
        </w:rPr>
        <w:t>gives</w:t>
      </w:r>
      <w:r>
        <w:rPr>
          <w:rFonts w:eastAsia="Arial Unicode MS"/>
          <w:bCs/>
        </w:rPr>
        <w:t xml:space="preserve"> an</w:t>
      </w:r>
      <w:r w:rsidR="00FC2AE0">
        <w:rPr>
          <w:rFonts w:eastAsia="Arial Unicode MS"/>
          <w:bCs/>
        </w:rPr>
        <w:t xml:space="preserve"> eligible</w:t>
      </w:r>
      <w:r>
        <w:rPr>
          <w:rFonts w:eastAsia="Arial Unicode MS"/>
          <w:bCs/>
        </w:rPr>
        <w:t xml:space="preserve"> applicant </w:t>
      </w:r>
      <w:r w:rsidR="00FC2AE0">
        <w:rPr>
          <w:rFonts w:eastAsia="Arial Unicode MS"/>
          <w:bCs/>
        </w:rPr>
        <w:t xml:space="preserve">up to 6 months from the date of application to find an appropriate tenancy. </w:t>
      </w:r>
      <w:r w:rsidR="00276345">
        <w:rPr>
          <w:rFonts w:eastAsia="Arial Unicode MS"/>
          <w:bCs/>
        </w:rPr>
        <w:t xml:space="preserve"> </w:t>
      </w:r>
    </w:p>
    <w:p w:rsidR="001D706E" w:rsidRDefault="001D706E" w:rsidP="007A17DD">
      <w:pPr>
        <w:spacing w:before="120" w:after="240"/>
        <w:rPr>
          <w:rFonts w:eastAsia="Arial Unicode MS"/>
          <w:bCs/>
        </w:rPr>
      </w:pPr>
      <w:r>
        <w:rPr>
          <w:rFonts w:eastAsia="Arial Unicode MS"/>
          <w:b/>
          <w:bCs/>
        </w:rPr>
        <w:t>Clause 10</w:t>
      </w:r>
      <w:r>
        <w:rPr>
          <w:rFonts w:eastAsia="Arial Unicode MS"/>
          <w:bCs/>
        </w:rPr>
        <w:t xml:space="preserve"> allows the housing commissioner to disregard any eligibility criteria in their absolute discretion, with the exception of an applicant’s age and their intent to enter a tenancy in the Territory and to reside in the tenant residence for the duration of their tenancy. </w:t>
      </w:r>
      <w:r w:rsidR="00447886">
        <w:rPr>
          <w:rFonts w:eastAsia="Arial Unicode MS"/>
          <w:bCs/>
        </w:rPr>
        <w:t xml:space="preserve">The clause applies criteria against which the housing commissioner must be satisfied before making a decision to exempt any eligibility criteria. </w:t>
      </w:r>
    </w:p>
    <w:p w:rsidR="004734AF" w:rsidRDefault="004734AF" w:rsidP="007A17DD">
      <w:pPr>
        <w:spacing w:before="120" w:after="240"/>
        <w:rPr>
          <w:rFonts w:eastAsia="Arial Unicode MS"/>
          <w:bCs/>
        </w:rPr>
      </w:pPr>
      <w:r>
        <w:rPr>
          <w:rFonts w:eastAsia="Arial Unicode MS"/>
          <w:b/>
          <w:bCs/>
        </w:rPr>
        <w:t>Clauses 11 and 12</w:t>
      </w:r>
      <w:r w:rsidR="00412B52">
        <w:rPr>
          <w:rFonts w:eastAsia="Arial Unicode MS"/>
          <w:bCs/>
        </w:rPr>
        <w:t xml:space="preserve"> set</w:t>
      </w:r>
      <w:r>
        <w:rPr>
          <w:rFonts w:eastAsia="Arial Unicode MS"/>
          <w:bCs/>
        </w:rPr>
        <w:t xml:space="preserve"> the meaning of income and the methodology applied when calculating an applicant’s income for the purpose of determining eligibility. </w:t>
      </w:r>
      <w:r w:rsidR="00474377">
        <w:rPr>
          <w:rFonts w:eastAsia="Arial Unicode MS"/>
          <w:bCs/>
        </w:rPr>
        <w:t xml:space="preserve">When working out income, the housing commissioner should use the </w:t>
      </w:r>
      <w:r w:rsidR="00412B52">
        <w:rPr>
          <w:rFonts w:eastAsia="Arial Unicode MS"/>
          <w:bCs/>
        </w:rPr>
        <w:t>method</w:t>
      </w:r>
      <w:r w:rsidR="00474377">
        <w:rPr>
          <w:rFonts w:eastAsia="Arial Unicode MS"/>
          <w:bCs/>
        </w:rPr>
        <w:t xml:space="preserve"> that best reflects the current and foreseeable circumstance</w:t>
      </w:r>
      <w:r w:rsidR="00412B52">
        <w:rPr>
          <w:rFonts w:eastAsia="Arial Unicode MS"/>
          <w:bCs/>
        </w:rPr>
        <w:t>s</w:t>
      </w:r>
      <w:r w:rsidR="00474377">
        <w:rPr>
          <w:rFonts w:eastAsia="Arial Unicode MS"/>
          <w:bCs/>
        </w:rPr>
        <w:t xml:space="preserve"> of the applicant. </w:t>
      </w:r>
    </w:p>
    <w:p w:rsidR="00760448" w:rsidRDefault="00760448" w:rsidP="007A17DD">
      <w:pPr>
        <w:spacing w:before="120" w:after="240"/>
        <w:rPr>
          <w:rFonts w:eastAsia="Arial Unicode MS"/>
          <w:bCs/>
        </w:rPr>
      </w:pPr>
      <w:r>
        <w:rPr>
          <w:rFonts w:eastAsia="Arial Unicode MS"/>
          <w:b/>
          <w:bCs/>
        </w:rPr>
        <w:t>Clause 13</w:t>
      </w:r>
      <w:r>
        <w:rPr>
          <w:rFonts w:eastAsia="Arial Unicode MS"/>
          <w:bCs/>
        </w:rPr>
        <w:t xml:space="preserve"> sets minimum process requirements that apply to a rental bond </w:t>
      </w:r>
      <w:r w:rsidR="00470F53">
        <w:rPr>
          <w:rFonts w:eastAsia="Arial Unicode MS"/>
          <w:bCs/>
        </w:rPr>
        <w:t>agreement</w:t>
      </w:r>
      <w:r>
        <w:rPr>
          <w:rFonts w:eastAsia="Arial Unicode MS"/>
          <w:bCs/>
        </w:rPr>
        <w:t xml:space="preserve"> when a tenancy ends. </w:t>
      </w:r>
      <w:r w:rsidR="005A551F">
        <w:rPr>
          <w:rFonts w:eastAsia="Arial Unicode MS"/>
          <w:bCs/>
        </w:rPr>
        <w:t xml:space="preserve">In effect, it requires that any monies still owing to the housing commissioner be paid to satisfy the balance of the loan, before remaining funds are released to the applicant. </w:t>
      </w:r>
    </w:p>
    <w:p w:rsidR="00713B77" w:rsidRPr="00D14180" w:rsidRDefault="00713B77" w:rsidP="007A17DD">
      <w:pPr>
        <w:spacing w:before="120" w:after="240"/>
        <w:rPr>
          <w:rFonts w:eastAsia="Arial Unicode MS"/>
          <w:bCs/>
        </w:rPr>
      </w:pPr>
      <w:r>
        <w:rPr>
          <w:rFonts w:eastAsia="Arial Unicode MS"/>
          <w:b/>
          <w:bCs/>
        </w:rPr>
        <w:t xml:space="preserve">Clauses 14, 15 and 16 </w:t>
      </w:r>
      <w:r w:rsidR="00D14180">
        <w:rPr>
          <w:rFonts w:eastAsia="Arial Unicode MS"/>
          <w:bCs/>
        </w:rPr>
        <w:t xml:space="preserve">outline the process for a review of decision under this Program and when an application may be made to the ACAT about a decision made under the Program. </w:t>
      </w:r>
    </w:p>
    <w:p w:rsidR="00B65161" w:rsidRPr="00A45270" w:rsidRDefault="00713B77" w:rsidP="00A45270">
      <w:pPr>
        <w:spacing w:before="120" w:after="240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eastAsia="Arial Unicode MS"/>
          <w:b/>
          <w:bCs/>
        </w:rPr>
        <w:t xml:space="preserve">Clause 17 </w:t>
      </w:r>
      <w:r>
        <w:rPr>
          <w:rFonts w:eastAsia="Arial Unicode MS"/>
          <w:bCs/>
        </w:rPr>
        <w:t xml:space="preserve">revokes the preceding instrument, the </w:t>
      </w:r>
      <w:r>
        <w:rPr>
          <w:rFonts w:eastAsia="Arial Unicode MS"/>
          <w:bCs/>
          <w:i/>
        </w:rPr>
        <w:t>Housing Assistance Rental Bonds Housing Assistance Program 2017 (No 1)</w:t>
      </w:r>
      <w:r w:rsidR="00A45270">
        <w:rPr>
          <w:rFonts w:eastAsia="Arial Unicode MS"/>
          <w:bCs/>
        </w:rPr>
        <w:t>.</w:t>
      </w:r>
    </w:p>
    <w:sectPr w:rsidR="00B65161" w:rsidRPr="00A45270" w:rsidSect="009D42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276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FAB" w:rsidRDefault="00C17FAB" w:rsidP="00C17FAB">
      <w:r>
        <w:separator/>
      </w:r>
    </w:p>
  </w:endnote>
  <w:endnote w:type="continuationSeparator" w:id="0">
    <w:p w:rsidR="00C17FAB" w:rsidRDefault="00C17FAB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00" w:rsidRPr="00BD57AD" w:rsidRDefault="00BD57AD" w:rsidP="00BD57AD">
    <w:pPr>
      <w:pStyle w:val="Footer"/>
      <w:jc w:val="center"/>
      <w:rPr>
        <w:rFonts w:cs="Arial"/>
        <w:sz w:val="14"/>
      </w:rPr>
    </w:pPr>
    <w:r w:rsidRPr="00BD57A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FAB" w:rsidRDefault="00C17FAB" w:rsidP="00C17FAB">
      <w:r>
        <w:separator/>
      </w:r>
    </w:p>
  </w:footnote>
  <w:footnote w:type="continuationSeparator" w:id="0">
    <w:p w:rsidR="00C17FAB" w:rsidRDefault="00C17FAB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B9293E"/>
    <w:multiLevelType w:val="hybridMultilevel"/>
    <w:tmpl w:val="7F463590"/>
    <w:lvl w:ilvl="0" w:tplc="439294EC">
      <w:start w:val="3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09EB242B"/>
    <w:multiLevelType w:val="hybridMultilevel"/>
    <w:tmpl w:val="74C885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42237D"/>
    <w:multiLevelType w:val="hybridMultilevel"/>
    <w:tmpl w:val="4942E5B2"/>
    <w:lvl w:ilvl="0" w:tplc="0C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7" w15:restartNumberingAfterBreak="0">
    <w:nsid w:val="29C95042"/>
    <w:multiLevelType w:val="hybridMultilevel"/>
    <w:tmpl w:val="8EFCDB10"/>
    <w:lvl w:ilvl="0" w:tplc="6AAA5FA6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i w:val="0"/>
      </w:rPr>
    </w:lvl>
    <w:lvl w:ilvl="1" w:tplc="9C26C65C">
      <w:start w:val="1"/>
      <w:numFmt w:val="lowerLetter"/>
      <w:lvlText w:val="(%2)"/>
      <w:lvlJc w:val="left"/>
      <w:pPr>
        <w:tabs>
          <w:tab w:val="num" w:pos="1647"/>
        </w:tabs>
        <w:ind w:left="1647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0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1" w15:restartNumberingAfterBreak="0">
    <w:nsid w:val="43BA6D3A"/>
    <w:multiLevelType w:val="hybridMultilevel"/>
    <w:tmpl w:val="4D3E9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26071"/>
    <w:multiLevelType w:val="hybridMultilevel"/>
    <w:tmpl w:val="8EFCDB10"/>
    <w:lvl w:ilvl="0" w:tplc="6AAA5FA6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i w:val="0"/>
      </w:rPr>
    </w:lvl>
    <w:lvl w:ilvl="1" w:tplc="9C26C65C">
      <w:start w:val="1"/>
      <w:numFmt w:val="lowerLetter"/>
      <w:lvlText w:val="(%2)"/>
      <w:lvlJc w:val="left"/>
      <w:pPr>
        <w:tabs>
          <w:tab w:val="num" w:pos="1647"/>
        </w:tabs>
        <w:ind w:left="1647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3" w15:restartNumberingAfterBreak="0">
    <w:nsid w:val="47735524"/>
    <w:multiLevelType w:val="hybridMultilevel"/>
    <w:tmpl w:val="FC166E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73EF5"/>
    <w:multiLevelType w:val="hybridMultilevel"/>
    <w:tmpl w:val="0804E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A302D"/>
    <w:multiLevelType w:val="hybridMultilevel"/>
    <w:tmpl w:val="C71E44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22B13"/>
    <w:multiLevelType w:val="hybridMultilevel"/>
    <w:tmpl w:val="7C043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7F343277"/>
    <w:multiLevelType w:val="hybridMultilevel"/>
    <w:tmpl w:val="0010AE96"/>
    <w:lvl w:ilvl="0" w:tplc="4AF0669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0"/>
  </w:num>
  <w:num w:numId="5">
    <w:abstractNumId w:val="17"/>
  </w:num>
  <w:num w:numId="6">
    <w:abstractNumId w:val="1"/>
  </w:num>
  <w:num w:numId="7">
    <w:abstractNumId w:val="8"/>
  </w:num>
  <w:num w:numId="8">
    <w:abstractNumId w:val="9"/>
  </w:num>
  <w:num w:numId="9">
    <w:abstractNumId w:val="18"/>
  </w:num>
  <w:num w:numId="10">
    <w:abstractNumId w:val="13"/>
  </w:num>
  <w:num w:numId="11">
    <w:abstractNumId w:val="14"/>
  </w:num>
  <w:num w:numId="12">
    <w:abstractNumId w:val="12"/>
  </w:num>
  <w:num w:numId="13">
    <w:abstractNumId w:val="7"/>
  </w:num>
  <w:num w:numId="14">
    <w:abstractNumId w:val="11"/>
  </w:num>
  <w:num w:numId="15">
    <w:abstractNumId w:val="2"/>
  </w:num>
  <w:num w:numId="16">
    <w:abstractNumId w:val="19"/>
  </w:num>
  <w:num w:numId="17">
    <w:abstractNumId w:val="15"/>
  </w:num>
  <w:num w:numId="18">
    <w:abstractNumId w:val="16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60"/>
    <w:rsid w:val="001D706E"/>
    <w:rsid w:val="001D7BCA"/>
    <w:rsid w:val="001E75FE"/>
    <w:rsid w:val="001F7170"/>
    <w:rsid w:val="00204562"/>
    <w:rsid w:val="00276345"/>
    <w:rsid w:val="002D7C60"/>
    <w:rsid w:val="003227BF"/>
    <w:rsid w:val="00370890"/>
    <w:rsid w:val="00395780"/>
    <w:rsid w:val="00412B52"/>
    <w:rsid w:val="00447886"/>
    <w:rsid w:val="00464FEE"/>
    <w:rsid w:val="00470F53"/>
    <w:rsid w:val="004734AF"/>
    <w:rsid w:val="00474377"/>
    <w:rsid w:val="004A2ED9"/>
    <w:rsid w:val="00543BF9"/>
    <w:rsid w:val="0056597E"/>
    <w:rsid w:val="00575E06"/>
    <w:rsid w:val="005A551F"/>
    <w:rsid w:val="005E2620"/>
    <w:rsid w:val="00604768"/>
    <w:rsid w:val="006549A1"/>
    <w:rsid w:val="00713B77"/>
    <w:rsid w:val="007346AC"/>
    <w:rsid w:val="00760448"/>
    <w:rsid w:val="00796F2A"/>
    <w:rsid w:val="007A17DD"/>
    <w:rsid w:val="00833EE8"/>
    <w:rsid w:val="008450B7"/>
    <w:rsid w:val="00853C44"/>
    <w:rsid w:val="00862549"/>
    <w:rsid w:val="00890A2D"/>
    <w:rsid w:val="008B121E"/>
    <w:rsid w:val="008D7621"/>
    <w:rsid w:val="009024F6"/>
    <w:rsid w:val="00902CBB"/>
    <w:rsid w:val="009508A5"/>
    <w:rsid w:val="00962A29"/>
    <w:rsid w:val="009D429D"/>
    <w:rsid w:val="00A45270"/>
    <w:rsid w:val="00A669B6"/>
    <w:rsid w:val="00A74B2E"/>
    <w:rsid w:val="00A84940"/>
    <w:rsid w:val="00AD4096"/>
    <w:rsid w:val="00AF59FD"/>
    <w:rsid w:val="00B65161"/>
    <w:rsid w:val="00B90390"/>
    <w:rsid w:val="00B929C3"/>
    <w:rsid w:val="00BA6E33"/>
    <w:rsid w:val="00BB73C1"/>
    <w:rsid w:val="00BD504E"/>
    <w:rsid w:val="00BD57AD"/>
    <w:rsid w:val="00BE20EF"/>
    <w:rsid w:val="00C17FAB"/>
    <w:rsid w:val="00C47613"/>
    <w:rsid w:val="00CE599C"/>
    <w:rsid w:val="00D14180"/>
    <w:rsid w:val="00D2063A"/>
    <w:rsid w:val="00D4547C"/>
    <w:rsid w:val="00D70089"/>
    <w:rsid w:val="00DA3B00"/>
    <w:rsid w:val="00DA7FAF"/>
    <w:rsid w:val="00DB2DAB"/>
    <w:rsid w:val="00DC5B3F"/>
    <w:rsid w:val="00E61CA3"/>
    <w:rsid w:val="00EE2F02"/>
    <w:rsid w:val="00FC2AE0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ListParagraph">
    <w:name w:val="List Paragraph"/>
    <w:basedOn w:val="Normal"/>
    <w:uiPriority w:val="34"/>
    <w:qFormat/>
    <w:rsid w:val="008D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846</Words>
  <Characters>4501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5</cp:revision>
  <cp:lastPrinted>2006-03-31T04:28:00Z</cp:lastPrinted>
  <dcterms:created xsi:type="dcterms:W3CDTF">2018-11-12T00:00:00Z</dcterms:created>
  <dcterms:modified xsi:type="dcterms:W3CDTF">2018-11-12T00:00:00Z</dcterms:modified>
</cp:coreProperties>
</file>