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E" w:rsidRPr="00793899" w:rsidRDefault="00AE49FE" w:rsidP="004026FA">
      <w:pPr>
        <w:pStyle w:val="Subtitle"/>
      </w:pPr>
      <w:bookmarkStart w:id="0" w:name="_GoBack"/>
      <w:bookmarkEnd w:id="0"/>
      <w:r w:rsidRPr="00793899">
        <w:t>Australian Capital Territory</w:t>
      </w:r>
    </w:p>
    <w:p w:rsidR="00AE49FE" w:rsidRDefault="00AE49FE" w:rsidP="004026FA"/>
    <w:p w:rsidR="00AE49FE" w:rsidRDefault="00EF0A2D" w:rsidP="00D73A61">
      <w:pPr>
        <w:pStyle w:val="Heading1"/>
      </w:pPr>
      <w:r>
        <w:t>Government Procurement (</w:t>
      </w:r>
      <w:r w:rsidR="00CE2464">
        <w:t>Secure Local Jobs</w:t>
      </w:r>
      <w:r>
        <w:t xml:space="preserve">) </w:t>
      </w:r>
      <w:r w:rsidR="00CE2464" w:rsidRPr="003353B1">
        <w:t xml:space="preserve">Code </w:t>
      </w:r>
      <w:r w:rsidRPr="003353B1">
        <w:t>2018</w:t>
      </w:r>
      <w:r>
        <w:t xml:space="preserve"> </w:t>
      </w:r>
    </w:p>
    <w:p w:rsidR="00D73A61" w:rsidRPr="00D73A61" w:rsidRDefault="00D73A61" w:rsidP="00D73A61"/>
    <w:p w:rsidR="00AE49FE" w:rsidRPr="00793899" w:rsidRDefault="00D73A61" w:rsidP="004026FA">
      <w:pPr>
        <w:pStyle w:val="Heading3"/>
      </w:pPr>
      <w:r>
        <w:t>Disallowable instrument DI</w:t>
      </w:r>
      <w:r w:rsidR="00AE49FE" w:rsidRPr="00793899">
        <w:t>2018–</w:t>
      </w:r>
      <w:r w:rsidR="00011EE7">
        <w:t>283</w:t>
      </w:r>
    </w:p>
    <w:p w:rsidR="00AE49FE" w:rsidRPr="00793899" w:rsidRDefault="00AE49FE" w:rsidP="004026FA">
      <w:pPr>
        <w:pStyle w:val="Heading3"/>
      </w:pPr>
    </w:p>
    <w:p w:rsidR="00AE49FE" w:rsidRPr="004026FA" w:rsidRDefault="00AE49FE" w:rsidP="004026FA">
      <w:pPr>
        <w:pStyle w:val="NoSpacing"/>
      </w:pPr>
      <w:r w:rsidRPr="004026FA">
        <w:t>made under the</w:t>
      </w:r>
    </w:p>
    <w:p w:rsidR="00AE49FE" w:rsidRDefault="00AE49FE" w:rsidP="004026FA"/>
    <w:p w:rsidR="00045276" w:rsidRPr="004A2C51" w:rsidRDefault="00AE49FE" w:rsidP="004026FA">
      <w:pPr>
        <w:pStyle w:val="Heading4"/>
        <w:rPr>
          <w:i w:val="0"/>
        </w:rPr>
      </w:pPr>
      <w:r w:rsidRPr="00793899">
        <w:t xml:space="preserve">Government Procurement Act 2001, </w:t>
      </w:r>
      <w:r w:rsidR="004A2C51">
        <w:rPr>
          <w:i w:val="0"/>
        </w:rPr>
        <w:t>s22M(1) (Secure local jobs code)</w:t>
      </w:r>
    </w:p>
    <w:p w:rsidR="00AE49FE" w:rsidRDefault="00AE49FE" w:rsidP="004026FA"/>
    <w:p w:rsidR="00AE49FE" w:rsidRPr="00793899" w:rsidRDefault="00AE49FE" w:rsidP="004026FA">
      <w:pPr>
        <w:pStyle w:val="Title"/>
      </w:pPr>
      <w:r w:rsidRPr="00793899">
        <w:t>EXPLANATORY STATEMENT</w:t>
      </w:r>
    </w:p>
    <w:p w:rsidR="00A233E1" w:rsidRDefault="00A233E1" w:rsidP="004026FA"/>
    <w:p w:rsidR="009C0B32" w:rsidRPr="004026FA" w:rsidRDefault="009C0B32" w:rsidP="004026FA">
      <w:pPr>
        <w:pStyle w:val="NoSpacing"/>
      </w:pPr>
    </w:p>
    <w:p w:rsidR="00045B7B" w:rsidRDefault="009C0B32" w:rsidP="00045B7B">
      <w:pPr>
        <w:pStyle w:val="Heading2"/>
      </w:pPr>
      <w:r w:rsidRPr="005D5D5E">
        <w:t>Overview</w:t>
      </w:r>
    </w:p>
    <w:p w:rsidR="003D5246" w:rsidRDefault="003D5246" w:rsidP="004026FA">
      <w:r w:rsidRPr="004026FA">
        <w:t xml:space="preserve">This explanatory statement relates to the </w:t>
      </w:r>
      <w:r w:rsidRPr="00506190">
        <w:rPr>
          <w:i/>
        </w:rPr>
        <w:t xml:space="preserve">Government Procurement (Secure Local Jobs) </w:t>
      </w:r>
      <w:r>
        <w:rPr>
          <w:i/>
        </w:rPr>
        <w:t>Code</w:t>
      </w:r>
      <w:r w:rsidRPr="00506190">
        <w:rPr>
          <w:i/>
        </w:rPr>
        <w:t xml:space="preserve"> 2018</w:t>
      </w:r>
      <w:r>
        <w:t xml:space="preserve"> </w:t>
      </w:r>
      <w:r w:rsidRPr="004026FA">
        <w:t xml:space="preserve">(the </w:t>
      </w:r>
      <w:r>
        <w:t>Code</w:t>
      </w:r>
      <w:r w:rsidRPr="004026FA">
        <w:t>)</w:t>
      </w:r>
      <w:r>
        <w:t>.</w:t>
      </w:r>
    </w:p>
    <w:p w:rsidR="003D5246" w:rsidRDefault="003D5246" w:rsidP="004026FA"/>
    <w:p w:rsidR="00647913" w:rsidRDefault="001634BB" w:rsidP="004026FA">
      <w:r w:rsidRPr="005D5D5E">
        <w:t xml:space="preserve">The </w:t>
      </w:r>
      <w:r w:rsidR="00295A2C">
        <w:t>C</w:t>
      </w:r>
      <w:r w:rsidR="00045B7B">
        <w:t xml:space="preserve">ode </w:t>
      </w:r>
      <w:r w:rsidR="00B5600E">
        <w:t>provides the detailed requirements introduced by the Secure Local Jobs Package (the Package)</w:t>
      </w:r>
      <w:r w:rsidR="00647913">
        <w:t xml:space="preserve">, </w:t>
      </w:r>
      <w:r w:rsidR="00015C9C">
        <w:t>covering workplace standards such as</w:t>
      </w:r>
      <w:r w:rsidR="00647913">
        <w:t xml:space="preserve"> collective bargaining, freedom of association, health and safety, workplace inductions and union workplace representation. </w:t>
      </w:r>
    </w:p>
    <w:p w:rsidR="00647913" w:rsidRDefault="00647913" w:rsidP="004026FA"/>
    <w:p w:rsidR="00B5600E" w:rsidRDefault="00B5600E" w:rsidP="00015C9C">
      <w:r>
        <w:t xml:space="preserve">The requirement to </w:t>
      </w:r>
      <w:r w:rsidR="003D5246">
        <w:t xml:space="preserve">comply with </w:t>
      </w:r>
      <w:r>
        <w:t xml:space="preserve">the </w:t>
      </w:r>
      <w:r w:rsidR="00295A2C">
        <w:t>C</w:t>
      </w:r>
      <w:r>
        <w:t xml:space="preserve">ode is reinforced at multiple levels and applies </w:t>
      </w:r>
      <w:r w:rsidR="003D5246">
        <w:t xml:space="preserve">to an entity </w:t>
      </w:r>
      <w:r w:rsidR="003307E4">
        <w:t xml:space="preserve">who </w:t>
      </w:r>
      <w:r w:rsidR="003D5246">
        <w:t>holds a Secure Local Jobs Code Certificate (Certificate)</w:t>
      </w:r>
      <w:r w:rsidR="00015C9C">
        <w:t>:</w:t>
      </w:r>
    </w:p>
    <w:p w:rsidR="00015C9C" w:rsidRDefault="00015C9C" w:rsidP="00015C9C"/>
    <w:p w:rsidR="005D5D5E" w:rsidRDefault="00CC538C" w:rsidP="00CC538C">
      <w:pPr>
        <w:pStyle w:val="ListParagraph"/>
        <w:numPr>
          <w:ilvl w:val="0"/>
          <w:numId w:val="9"/>
        </w:numPr>
      </w:pPr>
      <w:r>
        <w:t xml:space="preserve">The requirement to hold a </w:t>
      </w:r>
      <w:r w:rsidR="00295A2C">
        <w:t>Certificate</w:t>
      </w:r>
      <w:r>
        <w:t xml:space="preserve"> is </w:t>
      </w:r>
      <w:r w:rsidR="00045B7B">
        <w:t>established</w:t>
      </w:r>
      <w:r w:rsidR="001634BB" w:rsidRPr="005D5D5E">
        <w:t xml:space="preserve"> by </w:t>
      </w:r>
      <w:r w:rsidR="004A2C51">
        <w:rPr>
          <w:i/>
        </w:rPr>
        <w:t xml:space="preserve">the Government Procurement Act 2001 </w:t>
      </w:r>
      <w:r w:rsidR="004A2C51">
        <w:t>(</w:t>
      </w:r>
      <w:r w:rsidR="00811E24">
        <w:t>GPA</w:t>
      </w:r>
      <w:r w:rsidR="004A2C51">
        <w:t>)</w:t>
      </w:r>
      <w:r w:rsidR="00054A01">
        <w:t xml:space="preserve"> (as amended by the </w:t>
      </w:r>
      <w:r w:rsidR="00054A01">
        <w:rPr>
          <w:i/>
        </w:rPr>
        <w:t>Government Procurement (Secure Local Jobs) Amendment Act 2018</w:t>
      </w:r>
      <w:r w:rsidR="00054A01">
        <w:t>)</w:t>
      </w:r>
      <w:r w:rsidR="00AC11A5">
        <w:t>:</w:t>
      </w:r>
    </w:p>
    <w:p w:rsidR="00AC11A5" w:rsidRDefault="00AC11A5" w:rsidP="00AC11A5">
      <w:pPr>
        <w:pStyle w:val="ListParagraph"/>
        <w:numPr>
          <w:ilvl w:val="1"/>
          <w:numId w:val="9"/>
        </w:numPr>
      </w:pPr>
      <w:r>
        <w:t xml:space="preserve">a territory entity cannot accept a response to a procurement for territory-funded work unless a tenderer holds a certificate </w:t>
      </w:r>
    </w:p>
    <w:p w:rsidR="00AC11A5" w:rsidRDefault="00AC11A5" w:rsidP="00AC11A5">
      <w:pPr>
        <w:pStyle w:val="ListParagraph"/>
        <w:numPr>
          <w:ilvl w:val="1"/>
          <w:numId w:val="9"/>
        </w:numPr>
      </w:pPr>
      <w:r>
        <w:t xml:space="preserve">a territory entity cannot enter into a contract for procurement for territory-funded work unless the other entity holds a certificate </w:t>
      </w:r>
    </w:p>
    <w:p w:rsidR="00015C9C" w:rsidRPr="005D5D5E" w:rsidRDefault="00AC11A5" w:rsidP="001859F6">
      <w:pPr>
        <w:pStyle w:val="ListParagraph"/>
        <w:keepNext/>
        <w:numPr>
          <w:ilvl w:val="0"/>
          <w:numId w:val="9"/>
        </w:numPr>
        <w:ind w:left="714" w:hanging="357"/>
      </w:pPr>
      <w:r>
        <w:t xml:space="preserve">Territory-funded work is defined by reference to the kind of services or work, and initially covers </w:t>
      </w:r>
      <w:r w:rsidR="003307E4">
        <w:t xml:space="preserve">specific </w:t>
      </w:r>
      <w:r>
        <w:t>industries. The term will later be broadened to include any contract primarily for labour with an estimated value at or above $200 000</w:t>
      </w:r>
      <w:r w:rsidR="001859F6">
        <w:t>.</w:t>
      </w:r>
    </w:p>
    <w:p w:rsidR="00CC538C" w:rsidRDefault="00CC538C" w:rsidP="00CC538C"/>
    <w:p w:rsidR="001634BB" w:rsidRDefault="00737BFE" w:rsidP="004026FA">
      <w:r>
        <w:t xml:space="preserve">The authority to </w:t>
      </w:r>
      <w:r w:rsidR="001634BB" w:rsidRPr="005D5D5E">
        <w:t xml:space="preserve">make </w:t>
      </w:r>
      <w:r w:rsidR="00295A2C">
        <w:t>the C</w:t>
      </w:r>
      <w:r>
        <w:t>ode is co</w:t>
      </w:r>
      <w:r w:rsidR="004A2C51">
        <w:t xml:space="preserve">ntained in section 22M of </w:t>
      </w:r>
      <w:r w:rsidR="00811E24">
        <w:t>the GPA</w:t>
      </w:r>
      <w:r>
        <w:t xml:space="preserve">, which states that – </w:t>
      </w:r>
    </w:p>
    <w:p w:rsidR="00737BFE" w:rsidRDefault="00737BFE" w:rsidP="00737BFE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The Minister may make a code (the secure local jobs code) that sets out workplace standards and related requirements that applies to an entity that holds a secure local jobs code certificate.</w:t>
      </w:r>
    </w:p>
    <w:p w:rsidR="00737BFE" w:rsidRDefault="00737BFE" w:rsidP="00737BFE">
      <w:pPr>
        <w:pStyle w:val="ListParagraph"/>
        <w:ind w:left="1080"/>
        <w:rPr>
          <w:i/>
        </w:rPr>
      </w:pPr>
      <w:r>
        <w:rPr>
          <w:i/>
        </w:rPr>
        <w:t>…</w:t>
      </w:r>
    </w:p>
    <w:p w:rsidR="00737BFE" w:rsidRDefault="00737BFE" w:rsidP="00737BFE">
      <w:pPr>
        <w:ind w:left="720"/>
        <w:rPr>
          <w:i/>
        </w:rPr>
      </w:pPr>
      <w:r>
        <w:rPr>
          <w:i/>
        </w:rPr>
        <w:t xml:space="preserve">(5) The Code is a disallowable instrument. </w:t>
      </w:r>
    </w:p>
    <w:p w:rsidR="00CC538C" w:rsidRDefault="00CC538C" w:rsidP="00737BFE">
      <w:pPr>
        <w:ind w:left="720"/>
        <w:rPr>
          <w:i/>
        </w:rPr>
      </w:pPr>
    </w:p>
    <w:p w:rsidR="00CC538C" w:rsidRPr="00CC538C" w:rsidRDefault="00CC538C" w:rsidP="00CC538C">
      <w:r>
        <w:t xml:space="preserve">Section 22M </w:t>
      </w:r>
      <w:r w:rsidR="00054A01">
        <w:t xml:space="preserve">of the GPA </w:t>
      </w:r>
      <w:r>
        <w:t xml:space="preserve">also sets </w:t>
      </w:r>
      <w:r w:rsidR="00003A69">
        <w:t xml:space="preserve">out what requirements </w:t>
      </w:r>
      <w:r w:rsidR="003D5246">
        <w:t xml:space="preserve">may be included in </w:t>
      </w:r>
      <w:r w:rsidR="00003A69">
        <w:t>the C</w:t>
      </w:r>
      <w:r>
        <w:t xml:space="preserve">ode. </w:t>
      </w:r>
    </w:p>
    <w:p w:rsidR="00CB6BE4" w:rsidRPr="004455FC" w:rsidRDefault="00CB6BE4" w:rsidP="004026FA"/>
    <w:p w:rsidR="001E684C" w:rsidRDefault="001E684C" w:rsidP="001E684C">
      <w:pPr>
        <w:pStyle w:val="Heading2"/>
      </w:pPr>
      <w:r>
        <w:lastRenderedPageBreak/>
        <w:t xml:space="preserve">Regulatory impact statement </w:t>
      </w:r>
    </w:p>
    <w:p w:rsidR="001E684C" w:rsidRDefault="001E684C" w:rsidP="001E684C">
      <w:r>
        <w:t xml:space="preserve">A </w:t>
      </w:r>
      <w:r w:rsidR="003307E4">
        <w:t xml:space="preserve">regulatory impact statement </w:t>
      </w:r>
      <w:r w:rsidR="00295A2C">
        <w:t>has been prepared for the Code</w:t>
      </w:r>
      <w:r>
        <w:t xml:space="preserve"> and is available o</w:t>
      </w:r>
      <w:r w:rsidR="00FC3606">
        <w:t xml:space="preserve">n the ACT Legislation Register. The </w:t>
      </w:r>
      <w:r w:rsidR="003307E4">
        <w:t xml:space="preserve">regulatory impact statement </w:t>
      </w:r>
      <w:r w:rsidR="00FC3606">
        <w:t xml:space="preserve">also addresses two related </w:t>
      </w:r>
      <w:r w:rsidR="003A7B5A">
        <w:t>legislative</w:t>
      </w:r>
      <w:r w:rsidR="00FC3606">
        <w:t xml:space="preserve"> instruments, the </w:t>
      </w:r>
      <w:r w:rsidR="003A7B5A" w:rsidRPr="003A7B5A">
        <w:rPr>
          <w:i/>
        </w:rPr>
        <w:t>Government Procurement (Secure Local Jobs Code) Amendment Regulation 2018</w:t>
      </w:r>
      <w:r w:rsidR="003A7B5A">
        <w:t xml:space="preserve"> </w:t>
      </w:r>
      <w:r w:rsidR="00295A2C">
        <w:t xml:space="preserve">and </w:t>
      </w:r>
      <w:r w:rsidR="00295A2C">
        <w:rPr>
          <w:i/>
        </w:rPr>
        <w:t>Government Procurement (Secure Local Jobs Code Model Contract Terms) Determination 2018</w:t>
      </w:r>
      <w:r w:rsidR="00FC3606">
        <w:t xml:space="preserve">. </w:t>
      </w:r>
    </w:p>
    <w:p w:rsidR="001E684C" w:rsidRPr="001E684C" w:rsidRDefault="00295A2C" w:rsidP="00295A2C">
      <w:pPr>
        <w:tabs>
          <w:tab w:val="left" w:pos="1800"/>
        </w:tabs>
      </w:pPr>
      <w:r>
        <w:tab/>
      </w:r>
    </w:p>
    <w:p w:rsidR="00CB6BE4" w:rsidRPr="001928D1" w:rsidRDefault="00CB6BE4" w:rsidP="004026FA">
      <w:pPr>
        <w:pStyle w:val="Heading2"/>
      </w:pPr>
      <w:r w:rsidRPr="001928D1">
        <w:t>Human rights implications</w:t>
      </w:r>
    </w:p>
    <w:p w:rsidR="00426778" w:rsidRDefault="00054A01" w:rsidP="003B6CE4">
      <w:r>
        <w:t>During the development of this R</w:t>
      </w:r>
      <w:r w:rsidR="00CB6BE4" w:rsidRPr="004455FC">
        <w:t>egulation regard was given to its compatibility</w:t>
      </w:r>
      <w:r w:rsidR="004026FA">
        <w:t xml:space="preserve"> </w:t>
      </w:r>
      <w:r w:rsidR="00CB6BE4" w:rsidRPr="004455FC">
        <w:t xml:space="preserve">with human rights as set out in the </w:t>
      </w:r>
      <w:r w:rsidR="00CB6BE4" w:rsidRPr="004455FC">
        <w:rPr>
          <w:rFonts w:cs="TimesNewRomanPS-ItalicMT"/>
          <w:i/>
          <w:iCs/>
        </w:rPr>
        <w:t xml:space="preserve">Human Rights Act 2004 </w:t>
      </w:r>
      <w:r w:rsidR="00CB6BE4" w:rsidRPr="004455FC">
        <w:t>(HRA).</w:t>
      </w:r>
      <w:r w:rsidR="001E684C">
        <w:t xml:space="preserve"> Human rights implications are discussed in detail in the Regul</w:t>
      </w:r>
      <w:r w:rsidR="00082A6E">
        <w:t>atory Impact Statement for the Code</w:t>
      </w:r>
      <w:r w:rsidR="001E684C">
        <w:t xml:space="preserve">. </w:t>
      </w:r>
    </w:p>
    <w:p w:rsidR="005075B8" w:rsidRDefault="005075B8" w:rsidP="003B6CE4"/>
    <w:p w:rsidR="005075B8" w:rsidRPr="00426778" w:rsidRDefault="005075B8" w:rsidP="003B6CE4"/>
    <w:p w:rsidR="00A1480E" w:rsidRDefault="001928D1" w:rsidP="004026FA">
      <w:r>
        <w:br w:type="page"/>
      </w:r>
    </w:p>
    <w:p w:rsidR="00A1480E" w:rsidRDefault="00A1480E" w:rsidP="004026FA">
      <w:pPr>
        <w:pStyle w:val="Heading2"/>
      </w:pPr>
      <w:r w:rsidRPr="00A1480E">
        <w:lastRenderedPageBreak/>
        <w:t>CLAUSE NOTES</w:t>
      </w:r>
    </w:p>
    <w:p w:rsidR="00484FEA" w:rsidRDefault="00031A7F" w:rsidP="00031A7F">
      <w:pPr>
        <w:pStyle w:val="ListParagraph"/>
        <w:numPr>
          <w:ilvl w:val="0"/>
          <w:numId w:val="11"/>
        </w:numPr>
        <w:rPr>
          <w:b/>
        </w:rPr>
      </w:pPr>
      <w:r w:rsidRPr="00031A7F">
        <w:rPr>
          <w:b/>
        </w:rPr>
        <w:t xml:space="preserve">Name of instrument </w:t>
      </w:r>
    </w:p>
    <w:p w:rsidR="00031A7F" w:rsidRDefault="00031A7F" w:rsidP="00031A7F">
      <w:pPr>
        <w:pStyle w:val="ListParagraph"/>
        <w:ind w:left="360"/>
        <w:rPr>
          <w:b/>
        </w:rPr>
      </w:pPr>
    </w:p>
    <w:p w:rsidR="00031A7F" w:rsidRPr="008336FA" w:rsidRDefault="00031A7F" w:rsidP="00031A7F">
      <w:pPr>
        <w:rPr>
          <w:i/>
        </w:rPr>
      </w:pPr>
      <w:r>
        <w:t xml:space="preserve">This </w:t>
      </w:r>
      <w:r w:rsidR="008336FA">
        <w:t>clause provides</w:t>
      </w:r>
      <w:r w:rsidR="00353376">
        <w:t xml:space="preserve"> the instrument is</w:t>
      </w:r>
      <w:r w:rsidR="008336FA">
        <w:t xml:space="preserve"> the </w:t>
      </w:r>
      <w:r w:rsidR="008336FA">
        <w:rPr>
          <w:i/>
        </w:rPr>
        <w:t xml:space="preserve">Government Procurement (Secure Local Jobs) Code 2018. </w:t>
      </w:r>
    </w:p>
    <w:p w:rsidR="00031A7F" w:rsidRPr="00031A7F" w:rsidRDefault="00031A7F" w:rsidP="00031A7F"/>
    <w:p w:rsidR="00031A7F" w:rsidRPr="008336FA" w:rsidRDefault="00031A7F" w:rsidP="00031A7F">
      <w:pPr>
        <w:pStyle w:val="ListParagraph"/>
        <w:numPr>
          <w:ilvl w:val="0"/>
          <w:numId w:val="11"/>
        </w:numPr>
      </w:pPr>
      <w:r>
        <w:rPr>
          <w:b/>
        </w:rPr>
        <w:t>Commencement</w:t>
      </w:r>
    </w:p>
    <w:p w:rsidR="008336FA" w:rsidRDefault="008336FA" w:rsidP="008336FA"/>
    <w:p w:rsidR="008336FA" w:rsidRPr="00031A7F" w:rsidRDefault="008336FA" w:rsidP="008336FA">
      <w:r>
        <w:t>This clause provides that the instrument commences on 15 January 2019.</w:t>
      </w:r>
    </w:p>
    <w:p w:rsidR="00031A7F" w:rsidRPr="00031A7F" w:rsidRDefault="00031A7F" w:rsidP="00031A7F"/>
    <w:p w:rsidR="00031A7F" w:rsidRPr="00031A7F" w:rsidRDefault="00031A7F" w:rsidP="00031A7F">
      <w:pPr>
        <w:pStyle w:val="ListParagraph"/>
        <w:numPr>
          <w:ilvl w:val="0"/>
          <w:numId w:val="11"/>
        </w:numPr>
      </w:pPr>
      <w:r>
        <w:rPr>
          <w:b/>
        </w:rPr>
        <w:t xml:space="preserve">Secure local jobs code </w:t>
      </w:r>
    </w:p>
    <w:p w:rsidR="00031A7F" w:rsidRDefault="00031A7F" w:rsidP="00031A7F"/>
    <w:p w:rsidR="008336FA" w:rsidRDefault="008336FA" w:rsidP="00031A7F">
      <w:r>
        <w:t>This clause states th</w:t>
      </w:r>
      <w:r w:rsidR="006A7145">
        <w:t xml:space="preserve">at in this </w:t>
      </w:r>
      <w:r>
        <w:t>instrument, the Minister makes the Secure Local jobs Code</w:t>
      </w:r>
      <w:r w:rsidR="005813F0">
        <w:t xml:space="preserve"> as set out </w:t>
      </w:r>
      <w:r>
        <w:t xml:space="preserve">in the Schedule. </w:t>
      </w:r>
    </w:p>
    <w:p w:rsidR="00484FEA" w:rsidRDefault="00484FEA" w:rsidP="00484FEA"/>
    <w:p w:rsidR="00484FEA" w:rsidRPr="00484FEA" w:rsidRDefault="00484FEA" w:rsidP="00484FEA">
      <w:pPr>
        <w:pStyle w:val="Heading2"/>
      </w:pPr>
      <w:r>
        <w:t xml:space="preserve">Schedule </w:t>
      </w:r>
    </w:p>
    <w:p w:rsidR="00A93577" w:rsidRPr="00B97957" w:rsidRDefault="00E67A55" w:rsidP="00A93577">
      <w:pPr>
        <w:pStyle w:val="Heading6"/>
        <w:rPr>
          <w:u w:val="none"/>
        </w:rPr>
      </w:pPr>
      <w:r w:rsidRPr="00B97957">
        <w:rPr>
          <w:u w:val="none"/>
        </w:rPr>
        <w:t xml:space="preserve">Preliminary </w:t>
      </w:r>
    </w:p>
    <w:p w:rsidR="00A93577" w:rsidRPr="00A93577" w:rsidRDefault="00A93577" w:rsidP="00A93577"/>
    <w:p w:rsidR="004F3361" w:rsidRDefault="00E67A55" w:rsidP="004F3361">
      <w:pPr>
        <w:pStyle w:val="Heading5"/>
      </w:pPr>
      <w:r>
        <w:t>Name</w:t>
      </w:r>
      <w:r w:rsidR="00B97957">
        <w:t xml:space="preserve"> of instrument </w:t>
      </w:r>
    </w:p>
    <w:p w:rsidR="00876CF4" w:rsidRPr="00876CF4" w:rsidRDefault="00031A7F" w:rsidP="00876CF4">
      <w:r>
        <w:t xml:space="preserve">This section provides that the instrument in the Schedule </w:t>
      </w:r>
      <w:r w:rsidR="00876CF4">
        <w:t xml:space="preserve">is </w:t>
      </w:r>
      <w:r w:rsidR="002375B0">
        <w:t>to be referred to as</w:t>
      </w:r>
      <w:r w:rsidR="00876CF4">
        <w:t xml:space="preserve"> the Secure Local Jobs Code (the Code). </w:t>
      </w:r>
    </w:p>
    <w:p w:rsidR="00876CF4" w:rsidRPr="004F3361" w:rsidRDefault="00876CF4" w:rsidP="004F3361"/>
    <w:p w:rsidR="004F3361" w:rsidRDefault="00B97957" w:rsidP="004F3361">
      <w:pPr>
        <w:pStyle w:val="Heading5"/>
      </w:pPr>
      <w:r>
        <w:t>Definitions</w:t>
      </w:r>
    </w:p>
    <w:p w:rsidR="004C1A0E" w:rsidRDefault="004A2C51" w:rsidP="004C1A0E">
      <w:r>
        <w:t xml:space="preserve">This section provides definitions for key terms used in </w:t>
      </w:r>
      <w:r w:rsidR="00474995">
        <w:t>the</w:t>
      </w:r>
      <w:r>
        <w:t xml:space="preserve"> Code. </w:t>
      </w:r>
    </w:p>
    <w:p w:rsidR="004A2C51" w:rsidRPr="004C1A0E" w:rsidRDefault="004A2C51" w:rsidP="004C1A0E"/>
    <w:p w:rsidR="004C1A0E" w:rsidRDefault="00B97957" w:rsidP="004C1A0E">
      <w:pPr>
        <w:pStyle w:val="Heading5"/>
      </w:pPr>
      <w:r>
        <w:t>Objectives</w:t>
      </w:r>
    </w:p>
    <w:p w:rsidR="00474995" w:rsidRDefault="00474995" w:rsidP="004C1A0E">
      <w:r>
        <w:t>This section sets out the objectives of the Code</w:t>
      </w:r>
      <w:r w:rsidR="00886D60">
        <w:t>.</w:t>
      </w:r>
      <w:r w:rsidR="001415D2">
        <w:t xml:space="preserve"> </w:t>
      </w:r>
    </w:p>
    <w:p w:rsidR="001415D2" w:rsidRPr="004C1A0E" w:rsidRDefault="001415D2" w:rsidP="004C1A0E"/>
    <w:p w:rsidR="004C1A0E" w:rsidRDefault="00B97957" w:rsidP="004C1A0E">
      <w:pPr>
        <w:pStyle w:val="Heading5"/>
      </w:pPr>
      <w:r>
        <w:t>Application of the Code</w:t>
      </w:r>
    </w:p>
    <w:p w:rsidR="00EB5599" w:rsidRDefault="002375B0" w:rsidP="004C1A0E">
      <w:r>
        <w:t>This section sets out who</w:t>
      </w:r>
      <w:r w:rsidR="00886D60">
        <w:t xml:space="preserve"> the Code applies</w:t>
      </w:r>
      <w:r>
        <w:t xml:space="preserve"> to</w:t>
      </w:r>
      <w:r w:rsidR="00886D60">
        <w:t>. The Code applies to entities that hold a secure local jobs code certificate (</w:t>
      </w:r>
      <w:r w:rsidR="00B27B17">
        <w:t>C</w:t>
      </w:r>
      <w:r w:rsidR="00886D60">
        <w:t xml:space="preserve">ertificate) – these are referred to under the Code as Code Certified Entities. </w:t>
      </w:r>
      <w:r w:rsidR="00EB5599">
        <w:t>The Code also applies to territory ent</w:t>
      </w:r>
      <w:r w:rsidR="00AA6FEF">
        <w:t xml:space="preserve">ities to the extent that section 10 imposes obligations on them. </w:t>
      </w:r>
    </w:p>
    <w:p w:rsidR="00886D60" w:rsidRDefault="00886D60" w:rsidP="004C1A0E"/>
    <w:p w:rsidR="004C1A0E" w:rsidRDefault="004C1A0E" w:rsidP="004C1A0E">
      <w:pPr>
        <w:pStyle w:val="Heading5"/>
      </w:pPr>
      <w:r>
        <w:t xml:space="preserve"> </w:t>
      </w:r>
      <w:r w:rsidR="00B97957">
        <w:t xml:space="preserve">Code Oversight and Administration </w:t>
      </w:r>
    </w:p>
    <w:p w:rsidR="002375B0" w:rsidRDefault="00AA6FEF" w:rsidP="002375B0">
      <w:r>
        <w:t>This section sets out the roles/functions of relevant entities/persons</w:t>
      </w:r>
      <w:r w:rsidR="002375B0">
        <w:t xml:space="preserve"> under the Code, being the Minister, Registrar, the responsible Chief Executive Officer and the Secure Local Jobs Advisory Council.</w:t>
      </w:r>
    </w:p>
    <w:p w:rsidR="008C22DE" w:rsidRDefault="008C22DE" w:rsidP="002375B0"/>
    <w:p w:rsidR="002375B0" w:rsidRDefault="002375B0" w:rsidP="002375B0"/>
    <w:p w:rsidR="002375B0" w:rsidRDefault="002375B0" w:rsidP="002375B0"/>
    <w:p w:rsidR="00B97957" w:rsidRDefault="00B97957" w:rsidP="00B97957">
      <w:pPr>
        <w:pStyle w:val="Heading5"/>
      </w:pPr>
      <w:r>
        <w:t>Interaction with Commonwealth laws</w:t>
      </w:r>
    </w:p>
    <w:p w:rsidR="00B97957" w:rsidRDefault="00C379D6" w:rsidP="00B97957">
      <w:r>
        <w:t xml:space="preserve">This section </w:t>
      </w:r>
      <w:r w:rsidR="00CA14D9">
        <w:t xml:space="preserve">states that a Code Certified Entity </w:t>
      </w:r>
      <w:r>
        <w:t xml:space="preserve">may apply for an exemption from an obligation of the Code </w:t>
      </w:r>
      <w:r w:rsidR="00811E24">
        <w:t xml:space="preserve">under section 22P of the GPA </w:t>
      </w:r>
      <w:r w:rsidR="00CA14D9">
        <w:t>where there is evidence that the obligation is inconsistent with a Commonwealth law. The decision to grant the exemption is made</w:t>
      </w:r>
      <w:r w:rsidR="00DB7401">
        <w:t xml:space="preserve"> by the Registrar</w:t>
      </w:r>
      <w:r w:rsidR="00CA14D9">
        <w:t xml:space="preserve"> under section 22P of the </w:t>
      </w:r>
      <w:r w:rsidR="00DB7401">
        <w:t>G</w:t>
      </w:r>
      <w:r w:rsidR="00CA14D9">
        <w:t>PA and not</w:t>
      </w:r>
      <w:r w:rsidR="00DB7401">
        <w:t xml:space="preserve"> under</w:t>
      </w:r>
      <w:r w:rsidR="00CA14D9">
        <w:t xml:space="preserve"> the Code</w:t>
      </w:r>
      <w:r w:rsidR="00DB7401">
        <w:t xml:space="preserve">. </w:t>
      </w:r>
    </w:p>
    <w:p w:rsidR="00C379D6" w:rsidRDefault="00C379D6" w:rsidP="00B97957"/>
    <w:p w:rsidR="00B97957" w:rsidRDefault="00B97957" w:rsidP="00B97957">
      <w:pPr>
        <w:pStyle w:val="Heading6"/>
        <w:rPr>
          <w:u w:val="none"/>
        </w:rPr>
      </w:pPr>
      <w:r>
        <w:rPr>
          <w:u w:val="none"/>
        </w:rPr>
        <w:t xml:space="preserve">Requirements for Territory-Funded Work </w:t>
      </w:r>
    </w:p>
    <w:p w:rsidR="00B97957" w:rsidRDefault="00B97957" w:rsidP="00B97957"/>
    <w:p w:rsidR="00B97957" w:rsidRDefault="00B97957" w:rsidP="00B97957">
      <w:pPr>
        <w:pStyle w:val="Heading5"/>
      </w:pPr>
      <w:r>
        <w:t xml:space="preserve">Code Certification </w:t>
      </w:r>
    </w:p>
    <w:p w:rsidR="00016B39" w:rsidRDefault="002F5615" w:rsidP="00B97957">
      <w:r>
        <w:t>This section sets out when an entity is required to hold a certificate (and will therefor</w:t>
      </w:r>
      <w:r w:rsidR="00431241">
        <w:t xml:space="preserve">e be covered by the code). An entity is required to hold a certificate </w:t>
      </w:r>
      <w:r w:rsidR="00016B39">
        <w:t xml:space="preserve">for the entirety of the </w:t>
      </w:r>
      <w:r w:rsidR="00431241">
        <w:t xml:space="preserve">procurement </w:t>
      </w:r>
      <w:r w:rsidR="002C13EA">
        <w:t>process</w:t>
      </w:r>
      <w:r w:rsidR="00016B39">
        <w:t xml:space="preserve">: </w:t>
      </w:r>
    </w:p>
    <w:p w:rsidR="00016B39" w:rsidRDefault="00016B39" w:rsidP="00016B39">
      <w:pPr>
        <w:pStyle w:val="ListParagraph"/>
        <w:numPr>
          <w:ilvl w:val="0"/>
          <w:numId w:val="9"/>
        </w:numPr>
      </w:pPr>
      <w:r>
        <w:t xml:space="preserve">when </w:t>
      </w:r>
      <w:r w:rsidR="003307E4">
        <w:t xml:space="preserve">it </w:t>
      </w:r>
      <w:r w:rsidR="002C13EA">
        <w:t>responds</w:t>
      </w:r>
      <w:r>
        <w:t xml:space="preserve"> to a procurement for territory-funded work;</w:t>
      </w:r>
    </w:p>
    <w:p w:rsidR="00016B39" w:rsidRDefault="00016B39" w:rsidP="00016B39">
      <w:pPr>
        <w:pStyle w:val="ListParagraph"/>
        <w:numPr>
          <w:ilvl w:val="0"/>
          <w:numId w:val="9"/>
        </w:numPr>
      </w:pPr>
      <w:r>
        <w:t xml:space="preserve">when it enters into a contract, agreement or other arrangement (with a territory entity or subcontractor) for territory-funded work; and </w:t>
      </w:r>
    </w:p>
    <w:p w:rsidR="002F5615" w:rsidRDefault="00016B39" w:rsidP="00016B39">
      <w:pPr>
        <w:pStyle w:val="ListParagraph"/>
        <w:numPr>
          <w:ilvl w:val="0"/>
          <w:numId w:val="9"/>
        </w:numPr>
      </w:pPr>
      <w:r>
        <w:t xml:space="preserve">for the duration of </w:t>
      </w:r>
      <w:r w:rsidR="002C13EA">
        <w:t xml:space="preserve">the </w:t>
      </w:r>
      <w:r>
        <w:t>contract</w:t>
      </w:r>
      <w:r w:rsidR="002C13EA">
        <w:t>,</w:t>
      </w:r>
      <w:r>
        <w:t xml:space="preserve"> agreement</w:t>
      </w:r>
      <w:r w:rsidR="002C13EA">
        <w:t xml:space="preserve"> or other arrangement</w:t>
      </w:r>
      <w:r>
        <w:t xml:space="preserve"> for territory-funded work. </w:t>
      </w:r>
    </w:p>
    <w:p w:rsidR="002C13EA" w:rsidRDefault="002C13EA" w:rsidP="00B97957"/>
    <w:p w:rsidR="002F5615" w:rsidRDefault="002C13EA" w:rsidP="00B97957">
      <w:r>
        <w:t>In this way, the obligation to hold a Certificate, and thus abide by the Code, is enforced on mult</w:t>
      </w:r>
      <w:r w:rsidR="00BA5B1F">
        <w:t xml:space="preserve">iple levels, at all stages of procurement. </w:t>
      </w:r>
    </w:p>
    <w:p w:rsidR="002C13EA" w:rsidRPr="00B97957" w:rsidRDefault="002C13EA" w:rsidP="00B97957"/>
    <w:p w:rsidR="00B97957" w:rsidRDefault="00B97957" w:rsidP="00B97957">
      <w:pPr>
        <w:pStyle w:val="Heading5"/>
      </w:pPr>
      <w:r>
        <w:t>Subcontractors</w:t>
      </w:r>
    </w:p>
    <w:p w:rsidR="00987EA2" w:rsidRDefault="00BA5B1F" w:rsidP="00B97957">
      <w:r>
        <w:t>This section sets out obligations for Code</w:t>
      </w:r>
      <w:r w:rsidR="00987EA2">
        <w:t xml:space="preserve"> Certified Entities relating to </w:t>
      </w:r>
      <w:r>
        <w:t>subcontractors</w:t>
      </w:r>
      <w:r w:rsidR="00987EA2">
        <w:t xml:space="preserve"> engage</w:t>
      </w:r>
      <w:r w:rsidR="003307E4">
        <w:t>d</w:t>
      </w:r>
      <w:r>
        <w:t xml:space="preserve"> for territory-funded work. </w:t>
      </w:r>
      <w:r w:rsidR="00987EA2">
        <w:t xml:space="preserve">A Code Certified Entity needs to provide details of any proposed subcontractor prior to engaging the subcontractor on territory-funded work. The Code Certified Entity is also required to ensure that the Subcontractor has a valid Certificate and complies with the Code in relation to territory-funded work. </w:t>
      </w:r>
    </w:p>
    <w:p w:rsidR="00987EA2" w:rsidRDefault="00987EA2" w:rsidP="00B97957"/>
    <w:p w:rsidR="00BA5B1F" w:rsidRDefault="00987EA2" w:rsidP="00B97957">
      <w:r>
        <w:t xml:space="preserve">This section ensures transparency and oversight, and ensures that a Code Certified Entity cannot contract out of its obligations under the Code. It also broadens the application of the Code to entities that may otherwise not have a direct relationship with the Territory in relation to territory-funded work, but nevertheless are engaged </w:t>
      </w:r>
      <w:r w:rsidR="002375B0">
        <w:t>in connection with territory-funded work</w:t>
      </w:r>
      <w:r>
        <w:t xml:space="preserve">. </w:t>
      </w:r>
      <w:r w:rsidR="00A60674">
        <w:t xml:space="preserve">This ensures the policy </w:t>
      </w:r>
      <w:r w:rsidR="00806F60">
        <w:t xml:space="preserve">intention of the Code to ensure optimal labour standards for </w:t>
      </w:r>
      <w:r w:rsidR="00A60674">
        <w:t xml:space="preserve">all workers on territory-funded work is achieved. </w:t>
      </w:r>
    </w:p>
    <w:p w:rsidR="00987EA2" w:rsidRDefault="00987EA2" w:rsidP="00B97957"/>
    <w:p w:rsidR="00B97957" w:rsidRDefault="00B97957" w:rsidP="00B97957">
      <w:pPr>
        <w:pStyle w:val="Heading5"/>
      </w:pPr>
      <w:r>
        <w:t>Contact Persons for Territory-Funded Work</w:t>
      </w:r>
    </w:p>
    <w:p w:rsidR="00BC0788" w:rsidRDefault="00E00327" w:rsidP="00B97957">
      <w:r>
        <w:t>This section relates to contact persons for territory-funded work</w:t>
      </w:r>
      <w:r w:rsidR="00BC0788">
        <w:t xml:space="preserve">. The provision of this information facilitates lawful right of entry by WHS permit-holders under the </w:t>
      </w:r>
      <w:r w:rsidR="00BC0788">
        <w:rPr>
          <w:i/>
        </w:rPr>
        <w:t xml:space="preserve">Work Health and Safety Act 2011 </w:t>
      </w:r>
      <w:r w:rsidR="00BC0788">
        <w:t xml:space="preserve">(WHS Act) and permit holders under the </w:t>
      </w:r>
      <w:r w:rsidR="00BC0788">
        <w:rPr>
          <w:i/>
        </w:rPr>
        <w:t xml:space="preserve">Fair Work Act 2009 </w:t>
      </w:r>
      <w:r w:rsidR="00BC0788">
        <w:t>(FW Act)</w:t>
      </w:r>
      <w:r>
        <w:t xml:space="preserve">. </w:t>
      </w:r>
    </w:p>
    <w:p w:rsidR="00BC0788" w:rsidRDefault="00BC0788" w:rsidP="00B97957"/>
    <w:p w:rsidR="00D559BB" w:rsidRDefault="00BC0788" w:rsidP="00B97957">
      <w:r>
        <w:t xml:space="preserve">Subsection 9(1) requires a Code Certified Entity to provide details relating to workplaces and contact persons for territory-funded work. Subsection 9(2) </w:t>
      </w:r>
      <w:r w:rsidR="00302B69">
        <w:t xml:space="preserve">requires this information to be provided before any territory-funded work starts. Subsection </w:t>
      </w:r>
      <w:r w:rsidR="00D559BB">
        <w:t xml:space="preserve">9(3) requires that a Code Certified Entity informs the territory entity of any change in the details provided under subsection 9(1) within 14 days. </w:t>
      </w:r>
    </w:p>
    <w:p w:rsidR="00D559BB" w:rsidRDefault="00D559BB" w:rsidP="00B97957"/>
    <w:p w:rsidR="00F765FF" w:rsidRDefault="00BA2142" w:rsidP="00B97957">
      <w:r>
        <w:t>The R</w:t>
      </w:r>
      <w:r w:rsidR="00D559BB">
        <w:t xml:space="preserve">egistrar is required by subsection 9(4) to maintain a record of the information provided under subsection 9(1). A person </w:t>
      </w:r>
      <w:r w:rsidR="00357780">
        <w:t xml:space="preserve">may request </w:t>
      </w:r>
      <w:r w:rsidR="00D559BB">
        <w:t>access</w:t>
      </w:r>
      <w:r w:rsidR="00357780">
        <w:t xml:space="preserve"> to</w:t>
      </w:r>
      <w:r w:rsidR="00D559BB">
        <w:t xml:space="preserve"> this information for the purposes of exercising a lawful right of entry under the FW Act or WHS Act under subsection 9(5), and must specify that this is the purpose for which the information is sought. </w:t>
      </w:r>
      <w:r w:rsidR="003229E2">
        <w:t xml:space="preserve">Under subsection 9(6), the person requesting the information in accordance with subsection 9(5) must be a WHS permit-holder under the WHS Act or permit holder under the FW Act, depending on which kind of lawful right of entry the request for the information relates to. </w:t>
      </w:r>
      <w:r>
        <w:t>Under subsection 9(7), the R</w:t>
      </w:r>
      <w:r w:rsidR="0090685E">
        <w:t>egistrar is required to give the information to the person where it is satisfied that the person is a permit holder under the FW Act or a WHS permit-holder under the WHS Act, and the person applying for the information needs the information to exercise a lawful right of entry under these laws.</w:t>
      </w:r>
      <w:r w:rsidR="00F765FF">
        <w:t xml:space="preserve"> </w:t>
      </w:r>
    </w:p>
    <w:p w:rsidR="00F765FF" w:rsidRDefault="00F765FF" w:rsidP="00B97957"/>
    <w:p w:rsidR="00BC0788" w:rsidRDefault="00F765FF" w:rsidP="00B97957">
      <w:r>
        <w:t xml:space="preserve">The provision of this information enables these </w:t>
      </w:r>
      <w:r w:rsidR="00E76928">
        <w:t>people</w:t>
      </w:r>
      <w:r>
        <w:t xml:space="preserve"> to </w:t>
      </w:r>
      <w:r w:rsidR="00A44293">
        <w:t>effectively perform their roles</w:t>
      </w:r>
      <w:r w:rsidR="00E76928">
        <w:t xml:space="preserve"> and exercise their right of entry.</w:t>
      </w:r>
      <w:r w:rsidR="00A44293">
        <w:t xml:space="preserve"> </w:t>
      </w:r>
      <w:r w:rsidR="00E76928">
        <w:t>This is recognised</w:t>
      </w:r>
      <w:r>
        <w:t xml:space="preserve"> as </w:t>
      </w:r>
      <w:r w:rsidR="003307E4">
        <w:t xml:space="preserve">an </w:t>
      </w:r>
      <w:r>
        <w:t xml:space="preserve">important </w:t>
      </w:r>
      <w:r w:rsidR="002375B0">
        <w:t xml:space="preserve">mechanism </w:t>
      </w:r>
      <w:r>
        <w:t>to protect workers</w:t>
      </w:r>
      <w:r w:rsidR="00A44293">
        <w:t>’ rights and health and safety</w:t>
      </w:r>
      <w:r>
        <w:t xml:space="preserve"> under existing legislation </w:t>
      </w:r>
      <w:r w:rsidR="00A44293">
        <w:t>in force in the T</w:t>
      </w:r>
      <w:r>
        <w:t xml:space="preserve">erritory. </w:t>
      </w:r>
    </w:p>
    <w:p w:rsidR="00E00327" w:rsidRDefault="00E00327" w:rsidP="00B97957"/>
    <w:p w:rsidR="00B97957" w:rsidRDefault="00A44293" w:rsidP="00B97957">
      <w:pPr>
        <w:pStyle w:val="Heading5"/>
      </w:pPr>
      <w:r>
        <w:t>Requirements for territory e</w:t>
      </w:r>
      <w:r w:rsidR="00B97957">
        <w:t xml:space="preserve">ntities </w:t>
      </w:r>
    </w:p>
    <w:p w:rsidR="00EF3699" w:rsidRDefault="00A44293" w:rsidP="00B97957">
      <w:r>
        <w:t>This section sets out requirements for territory entities</w:t>
      </w:r>
      <w:r w:rsidR="00A0461A">
        <w:t xml:space="preserve"> under the Code, subject to exemptions granted under the GPA. </w:t>
      </w:r>
    </w:p>
    <w:p w:rsidR="002375B0" w:rsidRDefault="002375B0" w:rsidP="00B97957"/>
    <w:p w:rsidR="00EF3699" w:rsidRDefault="00EF3699" w:rsidP="00B97957">
      <w:r>
        <w:t xml:space="preserve">This section outlines a number of obligations imposed on territory entities relating to: </w:t>
      </w:r>
    </w:p>
    <w:p w:rsidR="00EF3699" w:rsidRDefault="001B16C8" w:rsidP="00EF3699">
      <w:pPr>
        <w:pStyle w:val="ListParagraph"/>
        <w:numPr>
          <w:ilvl w:val="0"/>
          <w:numId w:val="9"/>
        </w:numPr>
      </w:pPr>
      <w:r>
        <w:t>requiring compliance with the Code by relevant</w:t>
      </w:r>
      <w:r w:rsidR="007220CC">
        <w:t xml:space="preserve"> entities it contracts</w:t>
      </w:r>
      <w:r w:rsidR="00EF3699">
        <w:t xml:space="preserve"> with; </w:t>
      </w:r>
    </w:p>
    <w:p w:rsidR="00EF3699" w:rsidRDefault="00EF3699" w:rsidP="00EF3699">
      <w:pPr>
        <w:pStyle w:val="ListParagraph"/>
        <w:numPr>
          <w:ilvl w:val="0"/>
          <w:numId w:val="9"/>
        </w:numPr>
      </w:pPr>
      <w:r>
        <w:t xml:space="preserve">requiring entities responding to a request for quote, proposal, tender or establishment of a panel arrangement to confirm they will comply with the requirements of the Code if engaged on territory-funded work and while they hold a valid Certificate, comply with any model terms and conditions inserted into contracts for territory-funded work, and comply with requests from authorised entities in monitoring and investigating compliance with the Code; </w:t>
      </w:r>
    </w:p>
    <w:p w:rsidR="00F720CF" w:rsidRDefault="00F720CF" w:rsidP="00EF3699">
      <w:pPr>
        <w:pStyle w:val="ListParagraph"/>
        <w:numPr>
          <w:ilvl w:val="0"/>
          <w:numId w:val="9"/>
        </w:numPr>
      </w:pPr>
      <w:r>
        <w:t xml:space="preserve">taking into account a tenderer’s LRTWE plan as required by the GPA; and </w:t>
      </w:r>
    </w:p>
    <w:p w:rsidR="00A44293" w:rsidRDefault="00F720CF" w:rsidP="00BA2142">
      <w:pPr>
        <w:pStyle w:val="ListParagraph"/>
        <w:numPr>
          <w:ilvl w:val="0"/>
          <w:numId w:val="9"/>
        </w:numPr>
      </w:pPr>
      <w:r>
        <w:t>taking in</w:t>
      </w:r>
      <w:r w:rsidR="00BA2142">
        <w:t>to account any report from the R</w:t>
      </w:r>
      <w:r>
        <w:t xml:space="preserve">egistrar regarding an entity’s past compliance with the Code or terms of the entity’s LRTWE plan included in any contract for territory-funded work. </w:t>
      </w:r>
      <w:r w:rsidR="00EF3699">
        <w:t xml:space="preserve"> </w:t>
      </w:r>
    </w:p>
    <w:p w:rsidR="00BB142D" w:rsidRDefault="00BB142D" w:rsidP="00B97957">
      <w:r>
        <w:t xml:space="preserve"> </w:t>
      </w:r>
    </w:p>
    <w:p w:rsidR="00B97957" w:rsidRPr="00B97957" w:rsidRDefault="00B97957" w:rsidP="00B97957">
      <w:pPr>
        <w:pStyle w:val="Heading6"/>
        <w:rPr>
          <w:u w:val="none"/>
        </w:rPr>
      </w:pPr>
      <w:r w:rsidRPr="00B97957">
        <w:rPr>
          <w:u w:val="none"/>
        </w:rPr>
        <w:t>Obligations of a Code Certified Entity</w:t>
      </w:r>
    </w:p>
    <w:p w:rsidR="004C1A0E" w:rsidRDefault="004C1A0E" w:rsidP="004C1A0E"/>
    <w:p w:rsidR="00242C10" w:rsidRDefault="00241D3B" w:rsidP="00241D3B">
      <w:pPr>
        <w:pStyle w:val="Heading5"/>
      </w:pPr>
      <w:r>
        <w:t>Adherence to the Law</w:t>
      </w:r>
    </w:p>
    <w:p w:rsidR="00241D3B" w:rsidRDefault="00EE2DB4" w:rsidP="00241D3B">
      <w:r>
        <w:t>Subsection</w:t>
      </w:r>
      <w:r w:rsidR="00F42E4D">
        <w:t xml:space="preserve"> </w:t>
      </w:r>
      <w:r>
        <w:t>11</w:t>
      </w:r>
      <w:r w:rsidR="00663543">
        <w:t xml:space="preserve"> </w:t>
      </w:r>
      <w:r>
        <w:t>(1)</w:t>
      </w:r>
      <w:r w:rsidR="00F720CF">
        <w:t xml:space="preserve"> requires a Code Certified Entity to comply with all applicable: Industrial Law; orders, directions and decisions by listed bodies regarding a matter concerning the Prescribed Legislation; and any Industrial Instrument that applies to the entity. </w:t>
      </w:r>
    </w:p>
    <w:p w:rsidR="00F720CF" w:rsidRDefault="00F720CF" w:rsidP="00241D3B"/>
    <w:p w:rsidR="00663543" w:rsidRDefault="00663543" w:rsidP="00241D3B">
      <w:r>
        <w:t>Under subsection 11(2), a Code Certified En</w:t>
      </w:r>
      <w:r w:rsidR="00BA2142">
        <w:t>tity is required to notify the R</w:t>
      </w:r>
      <w:r>
        <w:t xml:space="preserve">egistrar of any Adverse Ruling made against it or its subcontractors within 5 working days of the ruling being made, or the Entity becoming aware of the ruling being made. </w:t>
      </w:r>
      <w:r w:rsidR="00BA2142">
        <w:t>This helps the R</w:t>
      </w:r>
      <w:r w:rsidR="00F42E4D">
        <w:t xml:space="preserve">egistrar determine any further steps that may be necessary in terms of ensuring compliance with the Code. </w:t>
      </w:r>
    </w:p>
    <w:p w:rsidR="00663543" w:rsidRDefault="00663543" w:rsidP="00241D3B"/>
    <w:p w:rsidR="00241D3B" w:rsidRDefault="00241D3B" w:rsidP="00241D3B">
      <w:pPr>
        <w:pStyle w:val="Heading5"/>
      </w:pPr>
      <w:r>
        <w:t>Requests for information</w:t>
      </w:r>
    </w:p>
    <w:p w:rsidR="00663543" w:rsidRDefault="0081627F" w:rsidP="00241D3B">
      <w:r>
        <w:t xml:space="preserve">This section requires </w:t>
      </w:r>
      <w:r w:rsidR="00663543">
        <w:t xml:space="preserve">a Code Certified Entity to abide by reasonable requests by the </w:t>
      </w:r>
      <w:r w:rsidR="00BA2142">
        <w:t>R</w:t>
      </w:r>
      <w:r w:rsidR="00663543">
        <w:t>egistrar or an approved auditor for information</w:t>
      </w:r>
      <w:r>
        <w:t>, access to records or o</w:t>
      </w:r>
      <w:r w:rsidR="00663543">
        <w:t>ther direction</w:t>
      </w:r>
      <w:r>
        <w:t>s</w:t>
      </w:r>
      <w:r w:rsidR="00663543">
        <w:t xml:space="preserve"> </w:t>
      </w:r>
      <w:r>
        <w:t xml:space="preserve">made </w:t>
      </w:r>
      <w:r w:rsidR="00663543">
        <w:t xml:space="preserve">for the purposes of investigating compliance in accordance with the Code and GPA. </w:t>
      </w:r>
      <w:r w:rsidR="00BA2142">
        <w:t>This enables the R</w:t>
      </w:r>
      <w:r w:rsidR="0034313A">
        <w:t xml:space="preserve">egistrar </w:t>
      </w:r>
      <w:r w:rsidR="003307E4">
        <w:t xml:space="preserve">and </w:t>
      </w:r>
      <w:r w:rsidR="0034313A">
        <w:t>any approved auditor to effectively perform their role</w:t>
      </w:r>
      <w:r w:rsidR="003307E4">
        <w:t>s</w:t>
      </w:r>
      <w:r w:rsidR="0034313A">
        <w:t xml:space="preserve">. </w:t>
      </w:r>
    </w:p>
    <w:p w:rsidR="00663543" w:rsidRDefault="00663543" w:rsidP="00241D3B"/>
    <w:p w:rsidR="00241D3B" w:rsidRDefault="00241D3B" w:rsidP="00241D3B">
      <w:pPr>
        <w:pStyle w:val="Heading5"/>
      </w:pPr>
      <w:r>
        <w:t xml:space="preserve">Workplace Representation </w:t>
      </w:r>
    </w:p>
    <w:p w:rsidR="003B387E" w:rsidRDefault="00264029" w:rsidP="00241D3B">
      <w:r>
        <w:t xml:space="preserve">This section relates to workplace representation. A Code Certified Entity is required to facilitate the conduct of an election of a union workplace delegate or other employee representative if requested </w:t>
      </w:r>
      <w:r w:rsidR="002375B0">
        <w:t xml:space="preserve">to do so </w:t>
      </w:r>
      <w:r>
        <w:t>by at least two employees. Subsection</w:t>
      </w:r>
      <w:r w:rsidR="00C14E1A">
        <w:t>s</w:t>
      </w:r>
      <w:r>
        <w:t xml:space="preserve"> 13(2) </w:t>
      </w:r>
      <w:r w:rsidR="00C14E1A">
        <w:t>and (4) outline</w:t>
      </w:r>
      <w:r>
        <w:t xml:space="preserve"> how a Code Certified Entity is required to treat any union workplace delegate or other </w:t>
      </w:r>
      <w:r w:rsidR="006F35E3">
        <w:t xml:space="preserve">elected </w:t>
      </w:r>
      <w:r>
        <w:t xml:space="preserve">employee representative, to ensure </w:t>
      </w:r>
      <w:r w:rsidR="006F35E3">
        <w:t xml:space="preserve">that their rights are recognised and that </w:t>
      </w:r>
      <w:r>
        <w:t xml:space="preserve">they are best able to perform their role. </w:t>
      </w:r>
      <w:r w:rsidR="003B387E">
        <w:t xml:space="preserve">Subsection 13(3) clarifies that employees are able to choose whether they are represented in a grievance or dispute. </w:t>
      </w:r>
    </w:p>
    <w:p w:rsidR="002C6AC8" w:rsidRPr="00241D3B" w:rsidRDefault="002C6AC8" w:rsidP="00241D3B"/>
    <w:p w:rsidR="00241D3B" w:rsidRDefault="00241D3B" w:rsidP="00241D3B">
      <w:pPr>
        <w:pStyle w:val="Heading5"/>
      </w:pPr>
      <w:r>
        <w:t>Employee Representation and Workplace Inductions</w:t>
      </w:r>
    </w:p>
    <w:p w:rsidR="002375B0" w:rsidRDefault="001A6702" w:rsidP="00241D3B">
      <w:r>
        <w:t>This section requires a Code Certified Entity to understand and respect their employees’ rights. This includes the right to freedom of association and right to representation at work.</w:t>
      </w:r>
    </w:p>
    <w:p w:rsidR="00241D3B" w:rsidRDefault="001A6702" w:rsidP="00241D3B">
      <w:r>
        <w:t xml:space="preserve"> </w:t>
      </w:r>
    </w:p>
    <w:p w:rsidR="001A6702" w:rsidRPr="001A6702" w:rsidRDefault="001A6702" w:rsidP="00241D3B">
      <w:r>
        <w:t>Subsection 14(2) outlines how a Code Certified Entity</w:t>
      </w:r>
      <w:r>
        <w:rPr>
          <w:b/>
        </w:rPr>
        <w:t xml:space="preserve"> </w:t>
      </w:r>
      <w:r>
        <w:t xml:space="preserve">may achieve this. This section also outlines requirements that the Code Certified Entity must meet regarding induction training for new employees. </w:t>
      </w:r>
    </w:p>
    <w:p w:rsidR="001A6702" w:rsidRDefault="001A6702" w:rsidP="00241D3B"/>
    <w:p w:rsidR="00241D3B" w:rsidRDefault="00241D3B" w:rsidP="00241D3B">
      <w:pPr>
        <w:pStyle w:val="Heading5"/>
      </w:pPr>
      <w:r>
        <w:t xml:space="preserve">Recognition of the Right to Collectively Bargain </w:t>
      </w:r>
    </w:p>
    <w:p w:rsidR="00241D3B" w:rsidRDefault="001A6702" w:rsidP="00241D3B">
      <w:r>
        <w:t>This section requires a Code Certified Entity</w:t>
      </w:r>
      <w:r w:rsidR="0051175B">
        <w:t xml:space="preserve"> to inform employees of their employment rights. This includes informing employees of their right to collectively bargain. The section outlines how a Code Certified Entity may achieve this. The section also includes requirements relating to collective bargaining and </w:t>
      </w:r>
      <w:r w:rsidR="001976FA">
        <w:t xml:space="preserve">the </w:t>
      </w:r>
      <w:r w:rsidR="0051175B">
        <w:t>d</w:t>
      </w:r>
      <w:r w:rsidR="001976FA">
        <w:t xml:space="preserve">evelopment of </w:t>
      </w:r>
      <w:r w:rsidR="0051175B">
        <w:t xml:space="preserve">Enterprise Agreements. </w:t>
      </w:r>
    </w:p>
    <w:p w:rsidR="001A6702" w:rsidRDefault="001A6702" w:rsidP="00241D3B"/>
    <w:p w:rsidR="00241D3B" w:rsidRPr="00241D3B" w:rsidRDefault="00241D3B" w:rsidP="00241D3B">
      <w:pPr>
        <w:pStyle w:val="Heading5"/>
      </w:pPr>
      <w:r>
        <w:t>Freedom of Association</w:t>
      </w:r>
    </w:p>
    <w:p w:rsidR="00242C10" w:rsidRPr="003E46C2" w:rsidRDefault="003E46C2" w:rsidP="004C1A0E">
      <w:pPr>
        <w:rPr>
          <w:b/>
        </w:rPr>
      </w:pPr>
      <w:r>
        <w:t>This section requires a Code Certified</w:t>
      </w:r>
      <w:r w:rsidR="00B822D0">
        <w:t xml:space="preserve"> Entity to respect its employees’</w:t>
      </w:r>
      <w:r>
        <w:t xml:space="preserve"> rights relating to freedom of association, and sets out how a Code Certified Entity may respect, protect and recognise the right to freedom of association. </w:t>
      </w:r>
    </w:p>
    <w:p w:rsidR="00BA2142" w:rsidRDefault="00BA2142" w:rsidP="004C1A0E"/>
    <w:p w:rsidR="00B822D0" w:rsidRDefault="00B822D0">
      <w:pPr>
        <w:autoSpaceDE/>
        <w:autoSpaceDN/>
        <w:adjustRightInd/>
        <w:spacing w:after="160" w:line="259" w:lineRule="auto"/>
        <w:rPr>
          <w:b/>
        </w:rPr>
      </w:pPr>
      <w:r>
        <w:br w:type="page"/>
      </w:r>
    </w:p>
    <w:p w:rsidR="004F3361" w:rsidRDefault="00242C10" w:rsidP="00242C10">
      <w:pPr>
        <w:pStyle w:val="Heading6"/>
        <w:rPr>
          <w:u w:val="none"/>
        </w:rPr>
      </w:pPr>
      <w:r w:rsidRPr="00242C10">
        <w:rPr>
          <w:u w:val="none"/>
        </w:rPr>
        <w:t>Certification Process</w:t>
      </w:r>
    </w:p>
    <w:p w:rsidR="00BA2142" w:rsidRDefault="00BA2142" w:rsidP="00242C10"/>
    <w:p w:rsidR="00241D3B" w:rsidRDefault="005565FC" w:rsidP="005565FC">
      <w:pPr>
        <w:pStyle w:val="Heading5"/>
      </w:pPr>
      <w:r>
        <w:t xml:space="preserve">Application for Code Certification </w:t>
      </w:r>
    </w:p>
    <w:p w:rsidR="005565FC" w:rsidRDefault="00ED4B77" w:rsidP="005565FC">
      <w:r>
        <w:t xml:space="preserve">Subsection 17(1) provides that a “current” report from an approved auditor to be submitted with an application for a Certificate is one that has been issued in the last 20 business days. </w:t>
      </w:r>
    </w:p>
    <w:p w:rsidR="00ED4B77" w:rsidRDefault="00ED4B77" w:rsidP="005565FC"/>
    <w:p w:rsidR="00ED4B77" w:rsidRDefault="00ED4B77" w:rsidP="005565FC">
      <w:r>
        <w:t>Subsection 17(2) sets out what the</w:t>
      </w:r>
      <w:r w:rsidR="00BA2142">
        <w:t xml:space="preserve"> R</w:t>
      </w:r>
      <w:r>
        <w:t xml:space="preserve">egistrar may consider </w:t>
      </w:r>
      <w:r w:rsidR="00B822D0">
        <w:t xml:space="preserve">in </w:t>
      </w:r>
      <w:r w:rsidR="002C1AE2">
        <w:t>deciding</w:t>
      </w:r>
      <w:r w:rsidR="004357ED">
        <w:t xml:space="preserve"> </w:t>
      </w:r>
      <w:r w:rsidR="00B822D0">
        <w:t xml:space="preserve">whether </w:t>
      </w:r>
      <w:r w:rsidR="004357ED">
        <w:t>to grant a C</w:t>
      </w:r>
      <w:r>
        <w:t>ertificate</w:t>
      </w:r>
      <w:r w:rsidR="004357ED">
        <w:t>. This subsection does not limit the informa</w:t>
      </w:r>
      <w:r w:rsidR="00BA2142">
        <w:t>tion the R</w:t>
      </w:r>
      <w:r w:rsidR="00AE34EA">
        <w:t xml:space="preserve">egistrar may consider. </w:t>
      </w:r>
    </w:p>
    <w:p w:rsidR="00AE34EA" w:rsidRDefault="00AE34EA" w:rsidP="005565FC"/>
    <w:p w:rsidR="00AE34EA" w:rsidRDefault="00AE34EA" w:rsidP="005565FC">
      <w:r>
        <w:t xml:space="preserve">Subsection 17(3) states that for a Certificate to be granted, the applicant must have a satisfactory history of compliance with applicable Industrial Laws as set out in subsection 11(1) of the Code. The applicant’s Associated Entities also must have a satisfactory history of compliance with these matters. </w:t>
      </w:r>
    </w:p>
    <w:p w:rsidR="00AE34EA" w:rsidRDefault="00AE34EA" w:rsidP="005565FC"/>
    <w:p w:rsidR="00AE34EA" w:rsidRPr="005565FC" w:rsidRDefault="00AE34EA" w:rsidP="005565FC"/>
    <w:p w:rsidR="005565FC" w:rsidRPr="005565FC" w:rsidRDefault="005565FC" w:rsidP="005565FC">
      <w:pPr>
        <w:pStyle w:val="Heading5"/>
      </w:pPr>
      <w:r>
        <w:t>Costs of the Approved Auditor</w:t>
      </w:r>
    </w:p>
    <w:p w:rsidR="00055D17" w:rsidRDefault="00055D17" w:rsidP="00242C10">
      <w:r>
        <w:t>Subsection 18(1) states that an entity is to pay for the audit by an approved auditor for the purposes of applying for a Cer</w:t>
      </w:r>
      <w:r w:rsidR="001C264E">
        <w:t>tificate. Subs</w:t>
      </w:r>
      <w:r w:rsidR="00BA2142">
        <w:t>ection 18(2) provides that the R</w:t>
      </w:r>
      <w:r w:rsidR="001C264E">
        <w:t xml:space="preserve">egistrar is to pay for the cost of an audit where it appoints an approved auditor to investigate possible non-compliance in accordance with section 22R of GPA. </w:t>
      </w:r>
    </w:p>
    <w:p w:rsidR="00055D17" w:rsidRDefault="00055D17" w:rsidP="00242C10"/>
    <w:p w:rsidR="00242C10" w:rsidRDefault="00242C10" w:rsidP="00242C10">
      <w:pPr>
        <w:pStyle w:val="Heading6"/>
        <w:rPr>
          <w:u w:val="none"/>
        </w:rPr>
      </w:pPr>
      <w:r w:rsidRPr="00242C10">
        <w:rPr>
          <w:u w:val="none"/>
        </w:rPr>
        <w:t xml:space="preserve">Transitional Arrangements </w:t>
      </w:r>
    </w:p>
    <w:p w:rsidR="005565FC" w:rsidRDefault="005565FC" w:rsidP="005565FC"/>
    <w:p w:rsidR="005565FC" w:rsidRDefault="005565FC" w:rsidP="005565FC">
      <w:pPr>
        <w:pStyle w:val="Heading5"/>
      </w:pPr>
      <w:r>
        <w:t xml:space="preserve">Code applies to new procurements </w:t>
      </w:r>
    </w:p>
    <w:p w:rsidR="00055D17" w:rsidRDefault="002C6AC8" w:rsidP="002C6AC8">
      <w:r>
        <w:t xml:space="preserve">This section clarifies that section 7 (code certification) and 10 (requirements of territory entities) apply to new procurements and responses to new procurements for territory-funded work and new contracts for procurement that relate to new procurements for territory-funded work. </w:t>
      </w:r>
    </w:p>
    <w:p w:rsidR="00055D17" w:rsidRDefault="00055D17" w:rsidP="002C6AC8"/>
    <w:p w:rsidR="002C6AC8" w:rsidRPr="002C6AC8" w:rsidRDefault="002C6AC8" w:rsidP="002C6AC8"/>
    <w:sectPr w:rsidR="002C6AC8" w:rsidRPr="002C6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C4" w:rsidRDefault="000975C4" w:rsidP="000975C4">
      <w:r>
        <w:separator/>
      </w:r>
    </w:p>
  </w:endnote>
  <w:endnote w:type="continuationSeparator" w:id="0">
    <w:p w:rsidR="000975C4" w:rsidRDefault="000975C4" w:rsidP="0009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Pr="000975C4" w:rsidRDefault="000975C4" w:rsidP="000975C4">
    <w:pPr>
      <w:pStyle w:val="Footer"/>
      <w:jc w:val="center"/>
      <w:rPr>
        <w:rFonts w:ascii="Arial" w:hAnsi="Arial" w:cs="Arial"/>
        <w:sz w:val="14"/>
      </w:rPr>
    </w:pPr>
    <w:r w:rsidRPr="000975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C4" w:rsidRDefault="000975C4" w:rsidP="000975C4">
      <w:r>
        <w:separator/>
      </w:r>
    </w:p>
  </w:footnote>
  <w:footnote w:type="continuationSeparator" w:id="0">
    <w:p w:rsidR="000975C4" w:rsidRDefault="000975C4" w:rsidP="0009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4" w:rsidRDefault="00097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5D"/>
    <w:multiLevelType w:val="hybridMultilevel"/>
    <w:tmpl w:val="7AC6842E"/>
    <w:lvl w:ilvl="0" w:tplc="99C82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236E"/>
    <w:multiLevelType w:val="hybridMultilevel"/>
    <w:tmpl w:val="743218E6"/>
    <w:lvl w:ilvl="0" w:tplc="7BF61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8E0"/>
    <w:multiLevelType w:val="hybridMultilevel"/>
    <w:tmpl w:val="98660FDA"/>
    <w:lvl w:ilvl="0" w:tplc="2D72B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46C"/>
    <w:multiLevelType w:val="hybridMultilevel"/>
    <w:tmpl w:val="097C4702"/>
    <w:lvl w:ilvl="0" w:tplc="9AF070EC">
      <w:start w:val="1"/>
      <w:numFmt w:val="decimal"/>
      <w:pStyle w:val="Heading6"/>
      <w:lvlText w:val="Part %1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025DC"/>
    <w:multiLevelType w:val="hybridMultilevel"/>
    <w:tmpl w:val="AAC012FA"/>
    <w:lvl w:ilvl="0" w:tplc="BFA84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DAE"/>
    <w:multiLevelType w:val="hybridMultilevel"/>
    <w:tmpl w:val="A058C820"/>
    <w:lvl w:ilvl="0" w:tplc="4E3EE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6FBD"/>
    <w:multiLevelType w:val="hybridMultilevel"/>
    <w:tmpl w:val="85E4151A"/>
    <w:lvl w:ilvl="0" w:tplc="6C64AA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B2793"/>
    <w:multiLevelType w:val="hybridMultilevel"/>
    <w:tmpl w:val="98C06BB6"/>
    <w:lvl w:ilvl="0" w:tplc="B8E49996">
      <w:start w:val="1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985"/>
    <w:multiLevelType w:val="hybridMultilevel"/>
    <w:tmpl w:val="A86A6EA8"/>
    <w:lvl w:ilvl="0" w:tplc="9420065E">
      <w:start w:val="1"/>
      <w:numFmt w:val="decimal"/>
      <w:lvlText w:val="Clause 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C6A2D"/>
    <w:multiLevelType w:val="hybridMultilevel"/>
    <w:tmpl w:val="0EEE375E"/>
    <w:lvl w:ilvl="0" w:tplc="1598B3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79E"/>
    <w:multiLevelType w:val="hybridMultilevel"/>
    <w:tmpl w:val="99CE1B1C"/>
    <w:lvl w:ilvl="0" w:tplc="3006B906">
      <w:start w:val="1"/>
      <w:numFmt w:val="decimal"/>
      <w:pStyle w:val="Heading5"/>
      <w:lvlText w:val="Section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0"/>
    <w:rsid w:val="00003A69"/>
    <w:rsid w:val="00011EE7"/>
    <w:rsid w:val="00015C9C"/>
    <w:rsid w:val="00016B39"/>
    <w:rsid w:val="00031A7F"/>
    <w:rsid w:val="00032662"/>
    <w:rsid w:val="00045B7B"/>
    <w:rsid w:val="00054A01"/>
    <w:rsid w:val="00055D17"/>
    <w:rsid w:val="00082A6E"/>
    <w:rsid w:val="00091602"/>
    <w:rsid w:val="000975C4"/>
    <w:rsid w:val="000D03DA"/>
    <w:rsid w:val="000F570B"/>
    <w:rsid w:val="000F7FDA"/>
    <w:rsid w:val="001040E1"/>
    <w:rsid w:val="00104EF8"/>
    <w:rsid w:val="001415D2"/>
    <w:rsid w:val="001634BB"/>
    <w:rsid w:val="0017478B"/>
    <w:rsid w:val="001859F6"/>
    <w:rsid w:val="001928D1"/>
    <w:rsid w:val="001976FA"/>
    <w:rsid w:val="001A62D8"/>
    <w:rsid w:val="001A6702"/>
    <w:rsid w:val="001B16C8"/>
    <w:rsid w:val="001C264E"/>
    <w:rsid w:val="001C6747"/>
    <w:rsid w:val="001E684C"/>
    <w:rsid w:val="00225FB2"/>
    <w:rsid w:val="00234944"/>
    <w:rsid w:val="00236AD1"/>
    <w:rsid w:val="002375B0"/>
    <w:rsid w:val="00241D3B"/>
    <w:rsid w:val="00242C10"/>
    <w:rsid w:val="00242E8A"/>
    <w:rsid w:val="00246A03"/>
    <w:rsid w:val="002541C3"/>
    <w:rsid w:val="00264029"/>
    <w:rsid w:val="00295A2C"/>
    <w:rsid w:val="002B1C2D"/>
    <w:rsid w:val="002B708F"/>
    <w:rsid w:val="002C13EA"/>
    <w:rsid w:val="002C1AE2"/>
    <w:rsid w:val="002C6AC8"/>
    <w:rsid w:val="002E02E9"/>
    <w:rsid w:val="002F4CDB"/>
    <w:rsid w:val="002F5615"/>
    <w:rsid w:val="00302B69"/>
    <w:rsid w:val="003229E2"/>
    <w:rsid w:val="00326D1F"/>
    <w:rsid w:val="003307E4"/>
    <w:rsid w:val="003353B1"/>
    <w:rsid w:val="0034313A"/>
    <w:rsid w:val="00353376"/>
    <w:rsid w:val="00355C43"/>
    <w:rsid w:val="00357780"/>
    <w:rsid w:val="00382346"/>
    <w:rsid w:val="003A7B5A"/>
    <w:rsid w:val="003B387E"/>
    <w:rsid w:val="003B6CE4"/>
    <w:rsid w:val="003D5246"/>
    <w:rsid w:val="003E0011"/>
    <w:rsid w:val="003E46C2"/>
    <w:rsid w:val="003F0259"/>
    <w:rsid w:val="00400EDA"/>
    <w:rsid w:val="004026FA"/>
    <w:rsid w:val="00413B64"/>
    <w:rsid w:val="00426778"/>
    <w:rsid w:val="00431241"/>
    <w:rsid w:val="004357ED"/>
    <w:rsid w:val="00435888"/>
    <w:rsid w:val="004455FC"/>
    <w:rsid w:val="00450B62"/>
    <w:rsid w:val="00470162"/>
    <w:rsid w:val="00474995"/>
    <w:rsid w:val="00482CDE"/>
    <w:rsid w:val="00484FEA"/>
    <w:rsid w:val="004A2C51"/>
    <w:rsid w:val="004A6EE4"/>
    <w:rsid w:val="004B48E5"/>
    <w:rsid w:val="004C1A0E"/>
    <w:rsid w:val="004C77BA"/>
    <w:rsid w:val="004D5849"/>
    <w:rsid w:val="004F3361"/>
    <w:rsid w:val="00506190"/>
    <w:rsid w:val="005075B8"/>
    <w:rsid w:val="0051175B"/>
    <w:rsid w:val="005348E6"/>
    <w:rsid w:val="00555990"/>
    <w:rsid w:val="005565FC"/>
    <w:rsid w:val="005813F0"/>
    <w:rsid w:val="00590096"/>
    <w:rsid w:val="005D5D5E"/>
    <w:rsid w:val="00612C82"/>
    <w:rsid w:val="0061744C"/>
    <w:rsid w:val="00643ED5"/>
    <w:rsid w:val="00647913"/>
    <w:rsid w:val="00660D74"/>
    <w:rsid w:val="006631F3"/>
    <w:rsid w:val="00663543"/>
    <w:rsid w:val="006A41B4"/>
    <w:rsid w:val="006A7145"/>
    <w:rsid w:val="006B7210"/>
    <w:rsid w:val="006F35E3"/>
    <w:rsid w:val="007220CC"/>
    <w:rsid w:val="0073055F"/>
    <w:rsid w:val="00737BFE"/>
    <w:rsid w:val="00747CC8"/>
    <w:rsid w:val="0077058D"/>
    <w:rsid w:val="00781BF6"/>
    <w:rsid w:val="00793899"/>
    <w:rsid w:val="007A4665"/>
    <w:rsid w:val="008030A4"/>
    <w:rsid w:val="00806F60"/>
    <w:rsid w:val="00811E24"/>
    <w:rsid w:val="0081627F"/>
    <w:rsid w:val="008336FA"/>
    <w:rsid w:val="008420E5"/>
    <w:rsid w:val="00876CF4"/>
    <w:rsid w:val="00886D60"/>
    <w:rsid w:val="008A17DD"/>
    <w:rsid w:val="008C22DE"/>
    <w:rsid w:val="00905FC1"/>
    <w:rsid w:val="0090685E"/>
    <w:rsid w:val="00913503"/>
    <w:rsid w:val="00954B70"/>
    <w:rsid w:val="00987EA2"/>
    <w:rsid w:val="009C0B32"/>
    <w:rsid w:val="009D0633"/>
    <w:rsid w:val="009D711D"/>
    <w:rsid w:val="009F22F3"/>
    <w:rsid w:val="00A0461A"/>
    <w:rsid w:val="00A131C2"/>
    <w:rsid w:val="00A1480E"/>
    <w:rsid w:val="00A163A0"/>
    <w:rsid w:val="00A233E1"/>
    <w:rsid w:val="00A43A06"/>
    <w:rsid w:val="00A44293"/>
    <w:rsid w:val="00A60674"/>
    <w:rsid w:val="00A67663"/>
    <w:rsid w:val="00A755A8"/>
    <w:rsid w:val="00A93577"/>
    <w:rsid w:val="00AA5110"/>
    <w:rsid w:val="00AA6FEF"/>
    <w:rsid w:val="00AC11A5"/>
    <w:rsid w:val="00AD36BB"/>
    <w:rsid w:val="00AD5EC5"/>
    <w:rsid w:val="00AE34EA"/>
    <w:rsid w:val="00AE49FE"/>
    <w:rsid w:val="00AF511C"/>
    <w:rsid w:val="00B27B17"/>
    <w:rsid w:val="00B5600E"/>
    <w:rsid w:val="00B56D5A"/>
    <w:rsid w:val="00B5765A"/>
    <w:rsid w:val="00B822D0"/>
    <w:rsid w:val="00B97957"/>
    <w:rsid w:val="00BA2142"/>
    <w:rsid w:val="00BA4D60"/>
    <w:rsid w:val="00BA5B1F"/>
    <w:rsid w:val="00BB142D"/>
    <w:rsid w:val="00BC0788"/>
    <w:rsid w:val="00BC48BF"/>
    <w:rsid w:val="00BF7BA3"/>
    <w:rsid w:val="00C14E1A"/>
    <w:rsid w:val="00C379D6"/>
    <w:rsid w:val="00C46FAE"/>
    <w:rsid w:val="00CA14D9"/>
    <w:rsid w:val="00CB6BE4"/>
    <w:rsid w:val="00CC538C"/>
    <w:rsid w:val="00CC7A12"/>
    <w:rsid w:val="00CE2464"/>
    <w:rsid w:val="00CF0AF0"/>
    <w:rsid w:val="00D40219"/>
    <w:rsid w:val="00D559BB"/>
    <w:rsid w:val="00D73747"/>
    <w:rsid w:val="00D73A61"/>
    <w:rsid w:val="00D81714"/>
    <w:rsid w:val="00DB6F37"/>
    <w:rsid w:val="00DB7401"/>
    <w:rsid w:val="00DC41AA"/>
    <w:rsid w:val="00DF592E"/>
    <w:rsid w:val="00E00327"/>
    <w:rsid w:val="00E106D5"/>
    <w:rsid w:val="00E22F15"/>
    <w:rsid w:val="00E54F57"/>
    <w:rsid w:val="00E67A55"/>
    <w:rsid w:val="00E76928"/>
    <w:rsid w:val="00EB5599"/>
    <w:rsid w:val="00ED4B77"/>
    <w:rsid w:val="00EE2DB4"/>
    <w:rsid w:val="00EF0A2D"/>
    <w:rsid w:val="00EF3699"/>
    <w:rsid w:val="00F0521C"/>
    <w:rsid w:val="00F1165F"/>
    <w:rsid w:val="00F42E4D"/>
    <w:rsid w:val="00F55DCB"/>
    <w:rsid w:val="00F720CF"/>
    <w:rsid w:val="00F765FF"/>
    <w:rsid w:val="00FA5422"/>
    <w:rsid w:val="00FA7960"/>
    <w:rsid w:val="00FC2C52"/>
    <w:rsid w:val="00FC3606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45E9-414A-4599-B5D7-25A232B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FA"/>
    <w:pPr>
      <w:autoSpaceDE w:val="0"/>
      <w:autoSpaceDN w:val="0"/>
      <w:adjustRightInd w:val="0"/>
      <w:spacing w:after="0" w:line="240" w:lineRule="auto"/>
    </w:pPr>
    <w:rPr>
      <w:rFonts w:ascii="Calibri" w:hAnsi="Calibri" w:cs="TimesNewRomanPS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899"/>
    <w:pPr>
      <w:outlineLvl w:val="0"/>
    </w:pPr>
    <w:rPr>
      <w:rFonts w:ascii="Arial-BoldMT" w:hAnsi="Arial-BoldMT" w:cs="Arial-BoldMT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1F"/>
    <w:pPr>
      <w:spacing w:after="240"/>
      <w:outlineLvl w:val="1"/>
    </w:pPr>
    <w:rPr>
      <w:rFonts w:cs="TimesNewRomanPS-BoldM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899"/>
    <w:pPr>
      <w:outlineLvl w:val="2"/>
    </w:pPr>
    <w:rPr>
      <w:rFonts w:ascii="Arial-BoldMT" w:hAnsi="Arial-BoldMT" w:cs="Arial-BoldMT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899"/>
    <w:pPr>
      <w:outlineLvl w:val="3"/>
    </w:pPr>
    <w:rPr>
      <w:rFonts w:ascii="Arial-BoldItalicMT" w:hAnsi="Arial-BoldItalicMT" w:cs="Arial-BoldItalicMT"/>
      <w:b/>
      <w:bCs/>
      <w:i/>
      <w:iCs/>
      <w:sz w:val="20"/>
      <w:szCs w:val="2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F3361"/>
    <w:pPr>
      <w:numPr>
        <w:numId w:val="7"/>
      </w:numPr>
      <w:spacing w:after="240"/>
      <w:outlineLvl w:val="4"/>
    </w:pPr>
    <w:rPr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93577"/>
    <w:pPr>
      <w:numPr>
        <w:numId w:val="10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D1F"/>
    <w:rPr>
      <w:rFonts w:ascii="Calibri" w:hAnsi="Calibri" w:cs="TimesNewRomanPS-BoldMT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899"/>
    <w:rPr>
      <w:rFonts w:ascii="ArialMT" w:hAnsi="ArialMT" w:cs="ArialMT"/>
    </w:rPr>
  </w:style>
  <w:style w:type="character" w:customStyle="1" w:styleId="SubtitleChar">
    <w:name w:val="Subtitle Char"/>
    <w:basedOn w:val="DefaultParagraphFont"/>
    <w:link w:val="Subtitle"/>
    <w:uiPriority w:val="11"/>
    <w:rsid w:val="00793899"/>
    <w:rPr>
      <w:rFonts w:ascii="ArialMT" w:hAnsi="ArialMT" w:cs="ArialM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3899"/>
    <w:rPr>
      <w:rFonts w:ascii="Arial-BoldMT" w:hAnsi="Arial-BoldMT" w:cs="Arial-BoldMT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93899"/>
    <w:rPr>
      <w:rFonts w:ascii="Arial-BoldMT" w:hAnsi="Arial-BoldMT" w:cs="Arial-BoldMT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899"/>
    <w:pPr>
      <w:pBdr>
        <w:bottom w:val="single" w:sz="6" w:space="1" w:color="auto"/>
      </w:pBdr>
    </w:pPr>
    <w:rPr>
      <w:rFonts w:ascii="Arial-BoldMT" w:hAnsi="Arial-BoldMT" w:cs="Arial-BoldM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3899"/>
    <w:rPr>
      <w:rFonts w:ascii="Arial-BoldMT" w:hAnsi="Arial-BoldMT" w:cs="Arial-BoldM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93899"/>
    <w:rPr>
      <w:rFonts w:ascii="Arial-BoldItalicMT" w:hAnsi="Arial-BoldItalicMT" w:cs="Arial-BoldItalicMT"/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4026FA"/>
  </w:style>
  <w:style w:type="character" w:customStyle="1" w:styleId="Heading5Char">
    <w:name w:val="Heading 5 Char"/>
    <w:basedOn w:val="DefaultParagraphFont"/>
    <w:link w:val="Heading5"/>
    <w:uiPriority w:val="9"/>
    <w:rsid w:val="004F3361"/>
    <w:rPr>
      <w:rFonts w:ascii="Calibri" w:hAnsi="Calibri" w:cs="TimesNewRomanPSMT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93577"/>
    <w:rPr>
      <w:rFonts w:ascii="Calibri" w:hAnsi="Calibri" w:cs="TimesNewRomanPSMT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C4"/>
    <w:rPr>
      <w:rFonts w:ascii="Calibri" w:hAnsi="Calibri" w:cs="TimesNewRomanPS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C4"/>
    <w:rPr>
      <w:rFonts w:ascii="Calibri" w:hAnsi="Calibri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409B-94DC-4531-A229-9C4AC05D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2058</Words>
  <Characters>11159</Characters>
  <Application>Microsoft Office Word</Application>
  <DocSecurity>0</DocSecurity>
  <Lines>257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2018-11-22T03:02:00Z</dcterms:created>
  <dcterms:modified xsi:type="dcterms:W3CDTF">2018-11-22T03:02:00Z</dcterms:modified>
</cp:coreProperties>
</file>