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FE" w:rsidRPr="002B757A" w:rsidRDefault="00AE49FE" w:rsidP="004026FA">
      <w:pPr>
        <w:pStyle w:val="Subtitle"/>
      </w:pPr>
      <w:bookmarkStart w:id="0" w:name="_GoBack"/>
      <w:bookmarkEnd w:id="0"/>
      <w:r w:rsidRPr="002B757A">
        <w:t>Australian Capital Territory</w:t>
      </w:r>
    </w:p>
    <w:p w:rsidR="00AE49FE" w:rsidRPr="002B757A" w:rsidRDefault="00AE49FE" w:rsidP="004026FA"/>
    <w:p w:rsidR="00AE49FE" w:rsidRPr="002B757A" w:rsidRDefault="00AE49FE" w:rsidP="004026FA">
      <w:pPr>
        <w:pStyle w:val="Heading1"/>
      </w:pPr>
      <w:r w:rsidRPr="002B757A">
        <w:t>Government Procurement (Secure Local Jobs) Amendment Regulation 2018</w:t>
      </w:r>
      <w:r w:rsidR="00781BF6" w:rsidRPr="002B757A">
        <w:t xml:space="preserve"> (No </w:t>
      </w:r>
      <w:r w:rsidR="004032B4">
        <w:t>1</w:t>
      </w:r>
      <w:r w:rsidR="00781BF6" w:rsidRPr="002B757A">
        <w:t>)</w:t>
      </w:r>
    </w:p>
    <w:p w:rsidR="00AE49FE" w:rsidRPr="002B757A" w:rsidRDefault="00AE49FE" w:rsidP="004026FA"/>
    <w:p w:rsidR="00AE49FE" w:rsidRPr="002B757A" w:rsidRDefault="00DF6EF1" w:rsidP="004026FA">
      <w:pPr>
        <w:pStyle w:val="Heading3"/>
      </w:pPr>
      <w:r>
        <w:t>Subordinate law SL2018–22</w:t>
      </w:r>
    </w:p>
    <w:p w:rsidR="00AE49FE" w:rsidRPr="002B757A" w:rsidRDefault="00AE49FE" w:rsidP="004026FA">
      <w:pPr>
        <w:pStyle w:val="Heading3"/>
      </w:pPr>
    </w:p>
    <w:p w:rsidR="00AE49FE" w:rsidRPr="002B757A" w:rsidRDefault="00AE49FE" w:rsidP="004026FA">
      <w:pPr>
        <w:pStyle w:val="NoSpacing"/>
      </w:pPr>
      <w:r w:rsidRPr="002B757A">
        <w:t>made under the</w:t>
      </w:r>
    </w:p>
    <w:p w:rsidR="00AE49FE" w:rsidRPr="002B757A" w:rsidRDefault="00AE49FE" w:rsidP="004026FA"/>
    <w:p w:rsidR="00045276" w:rsidRPr="002B757A" w:rsidRDefault="00AE49FE" w:rsidP="004026FA">
      <w:pPr>
        <w:pStyle w:val="Heading4"/>
      </w:pPr>
      <w:r w:rsidRPr="002B757A">
        <w:t>G</w:t>
      </w:r>
      <w:r w:rsidR="00EA67BE">
        <w:t>overnment Procurement Act 2001</w:t>
      </w:r>
    </w:p>
    <w:p w:rsidR="00AE49FE" w:rsidRPr="002B757A" w:rsidRDefault="00AE49FE" w:rsidP="004026FA"/>
    <w:p w:rsidR="00AE49FE" w:rsidRPr="002B757A" w:rsidRDefault="00AE49FE" w:rsidP="004026FA">
      <w:pPr>
        <w:pStyle w:val="Title"/>
      </w:pPr>
      <w:r w:rsidRPr="002B757A">
        <w:t>EXPLANATORY STATEMENT</w:t>
      </w:r>
    </w:p>
    <w:p w:rsidR="00A233E1" w:rsidRPr="002B757A" w:rsidRDefault="00A233E1" w:rsidP="004026FA"/>
    <w:p w:rsidR="00AE49FE" w:rsidRPr="002B757A" w:rsidRDefault="009C0B32" w:rsidP="004026FA">
      <w:pPr>
        <w:pStyle w:val="Heading2"/>
      </w:pPr>
      <w:r w:rsidRPr="002B757A">
        <w:t>Overview</w:t>
      </w:r>
    </w:p>
    <w:p w:rsidR="005D5D5E" w:rsidRPr="002B757A" w:rsidRDefault="009C0B32" w:rsidP="004026FA">
      <w:r w:rsidRPr="002B757A">
        <w:t>This</w:t>
      </w:r>
      <w:r w:rsidR="00B15662" w:rsidRPr="002B757A">
        <w:t xml:space="preserve"> </w:t>
      </w:r>
      <w:r w:rsidR="0028685A">
        <w:t>A</w:t>
      </w:r>
      <w:r w:rsidR="00B15662" w:rsidRPr="002B757A">
        <w:t>mendment</w:t>
      </w:r>
      <w:r w:rsidR="0028685A">
        <w:t xml:space="preserve"> R</w:t>
      </w:r>
      <w:r w:rsidRPr="002B757A">
        <w:t xml:space="preserve">egulation amends the </w:t>
      </w:r>
      <w:r w:rsidRPr="002B757A">
        <w:rPr>
          <w:i/>
        </w:rPr>
        <w:t>Government Procurement Regulation 200</w:t>
      </w:r>
      <w:r w:rsidR="00AD5EC5" w:rsidRPr="002B757A">
        <w:rPr>
          <w:i/>
        </w:rPr>
        <w:t>7</w:t>
      </w:r>
      <w:r w:rsidR="003C38B4" w:rsidRPr="002B757A">
        <w:rPr>
          <w:i/>
        </w:rPr>
        <w:t xml:space="preserve"> </w:t>
      </w:r>
      <w:r w:rsidR="0028685A">
        <w:t>(the R</w:t>
      </w:r>
      <w:r w:rsidR="003C38B4" w:rsidRPr="002B757A">
        <w:t>egulation)</w:t>
      </w:r>
      <w:r w:rsidR="001634BB" w:rsidRPr="002B757A">
        <w:t>.</w:t>
      </w:r>
      <w:r w:rsidR="00330767">
        <w:t xml:space="preserve"> </w:t>
      </w:r>
    </w:p>
    <w:p w:rsidR="00C07722" w:rsidRPr="002B757A" w:rsidRDefault="00C07722" w:rsidP="004026FA"/>
    <w:p w:rsidR="005D5D5E" w:rsidRPr="002B757A" w:rsidRDefault="00C20D25" w:rsidP="004026FA">
      <w:r>
        <w:t xml:space="preserve">The amendments </w:t>
      </w:r>
      <w:r w:rsidR="001634BB" w:rsidRPr="002B757A">
        <w:t>provide more information ab</w:t>
      </w:r>
      <w:r w:rsidR="009127E7">
        <w:t xml:space="preserve">out the requirements inserted into the </w:t>
      </w:r>
      <w:r w:rsidR="009127E7">
        <w:rPr>
          <w:i/>
        </w:rPr>
        <w:t xml:space="preserve">Government Procurement Act 2001 </w:t>
      </w:r>
      <w:r w:rsidR="009127E7" w:rsidRPr="00330767">
        <w:t>(</w:t>
      </w:r>
      <w:r w:rsidR="009127E7">
        <w:t xml:space="preserve">Procurement Act) </w:t>
      </w:r>
      <w:r w:rsidR="001634BB" w:rsidRPr="002B757A">
        <w:t xml:space="preserve">by </w:t>
      </w:r>
      <w:r w:rsidR="001634BB" w:rsidRPr="002B757A">
        <w:rPr>
          <w:i/>
        </w:rPr>
        <w:t xml:space="preserve">the Government Procurement (Secure Local Jobs) Amendment Act 2018 </w:t>
      </w:r>
      <w:r w:rsidR="00330767">
        <w:t xml:space="preserve">(Amendment Act) </w:t>
      </w:r>
      <w:r w:rsidR="001634BB" w:rsidRPr="002B757A">
        <w:t xml:space="preserve">as part of the Secure Local Jobs Package. </w:t>
      </w:r>
    </w:p>
    <w:p w:rsidR="00C07722" w:rsidRPr="002B757A" w:rsidRDefault="00C07722" w:rsidP="004026FA"/>
    <w:p w:rsidR="001634BB" w:rsidRPr="002B757A" w:rsidRDefault="00CB6BE4" w:rsidP="004026FA">
      <w:r w:rsidRPr="002B757A">
        <w:t>The a</w:t>
      </w:r>
      <w:r w:rsidR="005D5D5E" w:rsidRPr="002B757A">
        <w:t>mendments</w:t>
      </w:r>
      <w:r w:rsidR="00C07722" w:rsidRPr="002B757A">
        <w:t xml:space="preserve"> in the </w:t>
      </w:r>
      <w:r w:rsidR="00396D89">
        <w:t>A</w:t>
      </w:r>
      <w:r w:rsidR="00B15662" w:rsidRPr="002B757A">
        <w:t xml:space="preserve">mendment </w:t>
      </w:r>
      <w:r w:rsidR="00396D89">
        <w:t>R</w:t>
      </w:r>
      <w:r w:rsidR="00C07722" w:rsidRPr="002B757A">
        <w:t xml:space="preserve">egulation </w:t>
      </w:r>
      <w:r w:rsidR="0020097A" w:rsidRPr="002B757A">
        <w:t>prescribe</w:t>
      </w:r>
      <w:r w:rsidR="005D5D5E" w:rsidRPr="002B757A">
        <w:t>:</w:t>
      </w:r>
      <w:r w:rsidR="001634BB" w:rsidRPr="002B757A">
        <w:t xml:space="preserve"> </w:t>
      </w:r>
    </w:p>
    <w:p w:rsidR="001634BB" w:rsidRPr="002B757A" w:rsidRDefault="0020097A" w:rsidP="00C07722">
      <w:pPr>
        <w:pStyle w:val="ListParagraph"/>
        <w:numPr>
          <w:ilvl w:val="0"/>
          <w:numId w:val="4"/>
        </w:numPr>
        <w:tabs>
          <w:tab w:val="left" w:pos="4820"/>
        </w:tabs>
      </w:pPr>
      <w:r w:rsidRPr="002B757A">
        <w:t>w</w:t>
      </w:r>
      <w:r w:rsidR="001634BB" w:rsidRPr="002B757A">
        <w:t xml:space="preserve">hat a tenderer is to include in their Labour Relations, Training and Workplace Equity (LRTWE </w:t>
      </w:r>
      <w:r w:rsidRPr="002B757A">
        <w:t>p</w:t>
      </w:r>
      <w:r w:rsidR="001634BB" w:rsidRPr="002B757A">
        <w:t xml:space="preserve">lan); </w:t>
      </w:r>
    </w:p>
    <w:p w:rsidR="004026FA" w:rsidRPr="002B757A" w:rsidRDefault="0020097A" w:rsidP="004026FA">
      <w:pPr>
        <w:pStyle w:val="ListParagraph"/>
        <w:numPr>
          <w:ilvl w:val="0"/>
          <w:numId w:val="4"/>
        </w:numPr>
      </w:pPr>
      <w:r w:rsidRPr="002B757A">
        <w:t xml:space="preserve">what details are to be included in the Secure Local Jobs Code Register (register) for each Secure Local Jobs Code Certificate (certificate); </w:t>
      </w:r>
      <w:r w:rsidR="00635037" w:rsidRPr="002B757A">
        <w:t>and</w:t>
      </w:r>
    </w:p>
    <w:p w:rsidR="00635037" w:rsidRPr="002B757A" w:rsidRDefault="00635037" w:rsidP="0020097A">
      <w:pPr>
        <w:pStyle w:val="ListParagraph"/>
        <w:numPr>
          <w:ilvl w:val="0"/>
          <w:numId w:val="4"/>
        </w:numPr>
      </w:pPr>
      <w:r w:rsidRPr="002B757A">
        <w:t xml:space="preserve">regarding the meaning of </w:t>
      </w:r>
      <w:r w:rsidR="009127E7">
        <w:rPr>
          <w:i/>
        </w:rPr>
        <w:t>territory-</w:t>
      </w:r>
      <w:r w:rsidRPr="002B757A">
        <w:rPr>
          <w:i/>
        </w:rPr>
        <w:t xml:space="preserve">funded </w:t>
      </w:r>
      <w:r w:rsidRPr="009127E7">
        <w:rPr>
          <w:i/>
        </w:rPr>
        <w:t>work</w:t>
      </w:r>
      <w:r w:rsidRPr="002B757A">
        <w:t>:</w:t>
      </w:r>
    </w:p>
    <w:p w:rsidR="00635037" w:rsidRPr="002B757A" w:rsidRDefault="0020097A" w:rsidP="00635037">
      <w:pPr>
        <w:pStyle w:val="ListParagraph"/>
        <w:numPr>
          <w:ilvl w:val="1"/>
          <w:numId w:val="4"/>
        </w:numPr>
      </w:pPr>
      <w:r w:rsidRPr="002B757A">
        <w:t xml:space="preserve">the </w:t>
      </w:r>
      <w:r w:rsidR="00C07722" w:rsidRPr="002B757A">
        <w:t xml:space="preserve">threshold estimated </w:t>
      </w:r>
      <w:r w:rsidRPr="002B757A">
        <w:t>value of services or</w:t>
      </w:r>
      <w:r w:rsidRPr="009127E7">
        <w:rPr>
          <w:i/>
        </w:rPr>
        <w:t xml:space="preserve"> </w:t>
      </w:r>
      <w:r w:rsidRPr="002B757A">
        <w:t xml:space="preserve">works to be classified as </w:t>
      </w:r>
      <w:r w:rsidRPr="002B757A">
        <w:rPr>
          <w:i/>
        </w:rPr>
        <w:t>territory-funded work</w:t>
      </w:r>
      <w:r w:rsidRPr="002B757A">
        <w:t>, being $200,000; and</w:t>
      </w:r>
    </w:p>
    <w:p w:rsidR="00831701" w:rsidRPr="00BB02D6" w:rsidRDefault="0020097A" w:rsidP="00831701">
      <w:pPr>
        <w:pStyle w:val="ListParagraph"/>
        <w:numPr>
          <w:ilvl w:val="1"/>
          <w:numId w:val="4"/>
        </w:numPr>
      </w:pPr>
      <w:r w:rsidRPr="002B757A">
        <w:t xml:space="preserve">the kind of services or works that are excluded from being classified as </w:t>
      </w:r>
      <w:r w:rsidRPr="002B757A">
        <w:rPr>
          <w:i/>
        </w:rPr>
        <w:t>territory-funded work.</w:t>
      </w:r>
    </w:p>
    <w:p w:rsidR="00BB02D6" w:rsidRPr="002B757A" w:rsidRDefault="00BB02D6" w:rsidP="00BB02D6">
      <w:pPr>
        <w:pStyle w:val="ListParagraph"/>
        <w:ind w:left="1440"/>
      </w:pPr>
    </w:p>
    <w:p w:rsidR="00831701" w:rsidRPr="002B757A" w:rsidRDefault="00831701" w:rsidP="00831701">
      <w:r w:rsidRPr="002B757A">
        <w:t>The meaning of territory-funded work is critical to the application of the requirements for procurement intro</w:t>
      </w:r>
      <w:r w:rsidR="0028685A">
        <w:t>duced by the Amendment Act a</w:t>
      </w:r>
      <w:r w:rsidRPr="002B757A">
        <w:t xml:space="preserve">nd the </w:t>
      </w:r>
      <w:r w:rsidR="007D3184">
        <w:t xml:space="preserve">Secure Local Jobs </w:t>
      </w:r>
      <w:r w:rsidR="003C1A74">
        <w:t>Code (the c</w:t>
      </w:r>
      <w:r w:rsidRPr="002B757A">
        <w:t>ode</w:t>
      </w:r>
      <w:r w:rsidR="007D3184">
        <w:t>)</w:t>
      </w:r>
      <w:r w:rsidRPr="002B757A">
        <w:t xml:space="preserve">.  </w:t>
      </w:r>
    </w:p>
    <w:p w:rsidR="00831701" w:rsidRPr="002B757A" w:rsidRDefault="00831701" w:rsidP="00831701">
      <w:pPr>
        <w:ind w:left="1080"/>
      </w:pPr>
    </w:p>
    <w:p w:rsidR="0020097A" w:rsidRPr="002B757A" w:rsidRDefault="0020097A" w:rsidP="0020097A">
      <w:r w:rsidRPr="002B757A">
        <w:t xml:space="preserve">The </w:t>
      </w:r>
      <w:r w:rsidR="0028685A">
        <w:t>A</w:t>
      </w:r>
      <w:r w:rsidR="00B15662" w:rsidRPr="002B757A">
        <w:t xml:space="preserve">mendment </w:t>
      </w:r>
      <w:r w:rsidR="0028685A">
        <w:t>R</w:t>
      </w:r>
      <w:r w:rsidRPr="002B757A">
        <w:t xml:space="preserve">egulation also makes minor </w:t>
      </w:r>
      <w:r w:rsidR="00CD5979" w:rsidRPr="002B757A">
        <w:t>formatting</w:t>
      </w:r>
      <w:r w:rsidRPr="002B757A">
        <w:t xml:space="preserve"> changes to the </w:t>
      </w:r>
      <w:r w:rsidR="00C20D25">
        <w:t>R</w:t>
      </w:r>
      <w:r w:rsidR="00CD5979" w:rsidRPr="002B757A">
        <w:t xml:space="preserve">egulation to make it easier to </w:t>
      </w:r>
      <w:r w:rsidR="00831701" w:rsidRPr="002B757A">
        <w:t>navigate</w:t>
      </w:r>
      <w:r w:rsidR="004E735F" w:rsidRPr="002B757A">
        <w:t xml:space="preserve">. </w:t>
      </w:r>
    </w:p>
    <w:p w:rsidR="00C07722" w:rsidRPr="002B757A" w:rsidRDefault="00C07722" w:rsidP="0020097A"/>
    <w:p w:rsidR="001634BB" w:rsidRPr="002B757A" w:rsidRDefault="007D3184" w:rsidP="004026FA">
      <w:r>
        <w:t xml:space="preserve">The authority to make the </w:t>
      </w:r>
      <w:r w:rsidR="00396D89">
        <w:t>A</w:t>
      </w:r>
      <w:r w:rsidR="00B15662" w:rsidRPr="002B757A">
        <w:t xml:space="preserve">mendment </w:t>
      </w:r>
      <w:r w:rsidR="00396D89">
        <w:t>R</w:t>
      </w:r>
      <w:r w:rsidR="00C07722" w:rsidRPr="002B757A">
        <w:t xml:space="preserve">egulation is contained in section 52 of the </w:t>
      </w:r>
      <w:r w:rsidR="009127E7" w:rsidRPr="009127E7">
        <w:t>P</w:t>
      </w:r>
      <w:r w:rsidR="006A6CD0" w:rsidRPr="009127E7">
        <w:t>r</w:t>
      </w:r>
      <w:r w:rsidR="009127E7">
        <w:t>ocurement Act</w:t>
      </w:r>
      <w:r w:rsidR="00C07722" w:rsidRPr="002B757A">
        <w:t>.</w:t>
      </w:r>
      <w:r w:rsidR="009127E7">
        <w:t xml:space="preserve"> Further sections of the Procurement Act specifically provide</w:t>
      </w:r>
      <w:r w:rsidR="00B15662" w:rsidRPr="002B757A">
        <w:t xml:space="preserve"> for </w:t>
      </w:r>
      <w:r w:rsidR="00C07722" w:rsidRPr="002B757A">
        <w:t xml:space="preserve">regulation to </w:t>
      </w:r>
      <w:r w:rsidR="009E2F41" w:rsidRPr="002B757A">
        <w:t xml:space="preserve">prescribe certain the items listed above. </w:t>
      </w:r>
    </w:p>
    <w:p w:rsidR="00CB6BE4" w:rsidRPr="002B757A" w:rsidRDefault="00CB6BE4" w:rsidP="004026FA"/>
    <w:p w:rsidR="00BB02D6" w:rsidRDefault="00BB02D6">
      <w:pPr>
        <w:autoSpaceDE/>
        <w:autoSpaceDN/>
        <w:adjustRightInd/>
        <w:spacing w:after="160" w:line="259" w:lineRule="auto"/>
        <w:rPr>
          <w:rFonts w:cs="TimesNewRomanPS-BoldMT"/>
          <w:b/>
          <w:bCs/>
          <w:sz w:val="28"/>
          <w:szCs w:val="28"/>
        </w:rPr>
      </w:pPr>
      <w:r>
        <w:br w:type="page"/>
      </w:r>
    </w:p>
    <w:p w:rsidR="001E684C" w:rsidRPr="002B757A" w:rsidRDefault="001E684C" w:rsidP="001E684C">
      <w:pPr>
        <w:pStyle w:val="Heading2"/>
      </w:pPr>
      <w:r w:rsidRPr="002B757A">
        <w:lastRenderedPageBreak/>
        <w:t xml:space="preserve">Regulatory impact statement </w:t>
      </w:r>
    </w:p>
    <w:p w:rsidR="001E684C" w:rsidRPr="002B757A" w:rsidRDefault="001E684C" w:rsidP="001E684C">
      <w:r w:rsidRPr="002B757A">
        <w:t>A Regulatory Impact Statement has been prepared for the</w:t>
      </w:r>
      <w:r w:rsidR="00B15662" w:rsidRPr="002B757A">
        <w:t xml:space="preserve"> </w:t>
      </w:r>
      <w:r w:rsidR="00396D89">
        <w:t>A</w:t>
      </w:r>
      <w:r w:rsidR="00B15662" w:rsidRPr="002B757A">
        <w:t>mendment</w:t>
      </w:r>
      <w:r w:rsidRPr="002B757A">
        <w:t xml:space="preserve"> </w:t>
      </w:r>
      <w:r w:rsidR="00396D89">
        <w:t>R</w:t>
      </w:r>
      <w:r w:rsidRPr="002B757A">
        <w:t>egulation and is available o</w:t>
      </w:r>
      <w:r w:rsidR="00FC3606" w:rsidRPr="002B757A">
        <w:t>n the ACT Legislation Register. The Regulatory Impact Statem</w:t>
      </w:r>
      <w:r w:rsidR="00B15662" w:rsidRPr="002B757A">
        <w:t>ent also addresses two related legislative</w:t>
      </w:r>
      <w:r w:rsidR="00FC3606" w:rsidRPr="002B757A">
        <w:t xml:space="preserve"> instruments, </w:t>
      </w:r>
      <w:r w:rsidR="00B15662" w:rsidRPr="002B757A">
        <w:t xml:space="preserve">the </w:t>
      </w:r>
      <w:r w:rsidR="00EE41F4">
        <w:rPr>
          <w:i/>
        </w:rPr>
        <w:t xml:space="preserve">Government Procurement (Secure Local Jobs Code) Determination 2018 </w:t>
      </w:r>
      <w:r w:rsidR="00FC3606" w:rsidRPr="002B757A">
        <w:t xml:space="preserve">and </w:t>
      </w:r>
      <w:r w:rsidR="00EE41F4">
        <w:rPr>
          <w:i/>
        </w:rPr>
        <w:t>Government Procurement (Secure Local Jobs Code Model Contract Terms) Determination 2018</w:t>
      </w:r>
      <w:r w:rsidR="00FC3606" w:rsidRPr="002B757A">
        <w:t xml:space="preserve">. </w:t>
      </w:r>
    </w:p>
    <w:p w:rsidR="001E684C" w:rsidRPr="002B757A" w:rsidRDefault="001E684C" w:rsidP="001E684C"/>
    <w:p w:rsidR="00CB6BE4" w:rsidRPr="002B757A" w:rsidRDefault="00CB6BE4" w:rsidP="004026FA">
      <w:pPr>
        <w:pStyle w:val="Heading2"/>
      </w:pPr>
      <w:r w:rsidRPr="002B757A">
        <w:t>Human rights implications</w:t>
      </w:r>
    </w:p>
    <w:p w:rsidR="00426778" w:rsidRPr="002B757A" w:rsidRDefault="00C20D25" w:rsidP="003B6CE4">
      <w:r>
        <w:t>During the development of this A</w:t>
      </w:r>
      <w:r w:rsidR="00F86629" w:rsidRPr="002B757A">
        <w:t xml:space="preserve">mendment </w:t>
      </w:r>
      <w:r>
        <w:t>R</w:t>
      </w:r>
      <w:r w:rsidR="00CB6BE4" w:rsidRPr="002B757A">
        <w:t>egulation due regard was given to its compatibility</w:t>
      </w:r>
      <w:r w:rsidR="004026FA" w:rsidRPr="002B757A">
        <w:t xml:space="preserve"> </w:t>
      </w:r>
      <w:r w:rsidR="00CB6BE4" w:rsidRPr="002B757A">
        <w:t xml:space="preserve">with human rights as set out in the </w:t>
      </w:r>
      <w:r w:rsidR="00CB6BE4" w:rsidRPr="002B757A">
        <w:rPr>
          <w:rFonts w:cs="TimesNewRomanPS-ItalicMT"/>
          <w:i/>
          <w:iCs/>
        </w:rPr>
        <w:t xml:space="preserve">Human Rights Act 2004 </w:t>
      </w:r>
      <w:r w:rsidR="00CB6BE4" w:rsidRPr="002B757A">
        <w:t>(HRA).</w:t>
      </w:r>
      <w:r w:rsidR="001E684C" w:rsidRPr="002B757A">
        <w:t xml:space="preserve"> Human rights implications are discussed in detail in the Regul</w:t>
      </w:r>
      <w:r w:rsidR="00FC3606" w:rsidRPr="002B757A">
        <w:t xml:space="preserve">atory Impact Statement for the </w:t>
      </w:r>
      <w:r w:rsidR="00EE41F4">
        <w:t>Amendment Regulation</w:t>
      </w:r>
      <w:r w:rsidR="00F86629" w:rsidRPr="002B757A">
        <w:t xml:space="preserve"> and associated legislative instruments</w:t>
      </w:r>
      <w:r w:rsidR="001E684C" w:rsidRPr="002B757A">
        <w:t xml:space="preserve">. </w:t>
      </w:r>
    </w:p>
    <w:p w:rsidR="005075B8" w:rsidRPr="002B757A" w:rsidRDefault="005075B8" w:rsidP="003B6CE4"/>
    <w:p w:rsidR="005075B8" w:rsidRPr="002B757A" w:rsidRDefault="005075B8" w:rsidP="003B6CE4"/>
    <w:p w:rsidR="00A1480E" w:rsidRPr="002B757A" w:rsidRDefault="001928D1" w:rsidP="004026FA">
      <w:r w:rsidRPr="002B757A">
        <w:br w:type="page"/>
      </w:r>
    </w:p>
    <w:p w:rsidR="00A1480E" w:rsidRPr="002B757A" w:rsidRDefault="00A1480E" w:rsidP="004026FA">
      <w:pPr>
        <w:pStyle w:val="Heading2"/>
      </w:pPr>
      <w:r w:rsidRPr="002B757A">
        <w:lastRenderedPageBreak/>
        <w:t>CLAUSE NOTES</w:t>
      </w:r>
    </w:p>
    <w:p w:rsidR="0061744C" w:rsidRPr="002B757A" w:rsidRDefault="004F3361" w:rsidP="004F3361">
      <w:pPr>
        <w:pStyle w:val="Heading5"/>
      </w:pPr>
      <w:r w:rsidRPr="002B757A">
        <w:t>Name of regulation</w:t>
      </w:r>
    </w:p>
    <w:p w:rsidR="004F3361" w:rsidRPr="002B757A" w:rsidRDefault="00184100" w:rsidP="004F3361">
      <w:r w:rsidRPr="002B757A">
        <w:t xml:space="preserve">This clause provides the name of the </w:t>
      </w:r>
      <w:r w:rsidR="00EE41F4">
        <w:t>Am</w:t>
      </w:r>
      <w:r w:rsidR="00F87378" w:rsidRPr="002B757A">
        <w:t xml:space="preserve">endment </w:t>
      </w:r>
      <w:r w:rsidR="00EE41F4">
        <w:t>R</w:t>
      </w:r>
      <w:r w:rsidR="00E52FF6" w:rsidRPr="002B757A">
        <w:t xml:space="preserve">egulation. </w:t>
      </w:r>
      <w:r w:rsidRPr="002B757A">
        <w:t xml:space="preserve"> </w:t>
      </w:r>
    </w:p>
    <w:p w:rsidR="00184100" w:rsidRPr="002B757A" w:rsidRDefault="00184100" w:rsidP="004F3361"/>
    <w:p w:rsidR="004F3361" w:rsidRPr="002B757A" w:rsidRDefault="004C1A0E" w:rsidP="004F3361">
      <w:pPr>
        <w:pStyle w:val="Heading5"/>
      </w:pPr>
      <w:r w:rsidRPr="002B757A">
        <w:t>Commencement</w:t>
      </w:r>
    </w:p>
    <w:p w:rsidR="006A6CD0" w:rsidRPr="002B757A" w:rsidRDefault="00184100" w:rsidP="004C1A0E">
      <w:r w:rsidRPr="002B757A">
        <w:t xml:space="preserve">This clause sets out when the </w:t>
      </w:r>
      <w:r w:rsidR="00C20D25">
        <w:t>A</w:t>
      </w:r>
      <w:r w:rsidR="00F87378" w:rsidRPr="002B757A">
        <w:t xml:space="preserve">mendment </w:t>
      </w:r>
      <w:r w:rsidR="00C20D25">
        <w:t>R</w:t>
      </w:r>
      <w:r w:rsidRPr="002B757A">
        <w:t>egulation commences. Apart from schedule 1, the</w:t>
      </w:r>
      <w:r w:rsidR="00EE41F4">
        <w:t xml:space="preserve"> A</w:t>
      </w:r>
      <w:r w:rsidR="00330767">
        <w:t>mendment</w:t>
      </w:r>
      <w:r w:rsidR="00EE41F4">
        <w:t xml:space="preserve"> R</w:t>
      </w:r>
      <w:r w:rsidRPr="002B757A">
        <w:t>egulatio</w:t>
      </w:r>
      <w:r w:rsidR="00B32261">
        <w:t xml:space="preserve">n commences on 15 January 2019, the same date as the Amendment Act commences. </w:t>
      </w:r>
    </w:p>
    <w:p w:rsidR="006A6CD0" w:rsidRPr="002B757A" w:rsidRDefault="006A6CD0" w:rsidP="004C1A0E"/>
    <w:p w:rsidR="004C1A0E" w:rsidRPr="002B757A" w:rsidRDefault="006B47AA" w:rsidP="004C1A0E">
      <w:r w:rsidRPr="002B757A">
        <w:t>Schedule 1 commences the sa</w:t>
      </w:r>
      <w:r w:rsidR="00B32261">
        <w:t>me date that schedule 1 of the A</w:t>
      </w:r>
      <w:r w:rsidR="00412C11" w:rsidRPr="002B757A">
        <w:t>mendmen</w:t>
      </w:r>
      <w:r w:rsidR="00B32261">
        <w:t>t A</w:t>
      </w:r>
      <w:r w:rsidRPr="002B757A">
        <w:t>ct commences</w:t>
      </w:r>
      <w:r w:rsidR="009C25A7" w:rsidRPr="002B757A">
        <w:t>, which is to be a date fixed by the Minister</w:t>
      </w:r>
      <w:r w:rsidRPr="002B757A">
        <w:t xml:space="preserve">. </w:t>
      </w:r>
    </w:p>
    <w:p w:rsidR="00184100" w:rsidRPr="002B757A" w:rsidRDefault="00184100" w:rsidP="004C1A0E"/>
    <w:p w:rsidR="004C1A0E" w:rsidRPr="002B757A" w:rsidRDefault="004C1A0E" w:rsidP="004C1A0E">
      <w:pPr>
        <w:pStyle w:val="Heading5"/>
      </w:pPr>
      <w:r w:rsidRPr="002B757A">
        <w:t xml:space="preserve">Legislation amended </w:t>
      </w:r>
    </w:p>
    <w:p w:rsidR="00B15DAF" w:rsidRPr="002B757A" w:rsidRDefault="00B15DAF" w:rsidP="004C1A0E">
      <w:r w:rsidRPr="002B757A">
        <w:t xml:space="preserve">This clause explains that the </w:t>
      </w:r>
      <w:r w:rsidR="00EE41F4">
        <w:t>A</w:t>
      </w:r>
      <w:r w:rsidR="00F87378" w:rsidRPr="002B757A">
        <w:t xml:space="preserve">mendment </w:t>
      </w:r>
      <w:r w:rsidR="00EE41F4">
        <w:t>R</w:t>
      </w:r>
      <w:r w:rsidRPr="002B757A">
        <w:t xml:space="preserve">egulation </w:t>
      </w:r>
      <w:r w:rsidR="00F87378" w:rsidRPr="002B757A">
        <w:t>amends the</w:t>
      </w:r>
      <w:r w:rsidR="00EE41F4">
        <w:t xml:space="preserve"> R</w:t>
      </w:r>
      <w:r w:rsidRPr="002B757A">
        <w:t xml:space="preserve">egulation. </w:t>
      </w:r>
    </w:p>
    <w:p w:rsidR="00B15DAF" w:rsidRPr="002B757A" w:rsidRDefault="00B15DAF" w:rsidP="004C1A0E"/>
    <w:p w:rsidR="004C1A0E" w:rsidRPr="002B757A" w:rsidRDefault="004C1A0E" w:rsidP="004C1A0E">
      <w:pPr>
        <w:pStyle w:val="Heading5"/>
      </w:pPr>
      <w:r w:rsidRPr="002B757A">
        <w:t>Part 3 heading</w:t>
      </w:r>
    </w:p>
    <w:p w:rsidR="004C1A0E" w:rsidRPr="002B757A" w:rsidRDefault="00B15DAF" w:rsidP="00B15DAF">
      <w:pPr>
        <w:tabs>
          <w:tab w:val="left" w:pos="5175"/>
        </w:tabs>
      </w:pPr>
      <w:r w:rsidRPr="002B757A">
        <w:t>This clause updates t</w:t>
      </w:r>
      <w:r w:rsidR="00F87378" w:rsidRPr="002B757A">
        <w:t>he heading for part 3 of the</w:t>
      </w:r>
      <w:r w:rsidRPr="002B757A">
        <w:t xml:space="preserve"> regulation, which is currently ‘Miscellaneous’, to make it more clear that part 3 relates to </w:t>
      </w:r>
      <w:r w:rsidR="00C221B9" w:rsidRPr="002B757A">
        <w:t xml:space="preserve">requirements for </w:t>
      </w:r>
      <w:r w:rsidRPr="002B757A">
        <w:t xml:space="preserve">procurement proposals. </w:t>
      </w:r>
      <w:r w:rsidR="009B7EA3" w:rsidRPr="002B757A">
        <w:t>Part 3 contains two prov</w:t>
      </w:r>
      <w:r w:rsidR="00F87378" w:rsidRPr="002B757A">
        <w:t>isions already existing in the</w:t>
      </w:r>
      <w:r w:rsidR="00C20D25">
        <w:t xml:space="preserve"> R</w:t>
      </w:r>
      <w:r w:rsidR="009B7EA3" w:rsidRPr="002B757A">
        <w:t>egulation, sections 11 and 12. Some of the provisions that were in the original part 3</w:t>
      </w:r>
      <w:r w:rsidR="00552B32" w:rsidRPr="002B757A">
        <w:t>,</w:t>
      </w:r>
      <w:r w:rsidR="009B7EA3" w:rsidRPr="002B757A">
        <w:t xml:space="preserve"> are to be included in part 6. </w:t>
      </w:r>
    </w:p>
    <w:p w:rsidR="00B15DAF" w:rsidRPr="002B757A" w:rsidRDefault="00B15DAF" w:rsidP="00B15DAF">
      <w:pPr>
        <w:tabs>
          <w:tab w:val="left" w:pos="5175"/>
        </w:tabs>
      </w:pPr>
    </w:p>
    <w:p w:rsidR="004C1A0E" w:rsidRPr="002B757A" w:rsidRDefault="004C1A0E" w:rsidP="004C1A0E">
      <w:pPr>
        <w:pStyle w:val="Heading5"/>
      </w:pPr>
      <w:r w:rsidRPr="002B757A">
        <w:t xml:space="preserve">New part 4 etc </w:t>
      </w:r>
    </w:p>
    <w:p w:rsidR="008406C8" w:rsidRPr="002B757A" w:rsidRDefault="00C221B9" w:rsidP="004C1A0E">
      <w:r w:rsidRPr="002B757A">
        <w:t>This c</w:t>
      </w:r>
      <w:r w:rsidR="008406C8" w:rsidRPr="002B757A">
        <w:t>lause inserts new part 4, which inserts sections that provide more details about</w:t>
      </w:r>
      <w:r w:rsidRPr="002B757A">
        <w:t xml:space="preserve"> </w:t>
      </w:r>
      <w:r w:rsidR="008406C8" w:rsidRPr="002B757A">
        <w:t xml:space="preserve">some of the </w:t>
      </w:r>
      <w:r w:rsidRPr="002B757A">
        <w:t>requirements</w:t>
      </w:r>
      <w:r w:rsidR="00396D89">
        <w:t xml:space="preserve"> introduced into the Procurement Act by the Amendment A</w:t>
      </w:r>
      <w:r w:rsidR="003C1A74">
        <w:t>ct related to the C</w:t>
      </w:r>
      <w:r w:rsidR="008406C8" w:rsidRPr="002B757A">
        <w:t xml:space="preserve">ode. </w:t>
      </w:r>
    </w:p>
    <w:p w:rsidR="009B7EA3" w:rsidRPr="002B757A" w:rsidRDefault="009B7EA3" w:rsidP="004C1A0E"/>
    <w:p w:rsidR="00D1561E" w:rsidRPr="002B757A" w:rsidRDefault="00194C12" w:rsidP="004C1A0E">
      <w:pPr>
        <w:rPr>
          <w:b/>
        </w:rPr>
      </w:pPr>
      <w:r w:rsidRPr="002B757A">
        <w:rPr>
          <w:b/>
        </w:rPr>
        <w:t xml:space="preserve">Section </w:t>
      </w:r>
      <w:r w:rsidR="00D1561E" w:rsidRPr="002B757A">
        <w:rPr>
          <w:b/>
        </w:rPr>
        <w:t xml:space="preserve">12AC </w:t>
      </w:r>
      <w:r w:rsidRPr="002B757A">
        <w:rPr>
          <w:b/>
        </w:rPr>
        <w:tab/>
      </w:r>
      <w:r w:rsidR="00D1561E" w:rsidRPr="002B757A">
        <w:rPr>
          <w:b/>
        </w:rPr>
        <w:t>Labour relations, training and workplace equity plan – Act, s</w:t>
      </w:r>
      <w:r w:rsidRPr="002B757A">
        <w:rPr>
          <w:b/>
        </w:rPr>
        <w:t xml:space="preserve"> </w:t>
      </w:r>
      <w:r w:rsidR="00D1561E" w:rsidRPr="002B757A">
        <w:rPr>
          <w:b/>
        </w:rPr>
        <w:t xml:space="preserve">22G(6)(b) </w:t>
      </w:r>
    </w:p>
    <w:p w:rsidR="009B7EA3" w:rsidRPr="002B757A" w:rsidRDefault="00246295" w:rsidP="004C1A0E">
      <w:r w:rsidRPr="002B757A">
        <w:t xml:space="preserve">New section 12AC includes requirements </w:t>
      </w:r>
      <w:r w:rsidR="005672B5" w:rsidRPr="002B757A">
        <w:t>for a</w:t>
      </w:r>
      <w:r w:rsidRPr="002B757A">
        <w:t xml:space="preserve"> tenderer</w:t>
      </w:r>
      <w:r w:rsidR="005672B5" w:rsidRPr="002B757A">
        <w:t>’s l</w:t>
      </w:r>
      <w:r w:rsidRPr="002B757A">
        <w:t>abour relations, training and workplace equity (LRTWE) plan</w:t>
      </w:r>
      <w:r w:rsidR="005672B5" w:rsidRPr="002B757A">
        <w:t xml:space="preserve">. </w:t>
      </w:r>
      <w:r w:rsidR="00027055" w:rsidRPr="002B757A">
        <w:t>The requirement for a tenderer to submit a LRTWE plan when r</w:t>
      </w:r>
      <w:r w:rsidRPr="002B757A">
        <w:t>esponding to a procurement for territory-funded work valued at $25 000 (or another amou</w:t>
      </w:r>
      <w:r w:rsidR="00515DC6" w:rsidRPr="002B757A">
        <w:t xml:space="preserve">nt prescribed by regulation) </w:t>
      </w:r>
      <w:r w:rsidR="002F5BD2" w:rsidRPr="002B757A">
        <w:t xml:space="preserve">is under </w:t>
      </w:r>
      <w:r w:rsidR="00027055" w:rsidRPr="002B757A">
        <w:t xml:space="preserve">section 22G(1)(b) of </w:t>
      </w:r>
      <w:r w:rsidR="00A6178D">
        <w:t>the Procurement Act</w:t>
      </w:r>
      <w:r w:rsidR="00027055" w:rsidRPr="002B757A">
        <w:t xml:space="preserve">. </w:t>
      </w:r>
      <w:r w:rsidR="00515DC6" w:rsidRPr="002B757A">
        <w:t xml:space="preserve">A LRTWE plan relates to a tenderer’s, and any subcontractor’s, workplaces in relation to workplace standards, diversity and equity. </w:t>
      </w:r>
    </w:p>
    <w:p w:rsidR="00D1561E" w:rsidRPr="002B757A" w:rsidRDefault="00D1561E" w:rsidP="004C1A0E"/>
    <w:p w:rsidR="00CE7CAE" w:rsidRPr="002B757A" w:rsidRDefault="006E15FC" w:rsidP="004C1A0E">
      <w:r w:rsidRPr="002B757A">
        <w:t>Requirements for what must be stated in a LRTWE plan under new section 12AC include how a tenderer will</w:t>
      </w:r>
      <w:r w:rsidR="00CE7CAE" w:rsidRPr="002B757A">
        <w:t>:</w:t>
      </w:r>
      <w:r w:rsidRPr="002B757A">
        <w:t xml:space="preserve"> ensure compliance with the code</w:t>
      </w:r>
      <w:r w:rsidR="00CE7CAE" w:rsidRPr="002B757A">
        <w:t xml:space="preserve"> at multiple levels</w:t>
      </w:r>
      <w:r w:rsidRPr="002B757A">
        <w:t xml:space="preserve">, minimise insecure work arrangements, </w:t>
      </w:r>
      <w:r w:rsidR="00CE7CAE" w:rsidRPr="002B757A">
        <w:t xml:space="preserve">support the physical and mental health of its employees, and promote and support diversity in its workforce. </w:t>
      </w:r>
    </w:p>
    <w:p w:rsidR="00D1561E" w:rsidRPr="002B757A" w:rsidRDefault="00D1561E" w:rsidP="004C1A0E"/>
    <w:p w:rsidR="00C40060" w:rsidRPr="002B757A" w:rsidRDefault="00CE7CAE" w:rsidP="00C40060">
      <w:r w:rsidRPr="002B757A">
        <w:t>Wh</w:t>
      </w:r>
      <w:r w:rsidR="00A53FE5">
        <w:t>ere a plan is submitted for a procurement</w:t>
      </w:r>
      <w:r w:rsidRPr="002B757A">
        <w:t xml:space="preserve"> where there is an existing contractor, a tenderer is also to state </w:t>
      </w:r>
      <w:r w:rsidR="00BB02D6">
        <w:t xml:space="preserve">whether and </w:t>
      </w:r>
      <w:r w:rsidRPr="002B757A">
        <w:t>how they w</w:t>
      </w:r>
      <w:r w:rsidR="00BB02D6">
        <w:t>ould</w:t>
      </w:r>
      <w:r w:rsidRPr="002B757A">
        <w:t xml:space="preserve"> support the transmission of the existing contractor’s employees to the tenderer. Additional requirements apply for procurements with an estimated value of</w:t>
      </w:r>
      <w:r w:rsidR="00C40060" w:rsidRPr="002B757A">
        <w:t xml:space="preserve"> $5 million or more, which relate to training and career development for workers in the ACT and surrounding region. </w:t>
      </w:r>
      <w:r w:rsidR="00D964D0">
        <w:t xml:space="preserve">A procurement of this magnitude has the potential to significantly benefit the ACT and surrounding region, and the workers located </w:t>
      </w:r>
      <w:r w:rsidR="00B32D47">
        <w:t>in it</w:t>
      </w:r>
      <w:r w:rsidR="00D964D0">
        <w:t xml:space="preserve">. </w:t>
      </w:r>
      <w:r w:rsidR="003149A6">
        <w:t>Given the</w:t>
      </w:r>
      <w:r w:rsidR="00322CB2">
        <w:t xml:space="preserve"> significant price of the procurement,</w:t>
      </w:r>
      <w:r w:rsidR="00244648">
        <w:t xml:space="preserve"> and </w:t>
      </w:r>
      <w:r w:rsidR="003E2402">
        <w:t>the likelihood that more workers will be engaged and/or the procurement will run for a longer time</w:t>
      </w:r>
      <w:r w:rsidR="00244648">
        <w:t>,</w:t>
      </w:r>
      <w:r w:rsidR="003149A6">
        <w:t xml:space="preserve"> it is appropriate for additional obligations to be imposed </w:t>
      </w:r>
      <w:r w:rsidR="00FB30A9">
        <w:t>in relation to its LRTWE plan</w:t>
      </w:r>
      <w:r w:rsidR="003149A6">
        <w:t xml:space="preserve">. </w:t>
      </w:r>
    </w:p>
    <w:p w:rsidR="00D1561E" w:rsidRPr="002B757A" w:rsidRDefault="00D1561E" w:rsidP="00C40060"/>
    <w:p w:rsidR="00480009" w:rsidRPr="002B757A" w:rsidRDefault="00C40060" w:rsidP="00C40060">
      <w:r w:rsidRPr="002B757A">
        <w:t>New subsection 12AC(2) requires that the LRTWE plan is developed by a tenderer in consultation with their employees. The tender</w:t>
      </w:r>
      <w:r w:rsidR="0057697E" w:rsidRPr="002B757A">
        <w:t xml:space="preserve">er is </w:t>
      </w:r>
      <w:r w:rsidRPr="002B757A">
        <w:t xml:space="preserve">to include a statement that outlines how this consultation took place. </w:t>
      </w:r>
      <w:r w:rsidR="00427C7D">
        <w:t xml:space="preserve">Developing the plan in consultation with the employees is intended to benefit all parties involved, as evidence demonstrates that involving employees in change processes </w:t>
      </w:r>
      <w:r w:rsidR="00A33532">
        <w:t>is more likely to lead to positive outcomes</w:t>
      </w:r>
      <w:r w:rsidR="00427C7D">
        <w:t xml:space="preserve">. </w:t>
      </w:r>
    </w:p>
    <w:p w:rsidR="00C40060" w:rsidRPr="002B757A" w:rsidRDefault="00C40060" w:rsidP="00C40060"/>
    <w:p w:rsidR="00CE7CAE" w:rsidRPr="002B757A" w:rsidRDefault="00194C12" w:rsidP="00480009">
      <w:pPr>
        <w:ind w:left="720" w:hanging="720"/>
        <w:rPr>
          <w:b/>
        </w:rPr>
      </w:pPr>
      <w:r w:rsidRPr="002B757A">
        <w:rPr>
          <w:b/>
        </w:rPr>
        <w:t>Section</w:t>
      </w:r>
      <w:r w:rsidR="00CE7CAE" w:rsidRPr="002B757A">
        <w:t xml:space="preserve"> </w:t>
      </w:r>
      <w:r w:rsidRPr="002B757A">
        <w:rPr>
          <w:b/>
        </w:rPr>
        <w:t>12AD</w:t>
      </w:r>
      <w:r w:rsidRPr="002B757A">
        <w:rPr>
          <w:b/>
        </w:rPr>
        <w:tab/>
        <w:t xml:space="preserve"> Details for secure local jobs code register </w:t>
      </w:r>
    </w:p>
    <w:p w:rsidR="000E75B7" w:rsidRPr="002B757A" w:rsidRDefault="00194C12" w:rsidP="00194C12">
      <w:r w:rsidRPr="002B757A">
        <w:t>New section 12AD inserts requirements for what information is to be kept in</w:t>
      </w:r>
      <w:r w:rsidR="002F5BD2" w:rsidRPr="002B757A">
        <w:t xml:space="preserve"> the publically available, searchable</w:t>
      </w:r>
      <w:r w:rsidRPr="002B757A">
        <w:t xml:space="preserve"> register, which is established by</w:t>
      </w:r>
      <w:r w:rsidR="007273D0" w:rsidRPr="002B757A">
        <w:t xml:space="preserve"> section 22N of</w:t>
      </w:r>
      <w:r w:rsidRPr="002B757A">
        <w:t xml:space="preserve"> the</w:t>
      </w:r>
      <w:r w:rsidR="006A6CD0" w:rsidRPr="002B757A">
        <w:t xml:space="preserve"> </w:t>
      </w:r>
      <w:r w:rsidR="00C20D25">
        <w:t>P</w:t>
      </w:r>
      <w:r w:rsidR="002F5BD2" w:rsidRPr="002B757A">
        <w:t xml:space="preserve">rocurement </w:t>
      </w:r>
      <w:r w:rsidR="00C20D25">
        <w:t>A</w:t>
      </w:r>
      <w:r w:rsidR="00A6178D">
        <w:t>ct</w:t>
      </w:r>
      <w:r w:rsidRPr="002B757A">
        <w:t xml:space="preserve">. </w:t>
      </w:r>
      <w:r w:rsidR="007273D0" w:rsidRPr="002B757A">
        <w:t xml:space="preserve">The </w:t>
      </w:r>
      <w:r w:rsidR="00552B32" w:rsidRPr="002B757A">
        <w:t>details required for each certificate include the identifying number</w:t>
      </w:r>
      <w:r w:rsidR="000E75B7" w:rsidRPr="002B757A">
        <w:t>, period of validity, the name of the approved auditor that completed the audit report submitted as part of the certificate application, and contact details for the certificate holder</w:t>
      </w:r>
      <w:r w:rsidR="002B757A">
        <w:t xml:space="preserve"> (unless </w:t>
      </w:r>
      <w:r w:rsidR="005B6AA4">
        <w:t>the certificate holder is</w:t>
      </w:r>
      <w:r w:rsidR="002B757A">
        <w:t xml:space="preserve"> an individual)</w:t>
      </w:r>
      <w:r w:rsidR="000E75B7" w:rsidRPr="002B757A">
        <w:t xml:space="preserve">. </w:t>
      </w:r>
    </w:p>
    <w:p w:rsidR="000E75B7" w:rsidRPr="002B757A" w:rsidRDefault="000E75B7" w:rsidP="00194C12"/>
    <w:p w:rsidR="00D16458" w:rsidRDefault="00DE285E" w:rsidP="00194C12">
      <w:r>
        <w:t>A</w:t>
      </w:r>
      <w:r w:rsidR="00696E4E">
        <w:t xml:space="preserve"> distinction is made </w:t>
      </w:r>
      <w:r w:rsidR="00877343">
        <w:t xml:space="preserve">in terms of the requirements for </w:t>
      </w:r>
      <w:r w:rsidR="0089119D">
        <w:t xml:space="preserve">the inclusion in the register of </w:t>
      </w:r>
      <w:r w:rsidR="00877343">
        <w:t xml:space="preserve">contact details </w:t>
      </w:r>
      <w:r w:rsidR="00696E4E">
        <w:t>for certificate holders that are individual</w:t>
      </w:r>
      <w:r w:rsidR="00877343">
        <w:t>s</w:t>
      </w:r>
      <w:r w:rsidR="0089119D">
        <w:t>. This distinction has been made</w:t>
      </w:r>
      <w:r w:rsidR="00877343">
        <w:t xml:space="preserve"> due to privacy considerations, given th</w:t>
      </w:r>
      <w:r w:rsidR="0089119D">
        <w:t>at the re</w:t>
      </w:r>
      <w:r w:rsidR="0015786C">
        <w:t>gister is publically accessible.</w:t>
      </w:r>
      <w:r w:rsidR="00526E53">
        <w:t xml:space="preserve"> </w:t>
      </w:r>
      <w:r w:rsidR="0080433B">
        <w:t xml:space="preserve">As the section does not require contact details of individuals to be included in the Register, the right to privacy is not engaged. </w:t>
      </w:r>
    </w:p>
    <w:p w:rsidR="00D16458" w:rsidRDefault="00D16458" w:rsidP="00194C12"/>
    <w:p w:rsidR="00194C12" w:rsidRPr="002B757A" w:rsidRDefault="004C1A0E" w:rsidP="00194C12">
      <w:pPr>
        <w:pStyle w:val="Heading5"/>
      </w:pPr>
      <w:r w:rsidRPr="002B757A">
        <w:t xml:space="preserve">New part 6 heading </w:t>
      </w:r>
    </w:p>
    <w:p w:rsidR="004C1A0E" w:rsidRPr="002B757A" w:rsidRDefault="006D358F" w:rsidP="004C1A0E">
      <w:r w:rsidRPr="002B757A">
        <w:t>This clause inserts ‘Miscellaneous’ as a heading before section 13</w:t>
      </w:r>
      <w:r w:rsidR="00F87378" w:rsidRPr="002B757A">
        <w:t xml:space="preserve"> into the</w:t>
      </w:r>
      <w:r w:rsidR="00C20D25">
        <w:t xml:space="preserve"> R</w:t>
      </w:r>
      <w:r w:rsidRPr="002B757A">
        <w:t>egulation, a minor amendment to ensure ease of use of the</w:t>
      </w:r>
      <w:r w:rsidR="00C20D25">
        <w:t xml:space="preserve"> R</w:t>
      </w:r>
      <w:r w:rsidRPr="002B757A">
        <w:t xml:space="preserve">egulation. </w:t>
      </w:r>
    </w:p>
    <w:p w:rsidR="009B7EA3" w:rsidRPr="002B757A" w:rsidRDefault="009B7EA3" w:rsidP="004C1A0E"/>
    <w:p w:rsidR="004C1A0E" w:rsidRPr="002B757A" w:rsidRDefault="004C1A0E" w:rsidP="004C1A0E">
      <w:pPr>
        <w:pStyle w:val="Heading5"/>
        <w:numPr>
          <w:ilvl w:val="0"/>
          <w:numId w:val="0"/>
        </w:numPr>
        <w:ind w:left="360" w:hanging="360"/>
      </w:pPr>
      <w:r w:rsidRPr="002B757A">
        <w:t>Schedule 1</w:t>
      </w:r>
      <w:r w:rsidRPr="002B757A">
        <w:tab/>
        <w:t xml:space="preserve">Delayed amendment </w:t>
      </w:r>
    </w:p>
    <w:p w:rsidR="009C25A7" w:rsidRPr="002B757A" w:rsidRDefault="00B15662" w:rsidP="00493EBA">
      <w:r w:rsidRPr="002B757A">
        <w:t>Schedule 1</w:t>
      </w:r>
      <w:r w:rsidR="00C56DB8" w:rsidRPr="002B757A">
        <w:t>, with delayed commencement,</w:t>
      </w:r>
      <w:r w:rsidRPr="002B757A">
        <w:t xml:space="preserve"> inserts sections 12</w:t>
      </w:r>
      <w:r w:rsidR="00F87378" w:rsidRPr="002B757A">
        <w:t xml:space="preserve">AA and 12AB into part 4 of the </w:t>
      </w:r>
      <w:r w:rsidR="00C20D25">
        <w:t>R</w:t>
      </w:r>
      <w:r w:rsidRPr="002B757A">
        <w:t xml:space="preserve">egulation. </w:t>
      </w:r>
    </w:p>
    <w:p w:rsidR="00493EBA" w:rsidRPr="002B757A" w:rsidRDefault="00493EBA" w:rsidP="00493EBA"/>
    <w:p w:rsidR="004C1A0E" w:rsidRPr="002B757A" w:rsidRDefault="004C1A0E" w:rsidP="00FC2C52">
      <w:pPr>
        <w:pStyle w:val="Heading5"/>
        <w:numPr>
          <w:ilvl w:val="0"/>
          <w:numId w:val="0"/>
        </w:numPr>
        <w:ind w:left="360" w:hanging="360"/>
      </w:pPr>
      <w:r w:rsidRPr="002B757A">
        <w:t>Clause [1.1]</w:t>
      </w:r>
      <w:r w:rsidRPr="002B757A">
        <w:tab/>
        <w:t xml:space="preserve">New sections 12AA and 12AB </w:t>
      </w:r>
    </w:p>
    <w:p w:rsidR="00FC2C52" w:rsidRPr="002B757A" w:rsidRDefault="00C56DB8" w:rsidP="004C1A0E">
      <w:r w:rsidRPr="002B757A">
        <w:t xml:space="preserve">This clause inserts sections 12AA and 12AB, which both relate to the meaning of </w:t>
      </w:r>
      <w:r w:rsidRPr="002B757A">
        <w:rPr>
          <w:i/>
        </w:rPr>
        <w:t>territory-funded work</w:t>
      </w:r>
      <w:r w:rsidR="00C20D25">
        <w:t xml:space="preserve"> under section 22F of the Procurement A</w:t>
      </w:r>
      <w:r w:rsidRPr="002B757A">
        <w:t xml:space="preserve">ct. </w:t>
      </w:r>
    </w:p>
    <w:p w:rsidR="00E31F1F" w:rsidRPr="002B757A" w:rsidRDefault="00E31F1F" w:rsidP="004C1A0E"/>
    <w:p w:rsidR="00E31F1F" w:rsidRPr="002B757A" w:rsidRDefault="00E31F1F" w:rsidP="004C1A0E">
      <w:r w:rsidRPr="002B757A">
        <w:t>Under section 12AA, $200 000 is prescribed as the estimated value</w:t>
      </w:r>
      <w:r w:rsidR="005A4CCC" w:rsidRPr="002B757A">
        <w:t xml:space="preserve"> for services or works</w:t>
      </w:r>
      <w:r w:rsidRPr="002B757A">
        <w:t xml:space="preserve"> under section 22F(1)(a)(ii). Consequentially, </w:t>
      </w:r>
      <w:r w:rsidR="005A4CCC" w:rsidRPr="002B757A">
        <w:t xml:space="preserve">once Schedule 1 of the </w:t>
      </w:r>
      <w:r w:rsidR="00C20D25">
        <w:t>A</w:t>
      </w:r>
      <w:r w:rsidR="005A4CCC" w:rsidRPr="002B757A">
        <w:t xml:space="preserve">mendment </w:t>
      </w:r>
      <w:r w:rsidR="00C20D25">
        <w:t>A</w:t>
      </w:r>
      <w:r w:rsidR="005A4CCC" w:rsidRPr="002B757A">
        <w:t xml:space="preserve">ct commences, the term </w:t>
      </w:r>
      <w:r w:rsidRPr="002B757A">
        <w:rPr>
          <w:i/>
        </w:rPr>
        <w:t>territory-fu</w:t>
      </w:r>
      <w:r w:rsidRPr="008F26EA">
        <w:rPr>
          <w:i/>
        </w:rPr>
        <w:t>n</w:t>
      </w:r>
      <w:r w:rsidRPr="002B757A">
        <w:rPr>
          <w:i/>
        </w:rPr>
        <w:t>ded work</w:t>
      </w:r>
      <w:r w:rsidR="005A4CCC" w:rsidRPr="002B757A">
        <w:rPr>
          <w:i/>
        </w:rPr>
        <w:t xml:space="preserve"> </w:t>
      </w:r>
      <w:r w:rsidR="005A4CCC" w:rsidRPr="002B757A">
        <w:t>is broadened in scope to include</w:t>
      </w:r>
      <w:r w:rsidRPr="002B757A">
        <w:t xml:space="preserve"> services or works </w:t>
      </w:r>
      <w:r w:rsidR="0018270D" w:rsidRPr="002B757A">
        <w:t xml:space="preserve">for a territory entity </w:t>
      </w:r>
      <w:r w:rsidRPr="002B757A">
        <w:t xml:space="preserve">that are primarily for labour (other than excluded services or works) that have an estimated value equal to or greater than $200 000. </w:t>
      </w:r>
    </w:p>
    <w:p w:rsidR="00831701" w:rsidRPr="002B757A" w:rsidRDefault="00831701" w:rsidP="004C1A0E"/>
    <w:p w:rsidR="00831701" w:rsidRPr="005A7518" w:rsidRDefault="005E41CA" w:rsidP="009526FB">
      <w:r w:rsidRPr="002B757A">
        <w:t>Subs</w:t>
      </w:r>
      <w:r w:rsidR="005A4CCC" w:rsidRPr="002B757A">
        <w:t>ection 12AB</w:t>
      </w:r>
      <w:r w:rsidRPr="002B757A">
        <w:t>(1)</w:t>
      </w:r>
      <w:r w:rsidR="0018270D" w:rsidRPr="002B757A">
        <w:t xml:space="preserve"> prescribes the kinds of </w:t>
      </w:r>
      <w:r w:rsidR="00337598" w:rsidRPr="002B757A">
        <w:t xml:space="preserve">services </w:t>
      </w:r>
      <w:r w:rsidR="0018270D" w:rsidRPr="002B757A">
        <w:t xml:space="preserve">that are excluded from being </w:t>
      </w:r>
      <w:r w:rsidR="00A34366" w:rsidRPr="002B757A">
        <w:t>classifie</w:t>
      </w:r>
      <w:r w:rsidR="0018270D" w:rsidRPr="002B757A">
        <w:t xml:space="preserve">d </w:t>
      </w:r>
      <w:r w:rsidR="00973BAB" w:rsidRPr="002B757A">
        <w:t xml:space="preserve">as </w:t>
      </w:r>
      <w:r w:rsidR="0018270D" w:rsidRPr="002B757A">
        <w:rPr>
          <w:i/>
        </w:rPr>
        <w:t>territory-funded work</w:t>
      </w:r>
      <w:r w:rsidR="00A34366" w:rsidRPr="002B757A">
        <w:t xml:space="preserve">, meaning that the new requirements do not apply to </w:t>
      </w:r>
      <w:r w:rsidR="00982DFF" w:rsidRPr="002B757A">
        <w:t xml:space="preserve">procurements for </w:t>
      </w:r>
      <w:r w:rsidR="00A34366" w:rsidRPr="002B757A">
        <w:t>these services</w:t>
      </w:r>
      <w:r w:rsidR="00137702" w:rsidRPr="002B757A">
        <w:t>. The services are identified by reference to divisions of the ANZSIC. Subsection 12AB(2) explains what the ANZSIC is, and addi</w:t>
      </w:r>
      <w:r w:rsidR="007D165E" w:rsidRPr="002B757A">
        <w:t>tionally where it can be found.</w:t>
      </w:r>
      <w:r w:rsidR="007D165E">
        <w:t xml:space="preserve"> </w:t>
      </w:r>
    </w:p>
    <w:sectPr w:rsidR="00831701" w:rsidRPr="005A75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D8" w:rsidRDefault="00C86BD8" w:rsidP="00C86BD8">
      <w:r>
        <w:separator/>
      </w:r>
    </w:p>
  </w:endnote>
  <w:endnote w:type="continuationSeparator" w:id="0">
    <w:p w:rsidR="00C86BD8" w:rsidRDefault="00C86BD8" w:rsidP="00C8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D8" w:rsidRDefault="00C86B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D8" w:rsidRPr="00E023AF" w:rsidRDefault="00E023AF" w:rsidP="00E023AF">
    <w:pPr>
      <w:pStyle w:val="Footer"/>
      <w:jc w:val="center"/>
      <w:rPr>
        <w:rFonts w:ascii="Arial" w:hAnsi="Arial" w:cs="Arial"/>
        <w:sz w:val="14"/>
      </w:rPr>
    </w:pPr>
    <w:r w:rsidRPr="00E023A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D8" w:rsidRDefault="00C86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D8" w:rsidRDefault="00C86BD8" w:rsidP="00C86BD8">
      <w:r>
        <w:separator/>
      </w:r>
    </w:p>
  </w:footnote>
  <w:footnote w:type="continuationSeparator" w:id="0">
    <w:p w:rsidR="00C86BD8" w:rsidRDefault="00C86BD8" w:rsidP="00C86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D8" w:rsidRDefault="00C86B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D8" w:rsidRDefault="00C86B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D8" w:rsidRDefault="00C86B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6355D"/>
    <w:multiLevelType w:val="hybridMultilevel"/>
    <w:tmpl w:val="7AC6842E"/>
    <w:lvl w:ilvl="0" w:tplc="99C826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236E"/>
    <w:multiLevelType w:val="hybridMultilevel"/>
    <w:tmpl w:val="743218E6"/>
    <w:lvl w:ilvl="0" w:tplc="7BF610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8E0"/>
    <w:multiLevelType w:val="hybridMultilevel"/>
    <w:tmpl w:val="98660FDA"/>
    <w:lvl w:ilvl="0" w:tplc="2D72B8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25DC"/>
    <w:multiLevelType w:val="hybridMultilevel"/>
    <w:tmpl w:val="AAC012FA"/>
    <w:lvl w:ilvl="0" w:tplc="BFA84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D2DAE"/>
    <w:multiLevelType w:val="hybridMultilevel"/>
    <w:tmpl w:val="A058C820"/>
    <w:lvl w:ilvl="0" w:tplc="4E3EEE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B2793"/>
    <w:multiLevelType w:val="hybridMultilevel"/>
    <w:tmpl w:val="98C06BB6"/>
    <w:lvl w:ilvl="0" w:tplc="B8E49996">
      <w:start w:val="1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4279E"/>
    <w:multiLevelType w:val="hybridMultilevel"/>
    <w:tmpl w:val="318E6FDA"/>
    <w:lvl w:ilvl="0" w:tplc="765AEC40">
      <w:start w:val="1"/>
      <w:numFmt w:val="decimal"/>
      <w:pStyle w:val="Heading5"/>
      <w:lvlText w:val="Clause 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10"/>
    <w:rsid w:val="00027055"/>
    <w:rsid w:val="000354D9"/>
    <w:rsid w:val="000D03DA"/>
    <w:rsid w:val="000D5283"/>
    <w:rsid w:val="000E75B7"/>
    <w:rsid w:val="000F7FDA"/>
    <w:rsid w:val="001304AF"/>
    <w:rsid w:val="00137702"/>
    <w:rsid w:val="0015786C"/>
    <w:rsid w:val="00161A70"/>
    <w:rsid w:val="001634BB"/>
    <w:rsid w:val="00176566"/>
    <w:rsid w:val="0018270D"/>
    <w:rsid w:val="00184100"/>
    <w:rsid w:val="001928D1"/>
    <w:rsid w:val="00194C12"/>
    <w:rsid w:val="001A62D8"/>
    <w:rsid w:val="001D55B8"/>
    <w:rsid w:val="001E684C"/>
    <w:rsid w:val="0020097A"/>
    <w:rsid w:val="00216F3C"/>
    <w:rsid w:val="00225FB2"/>
    <w:rsid w:val="00236AD1"/>
    <w:rsid w:val="00244648"/>
    <w:rsid w:val="00246295"/>
    <w:rsid w:val="00284BE7"/>
    <w:rsid w:val="0028685A"/>
    <w:rsid w:val="002B757A"/>
    <w:rsid w:val="002E02E9"/>
    <w:rsid w:val="002F5373"/>
    <w:rsid w:val="002F5BD2"/>
    <w:rsid w:val="0030646D"/>
    <w:rsid w:val="003149A6"/>
    <w:rsid w:val="00322CB2"/>
    <w:rsid w:val="00323386"/>
    <w:rsid w:val="003247C8"/>
    <w:rsid w:val="00326D1F"/>
    <w:rsid w:val="003271F3"/>
    <w:rsid w:val="00330767"/>
    <w:rsid w:val="00337598"/>
    <w:rsid w:val="003479FE"/>
    <w:rsid w:val="003542D5"/>
    <w:rsid w:val="003676D8"/>
    <w:rsid w:val="00396D89"/>
    <w:rsid w:val="003B0AEC"/>
    <w:rsid w:val="003B183A"/>
    <w:rsid w:val="003B6CE4"/>
    <w:rsid w:val="003C1A74"/>
    <w:rsid w:val="003C2805"/>
    <w:rsid w:val="003C38B4"/>
    <w:rsid w:val="003D2E99"/>
    <w:rsid w:val="003E2402"/>
    <w:rsid w:val="004026FA"/>
    <w:rsid w:val="004032B4"/>
    <w:rsid w:val="00412C11"/>
    <w:rsid w:val="00422EFD"/>
    <w:rsid w:val="00426778"/>
    <w:rsid w:val="00427C7D"/>
    <w:rsid w:val="00431A7E"/>
    <w:rsid w:val="004455FC"/>
    <w:rsid w:val="004674B7"/>
    <w:rsid w:val="00480009"/>
    <w:rsid w:val="0049144B"/>
    <w:rsid w:val="00493EBA"/>
    <w:rsid w:val="004A0EBA"/>
    <w:rsid w:val="004A5541"/>
    <w:rsid w:val="004A6EE4"/>
    <w:rsid w:val="004B7C7C"/>
    <w:rsid w:val="004C1A0E"/>
    <w:rsid w:val="004C77BA"/>
    <w:rsid w:val="004D5849"/>
    <w:rsid w:val="004E735F"/>
    <w:rsid w:val="004F3361"/>
    <w:rsid w:val="005075B8"/>
    <w:rsid w:val="00515DC6"/>
    <w:rsid w:val="00520F85"/>
    <w:rsid w:val="00523735"/>
    <w:rsid w:val="00526E53"/>
    <w:rsid w:val="005348E6"/>
    <w:rsid w:val="00552B32"/>
    <w:rsid w:val="0055406D"/>
    <w:rsid w:val="00563996"/>
    <w:rsid w:val="005672B5"/>
    <w:rsid w:val="0057697E"/>
    <w:rsid w:val="005805C9"/>
    <w:rsid w:val="005A4CCC"/>
    <w:rsid w:val="005A7518"/>
    <w:rsid w:val="005B6AA4"/>
    <w:rsid w:val="005C2AB3"/>
    <w:rsid w:val="005D5D5E"/>
    <w:rsid w:val="005E41CA"/>
    <w:rsid w:val="00603187"/>
    <w:rsid w:val="00611418"/>
    <w:rsid w:val="00612C82"/>
    <w:rsid w:val="00615EAD"/>
    <w:rsid w:val="0061744C"/>
    <w:rsid w:val="00635037"/>
    <w:rsid w:val="0067243E"/>
    <w:rsid w:val="00682D5B"/>
    <w:rsid w:val="00696E4E"/>
    <w:rsid w:val="006A28D7"/>
    <w:rsid w:val="006A6CD0"/>
    <w:rsid w:val="006B47AA"/>
    <w:rsid w:val="006C5984"/>
    <w:rsid w:val="006D358F"/>
    <w:rsid w:val="006E15FC"/>
    <w:rsid w:val="00703350"/>
    <w:rsid w:val="007105DB"/>
    <w:rsid w:val="0071234C"/>
    <w:rsid w:val="00715604"/>
    <w:rsid w:val="007249E2"/>
    <w:rsid w:val="007273D0"/>
    <w:rsid w:val="00743782"/>
    <w:rsid w:val="0077058D"/>
    <w:rsid w:val="00781BF6"/>
    <w:rsid w:val="00790A93"/>
    <w:rsid w:val="00793899"/>
    <w:rsid w:val="00796A14"/>
    <w:rsid w:val="007B1E86"/>
    <w:rsid w:val="007B7DB4"/>
    <w:rsid w:val="007C4765"/>
    <w:rsid w:val="007D165E"/>
    <w:rsid w:val="007D3184"/>
    <w:rsid w:val="007D46FD"/>
    <w:rsid w:val="007F3403"/>
    <w:rsid w:val="007F50C1"/>
    <w:rsid w:val="008030A4"/>
    <w:rsid w:val="0080433B"/>
    <w:rsid w:val="00824A8F"/>
    <w:rsid w:val="00830EC2"/>
    <w:rsid w:val="00831701"/>
    <w:rsid w:val="00836B80"/>
    <w:rsid w:val="008406C8"/>
    <w:rsid w:val="008420E5"/>
    <w:rsid w:val="008457ED"/>
    <w:rsid w:val="00877343"/>
    <w:rsid w:val="00881A16"/>
    <w:rsid w:val="008853D4"/>
    <w:rsid w:val="0089119D"/>
    <w:rsid w:val="008C0307"/>
    <w:rsid w:val="008D07BD"/>
    <w:rsid w:val="008E1362"/>
    <w:rsid w:val="008F26EA"/>
    <w:rsid w:val="00905FC1"/>
    <w:rsid w:val="00910154"/>
    <w:rsid w:val="009127E7"/>
    <w:rsid w:val="00926685"/>
    <w:rsid w:val="009303B6"/>
    <w:rsid w:val="009526FB"/>
    <w:rsid w:val="0096255E"/>
    <w:rsid w:val="00973BAB"/>
    <w:rsid w:val="00982DFF"/>
    <w:rsid w:val="009B7EA3"/>
    <w:rsid w:val="009C0B32"/>
    <w:rsid w:val="009C25A7"/>
    <w:rsid w:val="009E2F41"/>
    <w:rsid w:val="009F22F3"/>
    <w:rsid w:val="00A1480E"/>
    <w:rsid w:val="00A233E1"/>
    <w:rsid w:val="00A33532"/>
    <w:rsid w:val="00A34366"/>
    <w:rsid w:val="00A52928"/>
    <w:rsid w:val="00A53FE5"/>
    <w:rsid w:val="00A6178D"/>
    <w:rsid w:val="00A622CD"/>
    <w:rsid w:val="00A755A8"/>
    <w:rsid w:val="00A8168F"/>
    <w:rsid w:val="00AA5110"/>
    <w:rsid w:val="00AC34E8"/>
    <w:rsid w:val="00AD229E"/>
    <w:rsid w:val="00AD5EC5"/>
    <w:rsid w:val="00AE49FE"/>
    <w:rsid w:val="00B15662"/>
    <w:rsid w:val="00B15DAF"/>
    <w:rsid w:val="00B20DD2"/>
    <w:rsid w:val="00B308D9"/>
    <w:rsid w:val="00B32261"/>
    <w:rsid w:val="00B32D47"/>
    <w:rsid w:val="00B8201F"/>
    <w:rsid w:val="00B96947"/>
    <w:rsid w:val="00B97D51"/>
    <w:rsid w:val="00BB02D6"/>
    <w:rsid w:val="00BB6468"/>
    <w:rsid w:val="00BC1A27"/>
    <w:rsid w:val="00BD3833"/>
    <w:rsid w:val="00BF26C0"/>
    <w:rsid w:val="00BF347E"/>
    <w:rsid w:val="00C07722"/>
    <w:rsid w:val="00C105B1"/>
    <w:rsid w:val="00C20D25"/>
    <w:rsid w:val="00C221B9"/>
    <w:rsid w:val="00C34C4A"/>
    <w:rsid w:val="00C40060"/>
    <w:rsid w:val="00C4201C"/>
    <w:rsid w:val="00C56DB8"/>
    <w:rsid w:val="00C73C68"/>
    <w:rsid w:val="00C825BF"/>
    <w:rsid w:val="00C86BD8"/>
    <w:rsid w:val="00C958AE"/>
    <w:rsid w:val="00CB6BE4"/>
    <w:rsid w:val="00CD5979"/>
    <w:rsid w:val="00CE46EF"/>
    <w:rsid w:val="00CE4F6E"/>
    <w:rsid w:val="00CE7CAE"/>
    <w:rsid w:val="00D01ABC"/>
    <w:rsid w:val="00D03B07"/>
    <w:rsid w:val="00D1561E"/>
    <w:rsid w:val="00D16458"/>
    <w:rsid w:val="00D1764A"/>
    <w:rsid w:val="00D24BD9"/>
    <w:rsid w:val="00D40219"/>
    <w:rsid w:val="00D645D9"/>
    <w:rsid w:val="00D70F8D"/>
    <w:rsid w:val="00D71DC8"/>
    <w:rsid w:val="00D73747"/>
    <w:rsid w:val="00D82F56"/>
    <w:rsid w:val="00D85247"/>
    <w:rsid w:val="00D92D12"/>
    <w:rsid w:val="00D964D0"/>
    <w:rsid w:val="00DE285E"/>
    <w:rsid w:val="00DF592E"/>
    <w:rsid w:val="00DF6EF1"/>
    <w:rsid w:val="00E023AF"/>
    <w:rsid w:val="00E106D5"/>
    <w:rsid w:val="00E22F15"/>
    <w:rsid w:val="00E31F1F"/>
    <w:rsid w:val="00E52FF6"/>
    <w:rsid w:val="00E9131E"/>
    <w:rsid w:val="00EA67BE"/>
    <w:rsid w:val="00EA78DD"/>
    <w:rsid w:val="00EE41F4"/>
    <w:rsid w:val="00EF47BF"/>
    <w:rsid w:val="00F034D5"/>
    <w:rsid w:val="00F07538"/>
    <w:rsid w:val="00F1165F"/>
    <w:rsid w:val="00F4388A"/>
    <w:rsid w:val="00F46C7D"/>
    <w:rsid w:val="00F55DCB"/>
    <w:rsid w:val="00F56549"/>
    <w:rsid w:val="00F71C37"/>
    <w:rsid w:val="00F7290D"/>
    <w:rsid w:val="00F84DD5"/>
    <w:rsid w:val="00F86629"/>
    <w:rsid w:val="00F87378"/>
    <w:rsid w:val="00F97A68"/>
    <w:rsid w:val="00FB30A9"/>
    <w:rsid w:val="00FC2C52"/>
    <w:rsid w:val="00FC33FD"/>
    <w:rsid w:val="00FC3606"/>
    <w:rsid w:val="00FD4DDD"/>
    <w:rsid w:val="00FE39F5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245E9-414A-4599-B5D7-25A232BE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FA"/>
    <w:pPr>
      <w:autoSpaceDE w:val="0"/>
      <w:autoSpaceDN w:val="0"/>
      <w:adjustRightInd w:val="0"/>
      <w:spacing w:after="0" w:line="240" w:lineRule="auto"/>
    </w:pPr>
    <w:rPr>
      <w:rFonts w:ascii="Calibri" w:hAnsi="Calibri" w:cs="TimesNewRomanPS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899"/>
    <w:pPr>
      <w:outlineLvl w:val="0"/>
    </w:pPr>
    <w:rPr>
      <w:rFonts w:ascii="Arial-BoldMT" w:hAnsi="Arial-BoldMT" w:cs="Arial-BoldMT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D1F"/>
    <w:pPr>
      <w:spacing w:after="240"/>
      <w:outlineLvl w:val="1"/>
    </w:pPr>
    <w:rPr>
      <w:rFonts w:cs="TimesNewRomanPS-BoldM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3899"/>
    <w:pPr>
      <w:outlineLvl w:val="2"/>
    </w:pPr>
    <w:rPr>
      <w:rFonts w:ascii="Arial-BoldMT" w:hAnsi="Arial-BoldMT" w:cs="Arial-BoldMT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3899"/>
    <w:pPr>
      <w:outlineLvl w:val="3"/>
    </w:pPr>
    <w:rPr>
      <w:rFonts w:ascii="Arial-BoldItalicMT" w:hAnsi="Arial-BoldItalicMT" w:cs="Arial-BoldItalicMT"/>
      <w:b/>
      <w:bCs/>
      <w:i/>
      <w:iCs/>
      <w:sz w:val="20"/>
      <w:szCs w:val="20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4F3361"/>
    <w:pPr>
      <w:numPr>
        <w:numId w:val="7"/>
      </w:numPr>
      <w:spacing w:after="24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4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26D1F"/>
    <w:rPr>
      <w:rFonts w:ascii="Calibri" w:hAnsi="Calibri" w:cs="TimesNewRomanPS-BoldMT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899"/>
    <w:rPr>
      <w:rFonts w:ascii="ArialMT" w:hAnsi="ArialMT" w:cs="ArialMT"/>
    </w:rPr>
  </w:style>
  <w:style w:type="character" w:customStyle="1" w:styleId="SubtitleChar">
    <w:name w:val="Subtitle Char"/>
    <w:basedOn w:val="DefaultParagraphFont"/>
    <w:link w:val="Subtitle"/>
    <w:uiPriority w:val="11"/>
    <w:rsid w:val="00793899"/>
    <w:rPr>
      <w:rFonts w:ascii="ArialMT" w:hAnsi="ArialMT" w:cs="ArialM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3899"/>
    <w:rPr>
      <w:rFonts w:ascii="Arial-BoldMT" w:hAnsi="Arial-BoldMT" w:cs="Arial-BoldMT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93899"/>
    <w:rPr>
      <w:rFonts w:ascii="Arial-BoldMT" w:hAnsi="Arial-BoldMT" w:cs="Arial-BoldMT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93899"/>
    <w:pPr>
      <w:pBdr>
        <w:bottom w:val="single" w:sz="6" w:space="1" w:color="auto"/>
      </w:pBdr>
    </w:pPr>
    <w:rPr>
      <w:rFonts w:ascii="Arial-BoldMT" w:hAnsi="Arial-BoldMT" w:cs="Arial-BoldMT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93899"/>
    <w:rPr>
      <w:rFonts w:ascii="Arial-BoldMT" w:hAnsi="Arial-BoldMT" w:cs="Arial-BoldMT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93899"/>
    <w:rPr>
      <w:rFonts w:ascii="Arial-BoldItalicMT" w:hAnsi="Arial-BoldItalicMT" w:cs="Arial-BoldItalicMT"/>
      <w:b/>
      <w:bCs/>
      <w:i/>
      <w:iCs/>
      <w:sz w:val="20"/>
      <w:szCs w:val="20"/>
    </w:rPr>
  </w:style>
  <w:style w:type="paragraph" w:styleId="NoSpacing">
    <w:name w:val="No Spacing"/>
    <w:basedOn w:val="Normal"/>
    <w:uiPriority w:val="1"/>
    <w:qFormat/>
    <w:rsid w:val="004026FA"/>
  </w:style>
  <w:style w:type="character" w:customStyle="1" w:styleId="Heading5Char">
    <w:name w:val="Heading 5 Char"/>
    <w:basedOn w:val="DefaultParagraphFont"/>
    <w:link w:val="Heading5"/>
    <w:uiPriority w:val="9"/>
    <w:rsid w:val="004F3361"/>
    <w:rPr>
      <w:rFonts w:ascii="Calibri" w:hAnsi="Calibri" w:cs="TimesNewRomanPSMT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6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BD8"/>
    <w:rPr>
      <w:rFonts w:ascii="Calibri" w:hAnsi="Calibri" w:cs="TimesNewRomanPSM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6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BD8"/>
    <w:rPr>
      <w:rFonts w:ascii="Calibri" w:hAnsi="Calibri" w:cs="TimesNewRomanPS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2DC52-B996-4732-9925-7A371009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6599</Characters>
  <Application>Microsoft Office Word</Application>
  <DocSecurity>0</DocSecurity>
  <Lines>150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5</cp:revision>
  <dcterms:created xsi:type="dcterms:W3CDTF">2018-11-22T04:36:00Z</dcterms:created>
  <dcterms:modified xsi:type="dcterms:W3CDTF">2018-11-22T04:36:00Z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978967</vt:lpwstr>
  </property>
  <property fmtid="{D5CDD505-2E9C-101B-9397-08002B2CF9AE}" pid="4" name="JMSREQUIREDCHECKIN">
    <vt:lpwstr/>
  </property>
</Properties>
</file>