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9FFA9" w14:textId="77777777" w:rsidR="00790FE4" w:rsidRPr="00F63E7E" w:rsidRDefault="00790FE4" w:rsidP="007C70B2">
      <w:bookmarkStart w:id="0" w:name="_GoBack"/>
      <w:bookmarkEnd w:id="0"/>
    </w:p>
    <w:p w14:paraId="7301F0D4" w14:textId="77777777" w:rsidR="00790FE4" w:rsidRPr="00F63E7E" w:rsidRDefault="00790FE4" w:rsidP="007C70B2"/>
    <w:p w14:paraId="2C80DE4B" w14:textId="77777777" w:rsidR="00790FE4" w:rsidRPr="00F6634C" w:rsidRDefault="00092A0F" w:rsidP="007C70B2">
      <w:pPr>
        <w:jc w:val="center"/>
        <w:rPr>
          <w:rStyle w:val="Strong"/>
          <w:rFonts w:cs="Arial"/>
          <w:bCs/>
        </w:rPr>
      </w:pPr>
      <w:r w:rsidRPr="00F6634C">
        <w:rPr>
          <w:rStyle w:val="Strong"/>
          <w:rFonts w:cs="Arial"/>
          <w:bCs/>
        </w:rPr>
        <w:t>201</w:t>
      </w:r>
      <w:r w:rsidR="00A93F42" w:rsidRPr="00F6634C">
        <w:rPr>
          <w:rStyle w:val="Strong"/>
          <w:rFonts w:cs="Arial"/>
          <w:bCs/>
        </w:rPr>
        <w:t>8</w:t>
      </w:r>
      <w:r w:rsidR="00AF6413">
        <w:rPr>
          <w:rStyle w:val="Strong"/>
          <w:rFonts w:cs="Arial"/>
          <w:bCs/>
        </w:rPr>
        <w:t xml:space="preserve">  </w:t>
      </w:r>
    </w:p>
    <w:p w14:paraId="66DC9EAA" w14:textId="77777777" w:rsidR="00790FE4" w:rsidRPr="00F6634C" w:rsidRDefault="00790FE4" w:rsidP="007C70B2">
      <w:pPr>
        <w:jc w:val="center"/>
        <w:rPr>
          <w:rStyle w:val="Strong"/>
          <w:rFonts w:cs="Arial"/>
          <w:bCs/>
        </w:rPr>
      </w:pPr>
    </w:p>
    <w:p w14:paraId="38BFBB2C" w14:textId="77777777" w:rsidR="00790FE4" w:rsidRPr="00F6634C" w:rsidRDefault="00790FE4" w:rsidP="007C70B2">
      <w:pPr>
        <w:jc w:val="center"/>
        <w:rPr>
          <w:rStyle w:val="Strong"/>
          <w:rFonts w:cs="Arial"/>
          <w:bCs/>
        </w:rPr>
      </w:pPr>
    </w:p>
    <w:p w14:paraId="2E7C518A" w14:textId="77777777" w:rsidR="00790FE4" w:rsidRPr="00F6634C" w:rsidRDefault="00790FE4" w:rsidP="007C70B2">
      <w:pPr>
        <w:jc w:val="center"/>
        <w:rPr>
          <w:rStyle w:val="Strong"/>
          <w:rFonts w:cs="Arial"/>
          <w:bCs/>
        </w:rPr>
      </w:pPr>
    </w:p>
    <w:p w14:paraId="7250EAB4" w14:textId="77777777" w:rsidR="00790FE4" w:rsidRPr="00F6634C" w:rsidRDefault="00790FE4" w:rsidP="007C70B2">
      <w:pPr>
        <w:jc w:val="center"/>
        <w:rPr>
          <w:rStyle w:val="Strong"/>
          <w:rFonts w:cs="Arial"/>
          <w:bCs/>
        </w:rPr>
      </w:pPr>
    </w:p>
    <w:p w14:paraId="2548F7D9" w14:textId="77777777" w:rsidR="00790FE4" w:rsidRPr="00F6634C" w:rsidRDefault="00790FE4" w:rsidP="007C70B2">
      <w:pPr>
        <w:jc w:val="center"/>
        <w:rPr>
          <w:rStyle w:val="Strong"/>
          <w:rFonts w:cs="Arial"/>
          <w:bCs/>
        </w:rPr>
      </w:pPr>
    </w:p>
    <w:p w14:paraId="7B590E6E" w14:textId="77777777" w:rsidR="00790FE4" w:rsidRPr="00F6634C" w:rsidRDefault="00790FE4" w:rsidP="007C70B2">
      <w:pPr>
        <w:jc w:val="center"/>
        <w:rPr>
          <w:rStyle w:val="Strong"/>
          <w:rFonts w:cs="Arial"/>
          <w:bCs/>
        </w:rPr>
      </w:pPr>
    </w:p>
    <w:p w14:paraId="228B808F" w14:textId="77777777" w:rsidR="00790FE4" w:rsidRPr="00F6634C" w:rsidRDefault="00790FE4" w:rsidP="007C70B2">
      <w:pPr>
        <w:pStyle w:val="FRONTPAGE"/>
        <w:spacing w:line="276" w:lineRule="auto"/>
        <w:rPr>
          <w:rStyle w:val="Strong"/>
          <w:bCs/>
          <w:szCs w:val="24"/>
        </w:rPr>
      </w:pPr>
      <w:r w:rsidRPr="00F6634C">
        <w:rPr>
          <w:rStyle w:val="Strong"/>
          <w:bCs/>
          <w:szCs w:val="24"/>
        </w:rPr>
        <w:t>THE LEGISLATIVE ASSEMBLY FOR THE</w:t>
      </w:r>
    </w:p>
    <w:p w14:paraId="5CCFA552" w14:textId="77777777" w:rsidR="00790FE4" w:rsidRPr="00F6634C" w:rsidRDefault="00790FE4" w:rsidP="007C70B2">
      <w:pPr>
        <w:jc w:val="center"/>
        <w:rPr>
          <w:rStyle w:val="Strong"/>
          <w:rFonts w:cs="Arial"/>
          <w:bCs/>
        </w:rPr>
      </w:pPr>
      <w:r w:rsidRPr="00F6634C">
        <w:rPr>
          <w:rStyle w:val="Strong"/>
          <w:rFonts w:cs="Arial"/>
          <w:bCs/>
        </w:rPr>
        <w:t>AUSTRALIAN CAPITAL TERRITORY</w:t>
      </w:r>
      <w:r w:rsidR="007D001C">
        <w:rPr>
          <w:rStyle w:val="Strong"/>
          <w:rFonts w:cs="Arial"/>
          <w:bCs/>
        </w:rPr>
        <w:t xml:space="preserve"> </w:t>
      </w:r>
    </w:p>
    <w:p w14:paraId="25061D8C" w14:textId="77777777" w:rsidR="00790FE4" w:rsidRPr="00F6634C" w:rsidRDefault="00790FE4" w:rsidP="007C70B2">
      <w:pPr>
        <w:jc w:val="center"/>
        <w:rPr>
          <w:rStyle w:val="Strong"/>
          <w:rFonts w:cs="Arial"/>
          <w:bCs/>
        </w:rPr>
      </w:pPr>
    </w:p>
    <w:p w14:paraId="76A846C4" w14:textId="77777777" w:rsidR="00790FE4" w:rsidRPr="00F6634C" w:rsidRDefault="00790FE4" w:rsidP="007C70B2">
      <w:pPr>
        <w:jc w:val="center"/>
        <w:rPr>
          <w:rStyle w:val="Strong"/>
          <w:rFonts w:cs="Arial"/>
          <w:bCs/>
        </w:rPr>
      </w:pPr>
    </w:p>
    <w:p w14:paraId="30AFD546" w14:textId="77777777" w:rsidR="00790FE4" w:rsidRPr="00F6634C" w:rsidRDefault="00790FE4" w:rsidP="007C70B2">
      <w:pPr>
        <w:jc w:val="center"/>
        <w:rPr>
          <w:rStyle w:val="Strong"/>
          <w:rFonts w:cs="Arial"/>
          <w:bCs/>
        </w:rPr>
      </w:pPr>
    </w:p>
    <w:p w14:paraId="6495B2DF" w14:textId="77777777" w:rsidR="00790FE4" w:rsidRPr="00F6634C" w:rsidRDefault="00790FE4" w:rsidP="007C70B2">
      <w:pPr>
        <w:jc w:val="center"/>
        <w:rPr>
          <w:rStyle w:val="Strong"/>
          <w:rFonts w:cs="Arial"/>
          <w:bCs/>
        </w:rPr>
      </w:pPr>
    </w:p>
    <w:p w14:paraId="5DFC0A0C" w14:textId="77777777" w:rsidR="00790FE4" w:rsidRPr="00F6634C" w:rsidRDefault="00790FE4" w:rsidP="007C70B2">
      <w:pPr>
        <w:jc w:val="center"/>
        <w:rPr>
          <w:rStyle w:val="Strong"/>
          <w:rFonts w:cs="Arial"/>
          <w:bCs/>
        </w:rPr>
      </w:pPr>
    </w:p>
    <w:p w14:paraId="291A63EC" w14:textId="77777777" w:rsidR="00790FE4" w:rsidRPr="00F6634C" w:rsidRDefault="00790FE4" w:rsidP="007C70B2">
      <w:pPr>
        <w:jc w:val="center"/>
        <w:rPr>
          <w:rStyle w:val="Strong"/>
          <w:rFonts w:cs="Arial"/>
          <w:bCs/>
        </w:rPr>
      </w:pPr>
    </w:p>
    <w:p w14:paraId="74782E59" w14:textId="77777777" w:rsidR="00790FE4" w:rsidRPr="00F6634C" w:rsidRDefault="00790FE4" w:rsidP="007C70B2">
      <w:pPr>
        <w:jc w:val="center"/>
        <w:rPr>
          <w:rStyle w:val="Strong"/>
          <w:rFonts w:cs="Arial"/>
          <w:bCs/>
        </w:rPr>
      </w:pPr>
    </w:p>
    <w:p w14:paraId="4196EF76" w14:textId="77777777" w:rsidR="00790FE4" w:rsidRPr="00F6634C" w:rsidRDefault="00790FE4" w:rsidP="007C70B2">
      <w:pPr>
        <w:jc w:val="center"/>
        <w:rPr>
          <w:rStyle w:val="Strong"/>
          <w:rFonts w:cs="Arial"/>
          <w:bCs/>
        </w:rPr>
      </w:pPr>
    </w:p>
    <w:p w14:paraId="566D67B2" w14:textId="77777777" w:rsidR="00790FE4" w:rsidRPr="00F6634C" w:rsidRDefault="00790FE4" w:rsidP="007C70B2">
      <w:pPr>
        <w:jc w:val="center"/>
        <w:rPr>
          <w:rStyle w:val="Strong"/>
          <w:rFonts w:cs="Arial"/>
          <w:bCs/>
        </w:rPr>
      </w:pPr>
    </w:p>
    <w:p w14:paraId="3E2FEBBC" w14:textId="77777777" w:rsidR="00790FE4" w:rsidRPr="00F6634C" w:rsidRDefault="00790FE4" w:rsidP="007C70B2">
      <w:pPr>
        <w:jc w:val="center"/>
        <w:rPr>
          <w:rStyle w:val="Strong"/>
          <w:rFonts w:cs="Arial"/>
          <w:bCs/>
        </w:rPr>
      </w:pPr>
    </w:p>
    <w:p w14:paraId="4F735D7E" w14:textId="5E6286D1" w:rsidR="00790FE4" w:rsidRPr="00F6634C" w:rsidRDefault="00A63225" w:rsidP="007C70B2">
      <w:pPr>
        <w:jc w:val="center"/>
        <w:rPr>
          <w:rStyle w:val="Strong"/>
          <w:rFonts w:cs="Arial"/>
          <w:bCs/>
        </w:rPr>
      </w:pPr>
      <w:r>
        <w:rPr>
          <w:rStyle w:val="Strong"/>
          <w:rFonts w:cs="Arial"/>
          <w:bCs/>
        </w:rPr>
        <w:t>ELECTORAL AMENDMENT</w:t>
      </w:r>
      <w:r w:rsidR="00F9146A" w:rsidRPr="00F6634C">
        <w:rPr>
          <w:rStyle w:val="Strong"/>
          <w:rFonts w:cs="Arial"/>
          <w:bCs/>
        </w:rPr>
        <w:t xml:space="preserve"> BILL 2018</w:t>
      </w:r>
    </w:p>
    <w:p w14:paraId="17D68E95" w14:textId="77777777" w:rsidR="00790FE4" w:rsidRPr="00F6634C" w:rsidRDefault="00790FE4" w:rsidP="007C70B2">
      <w:pPr>
        <w:jc w:val="center"/>
        <w:rPr>
          <w:rStyle w:val="Strong"/>
          <w:rFonts w:cs="Arial"/>
          <w:bCs/>
        </w:rPr>
      </w:pPr>
    </w:p>
    <w:p w14:paraId="1D289B82" w14:textId="77777777" w:rsidR="00790FE4" w:rsidRPr="00F6634C" w:rsidRDefault="00790FE4" w:rsidP="007C70B2">
      <w:pPr>
        <w:jc w:val="center"/>
        <w:rPr>
          <w:rStyle w:val="Strong"/>
          <w:rFonts w:cs="Arial"/>
          <w:bCs/>
        </w:rPr>
      </w:pPr>
    </w:p>
    <w:p w14:paraId="39E2989A" w14:textId="77777777" w:rsidR="00790FE4" w:rsidRPr="00F6634C" w:rsidRDefault="00790FE4" w:rsidP="007C70B2">
      <w:pPr>
        <w:jc w:val="center"/>
        <w:rPr>
          <w:rStyle w:val="Strong"/>
          <w:rFonts w:cs="Arial"/>
          <w:bCs/>
        </w:rPr>
      </w:pPr>
      <w:r w:rsidRPr="00F6634C">
        <w:rPr>
          <w:rStyle w:val="Strong"/>
          <w:rFonts w:cs="Arial"/>
          <w:bCs/>
        </w:rPr>
        <w:t>EXPLANATORY STATEMENT</w:t>
      </w:r>
    </w:p>
    <w:p w14:paraId="450525A2" w14:textId="77777777" w:rsidR="00790FE4" w:rsidRPr="00F6634C" w:rsidRDefault="00790FE4" w:rsidP="007C70B2">
      <w:pPr>
        <w:rPr>
          <w:rStyle w:val="Strong"/>
          <w:rFonts w:cs="Arial"/>
          <w:bCs/>
        </w:rPr>
      </w:pPr>
    </w:p>
    <w:p w14:paraId="7181A1F3" w14:textId="77777777" w:rsidR="00790FE4" w:rsidRPr="00F6634C" w:rsidRDefault="00790FE4" w:rsidP="007C70B2">
      <w:pPr>
        <w:rPr>
          <w:rStyle w:val="Strong"/>
          <w:rFonts w:cs="Arial"/>
          <w:bCs/>
        </w:rPr>
      </w:pPr>
    </w:p>
    <w:p w14:paraId="152EC8E9" w14:textId="77777777" w:rsidR="00790FE4" w:rsidRPr="00F6634C" w:rsidRDefault="00790FE4" w:rsidP="007C70B2">
      <w:pPr>
        <w:rPr>
          <w:rStyle w:val="Strong"/>
          <w:rFonts w:cs="Arial"/>
          <w:bCs/>
        </w:rPr>
      </w:pPr>
    </w:p>
    <w:p w14:paraId="3EDE6032" w14:textId="77777777" w:rsidR="00790FE4" w:rsidRPr="00F6634C" w:rsidRDefault="00790FE4" w:rsidP="007C70B2">
      <w:pPr>
        <w:rPr>
          <w:rStyle w:val="Strong"/>
          <w:rFonts w:cs="Arial"/>
          <w:bCs/>
        </w:rPr>
      </w:pPr>
    </w:p>
    <w:p w14:paraId="741D37ED" w14:textId="77777777" w:rsidR="00790FE4" w:rsidRPr="00F6634C" w:rsidRDefault="00790FE4" w:rsidP="007C70B2">
      <w:pPr>
        <w:rPr>
          <w:rStyle w:val="Strong"/>
          <w:rFonts w:cs="Arial"/>
          <w:bCs/>
        </w:rPr>
      </w:pPr>
    </w:p>
    <w:p w14:paraId="1FF7702B" w14:textId="77777777" w:rsidR="00790FE4" w:rsidRPr="00F6634C" w:rsidRDefault="00790FE4" w:rsidP="007C70B2">
      <w:pPr>
        <w:rPr>
          <w:rStyle w:val="Strong"/>
          <w:rFonts w:cs="Arial"/>
          <w:bCs/>
        </w:rPr>
      </w:pPr>
    </w:p>
    <w:p w14:paraId="7296D8D7" w14:textId="77777777" w:rsidR="00790FE4" w:rsidRPr="00F6634C" w:rsidRDefault="00790FE4" w:rsidP="007C70B2">
      <w:pPr>
        <w:pStyle w:val="Heading8"/>
        <w:spacing w:line="276" w:lineRule="auto"/>
        <w:rPr>
          <w:rStyle w:val="Strong"/>
          <w:rFonts w:cs="Arial"/>
          <w:bCs/>
        </w:rPr>
      </w:pPr>
    </w:p>
    <w:p w14:paraId="2009AB4A" w14:textId="77777777" w:rsidR="00790FE4" w:rsidRPr="00F6634C" w:rsidRDefault="00790FE4" w:rsidP="007C70B2">
      <w:pPr>
        <w:pStyle w:val="Heading8"/>
        <w:spacing w:line="276" w:lineRule="auto"/>
        <w:rPr>
          <w:rStyle w:val="Strong"/>
          <w:rFonts w:cs="Arial"/>
          <w:bCs/>
        </w:rPr>
      </w:pPr>
    </w:p>
    <w:p w14:paraId="2DFD010A" w14:textId="77777777" w:rsidR="00790FE4" w:rsidRPr="00F6634C" w:rsidRDefault="00790FE4" w:rsidP="007C70B2">
      <w:pPr>
        <w:pStyle w:val="Heading8"/>
        <w:spacing w:line="276" w:lineRule="auto"/>
        <w:rPr>
          <w:rStyle w:val="Strong"/>
          <w:rFonts w:cs="Arial"/>
          <w:bCs/>
        </w:rPr>
      </w:pPr>
    </w:p>
    <w:p w14:paraId="5E1D973A" w14:textId="77777777" w:rsidR="00790FE4" w:rsidRPr="00F6634C" w:rsidRDefault="00790FE4" w:rsidP="007C70B2">
      <w:pPr>
        <w:pStyle w:val="Heading8"/>
        <w:spacing w:line="276" w:lineRule="auto"/>
        <w:rPr>
          <w:rStyle w:val="Strong"/>
          <w:rFonts w:cs="Arial"/>
          <w:bCs/>
        </w:rPr>
      </w:pPr>
    </w:p>
    <w:p w14:paraId="303F678F" w14:textId="77777777" w:rsidR="00790FE4" w:rsidRPr="00F6634C" w:rsidRDefault="00790FE4" w:rsidP="007C70B2">
      <w:pPr>
        <w:pStyle w:val="Heading8"/>
        <w:spacing w:line="276" w:lineRule="auto"/>
        <w:rPr>
          <w:rStyle w:val="Strong"/>
          <w:rFonts w:cs="Arial"/>
          <w:bCs/>
        </w:rPr>
      </w:pPr>
    </w:p>
    <w:p w14:paraId="0B74AA7A" w14:textId="77777777" w:rsidR="00790FE4" w:rsidRPr="00F6634C" w:rsidRDefault="00790FE4" w:rsidP="007C70B2">
      <w:pPr>
        <w:pStyle w:val="FRONTPAGE"/>
        <w:spacing w:line="276" w:lineRule="auto"/>
        <w:jc w:val="right"/>
        <w:rPr>
          <w:rStyle w:val="Strong"/>
          <w:szCs w:val="24"/>
        </w:rPr>
      </w:pPr>
      <w:r w:rsidRPr="00F6634C">
        <w:rPr>
          <w:rStyle w:val="Strong"/>
          <w:szCs w:val="24"/>
        </w:rPr>
        <w:t>Presented by</w:t>
      </w:r>
    </w:p>
    <w:p w14:paraId="15BCAF6A" w14:textId="5D288B9F" w:rsidR="00790FE4" w:rsidRPr="00F6634C" w:rsidRDefault="00A63225" w:rsidP="007C70B2">
      <w:pPr>
        <w:pStyle w:val="FRONTPAGE"/>
        <w:spacing w:line="276" w:lineRule="auto"/>
        <w:jc w:val="right"/>
        <w:rPr>
          <w:rStyle w:val="Strong"/>
          <w:bCs/>
          <w:szCs w:val="24"/>
        </w:rPr>
      </w:pPr>
      <w:r>
        <w:rPr>
          <w:rStyle w:val="Strong"/>
          <w:bCs/>
          <w:szCs w:val="24"/>
        </w:rPr>
        <w:t>Gordon Ramsay MLA</w:t>
      </w:r>
    </w:p>
    <w:p w14:paraId="02A2259E" w14:textId="77813391" w:rsidR="00790FE4" w:rsidRPr="00F6634C" w:rsidRDefault="00A63225" w:rsidP="007C70B2">
      <w:pPr>
        <w:pStyle w:val="FRONTPAGE"/>
        <w:spacing w:line="276" w:lineRule="auto"/>
        <w:jc w:val="right"/>
        <w:rPr>
          <w:rStyle w:val="Strong"/>
          <w:bCs/>
          <w:szCs w:val="24"/>
        </w:rPr>
      </w:pPr>
      <w:r>
        <w:rPr>
          <w:rStyle w:val="Strong"/>
          <w:bCs/>
          <w:szCs w:val="24"/>
        </w:rPr>
        <w:t>Attorney-General</w:t>
      </w:r>
    </w:p>
    <w:p w14:paraId="3D0C29A8" w14:textId="60A8BBB1" w:rsidR="00DC5912" w:rsidRDefault="00DC5912" w:rsidP="007C70B2">
      <w:pPr>
        <w:sectPr w:rsidR="00DC5912" w:rsidSect="00DC5912">
          <w:headerReference w:type="even" r:id="rId10"/>
          <w:headerReference w:type="default" r:id="rId11"/>
          <w:footerReference w:type="even" r:id="rId12"/>
          <w:footerReference w:type="default" r:id="rId13"/>
          <w:headerReference w:type="first" r:id="rId14"/>
          <w:footerReference w:type="first" r:id="rId15"/>
          <w:pgSz w:w="11906" w:h="16838"/>
          <w:pgMar w:top="1276" w:right="1440" w:bottom="1440" w:left="1440" w:header="709" w:footer="675" w:gutter="0"/>
          <w:pgNumType w:start="1"/>
          <w:cols w:space="708"/>
          <w:docGrid w:linePitch="360"/>
        </w:sectPr>
      </w:pPr>
    </w:p>
    <w:p w14:paraId="16A6E667" w14:textId="17D1F614" w:rsidR="00790FE4" w:rsidRPr="00F63E7E" w:rsidRDefault="00A63225" w:rsidP="007C70B2">
      <w:pPr>
        <w:pStyle w:val="Heading1"/>
      </w:pPr>
      <w:r>
        <w:lastRenderedPageBreak/>
        <w:t>ELECTORAL AMENDMENT</w:t>
      </w:r>
      <w:r w:rsidR="00F9146A" w:rsidRPr="00F9146A">
        <w:t xml:space="preserve"> BILL 2018</w:t>
      </w:r>
    </w:p>
    <w:p w14:paraId="1BE1C520" w14:textId="77777777" w:rsidR="00790FE4" w:rsidRPr="00D6332A" w:rsidRDefault="00790FE4" w:rsidP="007D24C4">
      <w:pPr>
        <w:pStyle w:val="Heading2"/>
        <w:spacing w:before="120" w:after="120"/>
      </w:pPr>
      <w:r w:rsidRPr="00287242">
        <w:t>INTRODUCTION</w:t>
      </w:r>
    </w:p>
    <w:p w14:paraId="3F542FF2" w14:textId="6CDA2904" w:rsidR="00CA5B43" w:rsidRPr="00D6332A" w:rsidRDefault="00790FE4" w:rsidP="007D24C4">
      <w:pPr>
        <w:spacing w:before="120" w:after="120"/>
      </w:pPr>
      <w:r w:rsidRPr="00D6332A">
        <w:t>This explanatory statement relates</w:t>
      </w:r>
      <w:r w:rsidR="00E2462F" w:rsidRPr="00D6332A">
        <w:t xml:space="preserve"> to the </w:t>
      </w:r>
      <w:r w:rsidR="00A63225">
        <w:t>Electoral Amendment</w:t>
      </w:r>
      <w:r w:rsidR="009B5954" w:rsidRPr="009B5954">
        <w:t xml:space="preserve"> Bill 2018</w:t>
      </w:r>
      <w:r w:rsidR="00032126" w:rsidRPr="00D6332A">
        <w:br/>
      </w:r>
      <w:r w:rsidRPr="00D6332A">
        <w:t>(the</w:t>
      </w:r>
      <w:r w:rsidR="00EB744D" w:rsidRPr="00D6332A">
        <w:t xml:space="preserve"> </w:t>
      </w:r>
      <w:r w:rsidRPr="00D6332A">
        <w:t xml:space="preserve">Bill) as presented to the ACT Legislative Assembly. It </w:t>
      </w:r>
      <w:r w:rsidRPr="00F6634C">
        <w:t>has</w:t>
      </w:r>
      <w:r w:rsidRPr="00D6332A">
        <w:t xml:space="preserve"> been prepared in order to assist the reader of the Bill and to help inform debate on it. It does not form part of the Bill and has not been endorsed by the Assembly. </w:t>
      </w:r>
    </w:p>
    <w:p w14:paraId="37042ED2" w14:textId="77777777" w:rsidR="00790FE4" w:rsidRPr="00D6332A" w:rsidRDefault="00790FE4" w:rsidP="007D24C4">
      <w:pPr>
        <w:spacing w:before="120" w:after="120"/>
      </w:pPr>
      <w:r w:rsidRPr="00D6332A">
        <w:t xml:space="preserve">The Statement must be read in conjunction with the Bill. It is not, and is not meant to be, a comprehensive description of the Bill. What is said about a provision is not to be taken as an authoritative guide to the meaning of a provision, this being a task for the courts. </w:t>
      </w:r>
    </w:p>
    <w:p w14:paraId="27B575C0" w14:textId="77777777" w:rsidR="004B55AD" w:rsidRPr="00D6332A" w:rsidRDefault="00790FE4" w:rsidP="007D24C4">
      <w:pPr>
        <w:pStyle w:val="Heading2"/>
        <w:spacing w:before="120" w:after="120"/>
      </w:pPr>
      <w:r w:rsidRPr="00D6332A">
        <w:t>BACKGROUND</w:t>
      </w:r>
    </w:p>
    <w:p w14:paraId="7AD24B25" w14:textId="54E6ACCE" w:rsidR="00A63225" w:rsidRPr="00E158F9" w:rsidRDefault="00A63225" w:rsidP="007D24C4">
      <w:pPr>
        <w:spacing w:before="120" w:after="120"/>
        <w:ind w:right="-45"/>
        <w:rPr>
          <w:rStyle w:val="Calibri12"/>
          <w:rFonts w:asciiTheme="minorHAnsi" w:hAnsiTheme="minorHAnsi"/>
          <w:b/>
        </w:rPr>
      </w:pPr>
      <w:r w:rsidRPr="00E158F9">
        <w:t xml:space="preserve">The </w:t>
      </w:r>
      <w:r>
        <w:t xml:space="preserve">ACT </w:t>
      </w:r>
      <w:r w:rsidRPr="00E158F9">
        <w:rPr>
          <w:rStyle w:val="Calibri12"/>
          <w:rFonts w:asciiTheme="minorHAnsi" w:hAnsiTheme="minorHAnsi"/>
        </w:rPr>
        <w:t xml:space="preserve">Government committed in the </w:t>
      </w:r>
      <w:r>
        <w:rPr>
          <w:rStyle w:val="Calibri12"/>
          <w:rFonts w:asciiTheme="minorHAnsi" w:hAnsiTheme="minorHAnsi"/>
        </w:rPr>
        <w:t xml:space="preserve">2016 </w:t>
      </w:r>
      <w:r w:rsidRPr="00E158F9">
        <w:rPr>
          <w:rStyle w:val="Calibri12"/>
          <w:rFonts w:asciiTheme="minorHAnsi" w:hAnsiTheme="minorHAnsi"/>
        </w:rPr>
        <w:t xml:space="preserve">Parliamentary </w:t>
      </w:r>
      <w:r w:rsidR="00CD7116" w:rsidRPr="00E158F9">
        <w:rPr>
          <w:rStyle w:val="Calibri12"/>
          <w:rFonts w:asciiTheme="minorHAnsi" w:hAnsiTheme="minorHAnsi"/>
        </w:rPr>
        <w:t xml:space="preserve">Agreement </w:t>
      </w:r>
      <w:r w:rsidR="00CD7116">
        <w:t>(</w:t>
      </w:r>
      <w:r>
        <w:t>at 10.2)</w:t>
      </w:r>
      <w:r w:rsidR="00CD7116">
        <w:t xml:space="preserve"> </w:t>
      </w:r>
      <w:r w:rsidRPr="00E158F9">
        <w:rPr>
          <w:rStyle w:val="Calibri12"/>
          <w:rFonts w:asciiTheme="minorHAnsi" w:hAnsiTheme="minorHAnsi"/>
        </w:rPr>
        <w:t xml:space="preserve">to ban </w:t>
      </w:r>
      <w:r>
        <w:rPr>
          <w:rStyle w:val="Calibri12"/>
          <w:rFonts w:asciiTheme="minorHAnsi" w:hAnsiTheme="minorHAnsi"/>
        </w:rPr>
        <w:t>gifts</w:t>
      </w:r>
      <w:r w:rsidRPr="00E158F9">
        <w:rPr>
          <w:rStyle w:val="Calibri12"/>
          <w:rFonts w:asciiTheme="minorHAnsi" w:hAnsiTheme="minorHAnsi"/>
        </w:rPr>
        <w:t xml:space="preserve"> from p</w:t>
      </w:r>
      <w:r w:rsidR="00CD7116">
        <w:rPr>
          <w:rStyle w:val="Calibri12"/>
          <w:rFonts w:asciiTheme="minorHAnsi" w:hAnsiTheme="minorHAnsi"/>
        </w:rPr>
        <w:t>r</w:t>
      </w:r>
      <w:r w:rsidRPr="00E158F9">
        <w:rPr>
          <w:rStyle w:val="Calibri12"/>
          <w:rFonts w:asciiTheme="minorHAnsi" w:hAnsiTheme="minorHAnsi"/>
        </w:rPr>
        <w:t>operty developers.</w:t>
      </w:r>
    </w:p>
    <w:p w14:paraId="3124F451" w14:textId="77777777" w:rsidR="00A63225" w:rsidRDefault="00A63225" w:rsidP="007D24C4">
      <w:pPr>
        <w:spacing w:before="120" w:after="120"/>
      </w:pPr>
      <w:r>
        <w:t>In its inquiry, t</w:t>
      </w:r>
      <w:r w:rsidRPr="00322AB5">
        <w:t xml:space="preserve">he Select Committee on the 2016 ACT Election and the Electoral Act recommended that political donations from property developers be banned in the ACT (Recommendation 8). </w:t>
      </w:r>
    </w:p>
    <w:p w14:paraId="2E9CC4DF" w14:textId="5C426CCB" w:rsidR="00A63225" w:rsidRPr="00322AB5" w:rsidRDefault="00A63225" w:rsidP="007D24C4">
      <w:pPr>
        <w:spacing w:before="120" w:after="120"/>
      </w:pPr>
      <w:r w:rsidRPr="00322AB5">
        <w:t>The Committee examined the findings of NSW Independent Commission Against Corruption (ICAC) into the NSW Liberal Party Electoral Funding for the 2011 State Election Campaign and Other Matters, and the NSW Parliament Joint Standing Committee on Electoral Matters recommend</w:t>
      </w:r>
      <w:r w:rsidR="00EE7B87">
        <w:t>ations</w:t>
      </w:r>
      <w:r w:rsidRPr="00322AB5">
        <w:t xml:space="preserve"> in its report, Inquiry into the Final Report of the Expert Panel – Political Donations</w:t>
      </w:r>
      <w:r w:rsidR="00EE7B87">
        <w:t>,</w:t>
      </w:r>
      <w:r w:rsidRPr="00322AB5">
        <w:t xml:space="preserve"> and considered submissions from a range of parties, community members and the Electoral Commission. </w:t>
      </w:r>
    </w:p>
    <w:p w14:paraId="04C4DA15" w14:textId="2E78B1B9" w:rsidR="00A63225" w:rsidRPr="00322AB5" w:rsidRDefault="00A63225" w:rsidP="007D24C4">
      <w:pPr>
        <w:pStyle w:val="ListParagraph"/>
        <w:tabs>
          <w:tab w:val="left" w:pos="425"/>
          <w:tab w:val="left" w:pos="567"/>
        </w:tabs>
        <w:spacing w:before="120" w:after="120" w:line="276" w:lineRule="auto"/>
        <w:ind w:left="0"/>
        <w:rPr>
          <w:rFonts w:cs="Arial"/>
          <w:lang w:eastAsia="en-US"/>
        </w:rPr>
      </w:pPr>
      <w:r w:rsidRPr="00322AB5">
        <w:rPr>
          <w:rFonts w:cs="Arial"/>
          <w:lang w:eastAsia="en-US"/>
        </w:rPr>
        <w:t>The Government R</w:t>
      </w:r>
      <w:r w:rsidRPr="00EC1D38">
        <w:rPr>
          <w:rFonts w:cs="Arial"/>
          <w:lang w:eastAsia="en-US"/>
        </w:rPr>
        <w:t xml:space="preserve">esponse to that inquiry, tabled in the Legislative Assembly on </w:t>
      </w:r>
      <w:r w:rsidR="00EC1D38" w:rsidRPr="00EC1D38">
        <w:rPr>
          <w:rFonts w:cs="Arial"/>
          <w:lang w:eastAsia="en-US"/>
        </w:rPr>
        <w:t xml:space="preserve">10 April 2018 </w:t>
      </w:r>
      <w:r w:rsidRPr="00EC1D38">
        <w:rPr>
          <w:rFonts w:cs="Arial"/>
          <w:lang w:eastAsia="en-US"/>
        </w:rPr>
        <w:t>agreed with</w:t>
      </w:r>
      <w:r w:rsidRPr="00322AB5">
        <w:rPr>
          <w:rFonts w:cs="Arial"/>
          <w:lang w:eastAsia="en-US"/>
        </w:rPr>
        <w:t xml:space="preserve"> the recommendation to ban </w:t>
      </w:r>
      <w:r w:rsidR="00500BCD">
        <w:rPr>
          <w:rFonts w:cs="Arial"/>
          <w:lang w:eastAsia="en-US"/>
        </w:rPr>
        <w:t xml:space="preserve">for-profit </w:t>
      </w:r>
      <w:r w:rsidRPr="00322AB5">
        <w:rPr>
          <w:rFonts w:cs="Arial"/>
          <w:lang w:eastAsia="en-US"/>
        </w:rPr>
        <w:t xml:space="preserve">property developer donations, noting that ‘perceived influence by property developers on Government decisions is a serious concern’. </w:t>
      </w:r>
    </w:p>
    <w:p w14:paraId="1BC6AD18" w14:textId="0EEF17FF" w:rsidR="00A63225" w:rsidRDefault="00A63225" w:rsidP="007D24C4">
      <w:pPr>
        <w:pStyle w:val="ListParagraph"/>
        <w:tabs>
          <w:tab w:val="left" w:pos="425"/>
          <w:tab w:val="left" w:pos="567"/>
        </w:tabs>
        <w:spacing w:before="120" w:after="120" w:line="276" w:lineRule="auto"/>
        <w:ind w:left="0"/>
        <w:rPr>
          <w:rFonts w:cs="Arial"/>
          <w:lang w:eastAsia="en-US"/>
        </w:rPr>
      </w:pPr>
      <w:r w:rsidRPr="00322AB5">
        <w:rPr>
          <w:rFonts w:cs="Arial"/>
          <w:lang w:eastAsia="en-US"/>
        </w:rPr>
        <w:t xml:space="preserve">The Response noted that ‘planning and development involve frequent decisions by Government that can have enormous consequences for the value and profits of private land developers. The public has a strong interest in being certain that elections are not influenced by the private wealth that results from those decisions’. </w:t>
      </w:r>
    </w:p>
    <w:p w14:paraId="59B271C2" w14:textId="5B5049A3" w:rsidR="00A45360" w:rsidRDefault="00EE7B87" w:rsidP="007D24C4">
      <w:pPr>
        <w:pStyle w:val="ListParagraph"/>
        <w:tabs>
          <w:tab w:val="left" w:pos="425"/>
          <w:tab w:val="left" w:pos="567"/>
        </w:tabs>
        <w:spacing w:before="120" w:after="120" w:line="276" w:lineRule="auto"/>
        <w:ind w:left="0"/>
        <w:rPr>
          <w:rFonts w:cs="Arial"/>
          <w:lang w:eastAsia="en-US"/>
        </w:rPr>
      </w:pPr>
      <w:r>
        <w:rPr>
          <w:rFonts w:cs="Arial"/>
          <w:lang w:eastAsia="en-US"/>
        </w:rPr>
        <w:t xml:space="preserve">Nationally, there has been a growing understanding that comparative ability of large </w:t>
      </w:r>
      <w:r w:rsidR="00500BCD">
        <w:rPr>
          <w:rFonts w:cs="Arial"/>
          <w:lang w:eastAsia="en-US"/>
        </w:rPr>
        <w:t xml:space="preserve">for-profit </w:t>
      </w:r>
      <w:r>
        <w:rPr>
          <w:rFonts w:cs="Arial"/>
          <w:lang w:eastAsia="en-US"/>
        </w:rPr>
        <w:t xml:space="preserve">corporations to make donations far in excess of those made by members of the public </w:t>
      </w:r>
      <w:r w:rsidR="00AF7EE9">
        <w:rPr>
          <w:rFonts w:cs="Arial"/>
          <w:lang w:eastAsia="en-US"/>
        </w:rPr>
        <w:t xml:space="preserve">has the potential to distort the representativeness of our political democracy. </w:t>
      </w:r>
    </w:p>
    <w:p w14:paraId="3C367609" w14:textId="1290DA61" w:rsidR="00A45360" w:rsidRDefault="00AF7EE9" w:rsidP="007D24C4">
      <w:pPr>
        <w:pStyle w:val="ListParagraph"/>
        <w:tabs>
          <w:tab w:val="left" w:pos="425"/>
          <w:tab w:val="left" w:pos="567"/>
        </w:tabs>
        <w:spacing w:before="120" w:after="120" w:line="276" w:lineRule="auto"/>
        <w:ind w:left="0"/>
      </w:pPr>
      <w:r>
        <w:rPr>
          <w:rFonts w:cs="Arial"/>
          <w:lang w:eastAsia="en-US"/>
        </w:rPr>
        <w:t>T</w:t>
      </w:r>
      <w:r w:rsidRPr="00A45360">
        <w:rPr>
          <w:rFonts w:cs="Arial"/>
          <w:lang w:eastAsia="en-US"/>
        </w:rPr>
        <w:t xml:space="preserve">he </w:t>
      </w:r>
      <w:r w:rsidRPr="00322AB5">
        <w:rPr>
          <w:rFonts w:cs="Arial"/>
          <w:lang w:eastAsia="en-US"/>
        </w:rPr>
        <w:t xml:space="preserve">Senate </w:t>
      </w:r>
      <w:hyperlink r:id="rId16" w:history="1">
        <w:r w:rsidRPr="00322AB5">
          <w:rPr>
            <w:rFonts w:cs="Arial"/>
            <w:lang w:eastAsia="en-US"/>
          </w:rPr>
          <w:t>Select Committee into the Political Influence of Donations</w:t>
        </w:r>
      </w:hyperlink>
      <w:r w:rsidRPr="00322AB5">
        <w:rPr>
          <w:rFonts w:cs="Arial"/>
          <w:lang w:eastAsia="en-US"/>
        </w:rPr>
        <w:t> reported in June 2018 and made a recommendation that the Australian Government amend</w:t>
      </w:r>
      <w:r w:rsidRPr="00322AB5">
        <w:rPr>
          <w:color w:val="222222"/>
          <w:sz w:val="23"/>
          <w:szCs w:val="23"/>
          <w:shd w:val="clear" w:color="auto" w:fill="FFFFFF"/>
        </w:rPr>
        <w:t xml:space="preserve"> the </w:t>
      </w:r>
      <w:r w:rsidRPr="00322AB5">
        <w:rPr>
          <w:iCs/>
          <w:color w:val="222222"/>
          <w:sz w:val="23"/>
          <w:szCs w:val="23"/>
          <w:shd w:val="clear" w:color="auto" w:fill="FFFFFF"/>
        </w:rPr>
        <w:t xml:space="preserve">Commonwealth </w:t>
      </w:r>
      <w:r w:rsidRPr="00322AB5">
        <w:rPr>
          <w:i/>
          <w:iCs/>
          <w:color w:val="222222"/>
          <w:sz w:val="23"/>
          <w:szCs w:val="23"/>
          <w:shd w:val="clear" w:color="auto" w:fill="FFFFFF"/>
        </w:rPr>
        <w:t>Electoral Act 1918</w:t>
      </w:r>
      <w:r w:rsidRPr="00322AB5">
        <w:rPr>
          <w:color w:val="222222"/>
          <w:sz w:val="23"/>
          <w:szCs w:val="23"/>
          <w:shd w:val="clear" w:color="auto" w:fill="FFFFFF"/>
        </w:rPr>
        <w:t> </w:t>
      </w:r>
      <w:r w:rsidRPr="00322AB5">
        <w:t>to introduce a ban on donations from developers</w:t>
      </w:r>
      <w:r w:rsidR="008C62F3">
        <w:t xml:space="preserve"> and a range of other</w:t>
      </w:r>
      <w:r w:rsidRPr="00322AB5">
        <w:t xml:space="preserve"> industries to political parties, candidates and associated entities. </w:t>
      </w:r>
    </w:p>
    <w:p w14:paraId="6C5BB9A2" w14:textId="5B287AA9" w:rsidR="00AF7EE9" w:rsidRPr="00322AB5" w:rsidRDefault="00AF7EE9" w:rsidP="007D24C4">
      <w:pPr>
        <w:pStyle w:val="ListParagraph"/>
        <w:tabs>
          <w:tab w:val="left" w:pos="425"/>
          <w:tab w:val="left" w:pos="567"/>
        </w:tabs>
        <w:spacing w:before="120" w:after="120" w:line="276" w:lineRule="auto"/>
        <w:ind w:left="0"/>
        <w:rPr>
          <w:rFonts w:cs="Arial"/>
          <w:lang w:eastAsia="en-US"/>
        </w:rPr>
      </w:pPr>
      <w:r w:rsidRPr="00322AB5">
        <w:lastRenderedPageBreak/>
        <w:t>It</w:t>
      </w:r>
      <w:r w:rsidR="00A45360" w:rsidRPr="00322AB5">
        <w:t xml:space="preserve"> </w:t>
      </w:r>
      <w:r w:rsidR="00A45360" w:rsidRPr="00A45360">
        <w:t>noted the “compelling evidence that the current political funding and disclosure regime fails to provide the necessary safeguards to prevent corruption of the political process. The fact that the source of the significant majority of funding to those involved in the political process is undisclosed and unknown, is inimical to maintaining trust in the process”</w:t>
      </w:r>
      <w:r w:rsidR="00A45360" w:rsidRPr="00A45360">
        <w:rPr>
          <w:rStyle w:val="FootnoteReference"/>
        </w:rPr>
        <w:footnoteReference w:id="2"/>
      </w:r>
      <w:r w:rsidR="00A45360" w:rsidRPr="00A45360">
        <w:t xml:space="preserve"> and recognised “the importance of limiting the influence of sectors proven to be inimical to public health and the broader public interest</w:t>
      </w:r>
      <w:r w:rsidR="00B1769D">
        <w:t>”</w:t>
      </w:r>
      <w:r w:rsidR="00A45360" w:rsidRPr="00A45360">
        <w:t>.</w:t>
      </w:r>
      <w:r w:rsidR="00A45360">
        <w:rPr>
          <w:rStyle w:val="FootnoteReference"/>
        </w:rPr>
        <w:footnoteReference w:id="3"/>
      </w:r>
    </w:p>
    <w:p w14:paraId="2562F2D6" w14:textId="4AD59C28" w:rsidR="00500BCD" w:rsidRDefault="00A63225" w:rsidP="007D24C4">
      <w:pPr>
        <w:pStyle w:val="ListParagraph"/>
        <w:tabs>
          <w:tab w:val="left" w:pos="425"/>
          <w:tab w:val="left" w:pos="567"/>
        </w:tabs>
        <w:spacing w:before="120" w:after="120" w:line="276" w:lineRule="auto"/>
        <w:ind w:left="0"/>
        <w:rPr>
          <w:rFonts w:cs="Arial"/>
          <w:lang w:eastAsia="en-US"/>
        </w:rPr>
      </w:pPr>
      <w:r w:rsidRPr="00322AB5">
        <w:rPr>
          <w:rFonts w:cs="Arial"/>
          <w:lang w:eastAsia="en-US"/>
        </w:rPr>
        <w:t xml:space="preserve">The Electoral Amendment Bill 2018 </w:t>
      </w:r>
      <w:r w:rsidR="004F5395">
        <w:rPr>
          <w:rFonts w:cs="Arial"/>
          <w:lang w:eastAsia="en-US"/>
        </w:rPr>
        <w:t xml:space="preserve">introduces a </w:t>
      </w:r>
      <w:r w:rsidRPr="00322AB5">
        <w:rPr>
          <w:rFonts w:cs="Arial"/>
          <w:lang w:eastAsia="en-US"/>
        </w:rPr>
        <w:t>prohibit</w:t>
      </w:r>
      <w:r w:rsidR="004F5395">
        <w:rPr>
          <w:rFonts w:cs="Arial"/>
          <w:lang w:eastAsia="en-US"/>
        </w:rPr>
        <w:t>ion on</w:t>
      </w:r>
      <w:r w:rsidRPr="00322AB5">
        <w:rPr>
          <w:rFonts w:cs="Arial"/>
          <w:lang w:eastAsia="en-US"/>
        </w:rPr>
        <w:t xml:space="preserve"> property developers and</w:t>
      </w:r>
      <w:r w:rsidR="00EE7B87">
        <w:rPr>
          <w:rFonts w:cs="Arial"/>
          <w:lang w:eastAsia="en-US"/>
        </w:rPr>
        <w:t xml:space="preserve"> their</w:t>
      </w:r>
      <w:r w:rsidRPr="00322AB5">
        <w:rPr>
          <w:rFonts w:cs="Arial"/>
          <w:lang w:eastAsia="en-US"/>
        </w:rPr>
        <w:t xml:space="preserve"> close associates </w:t>
      </w:r>
      <w:r w:rsidR="004F5395">
        <w:rPr>
          <w:rFonts w:cs="Arial"/>
          <w:lang w:eastAsia="en-US"/>
        </w:rPr>
        <w:t>giving</w:t>
      </w:r>
      <w:r w:rsidRPr="00322AB5">
        <w:rPr>
          <w:rFonts w:cs="Arial"/>
          <w:lang w:eastAsia="en-US"/>
        </w:rPr>
        <w:t xml:space="preserve"> gifts</w:t>
      </w:r>
      <w:r w:rsidR="004F5395">
        <w:rPr>
          <w:rFonts w:cs="Arial"/>
          <w:lang w:eastAsia="en-US"/>
        </w:rPr>
        <w:t xml:space="preserve"> to political entities</w:t>
      </w:r>
      <w:r w:rsidR="00500BCD">
        <w:rPr>
          <w:rFonts w:cs="Arial"/>
          <w:lang w:eastAsia="en-US"/>
        </w:rPr>
        <w:t xml:space="preserve">, and </w:t>
      </w:r>
      <w:r w:rsidR="004F5395">
        <w:rPr>
          <w:rFonts w:cs="Arial"/>
          <w:lang w:eastAsia="en-US"/>
        </w:rPr>
        <w:t xml:space="preserve">a </w:t>
      </w:r>
      <w:r w:rsidR="00500BCD">
        <w:rPr>
          <w:rFonts w:cs="Arial"/>
          <w:lang w:eastAsia="en-US"/>
        </w:rPr>
        <w:t>prohibit</w:t>
      </w:r>
      <w:r w:rsidR="004F5395">
        <w:rPr>
          <w:rFonts w:cs="Arial"/>
          <w:lang w:eastAsia="en-US"/>
        </w:rPr>
        <w:t>ion on</w:t>
      </w:r>
      <w:r w:rsidR="00500BCD">
        <w:rPr>
          <w:rFonts w:cs="Arial"/>
          <w:lang w:eastAsia="en-US"/>
        </w:rPr>
        <w:t xml:space="preserve"> political entities accepting such gifts</w:t>
      </w:r>
      <w:r w:rsidRPr="00322AB5">
        <w:rPr>
          <w:rFonts w:cs="Arial"/>
          <w:lang w:eastAsia="en-US"/>
        </w:rPr>
        <w:t xml:space="preserve">. </w:t>
      </w:r>
    </w:p>
    <w:p w14:paraId="4E7521C5" w14:textId="63AEE255" w:rsidR="004C2974" w:rsidRDefault="004C2974" w:rsidP="007D24C4">
      <w:pPr>
        <w:pStyle w:val="ListParagraph"/>
        <w:tabs>
          <w:tab w:val="left" w:pos="425"/>
          <w:tab w:val="left" w:pos="567"/>
        </w:tabs>
        <w:spacing w:before="120" w:after="120" w:line="276" w:lineRule="auto"/>
        <w:ind w:left="0"/>
      </w:pPr>
      <w:r w:rsidRPr="00E9630B">
        <w:t>The</w:t>
      </w:r>
      <w:r>
        <w:t xml:space="preserve"> prohibition on property developer donations</w:t>
      </w:r>
      <w:r w:rsidR="004F5395">
        <w:t xml:space="preserve"> and the other amendments made by the Bill</w:t>
      </w:r>
      <w:r>
        <w:t xml:space="preserve"> will complement the</w:t>
      </w:r>
      <w:r w:rsidRPr="00E9630B">
        <w:t xml:space="preserve"> ACT</w:t>
      </w:r>
      <w:r>
        <w:t>’s</w:t>
      </w:r>
      <w:r w:rsidRPr="00E9630B">
        <w:t xml:space="preserve"> </w:t>
      </w:r>
      <w:r>
        <w:t>existing</w:t>
      </w:r>
      <w:r w:rsidRPr="00E9630B">
        <w:t xml:space="preserve"> </w:t>
      </w:r>
      <w:r>
        <w:t xml:space="preserve">transparent, </w:t>
      </w:r>
      <w:r w:rsidRPr="00E9630B">
        <w:t xml:space="preserve">and </w:t>
      </w:r>
      <w:r>
        <w:t>robust electoral system, which includes comprehensive funding disclosure rules, clear accountability structures and public funding of candidates.</w:t>
      </w:r>
    </w:p>
    <w:p w14:paraId="5AE11ED3" w14:textId="77777777" w:rsidR="00E55F4E" w:rsidRPr="00513890" w:rsidRDefault="00790FE4" w:rsidP="007D24C4">
      <w:pPr>
        <w:pStyle w:val="Heading2"/>
        <w:spacing w:before="120" w:after="120"/>
      </w:pPr>
      <w:r w:rsidRPr="00513890">
        <w:t>OVERVIEW OF THE BILL</w:t>
      </w:r>
    </w:p>
    <w:p w14:paraId="38DEF6CC" w14:textId="2F9E933D" w:rsidR="004C2974" w:rsidRDefault="00CA5B43" w:rsidP="007D24C4">
      <w:pPr>
        <w:spacing w:before="120" w:after="120"/>
      </w:pPr>
      <w:r w:rsidRPr="00E9630B">
        <w:t xml:space="preserve">The Bill </w:t>
      </w:r>
      <w:r w:rsidR="009430CF">
        <w:t>amends the Electoral Act</w:t>
      </w:r>
      <w:r w:rsidR="004C2974">
        <w:t xml:space="preserve"> to:</w:t>
      </w:r>
    </w:p>
    <w:p w14:paraId="5E1083A6" w14:textId="52C6B6FF" w:rsidR="004C2974" w:rsidRDefault="00865554" w:rsidP="007D24C4">
      <w:pPr>
        <w:pStyle w:val="ListParagraph"/>
        <w:numPr>
          <w:ilvl w:val="0"/>
          <w:numId w:val="68"/>
        </w:numPr>
        <w:spacing w:before="120" w:after="120" w:line="276" w:lineRule="auto"/>
      </w:pPr>
      <w:r>
        <w:t>i</w:t>
      </w:r>
      <w:r w:rsidR="004C2974">
        <w:t xml:space="preserve">ntroduce </w:t>
      </w:r>
      <w:r>
        <w:t>an</w:t>
      </w:r>
      <w:r w:rsidR="004C2974">
        <w:t xml:space="preserve"> objects clause to outline the intended purposes </w:t>
      </w:r>
      <w:r w:rsidR="006040BB">
        <w:t>of</w:t>
      </w:r>
      <w:r w:rsidR="004C2974">
        <w:t xml:space="preserve"> the</w:t>
      </w:r>
      <w:r w:rsidR="006040BB">
        <w:t xml:space="preserve"> Act</w:t>
      </w:r>
      <w:r w:rsidR="004C2974">
        <w:t xml:space="preserve">, including to encourage </w:t>
      </w:r>
      <w:r w:rsidR="009430CF">
        <w:t>e</w:t>
      </w:r>
      <w:r w:rsidR="004C2974">
        <w:t>quality of opportunity</w:t>
      </w:r>
      <w:r w:rsidR="009430CF">
        <w:t xml:space="preserve"> for </w:t>
      </w:r>
      <w:r w:rsidR="004C2974">
        <w:t>democratic participation</w:t>
      </w:r>
    </w:p>
    <w:p w14:paraId="31F84253" w14:textId="77777777" w:rsidR="003857B6" w:rsidRDefault="00865554" w:rsidP="007D24C4">
      <w:pPr>
        <w:pStyle w:val="ListParagraph"/>
        <w:numPr>
          <w:ilvl w:val="0"/>
          <w:numId w:val="68"/>
        </w:numPr>
        <w:spacing w:before="120" w:after="120" w:line="276" w:lineRule="auto"/>
      </w:pPr>
      <w:r>
        <w:t>prohibit gifts from property developers</w:t>
      </w:r>
      <w:r w:rsidR="006040BB">
        <w:t xml:space="preserve"> and their close associates</w:t>
      </w:r>
      <w:r>
        <w:t xml:space="preserve"> to MLAs, political parties, candidates, and associated entities</w:t>
      </w:r>
    </w:p>
    <w:p w14:paraId="6C3B0B6B" w14:textId="068F65DA" w:rsidR="003857B6" w:rsidRDefault="003857B6" w:rsidP="007D24C4">
      <w:pPr>
        <w:pStyle w:val="ListParagraph"/>
        <w:numPr>
          <w:ilvl w:val="0"/>
          <w:numId w:val="68"/>
        </w:numPr>
        <w:spacing w:before="120" w:after="120" w:line="276" w:lineRule="auto"/>
      </w:pPr>
      <w:r>
        <w:t>prohibit political entities from</w:t>
      </w:r>
      <w:r w:rsidR="00865554">
        <w:t xml:space="preserve"> accept</w:t>
      </w:r>
      <w:r>
        <w:t>ing gifts from property developers or their close associates</w:t>
      </w:r>
    </w:p>
    <w:p w14:paraId="02BD9AE7" w14:textId="0CFBD52B" w:rsidR="00865554" w:rsidRDefault="00865554" w:rsidP="007D24C4">
      <w:pPr>
        <w:pStyle w:val="ListParagraph"/>
        <w:numPr>
          <w:ilvl w:val="0"/>
          <w:numId w:val="68"/>
        </w:numPr>
        <w:spacing w:before="120" w:after="120" w:line="276" w:lineRule="auto"/>
      </w:pPr>
      <w:r>
        <w:t>amend the definition of gift to include the first $250 of a contribution in a single fundraising event</w:t>
      </w:r>
    </w:p>
    <w:p w14:paraId="6C0F91F8" w14:textId="342D910A" w:rsidR="00865554" w:rsidRDefault="00865554" w:rsidP="007D24C4">
      <w:pPr>
        <w:pStyle w:val="ListParagraph"/>
        <w:numPr>
          <w:ilvl w:val="0"/>
          <w:numId w:val="68"/>
        </w:numPr>
        <w:spacing w:before="120" w:after="120" w:line="276" w:lineRule="auto"/>
      </w:pPr>
      <w:r>
        <w:t>amend the timeframe for reporting of gifts received ove</w:t>
      </w:r>
      <w:r w:rsidR="00373A08">
        <w:t xml:space="preserve">r the $1000 </w:t>
      </w:r>
      <w:r w:rsidR="006040BB">
        <w:t xml:space="preserve">threshold </w:t>
      </w:r>
      <w:r w:rsidR="00373A08">
        <w:t>to introduce a year-</w:t>
      </w:r>
      <w:r>
        <w:t>round requirement for gifts to be reported to the Electoral Commission within seven days to allow for more real time public oversight.</w:t>
      </w:r>
    </w:p>
    <w:p w14:paraId="6B2B0ED8" w14:textId="0CFF383A" w:rsidR="00834D69" w:rsidRDefault="009430CF" w:rsidP="007D24C4">
      <w:pPr>
        <w:keepNext/>
        <w:keepLines/>
        <w:spacing w:before="120" w:after="120"/>
        <w:rPr>
          <w:i/>
        </w:rPr>
      </w:pPr>
      <w:r w:rsidRPr="00322AB5">
        <w:rPr>
          <w:i/>
        </w:rPr>
        <w:t xml:space="preserve">Objects of the Electoral </w:t>
      </w:r>
      <w:r w:rsidR="006040BB">
        <w:rPr>
          <w:i/>
        </w:rPr>
        <w:t>Act</w:t>
      </w:r>
    </w:p>
    <w:p w14:paraId="39B3DFCE" w14:textId="490307AA" w:rsidR="008D0C2A" w:rsidRDefault="009430CF" w:rsidP="007D24C4">
      <w:pPr>
        <w:pStyle w:val="ListParagraph"/>
        <w:tabs>
          <w:tab w:val="left" w:pos="425"/>
          <w:tab w:val="left" w:pos="567"/>
        </w:tabs>
        <w:spacing w:before="120" w:after="120" w:line="276" w:lineRule="auto"/>
        <w:ind w:left="0"/>
      </w:pPr>
      <w:r>
        <w:t>The Bill includes a new objec</w:t>
      </w:r>
      <w:r w:rsidR="008D0C2A">
        <w:t>ts section in the Electoral Act.</w:t>
      </w:r>
      <w:r w:rsidR="008D0C2A" w:rsidRPr="008D0C2A">
        <w:rPr>
          <w:rFonts w:ascii="Arial" w:hAnsi="Arial"/>
        </w:rPr>
        <w:t xml:space="preserve"> </w:t>
      </w:r>
      <w:r w:rsidR="008D0C2A" w:rsidRPr="008D0C2A">
        <w:t>This will clearly explain</w:t>
      </w:r>
      <w:r w:rsidR="006040BB">
        <w:t xml:space="preserve"> the intended purposes </w:t>
      </w:r>
      <w:r w:rsidR="008D0C2A" w:rsidRPr="008D0C2A">
        <w:t>of the electoral framework</w:t>
      </w:r>
      <w:r w:rsidR="006040BB">
        <w:t>, including the regulation</w:t>
      </w:r>
      <w:r w:rsidR="008D0C2A" w:rsidRPr="008D0C2A">
        <w:t xml:space="preserve"> of funding, disclosure and reporting</w:t>
      </w:r>
      <w:r w:rsidR="006040BB">
        <w:t>.</w:t>
      </w:r>
      <w:r w:rsidR="008D0C2A" w:rsidRPr="008D0C2A">
        <w:t xml:space="preserve"> </w:t>
      </w:r>
      <w:r w:rsidR="008D0C2A" w:rsidRPr="00322AB5">
        <w:t xml:space="preserve">The </w:t>
      </w:r>
      <w:r w:rsidR="006040BB">
        <w:t xml:space="preserve">new </w:t>
      </w:r>
      <w:r w:rsidR="008D0C2A" w:rsidRPr="00322AB5">
        <w:t>objects section articulates that the purposes of the Electoral Act include maintaining a fair, transparent and representative electoral system that helps to prevent corruption, undue influence and promotes equal opportunity for participation in the Territory’s political process.</w:t>
      </w:r>
    </w:p>
    <w:p w14:paraId="7116E131" w14:textId="04266A07" w:rsidR="006040BB" w:rsidRDefault="006040BB" w:rsidP="007D24C4">
      <w:pPr>
        <w:pStyle w:val="ListParagraph"/>
        <w:tabs>
          <w:tab w:val="left" w:pos="425"/>
          <w:tab w:val="left" w:pos="567"/>
        </w:tabs>
        <w:spacing w:before="120" w:after="120" w:line="276" w:lineRule="auto"/>
        <w:ind w:left="0"/>
      </w:pPr>
      <w:r>
        <w:t>S</w:t>
      </w:r>
      <w:r w:rsidRPr="008D0C2A">
        <w:t>et</w:t>
      </w:r>
      <w:r>
        <w:t>ting</w:t>
      </w:r>
      <w:r w:rsidRPr="008D0C2A">
        <w:t xml:space="preserve"> out the legislative intentions of the scheme</w:t>
      </w:r>
      <w:r>
        <w:t xml:space="preserve"> will </w:t>
      </w:r>
      <w:r w:rsidR="005C7D2D">
        <w:t xml:space="preserve">assist in providing a clear understanding of the legitimate objectives of the Act.  In turn this can support justification, in the </w:t>
      </w:r>
      <w:r w:rsidR="003857B6">
        <w:t xml:space="preserve">event of a </w:t>
      </w:r>
      <w:r w:rsidR="005C7D2D">
        <w:t>legal challeng</w:t>
      </w:r>
      <w:r w:rsidR="003857B6">
        <w:t>e to</w:t>
      </w:r>
      <w:r w:rsidR="005C7D2D">
        <w:t xml:space="preserve"> </w:t>
      </w:r>
      <w:r w:rsidRPr="008D0C2A">
        <w:t>specific measure</w:t>
      </w:r>
      <w:r>
        <w:t>s</w:t>
      </w:r>
      <w:r w:rsidR="005C7D2D">
        <w:t xml:space="preserve"> in the Act</w:t>
      </w:r>
      <w:r w:rsidRPr="008D0C2A">
        <w:t xml:space="preserve"> </w:t>
      </w:r>
      <w:r w:rsidR="005C7D2D">
        <w:t>directed at achieving</w:t>
      </w:r>
      <w:r w:rsidRPr="008D0C2A">
        <w:t xml:space="preserve"> those intentions</w:t>
      </w:r>
      <w:r w:rsidR="005C7D2D">
        <w:t xml:space="preserve">. </w:t>
      </w:r>
    </w:p>
    <w:p w14:paraId="57764630" w14:textId="2674BD76" w:rsidR="008D0C2A" w:rsidRPr="00322AB5" w:rsidRDefault="008D0C2A" w:rsidP="007D24C4">
      <w:pPr>
        <w:pStyle w:val="ListParagraph"/>
        <w:keepNext/>
        <w:keepLines/>
        <w:tabs>
          <w:tab w:val="left" w:pos="425"/>
          <w:tab w:val="left" w:pos="567"/>
        </w:tabs>
        <w:spacing w:before="120" w:after="120" w:line="276" w:lineRule="auto"/>
        <w:ind w:left="0"/>
        <w:rPr>
          <w:i/>
        </w:rPr>
      </w:pPr>
      <w:r w:rsidRPr="00322AB5">
        <w:rPr>
          <w:i/>
        </w:rPr>
        <w:t>Property developer donation ban</w:t>
      </w:r>
    </w:p>
    <w:p w14:paraId="6F6F9359" w14:textId="472DCFCE" w:rsidR="008D0C2A" w:rsidRDefault="007B3023" w:rsidP="007D24C4">
      <w:pPr>
        <w:pStyle w:val="ListParagraph"/>
        <w:keepNext/>
        <w:keepLines/>
        <w:tabs>
          <w:tab w:val="left" w:pos="425"/>
          <w:tab w:val="left" w:pos="567"/>
        </w:tabs>
        <w:spacing w:before="120" w:after="120" w:line="276" w:lineRule="auto"/>
        <w:ind w:left="0"/>
      </w:pPr>
      <w:r w:rsidRPr="00322AB5">
        <w:t xml:space="preserve">The </w:t>
      </w:r>
      <w:r w:rsidR="00240156" w:rsidRPr="00322AB5">
        <w:t>Bill bans donations from property developers a</w:t>
      </w:r>
      <w:r w:rsidR="00EC0AB8">
        <w:t xml:space="preserve">nd their close associates. The </w:t>
      </w:r>
      <w:r w:rsidR="005C7D2D">
        <w:t xml:space="preserve">scope and structure of the </w:t>
      </w:r>
      <w:r w:rsidR="00EC0AB8">
        <w:t>b</w:t>
      </w:r>
      <w:r w:rsidR="00240156" w:rsidRPr="00322AB5">
        <w:t>an is based on the</w:t>
      </w:r>
      <w:r w:rsidR="005C7D2D">
        <w:t xml:space="preserve"> ban included in the</w:t>
      </w:r>
      <w:r w:rsidR="00240156" w:rsidRPr="00322AB5">
        <w:t xml:space="preserve"> </w:t>
      </w:r>
      <w:r w:rsidR="005C7D2D">
        <w:t xml:space="preserve">(now repealed) </w:t>
      </w:r>
      <w:r w:rsidR="00240156" w:rsidRPr="00322AB5">
        <w:t xml:space="preserve">NSW </w:t>
      </w:r>
      <w:r w:rsidR="0070140A" w:rsidRPr="003857B6">
        <w:rPr>
          <w:i/>
        </w:rPr>
        <w:t>Electoral Funding</w:t>
      </w:r>
      <w:r w:rsidR="005C7D2D" w:rsidRPr="003857B6">
        <w:rPr>
          <w:i/>
        </w:rPr>
        <w:t xml:space="preserve"> and Disclosure</w:t>
      </w:r>
      <w:r w:rsidR="0070140A" w:rsidRPr="003857B6">
        <w:rPr>
          <w:i/>
        </w:rPr>
        <w:t xml:space="preserve"> Act </w:t>
      </w:r>
      <w:r w:rsidR="005C7D2D" w:rsidRPr="003857B6">
        <w:rPr>
          <w:i/>
        </w:rPr>
        <w:t>1981</w:t>
      </w:r>
      <w:r w:rsidR="00EC0AB8">
        <w:t xml:space="preserve"> prohibition which was first introduced in 2009. That prohibition has been upheld by the High Court as a legitimate and proportionate response to the evidence in that state of corrupt conduct and undue influence at the intersection of the property development industry and the electoral funding system.</w:t>
      </w:r>
      <w:r w:rsidR="00CD4E3D">
        <w:t xml:space="preserve"> The NSW scheme has also been adopted, with some modifications, in Queensland.</w:t>
      </w:r>
    </w:p>
    <w:p w14:paraId="512F72CF" w14:textId="3844EB66" w:rsidR="00D636F1" w:rsidRDefault="00816994" w:rsidP="007D24C4">
      <w:pPr>
        <w:spacing w:before="120" w:after="120"/>
      </w:pPr>
      <w:r>
        <w:t xml:space="preserve">The ban implemented by the amendments in this Bill is </w:t>
      </w:r>
      <w:r w:rsidR="00CF791F">
        <w:t>designed</w:t>
      </w:r>
      <w:r>
        <w:t xml:space="preserve"> to target those property developers that have the capital and connections to make large donations to seek access and influence.  </w:t>
      </w:r>
    </w:p>
    <w:p w14:paraId="5430F899" w14:textId="1D0D36C8" w:rsidR="00D636F1" w:rsidRDefault="00D636F1" w:rsidP="007D24C4">
      <w:pPr>
        <w:spacing w:before="120" w:after="120"/>
      </w:pPr>
      <w:r>
        <w:t>A property developer or a close associate commits an offence if the property developer or close associate gives a gift to a political entity and, at the time the gift is given, the property developer or close associate has a relevant planning application which is not yet decided or has made three or more applications in the preceding seven years.</w:t>
      </w:r>
    </w:p>
    <w:p w14:paraId="73EFF3EF" w14:textId="13EE0E25" w:rsidR="004F3EFF" w:rsidRPr="0042288E" w:rsidRDefault="0042288E" w:rsidP="007D24C4">
      <w:pPr>
        <w:pStyle w:val="ListParagraph"/>
        <w:tabs>
          <w:tab w:val="left" w:pos="425"/>
          <w:tab w:val="left" w:pos="567"/>
        </w:tabs>
        <w:spacing w:before="120" w:after="120" w:line="276" w:lineRule="auto"/>
        <w:ind w:left="0"/>
      </w:pPr>
      <w:r w:rsidRPr="00D34D9E">
        <w:t xml:space="preserve">A </w:t>
      </w:r>
      <w:r w:rsidRPr="00D34D9E">
        <w:rPr>
          <w:b/>
          <w:i/>
        </w:rPr>
        <w:t>p</w:t>
      </w:r>
      <w:r w:rsidR="004F3EFF" w:rsidRPr="00D34D9E">
        <w:rPr>
          <w:b/>
          <w:i/>
        </w:rPr>
        <w:t>roperty developer</w:t>
      </w:r>
      <w:r w:rsidRPr="00D34D9E">
        <w:t xml:space="preserve"> is</w:t>
      </w:r>
      <w:r w:rsidR="00287E08" w:rsidRPr="00D34D9E">
        <w:t xml:space="preserve"> defined as </w:t>
      </w:r>
      <w:r w:rsidR="002B1CC3" w:rsidRPr="00D34D9E">
        <w:t xml:space="preserve">a corporation that carries on a business involving the </w:t>
      </w:r>
      <w:r w:rsidR="005A2011" w:rsidRPr="00D34D9E">
        <w:t xml:space="preserve">residential or commercial </w:t>
      </w:r>
      <w:r w:rsidR="002B1CC3" w:rsidRPr="00D34D9E">
        <w:t>development of land to sell or lease for profit.</w:t>
      </w:r>
    </w:p>
    <w:p w14:paraId="545EDFB6" w14:textId="4E8B2A25" w:rsidR="002B1CC3" w:rsidRPr="000A1383" w:rsidRDefault="002B1CC3" w:rsidP="007D24C4">
      <w:pPr>
        <w:pStyle w:val="ListParagraph"/>
        <w:tabs>
          <w:tab w:val="left" w:pos="425"/>
          <w:tab w:val="left" w:pos="567"/>
        </w:tabs>
        <w:spacing w:before="120" w:after="120" w:line="276" w:lineRule="auto"/>
        <w:ind w:left="0"/>
      </w:pPr>
      <w:r w:rsidRPr="000A1383">
        <w:t>This is intended to cover for-profit companies whose core business is the development of residential or commercial land to on-sell or lease. The ban is not intended to cover not-for profit companies</w:t>
      </w:r>
      <w:r w:rsidR="00D636F1">
        <w:t xml:space="preserve">.  </w:t>
      </w:r>
      <w:r w:rsidRPr="000A1383">
        <w:t xml:space="preserve"> </w:t>
      </w:r>
    </w:p>
    <w:p w14:paraId="7F22351B" w14:textId="6D15B3D9" w:rsidR="002B1CC3" w:rsidRPr="00CF791F" w:rsidRDefault="002B1CC3" w:rsidP="007D24C4">
      <w:pPr>
        <w:pStyle w:val="ListParagraph"/>
        <w:tabs>
          <w:tab w:val="left" w:pos="425"/>
          <w:tab w:val="left" w:pos="567"/>
        </w:tabs>
        <w:spacing w:before="120" w:after="120" w:line="276" w:lineRule="auto"/>
        <w:ind w:left="0"/>
        <w:rPr>
          <w:iCs/>
        </w:rPr>
      </w:pPr>
      <w:r w:rsidRPr="00CF791F">
        <w:t xml:space="preserve">To this end the </w:t>
      </w:r>
      <w:r w:rsidR="0042288E">
        <w:t xml:space="preserve">definition of </w:t>
      </w:r>
      <w:r w:rsidR="0042288E" w:rsidRPr="00CF791F">
        <w:rPr>
          <w:b/>
          <w:i/>
        </w:rPr>
        <w:t>property developer</w:t>
      </w:r>
      <w:r w:rsidRPr="00CF791F">
        <w:t xml:space="preserve"> explicitly excludes incorporated associations under the </w:t>
      </w:r>
      <w:r w:rsidRPr="00CF791F">
        <w:rPr>
          <w:i/>
          <w:iCs/>
        </w:rPr>
        <w:t xml:space="preserve">Associations Incorporation Act 1991 </w:t>
      </w:r>
      <w:r w:rsidRPr="00CF791F">
        <w:rPr>
          <w:iCs/>
        </w:rPr>
        <w:t xml:space="preserve">which already have restrictions on their ability to carry on business for pecuniary gain for members, </w:t>
      </w:r>
      <w:r w:rsidR="0042288E">
        <w:rPr>
          <w:iCs/>
        </w:rPr>
        <w:t xml:space="preserve">and also </w:t>
      </w:r>
      <w:r w:rsidRPr="00CF791F">
        <w:rPr>
          <w:iCs/>
        </w:rPr>
        <w:t xml:space="preserve">excludes </w:t>
      </w:r>
      <w:r w:rsidR="0042288E">
        <w:rPr>
          <w:iCs/>
        </w:rPr>
        <w:t xml:space="preserve">other </w:t>
      </w:r>
      <w:r w:rsidRPr="00CF791F">
        <w:rPr>
          <w:iCs/>
        </w:rPr>
        <w:t>not-for-profit corporations</w:t>
      </w:r>
      <w:r w:rsidR="0042288E">
        <w:rPr>
          <w:iCs/>
        </w:rPr>
        <w:t xml:space="preserve">, such as a company limited by guarantee </w:t>
      </w:r>
      <w:r w:rsidR="00B1769D">
        <w:rPr>
          <w:iCs/>
        </w:rPr>
        <w:t xml:space="preserve">that </w:t>
      </w:r>
      <w:r w:rsidR="0042288E">
        <w:rPr>
          <w:iCs/>
        </w:rPr>
        <w:t>is not formed or carried on with the object of trading or obtaining pecuniary gain for its members</w:t>
      </w:r>
      <w:r w:rsidR="005A2011">
        <w:rPr>
          <w:iCs/>
        </w:rPr>
        <w:t xml:space="preserve"> or corporations registered with the Australian Charities and Not-for-profits Commission</w:t>
      </w:r>
      <w:r w:rsidRPr="00CF791F">
        <w:rPr>
          <w:iCs/>
        </w:rPr>
        <w:t xml:space="preserve">. </w:t>
      </w:r>
    </w:p>
    <w:p w14:paraId="1409549A" w14:textId="2EA16B19" w:rsidR="002B1CC3" w:rsidRPr="0042288E" w:rsidRDefault="002B1CC3" w:rsidP="007D24C4">
      <w:pPr>
        <w:pStyle w:val="ListParagraph"/>
        <w:tabs>
          <w:tab w:val="left" w:pos="425"/>
          <w:tab w:val="left" w:pos="567"/>
        </w:tabs>
        <w:spacing w:before="120" w:after="120" w:line="276" w:lineRule="auto"/>
        <w:ind w:left="0"/>
        <w:rPr>
          <w:highlight w:val="yellow"/>
        </w:rPr>
      </w:pPr>
      <w:r w:rsidRPr="00FF1828">
        <w:rPr>
          <w:iCs/>
        </w:rPr>
        <w:t xml:space="preserve">The definition </w:t>
      </w:r>
      <w:r w:rsidR="00D636F1">
        <w:rPr>
          <w:iCs/>
        </w:rPr>
        <w:t xml:space="preserve">of property developer </w:t>
      </w:r>
      <w:r w:rsidRPr="00FF1828">
        <w:rPr>
          <w:iCs/>
        </w:rPr>
        <w:t xml:space="preserve">will also exclude classes of corporation prescribed by regulation or determined by the Electoral Commission to not meet the definition, in accordance with the </w:t>
      </w:r>
      <w:r w:rsidR="005A2011" w:rsidRPr="00FF1828">
        <w:rPr>
          <w:iCs/>
        </w:rPr>
        <w:t>de</w:t>
      </w:r>
      <w:r w:rsidR="005A2011">
        <w:rPr>
          <w:iCs/>
        </w:rPr>
        <w:t>claration</w:t>
      </w:r>
      <w:r w:rsidR="005A2011" w:rsidRPr="00FF1828">
        <w:rPr>
          <w:iCs/>
        </w:rPr>
        <w:t xml:space="preserve"> </w:t>
      </w:r>
      <w:r w:rsidRPr="00FF1828">
        <w:rPr>
          <w:iCs/>
        </w:rPr>
        <w:t>power in s222</w:t>
      </w:r>
      <w:r w:rsidR="000A1383">
        <w:rPr>
          <w:iCs/>
        </w:rPr>
        <w:t>I</w:t>
      </w:r>
      <w:r w:rsidRPr="00FF1828">
        <w:rPr>
          <w:iCs/>
        </w:rPr>
        <w:t>.</w:t>
      </w:r>
    </w:p>
    <w:p w14:paraId="2F36B1C3" w14:textId="6283D4C0" w:rsidR="00D91BE2" w:rsidRPr="0042288E" w:rsidRDefault="00FF1828" w:rsidP="007D24C4">
      <w:pPr>
        <w:spacing w:before="120" w:after="120"/>
      </w:pPr>
      <w:r>
        <w:t xml:space="preserve">A </w:t>
      </w:r>
      <w:r w:rsidRPr="000A1383">
        <w:rPr>
          <w:b/>
          <w:i/>
        </w:rPr>
        <w:t>c</w:t>
      </w:r>
      <w:r w:rsidR="00D91BE2" w:rsidRPr="000A1383">
        <w:rPr>
          <w:b/>
          <w:i/>
        </w:rPr>
        <w:t>lose associate</w:t>
      </w:r>
      <w:r w:rsidRPr="000A1383">
        <w:rPr>
          <w:b/>
          <w:i/>
        </w:rPr>
        <w:t xml:space="preserve"> </w:t>
      </w:r>
      <w:r>
        <w:t>is</w:t>
      </w:r>
      <w:r w:rsidR="00D91BE2" w:rsidRPr="0042288E">
        <w:t xml:space="preserve"> defined</w:t>
      </w:r>
      <w:r w:rsidR="00D91BE2" w:rsidRPr="00FF1828">
        <w:t xml:space="preserve"> </w:t>
      </w:r>
      <w:r w:rsidR="00D91BE2" w:rsidRPr="000A1383">
        <w:rPr>
          <w:bCs/>
        </w:rPr>
        <w:t>as meaning a related body corporate, a director of the corporation or related body corporate, a person who has over 20% voting power in the corporation</w:t>
      </w:r>
      <w:r>
        <w:rPr>
          <w:bCs/>
        </w:rPr>
        <w:t xml:space="preserve"> or a related body corporate</w:t>
      </w:r>
      <w:r w:rsidR="00D91BE2" w:rsidRPr="000A1383">
        <w:rPr>
          <w:bCs/>
        </w:rPr>
        <w:t>, a domestic partner of a director, or person with more than 20 % voting power, a stapled entity of the corporation, a person who is a beneficiary or holds more than 20% of the units in a trust managed by corporation.</w:t>
      </w:r>
    </w:p>
    <w:p w14:paraId="11F03AD8" w14:textId="6EAE50DE" w:rsidR="00D91BE2" w:rsidRDefault="00FF1828" w:rsidP="007D24C4">
      <w:pPr>
        <w:spacing w:before="120" w:after="120"/>
      </w:pPr>
      <w:r>
        <w:t xml:space="preserve">A </w:t>
      </w:r>
      <w:r w:rsidRPr="000A1383">
        <w:rPr>
          <w:b/>
          <w:i/>
        </w:rPr>
        <w:t>r</w:t>
      </w:r>
      <w:r w:rsidR="0030136E" w:rsidRPr="000A1383">
        <w:rPr>
          <w:b/>
          <w:i/>
        </w:rPr>
        <w:t>elevant planning application</w:t>
      </w:r>
      <w:r w:rsidR="00D91BE2" w:rsidRPr="000A1383">
        <w:rPr>
          <w:b/>
          <w:i/>
        </w:rPr>
        <w:t xml:space="preserve"> </w:t>
      </w:r>
      <w:r>
        <w:rPr>
          <w:bCs/>
        </w:rPr>
        <w:t>includes</w:t>
      </w:r>
      <w:r w:rsidR="00D91BE2" w:rsidRPr="00FF1828">
        <w:rPr>
          <w:bCs/>
        </w:rPr>
        <w:t xml:space="preserve"> not only planning applications and associated applications in the merit and impact tracks under the </w:t>
      </w:r>
      <w:r w:rsidR="00D91BE2" w:rsidRPr="005A2011">
        <w:rPr>
          <w:bCs/>
          <w:i/>
        </w:rPr>
        <w:t>Planning and Development Act 2007</w:t>
      </w:r>
      <w:r w:rsidR="00D91BE2" w:rsidRPr="00FF1828">
        <w:rPr>
          <w:bCs/>
        </w:rPr>
        <w:t xml:space="preserve">, but other applications or requests to the Minister or planning and land authority to </w:t>
      </w:r>
      <w:r w:rsidR="00D91BE2" w:rsidRPr="00FF1828">
        <w:t xml:space="preserve">make a variation, special variation or technical amendment to the territory plan, or call-in or make exemptions from processes required under the Planning and Development Act. It will also cover any other application, request or action under the Planning and Development Act prescribed by </w:t>
      </w:r>
      <w:r w:rsidR="00D91BE2" w:rsidRPr="0042288E">
        <w:t>regulation.</w:t>
      </w:r>
    </w:p>
    <w:p w14:paraId="7C9527FE" w14:textId="35EFCBA6" w:rsidR="005B4D3F" w:rsidRDefault="005B4D3F" w:rsidP="007D24C4">
      <w:pPr>
        <w:spacing w:before="120" w:after="120"/>
        <w:rPr>
          <w:i/>
        </w:rPr>
      </w:pPr>
      <w:r>
        <w:rPr>
          <w:i/>
        </w:rPr>
        <w:t>Fundraising contribution</w:t>
      </w:r>
      <w:r w:rsidR="00325505">
        <w:rPr>
          <w:i/>
        </w:rPr>
        <w:t>s</w:t>
      </w:r>
      <w:r>
        <w:rPr>
          <w:i/>
        </w:rPr>
        <w:t xml:space="preserve"> in the definition of gift</w:t>
      </w:r>
    </w:p>
    <w:p w14:paraId="6FCDADD9" w14:textId="71AFC384" w:rsidR="005B4D3F" w:rsidRPr="00322AB5" w:rsidRDefault="005B4D3F" w:rsidP="007D24C4">
      <w:pPr>
        <w:spacing w:before="120" w:after="120"/>
      </w:pPr>
      <w:r w:rsidRPr="00322AB5">
        <w:t>The Select Committee into the 2016 ACT Election and ACT Electoral Act recommended including the first $250 of any single fundraising event contribution in the definition of a gift (Recommendation 3). The Government agreed to this recommendation. Currently any contribution of less than $250 or the first $250 of a contribution greater than $250 is not considered to be a gift. The Bill amends s 198AA which defines ‘gift’ to remove the distinction in amounts from fundraising contributions, and provide that any contribution to a single fundraising event must be disclosed.</w:t>
      </w:r>
    </w:p>
    <w:p w14:paraId="4F8AB5CF" w14:textId="7BB89CB0" w:rsidR="000D47D2" w:rsidRPr="00322AB5" w:rsidRDefault="000D47D2" w:rsidP="007D24C4">
      <w:pPr>
        <w:tabs>
          <w:tab w:val="left" w:pos="425"/>
          <w:tab w:val="left" w:pos="567"/>
        </w:tabs>
        <w:spacing w:before="120" w:after="120"/>
        <w:rPr>
          <w:i/>
        </w:rPr>
      </w:pPr>
      <w:r w:rsidRPr="00322AB5">
        <w:rPr>
          <w:i/>
        </w:rPr>
        <w:t>Year round reporting</w:t>
      </w:r>
      <w:r w:rsidR="00FF1828">
        <w:rPr>
          <w:i/>
        </w:rPr>
        <w:t xml:space="preserve"> of donations within seven days</w:t>
      </w:r>
    </w:p>
    <w:p w14:paraId="5AD1013D" w14:textId="745FF655" w:rsidR="004C623C" w:rsidRPr="00322AB5" w:rsidRDefault="004C623C" w:rsidP="007D24C4">
      <w:pPr>
        <w:tabs>
          <w:tab w:val="left" w:pos="425"/>
          <w:tab w:val="left" w:pos="567"/>
        </w:tabs>
        <w:spacing w:before="120" w:after="120"/>
      </w:pPr>
      <w:r w:rsidRPr="00322AB5">
        <w:t xml:space="preserve">The Select Committee also recommended that the ACT maintain its current donation reporting timeframe model where parties and candidates must disclose all gifts and loans totalling $1000 or </w:t>
      </w:r>
      <w:r w:rsidRPr="00B83574">
        <w:t xml:space="preserve">more </w:t>
      </w:r>
      <w:r w:rsidR="00FF1828" w:rsidRPr="00D34D9E">
        <w:t>no</w:t>
      </w:r>
      <w:r w:rsidR="00B1769D" w:rsidRPr="00D34D9E">
        <w:t>t</w:t>
      </w:r>
      <w:r w:rsidR="00FF1828" w:rsidRPr="00D34D9E">
        <w:t xml:space="preserve"> later than</w:t>
      </w:r>
      <w:r w:rsidRPr="00322AB5">
        <w:t xml:space="preserve"> seven days</w:t>
      </w:r>
      <w:r w:rsidR="00FF1828">
        <w:t xml:space="preserve"> after the </w:t>
      </w:r>
      <w:r w:rsidR="00B1769D">
        <w:t xml:space="preserve">day </w:t>
      </w:r>
      <w:r w:rsidR="00FF1828">
        <w:t>$1000 threshold is reached</w:t>
      </w:r>
      <w:r w:rsidRPr="00322AB5">
        <w:t>, from 1 July through to polling day in an election year (Recommendation 9).</w:t>
      </w:r>
    </w:p>
    <w:p w14:paraId="1F295A41" w14:textId="5524FAA4" w:rsidR="004C623C" w:rsidRPr="00322AB5" w:rsidRDefault="004C623C" w:rsidP="007D24C4">
      <w:pPr>
        <w:tabs>
          <w:tab w:val="left" w:pos="425"/>
          <w:tab w:val="left" w:pos="567"/>
        </w:tabs>
        <w:spacing w:before="120" w:after="120"/>
      </w:pPr>
      <w:r w:rsidRPr="00322AB5">
        <w:t xml:space="preserve">The Government agreed in principle with this recommendation but indicated it would seek to apply the seven day timeframe to all disclosure and reporting throughout the year, not just that applying between 1 July and polling day in an election year consistent with the approach taken in the Queensland </w:t>
      </w:r>
      <w:r w:rsidRPr="00322AB5">
        <w:rPr>
          <w:i/>
        </w:rPr>
        <w:t>Electoral Act 1992</w:t>
      </w:r>
      <w:r w:rsidRPr="00322AB5">
        <w:t>. The Electoral Commission typically publishes gift reports within 24 hours of receiving them from parties, candidates and other entities. Th</w:t>
      </w:r>
      <w:r w:rsidR="00C2611A">
        <w:t xml:space="preserve">e </w:t>
      </w:r>
      <w:r w:rsidRPr="00322AB5">
        <w:t>change</w:t>
      </w:r>
      <w:r w:rsidR="00C2611A">
        <w:t xml:space="preserve"> made by this Bill</w:t>
      </w:r>
      <w:r w:rsidRPr="00322AB5">
        <w:t xml:space="preserve"> will mean that the public will be able to see donations received, within 8 </w:t>
      </w:r>
      <w:r w:rsidR="00287E08">
        <w:t xml:space="preserve">– 9 </w:t>
      </w:r>
      <w:r w:rsidRPr="00322AB5">
        <w:t xml:space="preserve">days of a gift over the threshold being received. </w:t>
      </w:r>
    </w:p>
    <w:p w14:paraId="107821F8" w14:textId="6A16E5F8" w:rsidR="004C623C" w:rsidRDefault="004C623C" w:rsidP="007D24C4">
      <w:pPr>
        <w:tabs>
          <w:tab w:val="left" w:pos="425"/>
          <w:tab w:val="left" w:pos="567"/>
        </w:tabs>
        <w:spacing w:before="120" w:after="120"/>
      </w:pPr>
      <w:r>
        <w:t>This will support greater transparency throughout the year, reflecting that gifts and the potential for influence and access</w:t>
      </w:r>
      <w:r w:rsidR="000D47D2">
        <w:t xml:space="preserve"> occur not only in the lead up to elections but all year round.</w:t>
      </w:r>
    </w:p>
    <w:p w14:paraId="22092505" w14:textId="0B81444C" w:rsidR="00287E08" w:rsidRPr="00322AB5" w:rsidRDefault="00287E08" w:rsidP="007D24C4">
      <w:pPr>
        <w:tabs>
          <w:tab w:val="left" w:pos="425"/>
          <w:tab w:val="left" w:pos="567"/>
        </w:tabs>
        <w:spacing w:before="120" w:after="120"/>
      </w:pPr>
      <w:r>
        <w:t>The Bill will also require each and any additional donations after the threshold is reached to be reported on a rolling basis throughout the financial year (for a party grouping) or other applicable relevant disclosure period. This means that there will be no lag in reporting of additional donations, as occurs currently where additional donations are only reported when the next $1000 threshold increment is reached.</w:t>
      </w:r>
    </w:p>
    <w:p w14:paraId="18511F96" w14:textId="77777777" w:rsidR="006F170E" w:rsidRPr="00D6332A" w:rsidRDefault="006F170E" w:rsidP="007D24C4">
      <w:pPr>
        <w:pStyle w:val="Heading2"/>
        <w:keepNext/>
        <w:keepLines/>
        <w:spacing w:before="120" w:after="120"/>
      </w:pPr>
      <w:r w:rsidRPr="00D6332A">
        <w:t>HUMAN RIGHTS IMPLICATIONS</w:t>
      </w:r>
    </w:p>
    <w:p w14:paraId="7B357769" w14:textId="6FCBC97F" w:rsidR="006F170E" w:rsidRDefault="006F170E" w:rsidP="007D24C4">
      <w:pPr>
        <w:keepNext/>
        <w:keepLines/>
        <w:spacing w:before="120" w:after="120"/>
      </w:pPr>
      <w:r>
        <w:t>The Bill is drafted to be</w:t>
      </w:r>
      <w:r w:rsidRPr="00944C9D">
        <w:t xml:space="preserve"> compatibl</w:t>
      </w:r>
      <w:r>
        <w:t>e</w:t>
      </w:r>
      <w:r w:rsidRPr="00944C9D">
        <w:t xml:space="preserve"> with human rights as set out in the </w:t>
      </w:r>
      <w:r w:rsidRPr="00944C9D">
        <w:rPr>
          <w:i/>
        </w:rPr>
        <w:t>Human Rights Act 2004</w:t>
      </w:r>
      <w:r w:rsidRPr="00944C9D">
        <w:t xml:space="preserve"> (HRA). </w:t>
      </w:r>
      <w:r>
        <w:t xml:space="preserve">Rights under the HRA may be </w:t>
      </w:r>
      <w:r w:rsidR="00052E31">
        <w:t>subject to reasonable limits set by laws that are demonstrably justifiable in a free and democratic society</w:t>
      </w:r>
      <w:r w:rsidR="0030136E">
        <w:t xml:space="preserve"> (s 28(1) HRA)</w:t>
      </w:r>
      <w:r w:rsidR="00052E31">
        <w:t>. L</w:t>
      </w:r>
      <w:r>
        <w:t xml:space="preserve">imitations </w:t>
      </w:r>
      <w:r w:rsidR="00052E31">
        <w:t>will be</w:t>
      </w:r>
      <w:r>
        <w:t xml:space="preserve"> reasonable</w:t>
      </w:r>
      <w:r w:rsidR="00052E31">
        <w:t xml:space="preserve"> if they are balanced, appropriately adapted and</w:t>
      </w:r>
      <w:r>
        <w:t xml:space="preserve"> proportionate. Section 28</w:t>
      </w:r>
      <w:r w:rsidR="0030136E">
        <w:t>(2)</w:t>
      </w:r>
      <w:r>
        <w:t xml:space="preserve"> of the HRA sets out the criteria for determining if a limitation is reasonable including considering the purpose of the limitation and if the limitation is the least restrictive to achieve that purpose. </w:t>
      </w:r>
    </w:p>
    <w:p w14:paraId="5C7F3918" w14:textId="31085027" w:rsidR="00052E31" w:rsidRDefault="006F170E" w:rsidP="007D24C4">
      <w:pPr>
        <w:spacing w:before="120" w:after="120"/>
        <w:rPr>
          <w:i/>
        </w:rPr>
      </w:pPr>
      <w:r>
        <w:t>The Bill achieves an important purpose overall, as it supports transparency and confidence in public administration in accordance with community expectations.</w:t>
      </w:r>
      <w:r w:rsidR="00052E31">
        <w:t xml:space="preserve"> The Bill strengthens the integrity of the electoral system, and in doing so supports the rights to equality of opportunity and rights to public participation in public life, by reducing the </w:t>
      </w:r>
      <w:r w:rsidR="00163744">
        <w:t xml:space="preserve">risks of </w:t>
      </w:r>
      <w:r w:rsidR="00052E31">
        <w:t xml:space="preserve">undue influence of </w:t>
      </w:r>
      <w:r w:rsidR="00D636F1">
        <w:t xml:space="preserve">the </w:t>
      </w:r>
      <w:r w:rsidR="00052E31">
        <w:t>property development industry</w:t>
      </w:r>
      <w:r>
        <w:t xml:space="preserve"> </w:t>
      </w:r>
      <w:r w:rsidR="00052E31">
        <w:t>on the ACT electoral process, which is a key part of a free and representative democracy.</w:t>
      </w:r>
    </w:p>
    <w:p w14:paraId="3DDDD431" w14:textId="77777777" w:rsidR="006F170E" w:rsidRPr="00052C8A" w:rsidRDefault="006F170E" w:rsidP="007D24C4">
      <w:pPr>
        <w:spacing w:before="120" w:after="120"/>
      </w:pPr>
      <w:r w:rsidRPr="00052C8A">
        <w:t xml:space="preserve">This Bill engages a number of rights protected under the HRA, </w:t>
      </w:r>
      <w:r w:rsidR="00AA0271">
        <w:t>including the following</w:t>
      </w:r>
      <w:r w:rsidRPr="00052C8A">
        <w:t xml:space="preserve">: </w:t>
      </w:r>
    </w:p>
    <w:p w14:paraId="3B29BFDE" w14:textId="7CD006C0" w:rsidR="006F170E" w:rsidRPr="00596EEC" w:rsidRDefault="00A45360" w:rsidP="007D24C4">
      <w:pPr>
        <w:pStyle w:val="ListParagraph"/>
        <w:numPr>
          <w:ilvl w:val="0"/>
          <w:numId w:val="14"/>
        </w:numPr>
        <w:spacing w:before="120" w:after="120" w:line="276" w:lineRule="auto"/>
      </w:pPr>
      <w:r>
        <w:t xml:space="preserve">supports and </w:t>
      </w:r>
      <w:r w:rsidR="006F170E" w:rsidRPr="00596EEC">
        <w:t xml:space="preserve">limits section 8 – recognition and equality before the law </w:t>
      </w:r>
    </w:p>
    <w:p w14:paraId="7B951D40" w14:textId="6220F6B3" w:rsidR="006F170E" w:rsidRPr="00596EEC" w:rsidRDefault="00233057" w:rsidP="007D24C4">
      <w:pPr>
        <w:pStyle w:val="ListParagraph"/>
        <w:numPr>
          <w:ilvl w:val="0"/>
          <w:numId w:val="14"/>
        </w:numPr>
        <w:spacing w:before="120" w:after="120" w:line="276" w:lineRule="auto"/>
      </w:pPr>
      <w:r>
        <w:t xml:space="preserve">supports and </w:t>
      </w:r>
      <w:r w:rsidR="006F170E" w:rsidRPr="00596EEC">
        <w:t>limits section 16 –</w:t>
      </w:r>
      <w:r w:rsidR="006F170E">
        <w:t xml:space="preserve"> </w:t>
      </w:r>
      <w:r w:rsidR="006F170E" w:rsidRPr="00596EEC">
        <w:t>freedom of expression</w:t>
      </w:r>
    </w:p>
    <w:p w14:paraId="22901BA9" w14:textId="1AD432ED" w:rsidR="006F170E" w:rsidRPr="00596EEC" w:rsidRDefault="00A45360" w:rsidP="007D24C4">
      <w:pPr>
        <w:pStyle w:val="ListParagraph"/>
        <w:numPr>
          <w:ilvl w:val="0"/>
          <w:numId w:val="14"/>
        </w:numPr>
        <w:spacing w:before="120" w:after="120" w:line="276" w:lineRule="auto"/>
      </w:pPr>
      <w:r>
        <w:t xml:space="preserve">supports and </w:t>
      </w:r>
      <w:r w:rsidR="006F170E" w:rsidRPr="00596EEC">
        <w:t xml:space="preserve">limits section 17 </w:t>
      </w:r>
      <w:r w:rsidR="006F170E">
        <w:t xml:space="preserve">- </w:t>
      </w:r>
      <w:r w:rsidR="006F170E" w:rsidRPr="00596EEC">
        <w:t>participation in public life</w:t>
      </w:r>
    </w:p>
    <w:p w14:paraId="128A9923" w14:textId="421C04B1" w:rsidR="006F170E" w:rsidRPr="00D34D9E" w:rsidRDefault="006F170E" w:rsidP="007D24C4">
      <w:pPr>
        <w:pStyle w:val="Heading6"/>
        <w:spacing w:before="120" w:after="120"/>
        <w:rPr>
          <w:rFonts w:asciiTheme="minorHAnsi" w:hAnsiTheme="minorHAnsi"/>
        </w:rPr>
      </w:pPr>
      <w:r w:rsidRPr="00D34D9E">
        <w:rPr>
          <w:rFonts w:asciiTheme="minorHAnsi" w:hAnsiTheme="minorHAnsi"/>
        </w:rPr>
        <w:t xml:space="preserve">Section 8 – Right to Equality </w:t>
      </w:r>
    </w:p>
    <w:p w14:paraId="3AFA4225" w14:textId="5671E132" w:rsidR="00287E08" w:rsidRDefault="0030136E" w:rsidP="007D24C4">
      <w:pPr>
        <w:spacing w:before="120" w:after="120"/>
      </w:pPr>
      <w:r>
        <w:t>The prohibition on gifts from property developers</w:t>
      </w:r>
      <w:r w:rsidR="00163744">
        <w:t xml:space="preserve"> and close associates</w:t>
      </w:r>
      <w:r>
        <w:t xml:space="preserve"> limits</w:t>
      </w:r>
      <w:r w:rsidR="006F170E" w:rsidRPr="006278F7">
        <w:t xml:space="preserve"> the right to equality, as it </w:t>
      </w:r>
      <w:r>
        <w:t xml:space="preserve">imposes a restriction on one class of </w:t>
      </w:r>
      <w:r w:rsidR="001652EE">
        <w:t>individuals (</w:t>
      </w:r>
      <w:r w:rsidR="001652EE" w:rsidRPr="00322AB5">
        <w:t>noting that corporations have no human rights)</w:t>
      </w:r>
      <w:r>
        <w:t xml:space="preserve"> based on their profession or their association with particular industry members. </w:t>
      </w:r>
      <w:r w:rsidR="006F170E" w:rsidRPr="006278F7">
        <w:t xml:space="preserve"> </w:t>
      </w:r>
      <w:r w:rsidR="006F170E">
        <w:t xml:space="preserve">Section 8 of the HRA provides </w:t>
      </w:r>
      <w:r w:rsidR="006F170E" w:rsidRPr="00BD77C1">
        <w:t xml:space="preserve">that everyone is entitled </w:t>
      </w:r>
      <w:r w:rsidR="00CB74B0">
        <w:t>enjoy his or her human rights without discrimination</w:t>
      </w:r>
      <w:r w:rsidR="006F170E">
        <w:t xml:space="preserve">. </w:t>
      </w:r>
      <w:r w:rsidR="00DD3695" w:rsidRPr="00322AB5">
        <w:t xml:space="preserve">No particular people or groups are currently banned from making gifts under the Electoral Act. </w:t>
      </w:r>
    </w:p>
    <w:p w14:paraId="72AB70E5" w14:textId="69D91154" w:rsidR="00DD3695" w:rsidRDefault="00A45360" w:rsidP="007D24C4">
      <w:pPr>
        <w:spacing w:before="120" w:after="120"/>
      </w:pPr>
      <w:r>
        <w:t>However, arguably the current ability of property donors</w:t>
      </w:r>
      <w:r w:rsidR="00163744">
        <w:t xml:space="preserve"> and their close associates</w:t>
      </w:r>
      <w:r>
        <w:t xml:space="preserve"> to make large donations</w:t>
      </w:r>
      <w:r w:rsidR="00782179">
        <w:t>, sometimes to multiple parties,</w:t>
      </w:r>
      <w:r>
        <w:t xml:space="preserve"> “undermines the fundamental principle of political equality—that each citizen has equal political status, irrespective of their economic and social class”.</w:t>
      </w:r>
      <w:r>
        <w:rPr>
          <w:rStyle w:val="FootnoteReference"/>
        </w:rPr>
        <w:footnoteReference w:id="4"/>
      </w:r>
      <w:r w:rsidR="00287E08">
        <w:t xml:space="preserve"> </w:t>
      </w:r>
    </w:p>
    <w:p w14:paraId="5D0C1380" w14:textId="05344D53" w:rsidR="001652EE" w:rsidRPr="00322AB5" w:rsidRDefault="00A84169" w:rsidP="007D24C4">
      <w:pPr>
        <w:keepNext/>
        <w:keepLines/>
        <w:spacing w:before="120" w:after="120"/>
        <w:rPr>
          <w:i/>
        </w:rPr>
      </w:pPr>
      <w:r w:rsidRPr="00322AB5">
        <w:rPr>
          <w:i/>
        </w:rPr>
        <w:t>Nature of the right</w:t>
      </w:r>
    </w:p>
    <w:p w14:paraId="095B0DFD" w14:textId="26F7C395" w:rsidR="00A84169" w:rsidRDefault="00A84169" w:rsidP="007D24C4">
      <w:pPr>
        <w:keepNext/>
        <w:keepLines/>
        <w:spacing w:before="120" w:after="120"/>
      </w:pPr>
      <w:r>
        <w:t xml:space="preserve">The right to equality is a fundamental right but can be subject to reasonable and justifiable limits. It is recognised that the ban applies to a restricted class of people, who would </w:t>
      </w:r>
      <w:r w:rsidR="00EA6745">
        <w:t xml:space="preserve">otherwise </w:t>
      </w:r>
      <w:r>
        <w:t xml:space="preserve">be able to make donations apart from the legislation. </w:t>
      </w:r>
      <w:r w:rsidR="00EA6745">
        <w:t>Other classes of profession with</w:t>
      </w:r>
      <w:r w:rsidR="00487D6E">
        <w:t xml:space="preserve"> </w:t>
      </w:r>
      <w:r w:rsidR="00D636F1">
        <w:t>potential</w:t>
      </w:r>
      <w:r w:rsidR="00EA6745">
        <w:t xml:space="preserve"> reliance on government decision making</w:t>
      </w:r>
      <w:r w:rsidR="00487D6E">
        <w:t xml:space="preserve"> and spending</w:t>
      </w:r>
      <w:r w:rsidR="00EA6745">
        <w:t>, such as consultants and advisory services will not be prevented from donating.</w:t>
      </w:r>
    </w:p>
    <w:p w14:paraId="2F6E30E2" w14:textId="477ABF5F" w:rsidR="00287E08" w:rsidRDefault="00EA6745" w:rsidP="007D24C4">
      <w:pPr>
        <w:spacing w:before="120" w:after="120"/>
      </w:pPr>
      <w:r>
        <w:t xml:space="preserve">However </w:t>
      </w:r>
      <w:r w:rsidR="00913FE2">
        <w:t>arguably the right that is restricted for property developers</w:t>
      </w:r>
      <w:r w:rsidR="00163744">
        <w:t xml:space="preserve"> and close associates</w:t>
      </w:r>
      <w:r w:rsidR="003D698C">
        <w:t xml:space="preserve"> (noting that only individuals and not corporations have human rights</w:t>
      </w:r>
      <w:r w:rsidR="00287E08">
        <w:t xml:space="preserve"> – see s 6 of the </w:t>
      </w:r>
      <w:r w:rsidR="00287E08" w:rsidRPr="00287E08">
        <w:rPr>
          <w:i/>
        </w:rPr>
        <w:t>Human Rights Act 2004</w:t>
      </w:r>
      <w:r w:rsidR="003D698C">
        <w:t>)</w:t>
      </w:r>
      <w:r w:rsidR="00913FE2">
        <w:t xml:space="preserve">, being the ability to make donations, is not an element of the right to freedom of expression or the right to take part in public life. </w:t>
      </w:r>
    </w:p>
    <w:p w14:paraId="315FF524" w14:textId="77777777" w:rsidR="00287E08" w:rsidRDefault="00AF3920" w:rsidP="007D24C4">
      <w:pPr>
        <w:spacing w:before="120" w:after="120"/>
      </w:pPr>
      <w:r>
        <w:t>There</w:t>
      </w:r>
      <w:r w:rsidR="00913FE2">
        <w:t xml:space="preserve"> is no settled position internationally</w:t>
      </w:r>
      <w:r>
        <w:t xml:space="preserve"> on this question</w:t>
      </w:r>
      <w:r w:rsidR="00913FE2">
        <w:t xml:space="preserve">, with </w:t>
      </w:r>
      <w:r>
        <w:t xml:space="preserve">for example </w:t>
      </w:r>
      <w:r w:rsidR="00913FE2">
        <w:t xml:space="preserve">the US Supreme Court finding that that the making of political donations is an </w:t>
      </w:r>
      <w:r>
        <w:t>element of free expression,</w:t>
      </w:r>
      <w:r>
        <w:rPr>
          <w:rStyle w:val="FootnoteReference"/>
        </w:rPr>
        <w:footnoteReference w:id="5"/>
      </w:r>
      <w:r>
        <w:t xml:space="preserve"> and the Canadian Supreme Court finding that expenditure limits were a justifiable limitation on the right to free expression in service of electoral fairness and meaningful public participation.</w:t>
      </w:r>
      <w:r>
        <w:rPr>
          <w:rStyle w:val="FootnoteReference"/>
        </w:rPr>
        <w:footnoteReference w:id="6"/>
      </w:r>
    </w:p>
    <w:p w14:paraId="0EE5F412" w14:textId="3B39D21F" w:rsidR="00487D6E" w:rsidRDefault="00AF3920" w:rsidP="007D24C4">
      <w:pPr>
        <w:spacing w:before="120" w:after="120"/>
      </w:pPr>
      <w:r>
        <w:t xml:space="preserve"> In Australia the High Court has </w:t>
      </w:r>
      <w:r w:rsidR="003D698C">
        <w:t xml:space="preserve">rejected arguments that </w:t>
      </w:r>
      <w:r w:rsidR="00F30390">
        <w:t>the act of donation is an act of political communication,</w:t>
      </w:r>
      <w:r w:rsidR="00F30390">
        <w:rPr>
          <w:rStyle w:val="FootnoteReference"/>
        </w:rPr>
        <w:footnoteReference w:id="7"/>
      </w:r>
      <w:r w:rsidR="00D20E06">
        <w:t xml:space="preserve"> noting that </w:t>
      </w:r>
      <w:r w:rsidR="003D698C">
        <w:t xml:space="preserve">the ability to make substantial donations is </w:t>
      </w:r>
      <w:r w:rsidR="0004169B">
        <w:t xml:space="preserve">not </w:t>
      </w:r>
      <w:r w:rsidR="003D698C">
        <w:t>part of the freedom o</w:t>
      </w:r>
      <w:r w:rsidR="007D24C4">
        <w:t>f</w:t>
      </w:r>
      <w:r w:rsidR="003D698C">
        <w:t xml:space="preserve"> political communication or expression.</w:t>
      </w:r>
      <w:r w:rsidR="00F30390">
        <w:rPr>
          <w:rStyle w:val="FootnoteReference"/>
        </w:rPr>
        <w:footnoteReference w:id="8"/>
      </w:r>
      <w:r w:rsidR="00487D6E">
        <w:t xml:space="preserve"> Other avenues of political communication and expression that do not involve </w:t>
      </w:r>
      <w:r w:rsidR="00325505">
        <w:t xml:space="preserve">directly </w:t>
      </w:r>
      <w:r w:rsidR="00487D6E">
        <w:t>financing campaigns or giving gifts are not limited.</w:t>
      </w:r>
    </w:p>
    <w:p w14:paraId="15D049C9" w14:textId="62EF8DE4" w:rsidR="00DD3695" w:rsidRPr="00322AB5" w:rsidRDefault="00A84169" w:rsidP="007D24C4">
      <w:pPr>
        <w:spacing w:before="120" w:after="120"/>
        <w:rPr>
          <w:i/>
        </w:rPr>
      </w:pPr>
      <w:r w:rsidRPr="00322AB5">
        <w:rPr>
          <w:i/>
        </w:rPr>
        <w:t>The importance of the limitation</w:t>
      </w:r>
    </w:p>
    <w:p w14:paraId="2EBF07F7" w14:textId="6DD2FBB8" w:rsidR="00937321" w:rsidRDefault="00A84169" w:rsidP="007D24C4">
      <w:pPr>
        <w:spacing w:before="120" w:after="120"/>
      </w:pPr>
      <w:r>
        <w:t>The limitation on property developers</w:t>
      </w:r>
      <w:r w:rsidR="00163744">
        <w:t xml:space="preserve"> and close associates</w:t>
      </w:r>
      <w:r>
        <w:t xml:space="preserve"> is to address the risk of the </w:t>
      </w:r>
      <w:r w:rsidR="00163744">
        <w:t xml:space="preserve">potential for a </w:t>
      </w:r>
      <w:r>
        <w:t>distorting influence of property developer donations</w:t>
      </w:r>
      <w:r w:rsidR="00233057">
        <w:t xml:space="preserve"> on the political system</w:t>
      </w:r>
      <w:r w:rsidR="00163744">
        <w:t>.</w:t>
      </w:r>
      <w:r w:rsidR="00425444">
        <w:t xml:space="preserve"> </w:t>
      </w:r>
      <w:r w:rsidR="00163744">
        <w:t>It</w:t>
      </w:r>
      <w:r w:rsidR="00233057">
        <w:t xml:space="preserve"> supports the rights of a</w:t>
      </w:r>
      <w:r w:rsidR="00163744">
        <w:t>ll</w:t>
      </w:r>
      <w:r w:rsidR="00233057">
        <w:t xml:space="preserve"> Canberrans to have an equal opportunity to participate in the political system</w:t>
      </w:r>
      <w:r w:rsidR="00163744">
        <w:t>.</w:t>
      </w:r>
      <w:r w:rsidR="00233057">
        <w:t xml:space="preserve"> Legislative measures </w:t>
      </w:r>
      <w:r w:rsidR="00937321">
        <w:t xml:space="preserve">are important </w:t>
      </w:r>
      <w:r w:rsidR="00233057">
        <w:t>to ensure that particular voices,</w:t>
      </w:r>
      <w:r w:rsidR="008B56C9">
        <w:t xml:space="preserve"> particularly those from an industry that has been found to be at risk of being involved in corrupt condu</w:t>
      </w:r>
      <w:r w:rsidR="00937321">
        <w:t xml:space="preserve">ct (in both NSW and Queensland) do not dominate the electoral process. </w:t>
      </w:r>
      <w:r w:rsidR="0004169B">
        <w:t>Legislative regulation of the electoral process directed to the protection of the integrity of the process is, therefore, prima facie, legitimate.</w:t>
      </w:r>
      <w:r w:rsidR="0004169B">
        <w:rPr>
          <w:rStyle w:val="FootnoteReference"/>
        </w:rPr>
        <w:footnoteReference w:id="9"/>
      </w:r>
    </w:p>
    <w:p w14:paraId="4915C33B" w14:textId="6FC38CBE" w:rsidR="00A84169" w:rsidRDefault="00937321" w:rsidP="007D24C4">
      <w:pPr>
        <w:spacing w:before="120" w:after="120"/>
      </w:pPr>
      <w:r>
        <w:t>T</w:t>
      </w:r>
      <w:r w:rsidRPr="00937321">
        <w:t xml:space="preserve">he incidence of donations from property developers, </w:t>
      </w:r>
      <w:r>
        <w:t xml:space="preserve">the clear role of the government and executive in planning and development decision making that can result in large profits for property developers, </w:t>
      </w:r>
      <w:r w:rsidRPr="00937321">
        <w:t>and the identified risk of undue influence and the perception of</w:t>
      </w:r>
      <w:r>
        <w:t xml:space="preserve"> undue influence, </w:t>
      </w:r>
      <w:r w:rsidRPr="00937321">
        <w:t xml:space="preserve">means that </w:t>
      </w:r>
      <w:r>
        <w:t>special restrictions on this industry are warranted</w:t>
      </w:r>
      <w:r w:rsidR="00287E08">
        <w:t xml:space="preserve">. Prohibiting gifts from or on behalf of property developers or their close associates will </w:t>
      </w:r>
      <w:r w:rsidR="00382022">
        <w:t>improve public confidence that finances to parties and candidates from property developers are not able to influence the quality, transparency and rigour of decisions within the planning and development framework, which is an essential Executive and government function.</w:t>
      </w:r>
      <w:r w:rsidR="0059604A">
        <w:t xml:space="preserve"> </w:t>
      </w:r>
    </w:p>
    <w:p w14:paraId="278907FA" w14:textId="66215992" w:rsidR="00CB4A8D" w:rsidRDefault="00CB4A8D" w:rsidP="007D24C4">
      <w:pPr>
        <w:spacing w:before="120" w:after="120"/>
      </w:pPr>
      <w:r>
        <w:t>The High Court agreed that the property development industry is a “sufficiently distinct industry to warrant specific regulation in light of the nature of their business activities and the nature of the public powers which they might seek to influence in their self-interest, as history in New South Wales shows”</w:t>
      </w:r>
      <w:r>
        <w:rPr>
          <w:rStyle w:val="FootnoteReference"/>
        </w:rPr>
        <w:footnoteReference w:id="10"/>
      </w:r>
      <w:r>
        <w:t>.</w:t>
      </w:r>
    </w:p>
    <w:p w14:paraId="454B1F92" w14:textId="1E37E78D" w:rsidR="0008366F" w:rsidRPr="00322AB5" w:rsidRDefault="0008366F" w:rsidP="007D24C4">
      <w:pPr>
        <w:spacing w:before="120" w:after="120"/>
        <w:rPr>
          <w:i/>
        </w:rPr>
      </w:pPr>
      <w:r w:rsidRPr="00322AB5">
        <w:rPr>
          <w:i/>
        </w:rPr>
        <w:t>Nature and extent of the limitation</w:t>
      </w:r>
    </w:p>
    <w:p w14:paraId="3D30A679" w14:textId="3D733FF3" w:rsidR="004B056F" w:rsidRDefault="00325505" w:rsidP="007D24C4">
      <w:pPr>
        <w:spacing w:before="120" w:after="120"/>
      </w:pPr>
      <w:r>
        <w:t>The limitation on the right to equality is targeted and not overly restrictive. Only property developers</w:t>
      </w:r>
      <w:r w:rsidR="0030568B">
        <w:t>,</w:t>
      </w:r>
      <w:r>
        <w:t xml:space="preserve"> their close associates </w:t>
      </w:r>
      <w:r w:rsidR="0030568B">
        <w:t xml:space="preserve">or persons giving on behalf of property developers </w:t>
      </w:r>
      <w:r>
        <w:t xml:space="preserve">are prevented from making donations, and only if they </w:t>
      </w:r>
      <w:r w:rsidR="00163744">
        <w:t>are</w:t>
      </w:r>
      <w:r w:rsidR="007D24C4">
        <w:t xml:space="preserve"> </w:t>
      </w:r>
      <w:r w:rsidR="00163744">
        <w:t xml:space="preserve">currently, or </w:t>
      </w:r>
      <w:r>
        <w:t>have recently</w:t>
      </w:r>
      <w:r w:rsidR="00163744">
        <w:t>,</w:t>
      </w:r>
      <w:r>
        <w:t xml:space="preserve"> engaged in </w:t>
      </w:r>
      <w:r w:rsidR="00163744">
        <w:t xml:space="preserve">seeking </w:t>
      </w:r>
      <w:r>
        <w:t xml:space="preserve">planning </w:t>
      </w:r>
      <w:r w:rsidR="00163744">
        <w:t>decisions</w:t>
      </w:r>
      <w:r>
        <w:t>.</w:t>
      </w:r>
      <w:r w:rsidRPr="00325505">
        <w:t xml:space="preserve"> </w:t>
      </w:r>
    </w:p>
    <w:p w14:paraId="6D7390B4" w14:textId="2DDC0A26" w:rsidR="004B056F" w:rsidRDefault="00325505" w:rsidP="007D24C4">
      <w:pPr>
        <w:spacing w:before="120" w:after="120"/>
      </w:pPr>
      <w:r>
        <w:t xml:space="preserve">The ban only applies to property developers who are engaged in a business that involves the development of land to sell or lease for profit. </w:t>
      </w:r>
      <w:r w:rsidR="00373A08">
        <w:t xml:space="preserve">Incorporated associations and </w:t>
      </w:r>
      <w:r w:rsidR="00163744">
        <w:t xml:space="preserve">other not-for-profit entities, such as </w:t>
      </w:r>
      <w:r w:rsidR="00373A08">
        <w:t xml:space="preserve">Australian Public companies limited by guarantee, are excluded from the definition </w:t>
      </w:r>
      <w:r w:rsidR="00163744">
        <w:t xml:space="preserve">of a property developer </w:t>
      </w:r>
      <w:r w:rsidR="00373A08">
        <w:t xml:space="preserve">and other corporations can also be </w:t>
      </w:r>
      <w:r>
        <w:t>exempted by regulation</w:t>
      </w:r>
      <w:r w:rsidR="00287E08">
        <w:t xml:space="preserve"> or by seeking a determination from the Electoral Commission that they are not a property developer</w:t>
      </w:r>
      <w:r w:rsidR="00373A08">
        <w:t>.</w:t>
      </w:r>
    </w:p>
    <w:p w14:paraId="6E07042B" w14:textId="20F74F57" w:rsidR="0008366F" w:rsidRDefault="00325505" w:rsidP="007D24C4">
      <w:pPr>
        <w:spacing w:before="120" w:after="120"/>
      </w:pPr>
      <w:r>
        <w:t>Relevant planning activity is defined broadly so as to cover both planning applications, and requests to the Minister or government to make changes to the planning system that might support favourable outcomes for development applications in the future.</w:t>
      </w:r>
      <w:r w:rsidR="004B056F">
        <w:t xml:space="preserve"> It does not include developments where the primary purpose is to provide a place of business, where it is not also sold or leased to another person. This means that </w:t>
      </w:r>
      <w:r w:rsidR="0025078F">
        <w:t>a corporation</w:t>
      </w:r>
      <w:r w:rsidR="004B056F">
        <w:t xml:space="preserve"> that is developing a new facility for its business (but not for sale or </w:t>
      </w:r>
      <w:r w:rsidR="0025078F">
        <w:t xml:space="preserve">lease) </w:t>
      </w:r>
      <w:r w:rsidR="004B056F">
        <w:t>would not be prevented from making a donation.</w:t>
      </w:r>
    </w:p>
    <w:p w14:paraId="5F250B14" w14:textId="1B7C20B0" w:rsidR="0022671B" w:rsidRDefault="0022671B" w:rsidP="007D24C4">
      <w:pPr>
        <w:spacing w:before="120" w:after="120"/>
      </w:pPr>
      <w:r>
        <w:t xml:space="preserve">Close associates </w:t>
      </w:r>
      <w:r w:rsidR="00163744">
        <w:t>are</w:t>
      </w:r>
      <w:r>
        <w:t xml:space="preserve"> people in positions of authority, control and influence in relation to a property developer that is a company, as well as related company structures. </w:t>
      </w:r>
    </w:p>
    <w:p w14:paraId="2CBFEE95" w14:textId="16403C14" w:rsidR="00FC7357" w:rsidRPr="00322AB5" w:rsidRDefault="00FC7357" w:rsidP="007D24C4">
      <w:pPr>
        <w:spacing w:before="120" w:after="120"/>
        <w:rPr>
          <w:i/>
        </w:rPr>
      </w:pPr>
      <w:r w:rsidRPr="00322AB5">
        <w:rPr>
          <w:i/>
        </w:rPr>
        <w:t>Relationship between the purpose and limitation</w:t>
      </w:r>
    </w:p>
    <w:p w14:paraId="3B047951" w14:textId="17C53514" w:rsidR="007F5A43" w:rsidRPr="00322AB5" w:rsidRDefault="007F5A43" w:rsidP="007D24C4">
      <w:pPr>
        <w:spacing w:before="120" w:after="120"/>
      </w:pPr>
      <w:r w:rsidRPr="00322AB5">
        <w:t xml:space="preserve">A prohibition on donations by </w:t>
      </w:r>
      <w:r w:rsidR="0025078F">
        <w:t xml:space="preserve">for-profit </w:t>
      </w:r>
      <w:r w:rsidRPr="00322AB5">
        <w:t xml:space="preserve">property developers in particular will address community concerns about the influence of the property development industry on the direction of planning, land management and urban renewal in the Territory by preventing them from using donations to obtain influence on, and access to, decision makers. </w:t>
      </w:r>
    </w:p>
    <w:p w14:paraId="16F646AF" w14:textId="09AAD877" w:rsidR="005F3ECB" w:rsidRDefault="00B60C9F" w:rsidP="007D24C4">
      <w:pPr>
        <w:pStyle w:val="ListParagraph"/>
        <w:tabs>
          <w:tab w:val="left" w:pos="425"/>
          <w:tab w:val="left" w:pos="567"/>
        </w:tabs>
        <w:spacing w:before="120" w:after="120" w:line="276" w:lineRule="auto"/>
        <w:ind w:left="0"/>
        <w:rPr>
          <w:rFonts w:cs="Arial"/>
          <w:lang w:eastAsia="en-US"/>
        </w:rPr>
      </w:pPr>
      <w:r w:rsidRPr="00322AB5">
        <w:rPr>
          <w:rFonts w:cs="Arial"/>
          <w:lang w:eastAsia="en-US"/>
        </w:rPr>
        <w:t xml:space="preserve">While there is no evidence to date that property developers have achieved such influence in the ACT, that risk is nonetheless present given the interconnected nature of the property development industry with </w:t>
      </w:r>
      <w:r w:rsidR="00DC3FC8">
        <w:rPr>
          <w:rFonts w:cs="Arial"/>
          <w:lang w:eastAsia="en-US"/>
        </w:rPr>
        <w:t>g</w:t>
      </w:r>
      <w:r w:rsidRPr="00322AB5">
        <w:rPr>
          <w:rFonts w:cs="Arial"/>
          <w:lang w:eastAsia="en-US"/>
        </w:rPr>
        <w:t xml:space="preserve">overnment.  </w:t>
      </w:r>
    </w:p>
    <w:p w14:paraId="321F4BB8" w14:textId="01026612" w:rsidR="005F3ECB" w:rsidRPr="00414DD6" w:rsidRDefault="005F3ECB" w:rsidP="007D24C4">
      <w:pPr>
        <w:pStyle w:val="ListParagraph"/>
        <w:tabs>
          <w:tab w:val="left" w:pos="425"/>
          <w:tab w:val="left" w:pos="567"/>
        </w:tabs>
        <w:spacing w:before="120" w:after="120" w:line="276" w:lineRule="auto"/>
        <w:ind w:left="0"/>
        <w:rPr>
          <w:rFonts w:cs="Arial"/>
          <w:lang w:eastAsia="en-US"/>
        </w:rPr>
      </w:pPr>
      <w:r w:rsidRPr="005F3ECB">
        <w:rPr>
          <w:rFonts w:cs="Arial"/>
          <w:lang w:eastAsia="en-US"/>
        </w:rPr>
        <w:t>This close link between government decisions and the potential large profit for those investing the substantial amounts of capital required to develop residential or commercial property for sale or lease, gives rise to a risk of perceived or actual undue influence or corruption. In New South Wales and Queensland, investigations have revealed that this industry is one where there is a not insignificant risk of corrupting or corrupt conduct.</w:t>
      </w:r>
    </w:p>
    <w:p w14:paraId="5A309E92" w14:textId="5820CF4D" w:rsidR="00FC7357" w:rsidRDefault="005F3ECB" w:rsidP="007D24C4">
      <w:pPr>
        <w:spacing w:before="120" w:after="120"/>
      </w:pPr>
      <w:r>
        <w:t>The Bill will</w:t>
      </w:r>
      <w:r w:rsidR="00B60C9F" w:rsidRPr="00414DD6">
        <w:t xml:space="preserve"> reduce the risk of specific issues that have occurred within the property development industry in states like NSW and Queensland impacting the political process in the ACT.</w:t>
      </w:r>
    </w:p>
    <w:p w14:paraId="54126062" w14:textId="0587CBA2" w:rsidR="005F3ECB" w:rsidRDefault="005F3ECB" w:rsidP="007D24C4">
      <w:pPr>
        <w:spacing w:before="120" w:after="120"/>
      </w:pPr>
      <w:r w:rsidRPr="00414DD6">
        <w:t>T</w:t>
      </w:r>
      <w:r w:rsidR="00087FCC">
        <w:t>he Bill</w:t>
      </w:r>
      <w:r w:rsidRPr="00414DD6">
        <w:t xml:space="preserve"> will further the objectives of the Electoral Act of preventing undue influence and corrupting conduct in the political process – there is a rational connection, as the prohibition of property developer donations reduces the risk of i</w:t>
      </w:r>
      <w:r w:rsidR="00087FCC">
        <w:t>nfluence on planning decisions.</w:t>
      </w:r>
    </w:p>
    <w:p w14:paraId="459BBB47" w14:textId="538D7BA2" w:rsidR="00087FCC" w:rsidRPr="00414DD6" w:rsidRDefault="00087FCC" w:rsidP="007D24C4">
      <w:pPr>
        <w:spacing w:before="120" w:after="120"/>
        <w:rPr>
          <w:i/>
        </w:rPr>
      </w:pPr>
      <w:r w:rsidRPr="00414DD6">
        <w:rPr>
          <w:i/>
        </w:rPr>
        <w:t>Less restrictive options</w:t>
      </w:r>
    </w:p>
    <w:p w14:paraId="46097BAC" w14:textId="77777777" w:rsidR="00087FCC" w:rsidRDefault="00087FCC" w:rsidP="007D24C4">
      <w:pPr>
        <w:pStyle w:val="Header"/>
        <w:widowControl/>
        <w:tabs>
          <w:tab w:val="clear" w:pos="4320"/>
          <w:tab w:val="clear" w:pos="8640"/>
          <w:tab w:val="left" w:pos="0"/>
        </w:tabs>
        <w:spacing w:before="120" w:after="120" w:line="276" w:lineRule="auto"/>
        <w:rPr>
          <w:rFonts w:asciiTheme="minorHAnsi" w:hAnsiTheme="minorHAnsi"/>
          <w:szCs w:val="24"/>
          <w:lang w:val="en-AU"/>
        </w:rPr>
      </w:pPr>
      <w:r w:rsidRPr="00414DD6">
        <w:rPr>
          <w:rFonts w:asciiTheme="minorHAnsi" w:hAnsiTheme="minorHAnsi"/>
          <w:szCs w:val="24"/>
          <w:lang w:val="en-AU"/>
        </w:rPr>
        <w:t>The majority of the High Court considered that</w:t>
      </w:r>
      <w:r w:rsidRPr="00697E94">
        <w:rPr>
          <w:rFonts w:asciiTheme="minorHAnsi" w:hAnsiTheme="minorHAnsi"/>
          <w:szCs w:val="24"/>
          <w:lang w:val="en-AU"/>
        </w:rPr>
        <w:t xml:space="preserve"> in NSW the ban on property developer donations</w:t>
      </w:r>
      <w:r w:rsidRPr="00414DD6">
        <w:rPr>
          <w:rFonts w:asciiTheme="minorHAnsi" w:hAnsiTheme="minorHAnsi"/>
          <w:szCs w:val="24"/>
          <w:lang w:val="en-AU"/>
        </w:rPr>
        <w:t xml:space="preserve"> was necessary as there was no other reasonable, less restrictive alternative to a ban on property developer donations. </w:t>
      </w:r>
    </w:p>
    <w:p w14:paraId="78A5D7DA" w14:textId="24B3F969" w:rsidR="00087FCC" w:rsidRDefault="00087FCC" w:rsidP="007D24C4">
      <w:pPr>
        <w:pStyle w:val="Header"/>
        <w:widowControl/>
        <w:tabs>
          <w:tab w:val="clear" w:pos="4320"/>
          <w:tab w:val="clear" w:pos="8640"/>
          <w:tab w:val="left" w:pos="0"/>
        </w:tabs>
        <w:spacing w:before="120" w:after="120" w:line="276" w:lineRule="auto"/>
        <w:rPr>
          <w:rFonts w:asciiTheme="minorHAnsi" w:hAnsiTheme="minorHAnsi"/>
        </w:rPr>
      </w:pPr>
      <w:r w:rsidRPr="00414DD6">
        <w:rPr>
          <w:rFonts w:asciiTheme="minorHAnsi" w:hAnsiTheme="minorHAnsi"/>
        </w:rPr>
        <w:t xml:space="preserve">The NSW scheme can be distinguished from that proposed to be adopted in the ACT as </w:t>
      </w:r>
      <w:r w:rsidR="00425444">
        <w:rPr>
          <w:rFonts w:asciiTheme="minorHAnsi" w:hAnsiTheme="minorHAnsi"/>
        </w:rPr>
        <w:t xml:space="preserve">the NSW scheme </w:t>
      </w:r>
      <w:r w:rsidRPr="00414DD6">
        <w:rPr>
          <w:rFonts w:asciiTheme="minorHAnsi" w:hAnsiTheme="minorHAnsi"/>
        </w:rPr>
        <w:t xml:space="preserve">also imposes caps on political donations from any person. </w:t>
      </w:r>
    </w:p>
    <w:p w14:paraId="79DA4802" w14:textId="1963B9BE" w:rsidR="00087FCC" w:rsidRDefault="00087FCC" w:rsidP="007D24C4">
      <w:pPr>
        <w:pStyle w:val="Header"/>
        <w:widowControl/>
        <w:tabs>
          <w:tab w:val="clear" w:pos="4320"/>
          <w:tab w:val="clear" w:pos="8640"/>
          <w:tab w:val="left" w:pos="0"/>
        </w:tabs>
        <w:spacing w:before="120" w:after="120" w:line="276" w:lineRule="auto"/>
        <w:rPr>
          <w:rFonts w:asciiTheme="minorHAnsi" w:hAnsiTheme="minorHAnsi"/>
        </w:rPr>
      </w:pPr>
      <w:r w:rsidRPr="00414DD6">
        <w:rPr>
          <w:rFonts w:asciiTheme="minorHAnsi" w:hAnsiTheme="minorHAnsi"/>
        </w:rPr>
        <w:t xml:space="preserve">As there are no donation caps applying in the ACT, there may be an argument that caps would be a less restrictive alternative, but to cover the bulk of property developer donations which appear to be made in the ACT the cap would need to be set very low to achieve the legitimate purpose of preventing undue influence compared to private citizens, with the result that the cap would effectively be a prohibition. </w:t>
      </w:r>
    </w:p>
    <w:p w14:paraId="2C6152F5" w14:textId="4CCB111C" w:rsidR="00087FCC" w:rsidRPr="00414DD6" w:rsidRDefault="00087FCC" w:rsidP="007D24C4">
      <w:pPr>
        <w:pStyle w:val="Header"/>
        <w:widowControl/>
        <w:tabs>
          <w:tab w:val="clear" w:pos="4320"/>
          <w:tab w:val="clear" w:pos="8640"/>
          <w:tab w:val="left" w:pos="0"/>
        </w:tabs>
        <w:spacing w:before="120" w:after="120" w:line="276" w:lineRule="auto"/>
        <w:rPr>
          <w:rFonts w:asciiTheme="minorHAnsi" w:hAnsiTheme="minorHAnsi"/>
          <w:szCs w:val="24"/>
          <w:lang w:val="en-AU"/>
        </w:rPr>
      </w:pPr>
      <w:r w:rsidRPr="00414DD6">
        <w:rPr>
          <w:rFonts w:asciiTheme="minorHAnsi" w:hAnsiTheme="minorHAnsi"/>
        </w:rPr>
        <w:t xml:space="preserve">It might be argued that greater transparency of donations would be sufficient to reduce risk of donations being made </w:t>
      </w:r>
      <w:r w:rsidR="009547AD">
        <w:rPr>
          <w:rFonts w:asciiTheme="minorHAnsi" w:hAnsiTheme="minorHAnsi"/>
        </w:rPr>
        <w:t>by</w:t>
      </w:r>
      <w:r w:rsidR="009547AD" w:rsidRPr="00414DD6">
        <w:rPr>
          <w:rFonts w:asciiTheme="minorHAnsi" w:hAnsiTheme="minorHAnsi"/>
        </w:rPr>
        <w:t xml:space="preserve"> </w:t>
      </w:r>
      <w:r w:rsidR="00697E94" w:rsidRPr="00414DD6">
        <w:rPr>
          <w:rFonts w:asciiTheme="minorHAnsi" w:hAnsiTheme="minorHAnsi"/>
        </w:rPr>
        <w:t>property developers</w:t>
      </w:r>
      <w:r w:rsidR="009547AD">
        <w:rPr>
          <w:rFonts w:asciiTheme="minorHAnsi" w:hAnsiTheme="minorHAnsi"/>
        </w:rPr>
        <w:t xml:space="preserve">, but </w:t>
      </w:r>
      <w:r w:rsidR="00425444">
        <w:rPr>
          <w:rFonts w:asciiTheme="minorHAnsi" w:hAnsiTheme="minorHAnsi"/>
        </w:rPr>
        <w:t xml:space="preserve">this </w:t>
      </w:r>
      <w:r w:rsidR="009547AD">
        <w:rPr>
          <w:rFonts w:asciiTheme="minorHAnsi" w:hAnsiTheme="minorHAnsi"/>
        </w:rPr>
        <w:t>would place an onus on the public to monitor donations and publicly object to those donations being made, in order to moderate their influence</w:t>
      </w:r>
      <w:r w:rsidRPr="00414DD6">
        <w:rPr>
          <w:rFonts w:asciiTheme="minorHAnsi" w:hAnsiTheme="minorHAnsi"/>
        </w:rPr>
        <w:t>. An alternative approach of establishing a property developer register or requiring disclosure of all property development projects the donor has an interest in might b</w:t>
      </w:r>
      <w:r w:rsidR="00697E94" w:rsidRPr="00414DD6">
        <w:rPr>
          <w:rFonts w:asciiTheme="minorHAnsi" w:hAnsiTheme="minorHAnsi"/>
        </w:rPr>
        <w:t xml:space="preserve">e argued to be less restrictive, but </w:t>
      </w:r>
      <w:r w:rsidRPr="00414DD6">
        <w:rPr>
          <w:rFonts w:asciiTheme="minorHAnsi" w:hAnsiTheme="minorHAnsi"/>
        </w:rPr>
        <w:t xml:space="preserve">the High Court stated that </w:t>
      </w:r>
      <w:r w:rsidR="00697E94" w:rsidRPr="00414DD6">
        <w:rPr>
          <w:rFonts w:asciiTheme="minorHAnsi" w:hAnsiTheme="minorHAnsi"/>
        </w:rPr>
        <w:t xml:space="preserve">while </w:t>
      </w:r>
      <w:r w:rsidRPr="00414DD6">
        <w:rPr>
          <w:rFonts w:asciiTheme="minorHAnsi" w:hAnsiTheme="minorHAnsi"/>
        </w:rPr>
        <w:t xml:space="preserve">provisions requiring </w:t>
      </w:r>
      <w:r w:rsidR="00697E94" w:rsidRPr="00414DD6">
        <w:rPr>
          <w:rFonts w:asciiTheme="minorHAnsi" w:hAnsiTheme="minorHAnsi"/>
        </w:rPr>
        <w:t>disclosure</w:t>
      </w:r>
      <w:r w:rsidR="00425444">
        <w:rPr>
          <w:rFonts w:asciiTheme="minorHAnsi" w:hAnsiTheme="minorHAnsi"/>
        </w:rPr>
        <w:t xml:space="preserve"> of</w:t>
      </w:r>
      <w:r w:rsidR="00697E94" w:rsidRPr="00414DD6">
        <w:rPr>
          <w:rFonts w:asciiTheme="minorHAnsi" w:hAnsiTheme="minorHAnsi"/>
        </w:rPr>
        <w:t xml:space="preserve"> </w:t>
      </w:r>
      <w:r w:rsidRPr="00414DD6">
        <w:rPr>
          <w:rFonts w:asciiTheme="minorHAnsi" w:hAnsiTheme="minorHAnsi"/>
        </w:rPr>
        <w:t>donations were no doubt important they could not be said to be as effective as cappi</w:t>
      </w:r>
      <w:r w:rsidR="00697E94" w:rsidRPr="00414DD6">
        <w:rPr>
          <w:rFonts w:asciiTheme="minorHAnsi" w:hAnsiTheme="minorHAnsi"/>
        </w:rPr>
        <w:t>ng donations (or banning them).</w:t>
      </w:r>
      <w:r w:rsidR="00697E94" w:rsidRPr="00414DD6">
        <w:rPr>
          <w:rStyle w:val="FootnoteReference"/>
          <w:rFonts w:asciiTheme="minorHAnsi" w:hAnsiTheme="minorHAnsi"/>
        </w:rPr>
        <w:footnoteReference w:id="11"/>
      </w:r>
      <w:r w:rsidR="00697E94" w:rsidRPr="00414DD6">
        <w:rPr>
          <w:rFonts w:asciiTheme="minorHAnsi" w:hAnsiTheme="minorHAnsi"/>
        </w:rPr>
        <w:t xml:space="preserve"> </w:t>
      </w:r>
    </w:p>
    <w:p w14:paraId="67CD23D0" w14:textId="52F7E9C7" w:rsidR="00DD3695" w:rsidRPr="00D34D9E" w:rsidRDefault="001B3A61" w:rsidP="007D24C4">
      <w:pPr>
        <w:pStyle w:val="Heading6"/>
        <w:spacing w:before="120" w:after="120"/>
        <w:rPr>
          <w:rFonts w:asciiTheme="minorHAnsi" w:hAnsiTheme="minorHAnsi"/>
        </w:rPr>
      </w:pPr>
      <w:r w:rsidRPr="00D34D9E">
        <w:rPr>
          <w:rFonts w:asciiTheme="minorHAnsi" w:hAnsiTheme="minorHAnsi"/>
        </w:rPr>
        <w:t>Section 16 – freedom of expression</w:t>
      </w:r>
    </w:p>
    <w:p w14:paraId="1F757456" w14:textId="7343BBC2" w:rsidR="00D20E06" w:rsidRDefault="00D20E06" w:rsidP="007D24C4">
      <w:pPr>
        <w:spacing w:before="120" w:after="120"/>
      </w:pPr>
      <w:r>
        <w:t>The prohibition on gifts from property developers</w:t>
      </w:r>
      <w:r w:rsidR="00DC3FC8">
        <w:t xml:space="preserve"> and close associates</w:t>
      </w:r>
      <w:r>
        <w:t xml:space="preserve"> arguabl</w:t>
      </w:r>
      <w:r w:rsidR="00FB58AE">
        <w:t>y</w:t>
      </w:r>
      <w:r>
        <w:t xml:space="preserve"> limits</w:t>
      </w:r>
      <w:r w:rsidRPr="006278F7">
        <w:t xml:space="preserve"> the right to</w:t>
      </w:r>
      <w:r>
        <w:t xml:space="preserve"> freedom of expression of property developers and their close associates, by preventing them from donating to political entities which represent their views, opinions and interests.</w:t>
      </w:r>
    </w:p>
    <w:p w14:paraId="6730B0B7" w14:textId="51F83E1C" w:rsidR="00D20E06" w:rsidRPr="00414DD6" w:rsidRDefault="00D20E06" w:rsidP="007D24C4">
      <w:pPr>
        <w:spacing w:before="120" w:after="120"/>
        <w:rPr>
          <w:i/>
        </w:rPr>
      </w:pPr>
      <w:r w:rsidRPr="00414DD6">
        <w:rPr>
          <w:i/>
        </w:rPr>
        <w:t>Nature of the right</w:t>
      </w:r>
    </w:p>
    <w:p w14:paraId="6EEC0234" w14:textId="77777777" w:rsidR="00D20E06" w:rsidRPr="00414DD6" w:rsidRDefault="00D20E06" w:rsidP="007D24C4">
      <w:pPr>
        <w:spacing w:before="120" w:after="120"/>
      </w:pPr>
      <w:r w:rsidRPr="00414DD6">
        <w:t xml:space="preserve">The right to freedom of expression in the HRA is a personal freedom which is considered essential for all individuals to achieve full personal development and self-fulfilment through the development and distribution of ideas and opinions. A free flow of ideas is also necessary to encourage the vigorous public debate which is central to the functioning of Australia’s liberal democratic system of government. </w:t>
      </w:r>
    </w:p>
    <w:p w14:paraId="2F51A531" w14:textId="6F1D6851" w:rsidR="00D20E06" w:rsidRPr="00414DD6" w:rsidRDefault="00D20E06" w:rsidP="007D24C4">
      <w:pPr>
        <w:spacing w:before="120" w:after="120"/>
      </w:pPr>
      <w:r w:rsidRPr="00414DD6">
        <w:t>The right to freedom of expression in the HRA is a right which is broader in scope than the freedom of political communication which is implied into the Constitution</w:t>
      </w:r>
    </w:p>
    <w:p w14:paraId="43980E2F" w14:textId="26F57273" w:rsidR="00FB58AE" w:rsidRPr="00414DD6" w:rsidRDefault="00D20E06" w:rsidP="007D24C4">
      <w:pPr>
        <w:spacing w:before="120" w:after="120"/>
      </w:pPr>
      <w:r w:rsidRPr="00414DD6">
        <w:t xml:space="preserve">The freedom of political communication implied from the Australian </w:t>
      </w:r>
      <w:r w:rsidR="00FB58AE" w:rsidRPr="00414DD6">
        <w:t>Constitution</w:t>
      </w:r>
      <w:r w:rsidRPr="00414DD6">
        <w:t xml:space="preserve">, is a separate freedom that is not a personal right, but rather a restraint on legislative power. </w:t>
      </w:r>
      <w:r w:rsidR="00FB58AE" w:rsidRPr="00414DD6">
        <w:t>In contrast the right to freedom of expression in the HRA is held by all individuals and extends to cover information and ideas of all kinds.  The right to freedom of expression also includes the right of a person to hold their own opinions without interference or sanction and to seek, receive and impart information and ideas of all kinds.</w:t>
      </w:r>
    </w:p>
    <w:p w14:paraId="7C092B8A" w14:textId="77777777" w:rsidR="00FB58AE" w:rsidRPr="00414DD6" w:rsidRDefault="00D20E06" w:rsidP="007D24C4">
      <w:pPr>
        <w:spacing w:before="120" w:after="120"/>
      </w:pPr>
      <w:r w:rsidRPr="00414DD6">
        <w:t>The implied right in the Constitution extends only to protect freedom of communication about government and political matters as ““an indispensable incident of that system of representative government which the Constitution creates". In ensuring the maintenance of that system, the freedom may operate as a restriction upon the legislative powers of the Commonwealth, the States and Territories”.</w:t>
      </w:r>
      <w:r w:rsidRPr="00414DD6">
        <w:rPr>
          <w:rStyle w:val="FootnoteReference"/>
          <w:rFonts w:cs="Arial"/>
        </w:rPr>
        <w:footnoteReference w:id="12"/>
      </w:r>
      <w:r w:rsidRPr="00414DD6">
        <w:t xml:space="preserve"> </w:t>
      </w:r>
    </w:p>
    <w:p w14:paraId="57FC0F16" w14:textId="77777777" w:rsidR="00FB58AE" w:rsidRPr="00414DD6" w:rsidRDefault="00D20E06" w:rsidP="007D24C4">
      <w:pPr>
        <w:spacing w:before="120" w:after="120"/>
      </w:pPr>
      <w:r w:rsidRPr="00414DD6">
        <w:t>The right of freedom of political communication in the Constitution is not a personal right that can be claimed. Rather this right acts as a restraint on the ability of Parliament to limit political communication</w:t>
      </w:r>
      <w:r w:rsidR="00FB58AE" w:rsidRPr="00414DD6">
        <w:t>, meaning that individuals can challenge laws that purport to restrict political communication</w:t>
      </w:r>
      <w:r w:rsidRPr="00414DD6">
        <w:t xml:space="preserve">. </w:t>
      </w:r>
    </w:p>
    <w:p w14:paraId="21A91B29" w14:textId="1271E215" w:rsidR="00D20E06" w:rsidRPr="00414DD6" w:rsidRDefault="00D20E06" w:rsidP="007D24C4">
      <w:pPr>
        <w:spacing w:before="120" w:after="120"/>
      </w:pPr>
      <w:r w:rsidRPr="00414DD6">
        <w:t>Political communication cannot be limited unless that limitation is appropriate and adapted to suit a legitimate purpose that is compatible with our representative system of government.</w:t>
      </w:r>
      <w:r w:rsidRPr="00414DD6">
        <w:rPr>
          <w:rStyle w:val="FootnoteReference"/>
          <w:rFonts w:cs="Arial"/>
        </w:rPr>
        <w:footnoteReference w:id="13"/>
      </w:r>
    </w:p>
    <w:p w14:paraId="7CE7F184" w14:textId="7935726F" w:rsidR="00FB58AE" w:rsidRPr="00414DD6" w:rsidRDefault="00FB58AE" w:rsidP="007D24C4">
      <w:pPr>
        <w:spacing w:before="120" w:after="120"/>
      </w:pPr>
      <w:r w:rsidRPr="00414DD6">
        <w:t xml:space="preserve">The right to freedom of expression under s 16(2) </w:t>
      </w:r>
      <w:r w:rsidR="00DA38F8">
        <w:t xml:space="preserve">of the HRA </w:t>
      </w:r>
      <w:r w:rsidRPr="00414DD6">
        <w:t xml:space="preserve">extends a general protection to all forms of expression for any purpose, whether political, commercial, artistic or otherwise. Expression is to be interpreted broadly and includes actions whereby an individual seeks, receives or imparts ideas or information in any form by any method or mode or medium. </w:t>
      </w:r>
    </w:p>
    <w:p w14:paraId="546DB3C6" w14:textId="7FFE9D4D" w:rsidR="00FB58AE" w:rsidRPr="00414DD6" w:rsidRDefault="00FB58AE" w:rsidP="007D24C4">
      <w:pPr>
        <w:spacing w:before="120" w:after="120"/>
      </w:pPr>
      <w:r w:rsidRPr="00414DD6">
        <w:t>However</w:t>
      </w:r>
      <w:r w:rsidR="0004169B" w:rsidRPr="00414DD6">
        <w:t>, as noted above,</w:t>
      </w:r>
      <w:r w:rsidRPr="00414DD6">
        <w:t xml:space="preserve"> the High Court has </w:t>
      </w:r>
      <w:r w:rsidR="0004169B" w:rsidRPr="00414DD6">
        <w:t xml:space="preserve">rejected the notion that </w:t>
      </w:r>
      <w:r w:rsidR="0004169B" w:rsidRPr="00CB4A8D">
        <w:t xml:space="preserve">act of making a donation to a political entity is </w:t>
      </w:r>
      <w:r w:rsidR="00E57094">
        <w:t xml:space="preserve">itself </w:t>
      </w:r>
      <w:r w:rsidR="0004169B" w:rsidRPr="00CB4A8D">
        <w:t>an act of political communication.</w:t>
      </w:r>
      <w:r w:rsidR="00CB4A8D">
        <w:t xml:space="preserve"> </w:t>
      </w:r>
      <w:r w:rsidR="00E57094">
        <w:t>The Court notes however that the making of donations can support the exchange of ideas which is an important element of the right to freedom of expression.</w:t>
      </w:r>
    </w:p>
    <w:p w14:paraId="3DF601A0" w14:textId="767C4714" w:rsidR="00D20E06" w:rsidRPr="00414DD6" w:rsidRDefault="00DE0690" w:rsidP="007D24C4">
      <w:pPr>
        <w:keepNext/>
        <w:keepLines/>
        <w:spacing w:before="120" w:after="120"/>
        <w:rPr>
          <w:i/>
        </w:rPr>
      </w:pPr>
      <w:r w:rsidRPr="00414DD6">
        <w:rPr>
          <w:i/>
        </w:rPr>
        <w:t>Importance of the purpose of the limitation.</w:t>
      </w:r>
    </w:p>
    <w:p w14:paraId="0101D073" w14:textId="77777777" w:rsidR="00877722" w:rsidRDefault="00A9033C" w:rsidP="007D24C4">
      <w:pPr>
        <w:pStyle w:val="ListParagraph"/>
        <w:keepNext/>
        <w:keepLines/>
        <w:tabs>
          <w:tab w:val="left" w:pos="425"/>
          <w:tab w:val="left" w:pos="567"/>
        </w:tabs>
        <w:spacing w:before="120" w:after="120" w:line="276" w:lineRule="auto"/>
        <w:ind w:left="0"/>
      </w:pPr>
      <w:r w:rsidRPr="0069307E">
        <w:t>The right to freedom of expression is an essential element “in the fabric of the democracy in all Australian jurisdictions, and is an implied right in the Australian Constitution”.</w:t>
      </w:r>
      <w:r w:rsidRPr="0069307E">
        <w:rPr>
          <w:rStyle w:val="FootnoteReference"/>
          <w:rFonts w:cs="Arial"/>
        </w:rPr>
        <w:footnoteReference w:id="14"/>
      </w:r>
      <w:r w:rsidRPr="0069307E">
        <w:t xml:space="preserve"> </w:t>
      </w:r>
      <w:r w:rsidR="00E57094">
        <w:t xml:space="preserve">It is not an absolute right and may be subject to reasonable limitations set by laws that can be demonstrably justified in a free and democratic society. The limitation is </w:t>
      </w:r>
      <w:r w:rsidR="00E57094" w:rsidRPr="00E57094">
        <w:rPr>
          <w:rFonts w:cs="Arial"/>
          <w:lang w:eastAsia="en-US"/>
        </w:rPr>
        <w:t xml:space="preserve">designed to specifically support the integrity of the democratic system of government in the ACT by limiting the potential for the property development industry to unduly influence political decision making. </w:t>
      </w:r>
    </w:p>
    <w:p w14:paraId="5D5C6B28" w14:textId="3DA67763" w:rsidR="00E57094" w:rsidRDefault="00E57094" w:rsidP="007D24C4">
      <w:pPr>
        <w:pStyle w:val="ListParagraph"/>
        <w:tabs>
          <w:tab w:val="left" w:pos="425"/>
          <w:tab w:val="left" w:pos="567"/>
        </w:tabs>
        <w:spacing w:before="120" w:after="120" w:line="276" w:lineRule="auto"/>
        <w:ind w:left="0"/>
      </w:pPr>
      <w:r w:rsidRPr="00877722">
        <w:rPr>
          <w:rFonts w:cs="Arial"/>
          <w:lang w:eastAsia="en-US"/>
        </w:rPr>
        <w:t>The prohibition responds to an identified risk to the integrity, transparency and fairness of systems of representative government by the property development industry. A number of property developers that have donated to ACT political parties in recent years in the ACT are large national firms</w:t>
      </w:r>
      <w:r w:rsidR="006D5FBC" w:rsidRPr="00877722">
        <w:rPr>
          <w:rFonts w:cs="Arial"/>
          <w:lang w:eastAsia="en-US"/>
        </w:rPr>
        <w:t xml:space="preserve">, with considerable capital and </w:t>
      </w:r>
      <w:r w:rsidR="006D5FBC" w:rsidRPr="006D5FBC">
        <w:t>access to Government.</w:t>
      </w:r>
    </w:p>
    <w:p w14:paraId="7D49A19D" w14:textId="7EC8F651" w:rsidR="006D5FBC" w:rsidRDefault="006D5FBC" w:rsidP="007D24C4">
      <w:pPr>
        <w:pStyle w:val="ListParagraph"/>
        <w:tabs>
          <w:tab w:val="left" w:pos="425"/>
          <w:tab w:val="left" w:pos="567"/>
        </w:tabs>
        <w:spacing w:before="120" w:after="120" w:line="276" w:lineRule="auto"/>
        <w:ind w:left="0"/>
      </w:pPr>
      <w:r w:rsidRPr="006D5FBC">
        <w:t xml:space="preserve">The measures in the Bill will mitigate this risk of perceived undue influence from this industry by implementing a clear and targeted prohibition that is closely aligned to the types of </w:t>
      </w:r>
      <w:r w:rsidR="009547AD">
        <w:t xml:space="preserve">for-profit </w:t>
      </w:r>
      <w:r w:rsidRPr="006D5FBC">
        <w:t xml:space="preserve">entities that may have the greatest ability and motive to seek to influence political processes, but also includes appropriate safeguards to minimise inadvertent breaches of the law. </w:t>
      </w:r>
    </w:p>
    <w:p w14:paraId="78BFA020" w14:textId="2A6E7432" w:rsidR="00E57094" w:rsidRPr="00E57094" w:rsidRDefault="00E57094" w:rsidP="007D24C4">
      <w:pPr>
        <w:pStyle w:val="ListParagraph"/>
        <w:tabs>
          <w:tab w:val="left" w:pos="425"/>
          <w:tab w:val="left" w:pos="567"/>
        </w:tabs>
        <w:spacing w:before="120" w:after="120" w:line="276" w:lineRule="auto"/>
        <w:ind w:left="0"/>
        <w:rPr>
          <w:rFonts w:cs="Arial"/>
          <w:lang w:eastAsia="en-US"/>
        </w:rPr>
      </w:pPr>
      <w:r w:rsidRPr="00E57094">
        <w:rPr>
          <w:rFonts w:cs="Arial"/>
          <w:lang w:eastAsia="en-US"/>
        </w:rPr>
        <w:t xml:space="preserve">The measures are also intended to support the rights of general community members to have </w:t>
      </w:r>
      <w:r w:rsidR="00DC3FC8">
        <w:rPr>
          <w:rFonts w:cs="Arial"/>
          <w:lang w:eastAsia="en-US"/>
        </w:rPr>
        <w:t xml:space="preserve">an </w:t>
      </w:r>
      <w:r w:rsidRPr="00E57094">
        <w:rPr>
          <w:rFonts w:cs="Arial"/>
          <w:lang w:eastAsia="en-US"/>
        </w:rPr>
        <w:t>equal opportunity to take part in public life through an electoral system that is not dominated by a particular industry which has a history of making sustained and substantial political donations.</w:t>
      </w:r>
    </w:p>
    <w:p w14:paraId="5B26F001" w14:textId="7FD23418" w:rsidR="00DE0690" w:rsidRDefault="00DE0690" w:rsidP="007D24C4">
      <w:pPr>
        <w:keepNext/>
        <w:keepLines/>
        <w:spacing w:before="120" w:after="120"/>
        <w:rPr>
          <w:i/>
        </w:rPr>
      </w:pPr>
      <w:r w:rsidRPr="00414DD6">
        <w:rPr>
          <w:i/>
        </w:rPr>
        <w:t>Nature and extent of the limitation</w:t>
      </w:r>
    </w:p>
    <w:p w14:paraId="2E9C95D6" w14:textId="0DF13AE3" w:rsidR="00566F49" w:rsidRDefault="00DE0690" w:rsidP="007D24C4">
      <w:pPr>
        <w:keepNext/>
        <w:keepLines/>
        <w:spacing w:before="120" w:after="120"/>
      </w:pPr>
      <w:r>
        <w:t xml:space="preserve">The High Court reasoned that the NSW provisions </w:t>
      </w:r>
      <w:r w:rsidR="00DC3FC8">
        <w:t xml:space="preserve">in the EFD Act, </w:t>
      </w:r>
      <w:r>
        <w:t xml:space="preserve">banning donations from property developers, and implementing a cap on donations </w:t>
      </w:r>
      <w:r w:rsidR="00566F49">
        <w:t xml:space="preserve">from other </w:t>
      </w:r>
      <w:r w:rsidR="00A24DAE">
        <w:t>entities</w:t>
      </w:r>
      <w:r w:rsidR="00566F49">
        <w:t xml:space="preserve"> –</w:t>
      </w:r>
    </w:p>
    <w:p w14:paraId="18BFC72C" w14:textId="08EBD0A7" w:rsidR="00DE0690" w:rsidRDefault="00DE0690" w:rsidP="007D24C4">
      <w:pPr>
        <w:spacing w:before="120" w:after="120"/>
        <w:ind w:left="720" w:right="1513"/>
        <w:jc w:val="both"/>
      </w:pPr>
      <w:r>
        <w:t>do not affect the ability of any person to communicate with another about matters of politics and government nor to seek access to or to influence politicians in ways other than those involving the payment of substantial sums of money. The effect on the freedom is indirect. By reducing the funds available to election campaigns there may be some restriction on communication by political parties and candidates to the public. On the other hand, the public interest in removing the risk and perception of corruption is evident. These are provisions which support and enhance equality of access to government, and the system of representative government which the freedom protects. The restriction on the freedom is more than balanced by the benefits sought to be achieved.</w:t>
      </w:r>
      <w:r w:rsidR="00566F49">
        <w:rPr>
          <w:rStyle w:val="FootnoteReference"/>
        </w:rPr>
        <w:footnoteReference w:id="15"/>
      </w:r>
    </w:p>
    <w:p w14:paraId="1463FE7E" w14:textId="09288865" w:rsidR="00DE0690" w:rsidRPr="00A30463" w:rsidRDefault="00566F49" w:rsidP="007D24C4">
      <w:pPr>
        <w:spacing w:before="120" w:after="120"/>
      </w:pPr>
      <w:r>
        <w:t xml:space="preserve">The same analysis of the nature of the restriction on the right to free expression and political communication, </w:t>
      </w:r>
      <w:r w:rsidR="00DA38F8">
        <w:t>considered</w:t>
      </w:r>
      <w:r>
        <w:t xml:space="preserve"> a</w:t>
      </w:r>
      <w:r w:rsidR="00DA38F8">
        <w:t>longside</w:t>
      </w:r>
      <w:r>
        <w:t xml:space="preserve"> the </w:t>
      </w:r>
      <w:r w:rsidR="00A24DAE">
        <w:t xml:space="preserve">public interest in supporting equality of opportunity for access to, and participation in, public </w:t>
      </w:r>
      <w:r w:rsidR="00273E2C">
        <w:t>life</w:t>
      </w:r>
      <w:r w:rsidR="00A24DAE">
        <w:t xml:space="preserve"> is support</w:t>
      </w:r>
      <w:r w:rsidR="00DA38F8">
        <w:t>s</w:t>
      </w:r>
      <w:r w:rsidR="00A24DAE">
        <w:t xml:space="preserve"> </w:t>
      </w:r>
      <w:r w:rsidR="00A24DAE" w:rsidRPr="00A30463">
        <w:t>these measures in the ACT.</w:t>
      </w:r>
    </w:p>
    <w:p w14:paraId="3693F606" w14:textId="730537B8" w:rsidR="006D5FBC" w:rsidRPr="00A30463" w:rsidRDefault="006D5FBC" w:rsidP="007D24C4">
      <w:pPr>
        <w:pStyle w:val="ListParagraph"/>
        <w:tabs>
          <w:tab w:val="left" w:pos="425"/>
          <w:tab w:val="left" w:pos="567"/>
        </w:tabs>
        <w:spacing w:before="120" w:after="120" w:line="276" w:lineRule="auto"/>
        <w:ind w:left="0"/>
      </w:pPr>
      <w:r>
        <w:t>The Bill does not establish a total prohibition on campaigning</w:t>
      </w:r>
      <w:r w:rsidR="00273E2C">
        <w:t xml:space="preserve"> by</w:t>
      </w:r>
      <w:r>
        <w:t xml:space="preserve"> property developers and their close associates</w:t>
      </w:r>
      <w:r w:rsidR="00273E2C">
        <w:t xml:space="preserve"> who</w:t>
      </w:r>
      <w:r>
        <w:t xml:space="preserve"> </w:t>
      </w:r>
      <w:r w:rsidRPr="006D5FBC">
        <w:t xml:space="preserve">will still be able to campaign </w:t>
      </w:r>
      <w:r>
        <w:t>privately</w:t>
      </w:r>
      <w:r w:rsidRPr="006D5FBC">
        <w:t xml:space="preserve"> for their preferred representatives or </w:t>
      </w:r>
      <w:r w:rsidRPr="00A30463">
        <w:t>issues on their own behalf, or to utilise other forms of political communication.</w:t>
      </w:r>
      <w:r w:rsidR="00373A08">
        <w:t xml:space="preserve"> The Bill does not prevent them incurring electoral expenditure in their own right, in accordance with the existing provisions of the Electoral Act.</w:t>
      </w:r>
    </w:p>
    <w:p w14:paraId="01CB4645" w14:textId="6E538281" w:rsidR="00214307" w:rsidRPr="00A30463" w:rsidRDefault="00214307" w:rsidP="007D24C4">
      <w:pPr>
        <w:spacing w:before="120" w:after="120"/>
        <w:rPr>
          <w:i/>
        </w:rPr>
      </w:pPr>
      <w:r w:rsidRPr="00A30463">
        <w:rPr>
          <w:i/>
        </w:rPr>
        <w:t>Relationship between the limitation and its purpose</w:t>
      </w:r>
    </w:p>
    <w:p w14:paraId="088A97ED" w14:textId="29FD595C" w:rsidR="00A30463" w:rsidRDefault="00F25E5D" w:rsidP="007D24C4">
      <w:pPr>
        <w:spacing w:before="120" w:after="120"/>
      </w:pPr>
      <w:r w:rsidRPr="00A30463">
        <w:t>The prohibition is appropriately constrained.</w:t>
      </w:r>
      <w:r w:rsidR="00A30463">
        <w:t xml:space="preserve"> Gifts which are returned within 30 days are not treated as gifts meaning that no prosecution could follow if the gift is returne</w:t>
      </w:r>
      <w:r w:rsidR="000A1383">
        <w:t>d</w:t>
      </w:r>
      <w:r w:rsidR="00A30463">
        <w:t xml:space="preserve">. This </w:t>
      </w:r>
      <w:r w:rsidR="000A1383">
        <w:t>m</w:t>
      </w:r>
      <w:r w:rsidR="00A30463">
        <w:t xml:space="preserve">eans that there is an opportunity for receivers of gifts to do due diligence by establishing the origin of the donation and if necessary returning the gift. </w:t>
      </w:r>
      <w:r w:rsidR="007C70B2">
        <w:t xml:space="preserve">Financial representatives of receivers </w:t>
      </w:r>
      <w:r w:rsidR="00A30463">
        <w:t xml:space="preserve">already have general obligations to attempt to </w:t>
      </w:r>
      <w:r w:rsidR="007C70B2">
        <w:t>record and report the defined details (name and address) of any gift that is not an anonymous gift (s 216A(2)(c).  Based on that information, plus any additional information the receiver might require</w:t>
      </w:r>
      <w:r w:rsidR="00373A08">
        <w:t>,</w:t>
      </w:r>
      <w:r w:rsidR="007C70B2">
        <w:t xml:space="preserve"> the financial representative will be able to make inquiries to determine whether the person giving the gift is a property developer.</w:t>
      </w:r>
    </w:p>
    <w:p w14:paraId="32BAD03B" w14:textId="543D5DA7" w:rsidR="00A30463" w:rsidRDefault="00877722" w:rsidP="007D24C4">
      <w:pPr>
        <w:spacing w:before="120" w:after="120"/>
      </w:pPr>
      <w:r w:rsidRPr="00A30463">
        <w:t>I</w:t>
      </w:r>
      <w:r w:rsidR="005758D3" w:rsidRPr="00A30463">
        <w:t xml:space="preserve">t is a defence if a political entity that received a gift from a property developer took reasonable steps to ensure that the person giving the gift was not a property developer or closes associate or had not met the threshold for </w:t>
      </w:r>
      <w:r w:rsidR="008633BF">
        <w:t xml:space="preserve">making </w:t>
      </w:r>
      <w:r w:rsidR="005758D3" w:rsidRPr="00A30463">
        <w:t>relevant planning a</w:t>
      </w:r>
      <w:r w:rsidR="008633BF">
        <w:t>pplications</w:t>
      </w:r>
      <w:r w:rsidR="005758D3" w:rsidRPr="00A30463">
        <w:t xml:space="preserve">. </w:t>
      </w:r>
    </w:p>
    <w:p w14:paraId="7E67AFF8" w14:textId="43D325B3" w:rsidR="005758D3" w:rsidRDefault="005758D3" w:rsidP="007D24C4">
      <w:pPr>
        <w:spacing w:before="120" w:after="120"/>
      </w:pPr>
      <w:r w:rsidRPr="00A30463">
        <w:t xml:space="preserve">Reasonable steps might be requiring a statutory declaration from </w:t>
      </w:r>
      <w:r w:rsidR="0044604A" w:rsidRPr="00A30463">
        <w:t>a giver of the gift to the effect that the person is not a donor.</w:t>
      </w:r>
    </w:p>
    <w:p w14:paraId="3086FCBA" w14:textId="1BFB873A" w:rsidR="007C70B2" w:rsidRPr="00A30463" w:rsidRDefault="007C70B2" w:rsidP="007D24C4">
      <w:pPr>
        <w:spacing w:before="120" w:after="120"/>
      </w:pPr>
      <w:r w:rsidRPr="00D34D9E">
        <w:t xml:space="preserve">The prohibition is also limited as </w:t>
      </w:r>
      <w:r w:rsidR="005A2011" w:rsidRPr="00D34D9E">
        <w:t xml:space="preserve">gifts given or received from </w:t>
      </w:r>
      <w:r w:rsidR="00B77DF8" w:rsidRPr="00D34D9E">
        <w:t>close associates</w:t>
      </w:r>
      <w:r w:rsidRPr="00D34D9E">
        <w:t xml:space="preserve"> who are candidates (at the time of giving a gift) </w:t>
      </w:r>
      <w:r w:rsidR="005A2011" w:rsidRPr="00D34D9E">
        <w:t>are not considered gifts for the purposes of the prohibition</w:t>
      </w:r>
      <w:r w:rsidRPr="00D34D9E">
        <w:t xml:space="preserve"> protecting their right to be involved in public office through normal structures of donating to their party grouping to support their campaigns.</w:t>
      </w:r>
    </w:p>
    <w:p w14:paraId="55E5C69D" w14:textId="1B7F79F7" w:rsidR="0044604A" w:rsidRDefault="005A2011" w:rsidP="007D24C4">
      <w:pPr>
        <w:spacing w:before="120" w:after="120"/>
      </w:pPr>
      <w:r>
        <w:t>In total, the prohibition</w:t>
      </w:r>
      <w:r w:rsidR="0044604A" w:rsidRPr="00A30463">
        <w:t xml:space="preserve"> will send a clear message that the property development industry is not able</w:t>
      </w:r>
      <w:r w:rsidR="0044604A">
        <w:t xml:space="preserve"> to unduly influence the political system through </w:t>
      </w:r>
      <w:r w:rsidR="00B77DF8">
        <w:t xml:space="preserve">donations of </w:t>
      </w:r>
      <w:r w:rsidR="0044604A">
        <w:t>money.</w:t>
      </w:r>
    </w:p>
    <w:p w14:paraId="682CA933" w14:textId="77777777" w:rsidR="00DE0690" w:rsidRPr="007C70B2" w:rsidRDefault="00DE0690" w:rsidP="007D24C4">
      <w:pPr>
        <w:spacing w:before="120" w:after="120"/>
        <w:rPr>
          <w:i/>
        </w:rPr>
      </w:pPr>
      <w:r w:rsidRPr="007C70B2">
        <w:rPr>
          <w:i/>
        </w:rPr>
        <w:t>Less restrictive options</w:t>
      </w:r>
    </w:p>
    <w:p w14:paraId="1A58B03A" w14:textId="474D00CF" w:rsidR="008E5EB4" w:rsidRPr="0044604A" w:rsidRDefault="008E5EB4" w:rsidP="007D24C4">
      <w:pPr>
        <w:pStyle w:val="ListParagraph"/>
        <w:tabs>
          <w:tab w:val="left" w:pos="425"/>
          <w:tab w:val="left" w:pos="567"/>
        </w:tabs>
        <w:spacing w:before="120" w:after="120" w:line="276" w:lineRule="auto"/>
        <w:ind w:left="0"/>
        <w:rPr>
          <w:rFonts w:cs="Arial"/>
        </w:rPr>
      </w:pPr>
      <w:r w:rsidRPr="0044604A">
        <w:rPr>
          <w:rFonts w:cs="Arial"/>
        </w:rPr>
        <w:t>In considering the proportionality of the proposed prohibition,</w:t>
      </w:r>
      <w:r w:rsidR="008633BF">
        <w:rPr>
          <w:rFonts w:cs="Arial"/>
        </w:rPr>
        <w:t xml:space="preserve"> it is acknowledged</w:t>
      </w:r>
      <w:r w:rsidRPr="0044604A">
        <w:rPr>
          <w:rFonts w:cs="Arial"/>
        </w:rPr>
        <w:t xml:space="preserve"> that other measures to reduce the influence of well-resourced businesses or individuals have </w:t>
      </w:r>
      <w:r w:rsidR="008633BF">
        <w:rPr>
          <w:rFonts w:cs="Arial"/>
        </w:rPr>
        <w:t xml:space="preserve">already </w:t>
      </w:r>
      <w:r w:rsidRPr="0044604A">
        <w:rPr>
          <w:rFonts w:cs="Arial"/>
        </w:rPr>
        <w:t xml:space="preserve">been implemented. For example the ACT has a system of public electoral funding for parties and candidates to communicate with the public, which reduces their reliance on private donations to communicate their policies. </w:t>
      </w:r>
    </w:p>
    <w:p w14:paraId="4F6BED9B" w14:textId="77777777" w:rsidR="008E5EB4" w:rsidRPr="0044604A" w:rsidRDefault="008E5EB4" w:rsidP="007D24C4">
      <w:pPr>
        <w:pStyle w:val="ListParagraph"/>
        <w:tabs>
          <w:tab w:val="left" w:pos="425"/>
          <w:tab w:val="left" w:pos="567"/>
        </w:tabs>
        <w:spacing w:before="120" w:after="120" w:line="276" w:lineRule="auto"/>
        <w:ind w:left="0"/>
        <w:rPr>
          <w:rFonts w:cs="Arial"/>
        </w:rPr>
      </w:pPr>
      <w:r w:rsidRPr="0044604A">
        <w:rPr>
          <w:rFonts w:cs="Arial"/>
        </w:rPr>
        <w:t xml:space="preserve">However, the incidence of donations from property developers, and the identified risk of undue influence and the perception of undue influence means that additional measures are necessary. Public funding of candidates reduces reliance on donations, but does not achieve the purpose of reducing improper influence of property developers as effectively as a ban would. </w:t>
      </w:r>
    </w:p>
    <w:p w14:paraId="0EBE27D2" w14:textId="7024EE9F" w:rsidR="008E5EB4" w:rsidRDefault="008E5EB4" w:rsidP="007D24C4">
      <w:pPr>
        <w:pStyle w:val="ListParagraph"/>
        <w:tabs>
          <w:tab w:val="left" w:pos="425"/>
          <w:tab w:val="left" w:pos="567"/>
        </w:tabs>
        <w:spacing w:before="120" w:after="120" w:line="276" w:lineRule="auto"/>
        <w:ind w:left="0"/>
        <w:rPr>
          <w:rFonts w:cs="Arial"/>
        </w:rPr>
      </w:pPr>
      <w:r w:rsidRPr="0044604A">
        <w:rPr>
          <w:rFonts w:cs="Arial"/>
        </w:rPr>
        <w:t xml:space="preserve">A cap on donations from property developers, or on all donors is not considered as effective a control on the influence of the property development industry, as property developers could make donations under the capped amount which may still have an influencing impact relative to other members of the general community. </w:t>
      </w:r>
    </w:p>
    <w:p w14:paraId="1B1E0E3D" w14:textId="56FCBA1B" w:rsidR="00877722" w:rsidRDefault="00877722" w:rsidP="007D24C4">
      <w:pPr>
        <w:pStyle w:val="ListParagraph"/>
        <w:tabs>
          <w:tab w:val="left" w:pos="425"/>
          <w:tab w:val="left" w:pos="567"/>
        </w:tabs>
        <w:spacing w:before="120" w:after="120" w:line="276" w:lineRule="auto"/>
        <w:ind w:left="0"/>
        <w:rPr>
          <w:rFonts w:cs="Arial"/>
        </w:rPr>
      </w:pPr>
      <w:r>
        <w:rPr>
          <w:rFonts w:cs="Arial"/>
        </w:rPr>
        <w:t xml:space="preserve">It may be argued that changes in the Bill to require more immediate reporting of donations within </w:t>
      </w:r>
      <w:r w:rsidR="00273E2C">
        <w:rPr>
          <w:rFonts w:cs="Arial"/>
        </w:rPr>
        <w:t>seven</w:t>
      </w:r>
      <w:r>
        <w:rPr>
          <w:rFonts w:cs="Arial"/>
        </w:rPr>
        <w:t xml:space="preserve"> days of the day after the gift is received, provides the necessary transparency to address any threat of undue influence. </w:t>
      </w:r>
    </w:p>
    <w:p w14:paraId="33181A76" w14:textId="1A53950C" w:rsidR="00877722" w:rsidRPr="0044604A" w:rsidRDefault="00877722" w:rsidP="007D24C4">
      <w:pPr>
        <w:pStyle w:val="ListParagraph"/>
        <w:tabs>
          <w:tab w:val="left" w:pos="425"/>
          <w:tab w:val="left" w:pos="567"/>
        </w:tabs>
        <w:spacing w:before="120" w:after="120" w:line="276" w:lineRule="auto"/>
        <w:ind w:left="0"/>
        <w:rPr>
          <w:rFonts w:cs="Arial"/>
        </w:rPr>
      </w:pPr>
      <w:r>
        <w:rPr>
          <w:rFonts w:cs="Arial"/>
        </w:rPr>
        <w:t>However, increasing transparency of donations is one measure to make the financial interests of particular donors public,</w:t>
      </w:r>
      <w:r w:rsidR="008633BF">
        <w:rPr>
          <w:rFonts w:cs="Arial"/>
        </w:rPr>
        <w:t xml:space="preserve"> but</w:t>
      </w:r>
      <w:r>
        <w:rPr>
          <w:rFonts w:cs="Arial"/>
        </w:rPr>
        <w:t xml:space="preserve"> it is not designed</w:t>
      </w:r>
      <w:r w:rsidRPr="00877722">
        <w:rPr>
          <w:rFonts w:cs="Arial"/>
        </w:rPr>
        <w:t xml:space="preserve"> </w:t>
      </w:r>
      <w:r>
        <w:rPr>
          <w:rFonts w:cs="Arial"/>
        </w:rPr>
        <w:t>to, and could not stop donations entirely</w:t>
      </w:r>
      <w:r w:rsidR="008633BF">
        <w:rPr>
          <w:rFonts w:cs="Arial"/>
        </w:rPr>
        <w:t>.  It would</w:t>
      </w:r>
      <w:r>
        <w:rPr>
          <w:rFonts w:cs="Arial"/>
        </w:rPr>
        <w:t xml:space="preserve"> leav</w:t>
      </w:r>
      <w:r w:rsidR="008633BF">
        <w:rPr>
          <w:rFonts w:cs="Arial"/>
        </w:rPr>
        <w:t>e</w:t>
      </w:r>
      <w:r>
        <w:rPr>
          <w:rFonts w:cs="Arial"/>
        </w:rPr>
        <w:t xml:space="preserve"> scope for ongoing political influence by property developers</w:t>
      </w:r>
      <w:r w:rsidR="008633BF">
        <w:rPr>
          <w:rFonts w:cs="Arial"/>
        </w:rPr>
        <w:t>.</w:t>
      </w:r>
      <w:r>
        <w:rPr>
          <w:rFonts w:cs="Arial"/>
        </w:rPr>
        <w:t xml:space="preserve"> </w:t>
      </w:r>
    </w:p>
    <w:p w14:paraId="1664FC0A" w14:textId="0D5E92A4" w:rsidR="007C70B2" w:rsidRPr="00D34D9E" w:rsidRDefault="007C70B2" w:rsidP="007D24C4">
      <w:pPr>
        <w:pStyle w:val="Heading6"/>
        <w:spacing w:before="120" w:after="120"/>
        <w:rPr>
          <w:rFonts w:asciiTheme="minorHAnsi" w:hAnsiTheme="minorHAnsi"/>
        </w:rPr>
      </w:pPr>
      <w:r w:rsidRPr="00D34D9E">
        <w:rPr>
          <w:rFonts w:asciiTheme="minorHAnsi" w:hAnsiTheme="minorHAnsi"/>
        </w:rPr>
        <w:t>Section 17 - right to take part in public life</w:t>
      </w:r>
    </w:p>
    <w:p w14:paraId="1685519A" w14:textId="4644D2B8" w:rsidR="007C70B2" w:rsidRDefault="007C70B2" w:rsidP="007D24C4">
      <w:pPr>
        <w:spacing w:before="120" w:after="120"/>
      </w:pPr>
      <w:r>
        <w:t>The prohibition on gifts from property developers arguably limits</w:t>
      </w:r>
      <w:r w:rsidRPr="006278F7">
        <w:t xml:space="preserve"> the right to</w:t>
      </w:r>
      <w:r>
        <w:t xml:space="preserve"> public participation of property developers and their close associates, by preventing them from donating to political entities which represent their views, opinions and interests.</w:t>
      </w:r>
    </w:p>
    <w:p w14:paraId="518A401F" w14:textId="77777777" w:rsidR="007C70B2" w:rsidRPr="00414DD6" w:rsidRDefault="007C70B2" w:rsidP="00E078BA">
      <w:pPr>
        <w:keepNext/>
        <w:keepLines/>
        <w:spacing w:before="120" w:after="120"/>
        <w:rPr>
          <w:i/>
        </w:rPr>
      </w:pPr>
      <w:r w:rsidRPr="00414DD6">
        <w:rPr>
          <w:i/>
        </w:rPr>
        <w:t>Nature of the right</w:t>
      </w:r>
    </w:p>
    <w:p w14:paraId="3FCABFA0" w14:textId="1F8FA01B" w:rsidR="007C70B2" w:rsidRPr="00414DD6" w:rsidRDefault="007C70B2" w:rsidP="00E078BA">
      <w:pPr>
        <w:keepNext/>
        <w:keepLines/>
        <w:spacing w:before="120" w:after="120"/>
      </w:pPr>
      <w:r w:rsidRPr="00414DD6">
        <w:t xml:space="preserve">The right to </w:t>
      </w:r>
      <w:r>
        <w:t xml:space="preserve">take part in public life in s 17 of the HRA is a fundamental right but it is not absolute.  </w:t>
      </w:r>
    </w:p>
    <w:p w14:paraId="31C3A433" w14:textId="0FCB69BF" w:rsidR="007449F6" w:rsidRPr="007449F6" w:rsidRDefault="007449F6" w:rsidP="007D24C4">
      <w:pPr>
        <w:spacing w:before="120" w:after="120"/>
        <w:rPr>
          <w:bCs/>
          <w:lang w:eastAsia="en-AU"/>
        </w:rPr>
      </w:pPr>
      <w:r w:rsidRPr="007449F6">
        <w:rPr>
          <w:bCs/>
          <w:lang w:eastAsia="en-AU"/>
        </w:rPr>
        <w:t>Section 17 provides that every citizen has the right, and is to have the opportunity, to—</w:t>
      </w:r>
    </w:p>
    <w:p w14:paraId="397F1032" w14:textId="77777777" w:rsidR="007449F6" w:rsidRPr="007449F6" w:rsidRDefault="007449F6" w:rsidP="007D24C4">
      <w:pPr>
        <w:spacing w:before="120" w:after="120"/>
        <w:rPr>
          <w:bCs/>
          <w:lang w:eastAsia="en-AU"/>
        </w:rPr>
      </w:pPr>
      <w:r w:rsidRPr="007449F6">
        <w:rPr>
          <w:bCs/>
          <w:lang w:eastAsia="en-AU"/>
        </w:rPr>
        <w:tab/>
        <w:t xml:space="preserve">(a) take part in the conduct of public affairs, directly or through freely chosen </w:t>
      </w:r>
      <w:r w:rsidRPr="007449F6">
        <w:rPr>
          <w:bCs/>
          <w:lang w:eastAsia="en-AU"/>
        </w:rPr>
        <w:tab/>
        <w:t>representatives; and</w:t>
      </w:r>
    </w:p>
    <w:p w14:paraId="5A9D1592" w14:textId="77777777" w:rsidR="007449F6" w:rsidRPr="007449F6" w:rsidRDefault="007449F6" w:rsidP="007D24C4">
      <w:pPr>
        <w:spacing w:before="120" w:after="120"/>
        <w:rPr>
          <w:bCs/>
          <w:lang w:eastAsia="en-AU"/>
        </w:rPr>
      </w:pPr>
      <w:r w:rsidRPr="007449F6">
        <w:rPr>
          <w:bCs/>
          <w:lang w:eastAsia="en-AU"/>
        </w:rPr>
        <w:tab/>
        <w:t xml:space="preserve">(b) vote and be elected at periodic elections, that guarantee the free expression of </w:t>
      </w:r>
      <w:r w:rsidRPr="007449F6">
        <w:rPr>
          <w:bCs/>
          <w:lang w:eastAsia="en-AU"/>
        </w:rPr>
        <w:tab/>
        <w:t>the will of the electors; and</w:t>
      </w:r>
    </w:p>
    <w:p w14:paraId="4BF37887" w14:textId="57515FD9" w:rsidR="007C70B2" w:rsidRPr="007449F6" w:rsidRDefault="007449F6" w:rsidP="007D24C4">
      <w:pPr>
        <w:spacing w:before="120" w:after="120"/>
        <w:rPr>
          <w:bCs/>
          <w:lang w:eastAsia="en-AU"/>
        </w:rPr>
      </w:pPr>
      <w:r w:rsidRPr="007449F6">
        <w:rPr>
          <w:bCs/>
          <w:lang w:eastAsia="en-AU"/>
        </w:rPr>
        <w:tab/>
        <w:t xml:space="preserve">(c) have access, on general terms of equality, for appointment to the public service </w:t>
      </w:r>
      <w:r w:rsidRPr="007449F6">
        <w:rPr>
          <w:bCs/>
          <w:lang w:eastAsia="en-AU"/>
        </w:rPr>
        <w:tab/>
        <w:t>and public office.</w:t>
      </w:r>
    </w:p>
    <w:p w14:paraId="04411A5A" w14:textId="559B41E8" w:rsidR="007449F6" w:rsidRDefault="007449F6" w:rsidP="007D24C4">
      <w:pPr>
        <w:spacing w:before="120" w:after="120"/>
        <w:rPr>
          <w:bCs/>
          <w:lang w:eastAsia="en-AU"/>
        </w:rPr>
      </w:pPr>
      <w:r w:rsidRPr="007449F6">
        <w:rPr>
          <w:bCs/>
          <w:lang w:eastAsia="en-AU"/>
        </w:rPr>
        <w:t>The Electoral Act is a key part of the framework th</w:t>
      </w:r>
      <w:r>
        <w:rPr>
          <w:bCs/>
          <w:lang w:eastAsia="en-AU"/>
        </w:rPr>
        <w:t>at gives effect to these rights to take part in public life by establishing a clear framework for the conduct of elections for representatives that does not unreasonable or arbitrarily limit who may stand for public office.</w:t>
      </w:r>
    </w:p>
    <w:p w14:paraId="38C6327B" w14:textId="68D72218" w:rsidR="007449F6" w:rsidRPr="007449F6" w:rsidRDefault="007449F6" w:rsidP="007D24C4">
      <w:pPr>
        <w:spacing w:before="120" w:after="120"/>
        <w:rPr>
          <w:bCs/>
          <w:lang w:eastAsia="en-AU"/>
        </w:rPr>
      </w:pPr>
      <w:r w:rsidRPr="007449F6">
        <w:rPr>
          <w:lang w:val="en-US"/>
        </w:rPr>
        <w:t xml:space="preserve">The </w:t>
      </w:r>
      <w:r w:rsidR="008633BF">
        <w:rPr>
          <w:lang w:val="en-US"/>
        </w:rPr>
        <w:t xml:space="preserve">UN </w:t>
      </w:r>
      <w:r w:rsidRPr="007449F6">
        <w:rPr>
          <w:lang w:val="en-US"/>
        </w:rPr>
        <w:t>Human Rights Committee has stated that the free communication of information and ideas about public and political issues between citizens, candidates and elected representatives is essential. This implies the freedom to engage in political activity individually or through political parties and other organisations, freedom to debate public affairs, to hold peaceful demonstrations and meetings, to criticise and oppose, to publish political material, to campaign for election and to advertise political ideas.</w:t>
      </w:r>
      <w:r>
        <w:rPr>
          <w:lang w:val="en-US"/>
        </w:rPr>
        <w:t xml:space="preserve"> These aspects of public participation are supported by other rights including the right to free expression and equality discussed above.</w:t>
      </w:r>
      <w:r>
        <w:rPr>
          <w:rStyle w:val="FootnoteReference"/>
          <w:lang w:val="en-US"/>
        </w:rPr>
        <w:footnoteReference w:id="16"/>
      </w:r>
    </w:p>
    <w:p w14:paraId="53939CCA" w14:textId="4BD6D922" w:rsidR="007C70B2" w:rsidRPr="00E47A9E" w:rsidRDefault="007C70B2" w:rsidP="007D24C4">
      <w:pPr>
        <w:keepNext/>
        <w:keepLines/>
        <w:spacing w:before="120" w:after="120"/>
        <w:rPr>
          <w:i/>
        </w:rPr>
      </w:pPr>
      <w:r w:rsidRPr="00E47A9E">
        <w:rPr>
          <w:i/>
        </w:rPr>
        <w:t>Importance of t</w:t>
      </w:r>
      <w:r w:rsidR="007449F6" w:rsidRPr="00E47A9E">
        <w:rPr>
          <w:i/>
        </w:rPr>
        <w:t>he purpose of the limitation</w:t>
      </w:r>
    </w:p>
    <w:p w14:paraId="2C8707AC" w14:textId="6C43E00C" w:rsidR="007449F6" w:rsidRPr="00E47A9E" w:rsidRDefault="007449F6" w:rsidP="007D24C4">
      <w:pPr>
        <w:keepNext/>
        <w:keepLines/>
        <w:spacing w:before="120" w:after="120"/>
      </w:pPr>
      <w:r w:rsidRPr="00E47A9E">
        <w:t xml:space="preserve">As discussed above the prohibition on the </w:t>
      </w:r>
      <w:r w:rsidR="008633BF">
        <w:t>giving</w:t>
      </w:r>
      <w:r w:rsidRPr="00E47A9E">
        <w:t xml:space="preserve"> or accepting of gifts</w:t>
      </w:r>
      <w:r w:rsidR="008633BF">
        <w:t>, by or</w:t>
      </w:r>
      <w:r w:rsidRPr="00E47A9E">
        <w:t xml:space="preserve"> from property developers or their close associates</w:t>
      </w:r>
      <w:r w:rsidR="008633BF">
        <w:t>,</w:t>
      </w:r>
      <w:r w:rsidRPr="00E47A9E">
        <w:t xml:space="preserve"> may be argued to limit the right to public or political participation.</w:t>
      </w:r>
    </w:p>
    <w:p w14:paraId="47C224A4" w14:textId="79C467FB" w:rsidR="007449F6" w:rsidRPr="00E47A9E" w:rsidRDefault="007449F6" w:rsidP="007D24C4">
      <w:pPr>
        <w:spacing w:before="120" w:after="120"/>
      </w:pPr>
      <w:r w:rsidRPr="00E47A9E">
        <w:t xml:space="preserve">However this limitation is designed to prevent undue influence or the potential for undue influence from this industry on the political process. Experience in other </w:t>
      </w:r>
      <w:r w:rsidR="00D1236C" w:rsidRPr="00E47A9E">
        <w:t>Australian</w:t>
      </w:r>
      <w:r w:rsidRPr="00E47A9E">
        <w:t xml:space="preserve"> </w:t>
      </w:r>
      <w:r w:rsidR="00D1236C" w:rsidRPr="00E47A9E">
        <w:t>jurisdictions</w:t>
      </w:r>
      <w:r w:rsidRPr="00E47A9E">
        <w:t xml:space="preserve"> has shown that there is potential for </w:t>
      </w:r>
      <w:r w:rsidR="00E47A9E" w:rsidRPr="00E47A9E">
        <w:t xml:space="preserve">this particular industry to utilise its capital to gain access to political decision makers and potentially to influence their decisions in a way that limits the rights to political participation of other </w:t>
      </w:r>
      <w:r w:rsidR="00D1236C" w:rsidRPr="00E47A9E">
        <w:t>ordinary</w:t>
      </w:r>
      <w:r w:rsidR="00E47A9E" w:rsidRPr="00E47A9E">
        <w:t xml:space="preserve"> citizens who may not have the same ability to make large donations.</w:t>
      </w:r>
    </w:p>
    <w:p w14:paraId="1DF2229C" w14:textId="1359FA28" w:rsidR="00E47A9E" w:rsidRPr="00E47A9E" w:rsidRDefault="00E47A9E" w:rsidP="007D24C4">
      <w:pPr>
        <w:spacing w:before="120" w:after="120"/>
      </w:pPr>
      <w:r w:rsidRPr="00E47A9E">
        <w:t xml:space="preserve">The </w:t>
      </w:r>
      <w:r w:rsidR="00B1769D">
        <w:t>U</w:t>
      </w:r>
      <w:r w:rsidR="008633BF">
        <w:t>N</w:t>
      </w:r>
      <w:r w:rsidR="00B1769D">
        <w:t xml:space="preserve"> </w:t>
      </w:r>
      <w:r w:rsidRPr="008633BF">
        <w:t xml:space="preserve">Human </w:t>
      </w:r>
      <w:r w:rsidRPr="00B1769D">
        <w:t>Rights Committee</w:t>
      </w:r>
      <w:r w:rsidRPr="00E47A9E">
        <w:t xml:space="preserve"> has stated</w:t>
      </w:r>
      <w:r w:rsidR="00B1769D">
        <w:t xml:space="preserve"> </w:t>
      </w:r>
      <w:r w:rsidRPr="00E47A9E">
        <w:t>that “reasonable limitations on campaign expenditure may be justified where this is necessary to ensure that the free choice of voters is not undermined or the democratic process distorted by the disproportionate expenditure on behalf of any candidate or party”.</w:t>
      </w:r>
      <w:r w:rsidRPr="00E47A9E">
        <w:rPr>
          <w:rStyle w:val="FootnoteReference"/>
        </w:rPr>
        <w:footnoteReference w:id="17"/>
      </w:r>
      <w:r w:rsidRPr="00E47A9E">
        <w:t xml:space="preserve"> By extension, reasonable limitation on campaign funding may be justified in support of a system of electoral funding that is less susceptible to distortion by donations from particular industry groups.</w:t>
      </w:r>
    </w:p>
    <w:p w14:paraId="15459E3C" w14:textId="77777777" w:rsidR="007C70B2" w:rsidRDefault="007C70B2" w:rsidP="007D24C4">
      <w:pPr>
        <w:keepNext/>
        <w:keepLines/>
        <w:spacing w:before="120" w:after="120"/>
        <w:rPr>
          <w:i/>
        </w:rPr>
      </w:pPr>
      <w:r w:rsidRPr="00414DD6">
        <w:rPr>
          <w:i/>
        </w:rPr>
        <w:t>Nature and extent of the limitation</w:t>
      </w:r>
    </w:p>
    <w:p w14:paraId="12DF1BC1" w14:textId="5D31A794" w:rsidR="007C70B2" w:rsidRDefault="00D1236C" w:rsidP="007D24C4">
      <w:pPr>
        <w:spacing w:before="120" w:after="120"/>
      </w:pPr>
      <w:r w:rsidRPr="00D1236C">
        <w:t>The ban on property developer donations, only limits a very small element of the right to take part in public life. The core guarantees outlined in s 17 of the Human Rights</w:t>
      </w:r>
      <w:r>
        <w:t xml:space="preserve"> Act are not i</w:t>
      </w:r>
      <w:r w:rsidRPr="00D1236C">
        <w:t>mpeded. Property developers are still able to take part in public affairs through their chosen representative, are free to vote and to have access to appointment to public office.</w:t>
      </w:r>
    </w:p>
    <w:p w14:paraId="22BE6198" w14:textId="6597A044" w:rsidR="00E078BA" w:rsidRDefault="00E078BA" w:rsidP="007D24C4">
      <w:pPr>
        <w:spacing w:before="120" w:after="120"/>
      </w:pPr>
      <w:r>
        <w:t xml:space="preserve">The ban does not apply to gifts given by close associates of property developers if they are a candidate in an election at the time the gift is given. This will support the right of individuals to stand for public office, and to contribute to their campaign through political donations, irrespective of their occupation or relationship with a property development company. </w:t>
      </w:r>
    </w:p>
    <w:p w14:paraId="14386C32" w14:textId="77777777" w:rsidR="007C70B2" w:rsidRDefault="007C70B2" w:rsidP="007D24C4">
      <w:pPr>
        <w:keepNext/>
        <w:keepLines/>
        <w:spacing w:before="120" w:after="120"/>
        <w:rPr>
          <w:i/>
        </w:rPr>
      </w:pPr>
      <w:r w:rsidRPr="00A30463">
        <w:rPr>
          <w:i/>
        </w:rPr>
        <w:t>Relationship between the limitation and its purpose</w:t>
      </w:r>
    </w:p>
    <w:p w14:paraId="04016996" w14:textId="4CE995C1" w:rsidR="00BB10A1" w:rsidRPr="00A30463" w:rsidRDefault="00BB10A1" w:rsidP="007D24C4">
      <w:pPr>
        <w:keepNext/>
        <w:keepLines/>
        <w:spacing w:before="120" w:after="120"/>
        <w:rPr>
          <w:i/>
        </w:rPr>
      </w:pPr>
      <w:r>
        <w:t>As discussed above, the prohibition will prevent property developers being able to influence or be perceived to influence the political system through the giving of donations to particular political entities.</w:t>
      </w:r>
    </w:p>
    <w:p w14:paraId="2268EEBB" w14:textId="77777777" w:rsidR="007C70B2" w:rsidRPr="007C70B2" w:rsidRDefault="007C70B2" w:rsidP="007D24C4">
      <w:pPr>
        <w:spacing w:before="120" w:after="120"/>
        <w:rPr>
          <w:i/>
        </w:rPr>
      </w:pPr>
      <w:r w:rsidRPr="007C70B2">
        <w:rPr>
          <w:i/>
        </w:rPr>
        <w:t>Less restrictive options</w:t>
      </w:r>
    </w:p>
    <w:p w14:paraId="75C6AF39" w14:textId="44AA7873" w:rsidR="007C70B2" w:rsidRPr="0044604A" w:rsidRDefault="00BB10A1" w:rsidP="007D24C4">
      <w:pPr>
        <w:pStyle w:val="ListParagraph"/>
        <w:tabs>
          <w:tab w:val="left" w:pos="425"/>
          <w:tab w:val="left" w:pos="567"/>
        </w:tabs>
        <w:spacing w:before="120" w:after="120" w:line="276" w:lineRule="auto"/>
        <w:ind w:left="0"/>
        <w:rPr>
          <w:rFonts w:cs="Arial"/>
        </w:rPr>
      </w:pPr>
      <w:r>
        <w:rPr>
          <w:rFonts w:cs="Arial"/>
        </w:rPr>
        <w:t xml:space="preserve">As discussed above other options were not judged to provide the requisite effect in terms of preventing the possibility of undue influence of property developers on the electoral system. </w:t>
      </w:r>
      <w:r w:rsidR="00E078BA">
        <w:rPr>
          <w:rFonts w:cs="Arial"/>
        </w:rPr>
        <w:t>Gifts from candidates that would otherwise be banned are not considered gifts for the purpose of the ban.</w:t>
      </w:r>
    </w:p>
    <w:p w14:paraId="18F49CA2" w14:textId="77777777" w:rsidR="00F02346" w:rsidRDefault="008C76C4" w:rsidP="007D24C4">
      <w:pPr>
        <w:keepNext/>
        <w:keepLines/>
        <w:rPr>
          <w:b/>
        </w:rPr>
      </w:pPr>
      <w:r w:rsidRPr="00F6634C">
        <w:rPr>
          <w:b/>
        </w:rPr>
        <w:t>CLAUSE NOTES</w:t>
      </w:r>
    </w:p>
    <w:p w14:paraId="451347A2" w14:textId="77777777" w:rsidR="008C76C4" w:rsidRPr="00B03F5D" w:rsidRDefault="008C76C4" w:rsidP="007D24C4">
      <w:pPr>
        <w:pStyle w:val="Heading5"/>
      </w:pPr>
      <w:r w:rsidRPr="00B03F5D">
        <w:t>Clause 1</w:t>
      </w:r>
      <w:r w:rsidRPr="00B03F5D">
        <w:tab/>
        <w:t>Name of Act</w:t>
      </w:r>
    </w:p>
    <w:p w14:paraId="0FAFDA3C" w14:textId="5BE7A335" w:rsidR="007A46BC" w:rsidRPr="00CC12D3" w:rsidRDefault="008C76C4" w:rsidP="007D24C4">
      <w:r w:rsidRPr="00B03F5D">
        <w:t xml:space="preserve">This clause is a formal provision </w:t>
      </w:r>
      <w:r w:rsidR="004F39DD" w:rsidRPr="00B03F5D">
        <w:t xml:space="preserve">setting out the name of the </w:t>
      </w:r>
      <w:r w:rsidR="00E54F90">
        <w:t xml:space="preserve">new </w:t>
      </w:r>
      <w:r w:rsidR="004F39DD" w:rsidRPr="00B03F5D">
        <w:t>Act</w:t>
      </w:r>
      <w:r w:rsidR="007A46BC" w:rsidRPr="00B03F5D">
        <w:t xml:space="preserve"> as </w:t>
      </w:r>
      <w:r w:rsidRPr="00B03F5D">
        <w:t xml:space="preserve">the </w:t>
      </w:r>
      <w:r w:rsidR="00CC12D3">
        <w:rPr>
          <w:i/>
        </w:rPr>
        <w:t>Electoral Amendment Act 2018</w:t>
      </w:r>
      <w:r w:rsidR="00CC12D3">
        <w:t xml:space="preserve"> (the Act).</w:t>
      </w:r>
    </w:p>
    <w:p w14:paraId="6853F51A" w14:textId="77777777" w:rsidR="008C76C4" w:rsidRPr="00B03F5D" w:rsidRDefault="008C76C4" w:rsidP="007D24C4"/>
    <w:p w14:paraId="77EEE752" w14:textId="77777777" w:rsidR="008C76C4" w:rsidRPr="002937CF" w:rsidRDefault="008C76C4" w:rsidP="007D24C4">
      <w:pPr>
        <w:pStyle w:val="Heading5"/>
      </w:pPr>
      <w:r w:rsidRPr="002937CF">
        <w:t>Clause 2</w:t>
      </w:r>
      <w:r w:rsidRPr="002937CF">
        <w:tab/>
        <w:t>Commencement</w:t>
      </w:r>
    </w:p>
    <w:p w14:paraId="232D1ED1" w14:textId="77777777" w:rsidR="00F34006" w:rsidRDefault="00AF2AA9" w:rsidP="007D24C4">
      <w:r w:rsidRPr="002937CF">
        <w:t>This clause provides that the Act</w:t>
      </w:r>
      <w:r w:rsidR="00E54F90" w:rsidRPr="002937CF">
        <w:t xml:space="preserve"> </w:t>
      </w:r>
      <w:r w:rsidR="00651A07" w:rsidRPr="002937CF">
        <w:t xml:space="preserve">will commence </w:t>
      </w:r>
      <w:r w:rsidR="001D7CB6" w:rsidRPr="002937CF">
        <w:t>on a day fixed by the Minister by written notice.</w:t>
      </w:r>
      <w:r w:rsidR="001D7CB6">
        <w:t xml:space="preserve"> </w:t>
      </w:r>
    </w:p>
    <w:p w14:paraId="1503EC4E" w14:textId="77777777" w:rsidR="001D7CB6" w:rsidRPr="00F66842" w:rsidRDefault="001D7CB6" w:rsidP="007D24C4">
      <w:pPr>
        <w:rPr>
          <w:highlight w:val="magenta"/>
        </w:rPr>
      </w:pPr>
    </w:p>
    <w:p w14:paraId="528D1E89" w14:textId="09C909E3" w:rsidR="008C76C4" w:rsidRPr="00660596" w:rsidRDefault="008C76C4" w:rsidP="007D24C4">
      <w:pPr>
        <w:pStyle w:val="Heading5"/>
      </w:pPr>
      <w:r w:rsidRPr="00660596">
        <w:t>Clause 3</w:t>
      </w:r>
      <w:r w:rsidRPr="00660596">
        <w:tab/>
      </w:r>
      <w:r w:rsidR="00CC12D3">
        <w:t>Legislation Amended</w:t>
      </w:r>
    </w:p>
    <w:p w14:paraId="0AD96270" w14:textId="2C5B943E" w:rsidR="00660596" w:rsidRPr="00E54F90" w:rsidRDefault="00E54F90" w:rsidP="007D24C4">
      <w:r w:rsidRPr="00E54F90">
        <w:t xml:space="preserve">This </w:t>
      </w:r>
      <w:r>
        <w:t xml:space="preserve">clause is a formal provision </w:t>
      </w:r>
      <w:r w:rsidRPr="00E54F90">
        <w:t>identifying t</w:t>
      </w:r>
      <w:r w:rsidR="00CC12D3">
        <w:t xml:space="preserve">hat the Act amends the </w:t>
      </w:r>
      <w:r w:rsidR="00CC12D3" w:rsidRPr="008E5EB4">
        <w:rPr>
          <w:i/>
        </w:rPr>
        <w:t>Electoral Act 1992.</w:t>
      </w:r>
    </w:p>
    <w:p w14:paraId="0DF4B750" w14:textId="77777777" w:rsidR="00660596" w:rsidRPr="00F66842" w:rsidRDefault="00660596" w:rsidP="007D24C4">
      <w:pPr>
        <w:rPr>
          <w:highlight w:val="magenta"/>
        </w:rPr>
      </w:pPr>
    </w:p>
    <w:p w14:paraId="002920AE" w14:textId="120486F4" w:rsidR="00660596" w:rsidRPr="00660596" w:rsidRDefault="00660596" w:rsidP="007D24C4">
      <w:pPr>
        <w:pStyle w:val="Heading5"/>
      </w:pPr>
      <w:r>
        <w:t xml:space="preserve">Clause </w:t>
      </w:r>
      <w:r w:rsidR="00CC12D3">
        <w:t>4</w:t>
      </w:r>
      <w:r w:rsidRPr="00660596">
        <w:tab/>
        <w:t xml:space="preserve">Offences against Act—application of Criminal Code </w:t>
      </w:r>
      <w:r w:rsidR="00A06BE6" w:rsidRPr="00660596">
        <w:t>etc.</w:t>
      </w:r>
    </w:p>
    <w:p w14:paraId="44D7518F" w14:textId="36513FC0" w:rsidR="00E54F90" w:rsidRDefault="00E54F90" w:rsidP="007D24C4">
      <w:r w:rsidRPr="00E54F90">
        <w:t xml:space="preserve">This clause clarifies </w:t>
      </w:r>
      <w:r w:rsidR="00651A07">
        <w:t xml:space="preserve">the </w:t>
      </w:r>
      <w:r w:rsidRPr="00E54F90">
        <w:t xml:space="preserve">operation of the </w:t>
      </w:r>
      <w:r w:rsidRPr="00142808">
        <w:rPr>
          <w:i/>
        </w:rPr>
        <w:t>Criminal Code 2002</w:t>
      </w:r>
      <w:r w:rsidR="00CC12D3">
        <w:t xml:space="preserve"> </w:t>
      </w:r>
      <w:r w:rsidRPr="00E54F90">
        <w:t xml:space="preserve">which applies </w:t>
      </w:r>
      <w:r w:rsidR="00CC12D3">
        <w:t>to the new offences of property developers</w:t>
      </w:r>
      <w:r w:rsidR="00273E2C">
        <w:t xml:space="preserve"> and close associates giving</w:t>
      </w:r>
      <w:r w:rsidR="00CC12D3">
        <w:t xml:space="preserve"> gifts, and of </w:t>
      </w:r>
      <w:r w:rsidR="00B1769D">
        <w:t xml:space="preserve">political entities </w:t>
      </w:r>
      <w:r w:rsidR="00CC12D3">
        <w:t xml:space="preserve">accepting gifts from </w:t>
      </w:r>
      <w:r w:rsidR="00B1769D" w:rsidRPr="00B1769D">
        <w:t>property developers</w:t>
      </w:r>
      <w:r w:rsidR="00E46CAE">
        <w:t>.</w:t>
      </w:r>
    </w:p>
    <w:p w14:paraId="1360A415" w14:textId="77777777" w:rsidR="00142808" w:rsidRPr="00E54F90" w:rsidRDefault="00142808" w:rsidP="007D24C4"/>
    <w:p w14:paraId="7D838647" w14:textId="093671A5" w:rsidR="009D45AA" w:rsidRPr="003B739A" w:rsidRDefault="004835B5" w:rsidP="007D24C4">
      <w:pPr>
        <w:pStyle w:val="Heading5"/>
      </w:pPr>
      <w:r>
        <w:t xml:space="preserve">Clause </w:t>
      </w:r>
      <w:r w:rsidR="00CC12D3">
        <w:t>5</w:t>
      </w:r>
      <w:r>
        <w:tab/>
      </w:r>
      <w:r w:rsidR="00AF0777">
        <w:t>New section 3B</w:t>
      </w:r>
    </w:p>
    <w:p w14:paraId="563B11EF" w14:textId="66077420" w:rsidR="00EB6AC5" w:rsidRDefault="00AF0777" w:rsidP="007D24C4">
      <w:pPr>
        <w:pStyle w:val="Default"/>
        <w:spacing w:line="276" w:lineRule="auto"/>
        <w:rPr>
          <w:rFonts w:ascii="Calibri" w:hAnsi="Calibri"/>
        </w:rPr>
      </w:pPr>
      <w:r>
        <w:rPr>
          <w:rFonts w:ascii="Calibri" w:hAnsi="Calibri"/>
        </w:rPr>
        <w:t xml:space="preserve">This clause inserts a new section 3B which </w:t>
      </w:r>
      <w:r w:rsidR="00EE6459" w:rsidRPr="003B739A">
        <w:rPr>
          <w:rFonts w:ascii="Calibri" w:hAnsi="Calibri"/>
        </w:rPr>
        <w:t>outli</w:t>
      </w:r>
      <w:r w:rsidR="00EE6459">
        <w:rPr>
          <w:rFonts w:ascii="Calibri" w:hAnsi="Calibri"/>
        </w:rPr>
        <w:t>nes the main object</w:t>
      </w:r>
      <w:r>
        <w:rPr>
          <w:rFonts w:ascii="Calibri" w:hAnsi="Calibri"/>
        </w:rPr>
        <w:t>s</w:t>
      </w:r>
      <w:r w:rsidR="00EE6459">
        <w:rPr>
          <w:rFonts w:ascii="Calibri" w:hAnsi="Calibri"/>
        </w:rPr>
        <w:t xml:space="preserve"> of the </w:t>
      </w:r>
      <w:r w:rsidR="00EB6AC5">
        <w:rPr>
          <w:rFonts w:ascii="Calibri" w:hAnsi="Calibri"/>
        </w:rPr>
        <w:t xml:space="preserve">Electoral </w:t>
      </w:r>
      <w:r w:rsidR="00EE6459">
        <w:rPr>
          <w:rFonts w:ascii="Calibri" w:hAnsi="Calibri"/>
        </w:rPr>
        <w:t>Act</w:t>
      </w:r>
      <w:r w:rsidR="002801D0">
        <w:rPr>
          <w:rFonts w:ascii="Calibri" w:hAnsi="Calibri"/>
        </w:rPr>
        <w:t>, being</w:t>
      </w:r>
      <w:r w:rsidR="00EE6459">
        <w:rPr>
          <w:rFonts w:ascii="Calibri" w:hAnsi="Calibri"/>
        </w:rPr>
        <w:t xml:space="preserve"> to</w:t>
      </w:r>
      <w:r w:rsidR="00EB6AC5">
        <w:rPr>
          <w:rFonts w:ascii="Calibri" w:hAnsi="Calibri"/>
        </w:rPr>
        <w:t>:</w:t>
      </w:r>
    </w:p>
    <w:p w14:paraId="3519F9A1" w14:textId="77777777" w:rsidR="00EB6AC5" w:rsidRDefault="00EB6AC5" w:rsidP="007D24C4">
      <w:pPr>
        <w:pStyle w:val="Default"/>
        <w:spacing w:line="276" w:lineRule="auto"/>
        <w:rPr>
          <w:rFonts w:ascii="Calibri" w:hAnsi="Calibri"/>
        </w:rPr>
      </w:pPr>
    </w:p>
    <w:p w14:paraId="00865779" w14:textId="6D5C7400" w:rsidR="00EB6AC5" w:rsidRPr="002937CF" w:rsidRDefault="00EB6AC5" w:rsidP="007D24C4">
      <w:pPr>
        <w:pStyle w:val="Default"/>
        <w:numPr>
          <w:ilvl w:val="0"/>
          <w:numId w:val="69"/>
        </w:numPr>
        <w:spacing w:line="276" w:lineRule="auto"/>
        <w:rPr>
          <w:rFonts w:ascii="Calibri" w:hAnsi="Calibri"/>
        </w:rPr>
      </w:pPr>
      <w:r w:rsidRPr="002937CF">
        <w:rPr>
          <w:rFonts w:ascii="Calibri" w:hAnsi="Calibri"/>
        </w:rPr>
        <w:t>recognise, promote and protect the right and opportunity of every elector to take part in the conduct of public affairs, directly or through freely chosen representatives, vote, and be elected, at periodic elections that guarantee the free expression of the will of the electors and have access, on general terms of equality, for appointment to public office</w:t>
      </w:r>
    </w:p>
    <w:p w14:paraId="0EDB03D6" w14:textId="77777777" w:rsidR="00EB6AC5" w:rsidRPr="002937CF" w:rsidRDefault="00EB6AC5" w:rsidP="007D24C4">
      <w:pPr>
        <w:pStyle w:val="Default"/>
        <w:numPr>
          <w:ilvl w:val="0"/>
          <w:numId w:val="69"/>
        </w:numPr>
        <w:spacing w:line="276" w:lineRule="auto"/>
        <w:rPr>
          <w:rFonts w:ascii="Calibri" w:hAnsi="Calibri"/>
        </w:rPr>
      </w:pPr>
      <w:r w:rsidRPr="002937CF">
        <w:rPr>
          <w:rFonts w:ascii="Calibri" w:hAnsi="Calibri"/>
        </w:rPr>
        <w:t xml:space="preserve">promote public awareness of the electoral system and its role in supporting participation in the political process </w:t>
      </w:r>
    </w:p>
    <w:p w14:paraId="39AD114E" w14:textId="77777777" w:rsidR="00EB6AC5" w:rsidRPr="002937CF" w:rsidRDefault="00EB6AC5" w:rsidP="007D24C4">
      <w:pPr>
        <w:pStyle w:val="Default"/>
        <w:numPr>
          <w:ilvl w:val="0"/>
          <w:numId w:val="69"/>
        </w:numPr>
        <w:spacing w:line="276" w:lineRule="auto"/>
        <w:rPr>
          <w:rFonts w:ascii="Calibri" w:hAnsi="Calibri"/>
        </w:rPr>
      </w:pPr>
      <w:r w:rsidRPr="002937CF">
        <w:rPr>
          <w:rFonts w:ascii="Calibri" w:hAnsi="Calibri"/>
        </w:rPr>
        <w:t>enhance equality of opportunity for participation in the political process</w:t>
      </w:r>
    </w:p>
    <w:p w14:paraId="0240CC51" w14:textId="180944B2" w:rsidR="00EB6AC5" w:rsidRPr="002937CF" w:rsidRDefault="00EB6AC5" w:rsidP="007D24C4">
      <w:pPr>
        <w:pStyle w:val="Default"/>
        <w:numPr>
          <w:ilvl w:val="0"/>
          <w:numId w:val="69"/>
        </w:numPr>
        <w:spacing w:line="276" w:lineRule="auto"/>
        <w:rPr>
          <w:rFonts w:ascii="Calibri" w:hAnsi="Calibri"/>
        </w:rPr>
      </w:pPr>
      <w:r w:rsidRPr="002937CF">
        <w:rPr>
          <w:rFonts w:ascii="Calibri" w:hAnsi="Calibri"/>
        </w:rPr>
        <w:t xml:space="preserve">establish </w:t>
      </w:r>
      <w:r w:rsidR="00AF0777">
        <w:rPr>
          <w:rFonts w:ascii="Calibri" w:hAnsi="Calibri"/>
        </w:rPr>
        <w:t xml:space="preserve">and </w:t>
      </w:r>
      <w:r w:rsidR="00AF0777" w:rsidRPr="002937CF">
        <w:rPr>
          <w:rFonts w:ascii="Calibri" w:hAnsi="Calibri"/>
        </w:rPr>
        <w:t xml:space="preserve">promote compliance </w:t>
      </w:r>
      <w:r w:rsidR="00AF0777">
        <w:rPr>
          <w:rFonts w:ascii="Calibri" w:hAnsi="Calibri"/>
        </w:rPr>
        <w:t xml:space="preserve">with, </w:t>
      </w:r>
      <w:r w:rsidRPr="002937CF">
        <w:rPr>
          <w:rFonts w:ascii="Calibri" w:hAnsi="Calibri"/>
        </w:rPr>
        <w:t>a fair and transparent electoral funding, expenditure and financial disclosure scheme</w:t>
      </w:r>
    </w:p>
    <w:p w14:paraId="474C8149" w14:textId="77777777" w:rsidR="00EB6AC5" w:rsidRPr="002937CF" w:rsidRDefault="00EB6AC5" w:rsidP="007D24C4">
      <w:pPr>
        <w:pStyle w:val="Default"/>
        <w:numPr>
          <w:ilvl w:val="0"/>
          <w:numId w:val="69"/>
        </w:numPr>
        <w:spacing w:line="276" w:lineRule="auto"/>
        <w:rPr>
          <w:rFonts w:ascii="Calibri" w:hAnsi="Calibri"/>
        </w:rPr>
      </w:pPr>
      <w:r w:rsidRPr="002937CF">
        <w:rPr>
          <w:rFonts w:ascii="Calibri" w:hAnsi="Calibri"/>
        </w:rPr>
        <w:t>help prevent corruption and undue influence in institutions of government and public administration in the Territory</w:t>
      </w:r>
    </w:p>
    <w:p w14:paraId="0177F63F" w14:textId="5D135F0E" w:rsidR="00EB6AC5" w:rsidRDefault="00EB6AC5" w:rsidP="007D24C4">
      <w:pPr>
        <w:pStyle w:val="Default"/>
        <w:numPr>
          <w:ilvl w:val="0"/>
          <w:numId w:val="69"/>
        </w:numPr>
        <w:spacing w:line="276" w:lineRule="auto"/>
        <w:rPr>
          <w:rFonts w:ascii="Calibri" w:hAnsi="Calibri"/>
        </w:rPr>
      </w:pPr>
      <w:r w:rsidRPr="002937CF">
        <w:rPr>
          <w:rFonts w:ascii="Calibri" w:hAnsi="Calibri"/>
        </w:rPr>
        <w:t>provide for the effective administration of public funding of elections, recognising the importance of the appropriate use of public revenue for that purpose</w:t>
      </w:r>
    </w:p>
    <w:p w14:paraId="4DE75BB7" w14:textId="26778864" w:rsidR="00373A08" w:rsidRPr="002937CF" w:rsidRDefault="002A284C" w:rsidP="007D24C4">
      <w:pPr>
        <w:pStyle w:val="Default"/>
        <w:numPr>
          <w:ilvl w:val="0"/>
          <w:numId w:val="69"/>
        </w:numPr>
        <w:spacing w:line="276" w:lineRule="auto"/>
        <w:rPr>
          <w:rFonts w:ascii="Calibri" w:hAnsi="Calibri"/>
        </w:rPr>
      </w:pPr>
      <w:r>
        <w:rPr>
          <w:rFonts w:ascii="Calibri" w:hAnsi="Calibri"/>
        </w:rPr>
        <w:t>e</w:t>
      </w:r>
      <w:r w:rsidR="00373A08">
        <w:rPr>
          <w:rFonts w:ascii="Calibri" w:hAnsi="Calibri"/>
        </w:rPr>
        <w:t>stablish an independent Electoral Commission, made up of independent officers of the Legislative Assembly with functions that include promoting the objects of the Act, administering the Act and conducting elections.</w:t>
      </w:r>
    </w:p>
    <w:p w14:paraId="39C34B07" w14:textId="54654ED2" w:rsidR="00EE6459" w:rsidRPr="00234C11" w:rsidRDefault="00EE6459" w:rsidP="007D24C4">
      <w:pPr>
        <w:pStyle w:val="Default"/>
        <w:spacing w:line="276" w:lineRule="auto"/>
        <w:ind w:left="720"/>
        <w:rPr>
          <w:rFonts w:asciiTheme="minorHAnsi" w:hAnsiTheme="minorHAnsi"/>
        </w:rPr>
      </w:pPr>
    </w:p>
    <w:p w14:paraId="1422217D" w14:textId="3BB6BB89" w:rsidR="00C039EB" w:rsidRDefault="00EB6AC5" w:rsidP="007D24C4">
      <w:pPr>
        <w:rPr>
          <w:rFonts w:ascii="Arial" w:hAnsi="Arial"/>
        </w:rPr>
      </w:pPr>
      <w:r w:rsidRPr="002937CF">
        <w:t>These obje</w:t>
      </w:r>
      <w:r>
        <w:t xml:space="preserve">cts are based on the content </w:t>
      </w:r>
      <w:r w:rsidRPr="002937CF">
        <w:t>of the right to take part in public life in section 17 of the HRA as well as the purposes</w:t>
      </w:r>
      <w:r>
        <w:t xml:space="preserve"> of the main components of the </w:t>
      </w:r>
      <w:r w:rsidRPr="002937CF">
        <w:t>electoral system</w:t>
      </w:r>
      <w:r w:rsidR="002937CF">
        <w:t>,</w:t>
      </w:r>
      <w:r w:rsidRPr="002937CF">
        <w:t xml:space="preserve"> including the </w:t>
      </w:r>
      <w:r w:rsidR="005F5C4A">
        <w:t xml:space="preserve">rules for the running </w:t>
      </w:r>
      <w:r w:rsidRPr="002937CF">
        <w:t>of elec</w:t>
      </w:r>
      <w:r>
        <w:t>tions</w:t>
      </w:r>
      <w:r w:rsidR="005F5C4A">
        <w:t xml:space="preserve"> and determination of results</w:t>
      </w:r>
      <w:r>
        <w:t>, registration of</w:t>
      </w:r>
      <w:r w:rsidR="005F5C4A">
        <w:t xml:space="preserve"> candidates and</w:t>
      </w:r>
      <w:r>
        <w:t xml:space="preserve"> parties,</w:t>
      </w:r>
      <w:r w:rsidRPr="002937CF">
        <w:t xml:space="preserve"> financial reporting and disclosure, public funding and </w:t>
      </w:r>
      <w:r w:rsidR="005F5C4A">
        <w:t xml:space="preserve">non-partisan </w:t>
      </w:r>
      <w:r w:rsidRPr="002937CF">
        <w:t xml:space="preserve">oversight. </w:t>
      </w:r>
      <w:r>
        <w:t xml:space="preserve">The objects clause will help articulate the key benefits of </w:t>
      </w:r>
      <w:r w:rsidRPr="002937CF">
        <w:t>maintaining a fair, transparent and representative electoral system.</w:t>
      </w:r>
      <w:r w:rsidR="002937CF">
        <w:t xml:space="preserve"> The objects clause reinforces that legislative changes passed by the </w:t>
      </w:r>
      <w:r w:rsidR="002801D0">
        <w:t>A</w:t>
      </w:r>
      <w:r w:rsidR="002937CF">
        <w:t xml:space="preserve">ssembly are considered by the Assembly to </w:t>
      </w:r>
      <w:r w:rsidR="00AF0777">
        <w:t xml:space="preserve">best </w:t>
      </w:r>
      <w:r w:rsidR="002937CF">
        <w:t xml:space="preserve">support </w:t>
      </w:r>
      <w:r w:rsidR="00AF0777">
        <w:t xml:space="preserve">and advance </w:t>
      </w:r>
      <w:r w:rsidR="002937CF">
        <w:t xml:space="preserve">the ACT’s </w:t>
      </w:r>
      <w:r w:rsidR="00AF0777">
        <w:t>democracy.</w:t>
      </w:r>
    </w:p>
    <w:p w14:paraId="148C51A1" w14:textId="77777777" w:rsidR="00EB6AC5" w:rsidRPr="00AF0777" w:rsidRDefault="00EB6AC5" w:rsidP="007D24C4"/>
    <w:p w14:paraId="7C6B78FF" w14:textId="60EE1C42" w:rsidR="00352BB1" w:rsidRPr="00414DD6" w:rsidRDefault="00352BB1" w:rsidP="007D24C4">
      <w:pPr>
        <w:pStyle w:val="Heading5"/>
      </w:pPr>
      <w:r w:rsidRPr="00414DD6">
        <w:t xml:space="preserve">Clause </w:t>
      </w:r>
      <w:r w:rsidR="00D7145B" w:rsidRPr="00414DD6">
        <w:t>6</w:t>
      </w:r>
      <w:r w:rsidRPr="00414DD6">
        <w:tab/>
      </w:r>
      <w:r w:rsidR="00D7145B" w:rsidRPr="00414DD6">
        <w:rPr>
          <w:bCs/>
        </w:rPr>
        <w:t>Meaning of gift—pt 14</w:t>
      </w:r>
      <w:r w:rsidR="00D7145B" w:rsidRPr="00414DD6">
        <w:rPr>
          <w:b w:val="0"/>
          <w:bCs/>
        </w:rPr>
        <w:t xml:space="preserve"> </w:t>
      </w:r>
      <w:r w:rsidR="00AF0777" w:rsidRPr="00414DD6">
        <w:rPr>
          <w:bCs/>
        </w:rPr>
        <w:t>Section 198AA (2)</w:t>
      </w:r>
    </w:p>
    <w:p w14:paraId="12612117" w14:textId="6B01F6B0" w:rsidR="00D7145B" w:rsidRDefault="00352BB1" w:rsidP="007D24C4">
      <w:r w:rsidRPr="00352BB1">
        <w:t xml:space="preserve">Clause </w:t>
      </w:r>
      <w:r w:rsidR="00AF0777">
        <w:t>6</w:t>
      </w:r>
      <w:r w:rsidR="00D7145B">
        <w:t xml:space="preserve"> substitutes a new section 198AA (2)</w:t>
      </w:r>
      <w:r w:rsidR="00C33DC7">
        <w:t>.  Currently</w:t>
      </w:r>
      <w:r w:rsidR="00E46CAE">
        <w:t xml:space="preserve"> section 198AA(2)(b)  provides that</w:t>
      </w:r>
      <w:r w:rsidR="00D7145B">
        <w:t xml:space="preserve"> </w:t>
      </w:r>
      <w:r w:rsidR="00E46CAE">
        <w:t xml:space="preserve">only </w:t>
      </w:r>
      <w:r w:rsidR="00D7145B">
        <w:t xml:space="preserve">an amount </w:t>
      </w:r>
      <w:r w:rsidR="00C33DC7">
        <w:t xml:space="preserve">in excess of the first </w:t>
      </w:r>
      <w:r w:rsidR="00D7145B">
        <w:t xml:space="preserve">$250 of a contribution to a single fundraising event </w:t>
      </w:r>
      <w:r w:rsidR="0037428B">
        <w:t>i</w:t>
      </w:r>
      <w:r w:rsidR="00D7145B">
        <w:t xml:space="preserve">s a gift. The </w:t>
      </w:r>
      <w:r w:rsidR="00C33DC7">
        <w:t xml:space="preserve">effect of new substituted section 198AA (2) is </w:t>
      </w:r>
      <w:r w:rsidR="00D7145B">
        <w:t>that any fundraising contribution is considered a gift and must be disclosed and reported in accordance with the funding and disclosure framework.</w:t>
      </w:r>
    </w:p>
    <w:p w14:paraId="647D28DB" w14:textId="77777777" w:rsidR="005727D4" w:rsidRDefault="005727D4" w:rsidP="007D24C4"/>
    <w:p w14:paraId="420DBE81" w14:textId="450BC460" w:rsidR="00352BB1" w:rsidRPr="00414DD6" w:rsidRDefault="00D7145B" w:rsidP="007D24C4">
      <w:pPr>
        <w:rPr>
          <w:b/>
        </w:rPr>
      </w:pPr>
      <w:r w:rsidRPr="00414DD6">
        <w:rPr>
          <w:b/>
          <w:bCs/>
        </w:rPr>
        <w:t>Clause 7</w:t>
      </w:r>
      <w:r w:rsidRPr="00414DD6">
        <w:rPr>
          <w:b/>
          <w:bCs/>
        </w:rPr>
        <w:tab/>
        <w:t>Section 198AA (3) (d) and (e)</w:t>
      </w:r>
    </w:p>
    <w:p w14:paraId="6F730968" w14:textId="45619DB2" w:rsidR="00D7145B" w:rsidRDefault="00D7145B" w:rsidP="007D24C4">
      <w:r>
        <w:t xml:space="preserve">Clause 7 omits references to fundraising contributions of less than $250 in a single fundraising event as not </w:t>
      </w:r>
      <w:r w:rsidR="00C33DC7">
        <w:t xml:space="preserve">coming </w:t>
      </w:r>
      <w:r>
        <w:t>within the definition of a gift.</w:t>
      </w:r>
      <w:r w:rsidRPr="00D7145B">
        <w:t xml:space="preserve"> </w:t>
      </w:r>
      <w:r>
        <w:t>The Bill amends the definition of gift so that any fundraising contribution is considered a gift and must be disclosed and reported in accordance with the funding and disclosure framework.</w:t>
      </w:r>
    </w:p>
    <w:p w14:paraId="5ADDC700" w14:textId="77777777" w:rsidR="00AF0777" w:rsidRDefault="00AF0777" w:rsidP="007D24C4"/>
    <w:p w14:paraId="09282105" w14:textId="0BE03905" w:rsidR="00AF0777" w:rsidRDefault="00AF0777" w:rsidP="007D24C4">
      <w:r>
        <w:t xml:space="preserve">This amendment will simplify the reporting requirements for fundraising contributions by requiring that all </w:t>
      </w:r>
      <w:r w:rsidR="00A84416">
        <w:t xml:space="preserve">contributions must </w:t>
      </w:r>
      <w:r>
        <w:t>be reported rather than amounts of more than $250 being required to be reported and amounts of less than $250 not</w:t>
      </w:r>
      <w:r w:rsidR="002801D0">
        <w:t xml:space="preserve"> being required to be reported</w:t>
      </w:r>
      <w:r>
        <w:t>.</w:t>
      </w:r>
    </w:p>
    <w:p w14:paraId="12FF83E1" w14:textId="77777777" w:rsidR="00D7145B" w:rsidRPr="00E54F90" w:rsidRDefault="00D7145B" w:rsidP="007D24C4"/>
    <w:p w14:paraId="01D66265" w14:textId="6E408B4B" w:rsidR="00352BB1" w:rsidRPr="006C673F" w:rsidRDefault="00352BB1" w:rsidP="007D24C4">
      <w:pPr>
        <w:pStyle w:val="Heading5"/>
        <w:ind w:left="1440" w:hanging="1440"/>
      </w:pPr>
      <w:r w:rsidRPr="006C673F">
        <w:t>Clause 8</w:t>
      </w:r>
      <w:r w:rsidRPr="006C673F">
        <w:tab/>
      </w:r>
      <w:r w:rsidR="00D7145B" w:rsidRPr="00D7145B">
        <w:t>Section 198AA (4), definitions of fundraisi</w:t>
      </w:r>
      <w:r w:rsidR="00C8351C">
        <w:t xml:space="preserve">ng contribution and fundraising </w:t>
      </w:r>
      <w:r w:rsidR="00D7145B" w:rsidRPr="00D7145B">
        <w:t>event</w:t>
      </w:r>
    </w:p>
    <w:p w14:paraId="18895B7D" w14:textId="00F55DEA" w:rsidR="00352BB1" w:rsidRPr="00414DD6" w:rsidRDefault="00D7145B" w:rsidP="007D24C4">
      <w:pPr>
        <w:pStyle w:val="Default"/>
        <w:spacing w:line="276" w:lineRule="auto"/>
        <w:rPr>
          <w:rFonts w:asciiTheme="minorHAnsi" w:hAnsiTheme="minorHAnsi"/>
        </w:rPr>
      </w:pPr>
      <w:r w:rsidRPr="00414DD6">
        <w:rPr>
          <w:rFonts w:asciiTheme="minorHAnsi" w:hAnsiTheme="minorHAnsi"/>
        </w:rPr>
        <w:t xml:space="preserve">Clause 8 omits the </w:t>
      </w:r>
      <w:r w:rsidR="00C8351C" w:rsidRPr="00414DD6">
        <w:rPr>
          <w:rFonts w:asciiTheme="minorHAnsi" w:hAnsiTheme="minorHAnsi"/>
        </w:rPr>
        <w:t>definitions</w:t>
      </w:r>
      <w:r w:rsidRPr="00414DD6">
        <w:rPr>
          <w:rFonts w:asciiTheme="minorHAnsi" w:hAnsiTheme="minorHAnsi"/>
        </w:rPr>
        <w:t xml:space="preserve"> of </w:t>
      </w:r>
      <w:r w:rsidRPr="00414DD6">
        <w:rPr>
          <w:rFonts w:asciiTheme="minorHAnsi" w:hAnsiTheme="minorHAnsi"/>
          <w:bCs/>
          <w:i/>
          <w:iCs/>
        </w:rPr>
        <w:t xml:space="preserve">fundraising contribution </w:t>
      </w:r>
      <w:r w:rsidRPr="00414DD6">
        <w:rPr>
          <w:rFonts w:asciiTheme="minorHAnsi" w:hAnsiTheme="minorHAnsi"/>
          <w:bCs/>
        </w:rPr>
        <w:t xml:space="preserve">and </w:t>
      </w:r>
      <w:r w:rsidRPr="00414DD6">
        <w:rPr>
          <w:rFonts w:asciiTheme="minorHAnsi" w:hAnsiTheme="minorHAnsi"/>
          <w:bCs/>
          <w:i/>
          <w:iCs/>
        </w:rPr>
        <w:t xml:space="preserve">fundraising event </w:t>
      </w:r>
      <w:r w:rsidRPr="00414DD6">
        <w:rPr>
          <w:rFonts w:asciiTheme="minorHAnsi" w:hAnsiTheme="minorHAnsi"/>
          <w:bCs/>
          <w:iCs/>
        </w:rPr>
        <w:t xml:space="preserve">as they are no longer required because </w:t>
      </w:r>
      <w:r w:rsidR="00C8351C" w:rsidRPr="00414DD6">
        <w:rPr>
          <w:rFonts w:asciiTheme="minorHAnsi" w:hAnsiTheme="minorHAnsi"/>
          <w:bCs/>
          <w:iCs/>
        </w:rPr>
        <w:t>there is no exception for</w:t>
      </w:r>
      <w:r w:rsidR="00C33DC7">
        <w:rPr>
          <w:rFonts w:asciiTheme="minorHAnsi" w:hAnsiTheme="minorHAnsi"/>
          <w:bCs/>
          <w:iCs/>
        </w:rPr>
        <w:t xml:space="preserve"> disclosure of</w:t>
      </w:r>
      <w:r w:rsidR="00C8351C" w:rsidRPr="00414DD6">
        <w:rPr>
          <w:rFonts w:asciiTheme="minorHAnsi" w:hAnsiTheme="minorHAnsi"/>
          <w:bCs/>
          <w:iCs/>
        </w:rPr>
        <w:t xml:space="preserve"> amounts previously classed as fundraising contributions. </w:t>
      </w:r>
    </w:p>
    <w:p w14:paraId="688796FD" w14:textId="77777777" w:rsidR="00352BB1" w:rsidRDefault="00352BB1" w:rsidP="007D24C4">
      <w:pPr>
        <w:pStyle w:val="Default"/>
        <w:spacing w:line="276" w:lineRule="auto"/>
        <w:rPr>
          <w:rFonts w:ascii="Calibri" w:hAnsi="Calibri"/>
        </w:rPr>
      </w:pPr>
    </w:p>
    <w:p w14:paraId="19097C68" w14:textId="60209486" w:rsidR="00D23489" w:rsidRDefault="00C8351C" w:rsidP="007D24C4">
      <w:pPr>
        <w:pStyle w:val="Heading5"/>
        <w:ind w:left="1440" w:hanging="1440"/>
      </w:pPr>
      <w:r w:rsidRPr="006C673F">
        <w:t xml:space="preserve">Clause </w:t>
      </w:r>
      <w:r>
        <w:t>9</w:t>
      </w:r>
      <w:r w:rsidRPr="006C673F">
        <w:tab/>
      </w:r>
      <w:r w:rsidR="00D23489">
        <w:t>Section 216A (3) (</w:t>
      </w:r>
      <w:r w:rsidR="002801D0">
        <w:t>b</w:t>
      </w:r>
      <w:r w:rsidR="00D23489">
        <w:t>), Records and regular disclosure of gifts</w:t>
      </w:r>
    </w:p>
    <w:p w14:paraId="5C7489D2" w14:textId="3D4C2A01" w:rsidR="00D23489" w:rsidRDefault="00D23489" w:rsidP="007D24C4">
      <w:pPr>
        <w:pStyle w:val="Default"/>
        <w:spacing w:line="276" w:lineRule="auto"/>
        <w:rPr>
          <w:rFonts w:ascii="Calibri" w:hAnsi="Calibri"/>
        </w:rPr>
      </w:pPr>
      <w:r>
        <w:rPr>
          <w:rFonts w:ascii="Calibri" w:hAnsi="Calibri"/>
        </w:rPr>
        <w:t>This clause omits the requirement that additional gifts made by a giver over the</w:t>
      </w:r>
      <w:r w:rsidR="002801D0">
        <w:rPr>
          <w:rFonts w:ascii="Calibri" w:hAnsi="Calibri"/>
        </w:rPr>
        <w:t xml:space="preserve"> initial</w:t>
      </w:r>
      <w:r>
        <w:rPr>
          <w:rFonts w:ascii="Calibri" w:hAnsi="Calibri"/>
        </w:rPr>
        <w:t xml:space="preserve"> </w:t>
      </w:r>
      <w:r w:rsidR="002801D0">
        <w:rPr>
          <w:rFonts w:ascii="Calibri" w:hAnsi="Calibri"/>
        </w:rPr>
        <w:t>$</w:t>
      </w:r>
      <w:r>
        <w:rPr>
          <w:rFonts w:ascii="Calibri" w:hAnsi="Calibri"/>
        </w:rPr>
        <w:t>1000 threshold must be reported only when the next $1000 increment of gift value is reached.</w:t>
      </w:r>
    </w:p>
    <w:p w14:paraId="591357F1" w14:textId="65483530" w:rsidR="00D23489" w:rsidRDefault="00D23489" w:rsidP="007D24C4">
      <w:pPr>
        <w:pStyle w:val="Default"/>
        <w:spacing w:line="276" w:lineRule="auto"/>
        <w:rPr>
          <w:rFonts w:ascii="Calibri" w:hAnsi="Calibri"/>
        </w:rPr>
      </w:pPr>
      <w:r>
        <w:rPr>
          <w:rFonts w:ascii="Calibri" w:hAnsi="Calibri"/>
        </w:rPr>
        <w:t>This change will mean that all gifts over the $1000 threshold are required to be reported on an ongoing basis.</w:t>
      </w:r>
    </w:p>
    <w:p w14:paraId="543196A6" w14:textId="77777777" w:rsidR="00D23489" w:rsidRDefault="00D23489" w:rsidP="007D24C4">
      <w:pPr>
        <w:pStyle w:val="Heading5"/>
        <w:ind w:left="1440" w:hanging="1440"/>
      </w:pPr>
    </w:p>
    <w:p w14:paraId="482AAE2B" w14:textId="0C8D4436" w:rsidR="00C8351C" w:rsidRPr="006C673F" w:rsidRDefault="00D23489" w:rsidP="007D24C4">
      <w:pPr>
        <w:pStyle w:val="Heading5"/>
        <w:ind w:left="1440" w:hanging="1440"/>
      </w:pPr>
      <w:r>
        <w:t>Clause 10</w:t>
      </w:r>
      <w:r>
        <w:tab/>
      </w:r>
      <w:r w:rsidR="00C8351C" w:rsidRPr="00D7145B">
        <w:t xml:space="preserve">Section </w:t>
      </w:r>
      <w:r w:rsidR="002801D0">
        <w:t>216A(4) and notes</w:t>
      </w:r>
    </w:p>
    <w:p w14:paraId="57BF165D" w14:textId="227E8504" w:rsidR="00C8351C" w:rsidRDefault="00C8351C" w:rsidP="007D24C4">
      <w:pPr>
        <w:pStyle w:val="Default"/>
        <w:spacing w:line="276" w:lineRule="auto"/>
        <w:rPr>
          <w:rFonts w:ascii="Calibri" w:hAnsi="Calibri"/>
        </w:rPr>
      </w:pPr>
      <w:r>
        <w:rPr>
          <w:rFonts w:ascii="Calibri" w:hAnsi="Calibri"/>
        </w:rPr>
        <w:t xml:space="preserve">This clause substitutes a new section 216A (4) to provide that all gifts received over the </w:t>
      </w:r>
      <w:r w:rsidR="002801D0">
        <w:rPr>
          <w:rFonts w:ascii="Calibri" w:hAnsi="Calibri"/>
        </w:rPr>
        <w:t xml:space="preserve">initial </w:t>
      </w:r>
      <w:r>
        <w:rPr>
          <w:rFonts w:ascii="Calibri" w:hAnsi="Calibri"/>
        </w:rPr>
        <w:t xml:space="preserve">threshold amount of $1,000 </w:t>
      </w:r>
      <w:r w:rsidR="00613268">
        <w:rPr>
          <w:rFonts w:ascii="Calibri" w:hAnsi="Calibri"/>
        </w:rPr>
        <w:t xml:space="preserve">must be declared in a return by the financial representative of the receiver no later than </w:t>
      </w:r>
      <w:r w:rsidR="002801D0">
        <w:rPr>
          <w:rFonts w:ascii="Calibri" w:hAnsi="Calibri"/>
        </w:rPr>
        <w:t>seven</w:t>
      </w:r>
      <w:r w:rsidR="00613268">
        <w:rPr>
          <w:rFonts w:ascii="Calibri" w:hAnsi="Calibri"/>
        </w:rPr>
        <w:t xml:space="preserve"> days after the day the threshold is reached. </w:t>
      </w:r>
    </w:p>
    <w:p w14:paraId="655B25E7" w14:textId="77777777" w:rsidR="00D23489" w:rsidRDefault="00D23489" w:rsidP="007D24C4">
      <w:pPr>
        <w:pStyle w:val="Default"/>
        <w:spacing w:line="276" w:lineRule="auto"/>
        <w:rPr>
          <w:rFonts w:ascii="Calibri" w:hAnsi="Calibri"/>
        </w:rPr>
      </w:pPr>
    </w:p>
    <w:p w14:paraId="34B84AD1" w14:textId="6AC1A32C" w:rsidR="001D7CB6" w:rsidRDefault="00613268" w:rsidP="007D24C4">
      <w:pPr>
        <w:pStyle w:val="Heading5"/>
      </w:pPr>
      <w:r>
        <w:t xml:space="preserve">Clause </w:t>
      </w:r>
      <w:r w:rsidR="008876F1">
        <w:t>11</w:t>
      </w:r>
      <w:r>
        <w:tab/>
        <w:t xml:space="preserve">New division 14.4A </w:t>
      </w:r>
    </w:p>
    <w:p w14:paraId="1D1B04C7" w14:textId="7C0123CA" w:rsidR="001D7CB6" w:rsidRDefault="00613268" w:rsidP="007D24C4">
      <w:r>
        <w:t>This clause inserts a range of new sections in a new Division 14.4A about gifts from property developers</w:t>
      </w:r>
      <w:r w:rsidR="002801D0">
        <w:t xml:space="preserve"> and</w:t>
      </w:r>
      <w:r w:rsidR="00D34D9E">
        <w:t xml:space="preserve"> close associates</w:t>
      </w:r>
      <w:r>
        <w:t xml:space="preserve"> which that give effect to the ban</w:t>
      </w:r>
      <w:r w:rsidR="002801D0">
        <w:t xml:space="preserve"> on property developer donations</w:t>
      </w:r>
      <w:r>
        <w:t>.</w:t>
      </w:r>
      <w:r w:rsidR="009573BD">
        <w:t xml:space="preserve"> This division includes new offences for property developers</w:t>
      </w:r>
      <w:r w:rsidR="002801D0">
        <w:t xml:space="preserve"> and their close associates</w:t>
      </w:r>
      <w:r w:rsidR="009573BD">
        <w:t xml:space="preserve"> to </w:t>
      </w:r>
      <w:r w:rsidR="002801D0">
        <w:t>give</w:t>
      </w:r>
      <w:r w:rsidR="009573BD">
        <w:t xml:space="preserve"> or cause </w:t>
      </w:r>
      <w:r w:rsidR="002801D0">
        <w:t>another to give a</w:t>
      </w:r>
      <w:r w:rsidR="009573BD">
        <w:t xml:space="preserve"> gifts to </w:t>
      </w:r>
      <w:r w:rsidR="002801D0">
        <w:t xml:space="preserve">a </w:t>
      </w:r>
      <w:r w:rsidR="009573BD">
        <w:t>political entit</w:t>
      </w:r>
      <w:r w:rsidR="002801D0">
        <w:t>y</w:t>
      </w:r>
      <w:r w:rsidR="009573BD">
        <w:t xml:space="preserve">. It is also an offence </w:t>
      </w:r>
      <w:r w:rsidR="002801D0">
        <w:t xml:space="preserve">for a political entity </w:t>
      </w:r>
      <w:r w:rsidR="009573BD">
        <w:t xml:space="preserve">to </w:t>
      </w:r>
      <w:r w:rsidR="002801D0">
        <w:t>accept</w:t>
      </w:r>
      <w:r w:rsidR="00B83574">
        <w:t xml:space="preserve"> </w:t>
      </w:r>
      <w:r w:rsidR="002801D0">
        <w:t>a</w:t>
      </w:r>
      <w:r w:rsidR="009573BD">
        <w:t xml:space="preserve"> gift from</w:t>
      </w:r>
      <w:r w:rsidR="002801D0">
        <w:t xml:space="preserve"> a prohibited donor</w:t>
      </w:r>
      <w:r w:rsidR="009573BD">
        <w:t xml:space="preserve">. </w:t>
      </w:r>
    </w:p>
    <w:p w14:paraId="0BC6EE5A" w14:textId="6108E032" w:rsidR="00613268" w:rsidRDefault="00613268" w:rsidP="007D24C4"/>
    <w:p w14:paraId="691492FB" w14:textId="04BC103A" w:rsidR="00CD3B51" w:rsidRPr="00414DD6" w:rsidRDefault="00CD3B51" w:rsidP="007D24C4">
      <w:pPr>
        <w:rPr>
          <w:b/>
        </w:rPr>
      </w:pPr>
      <w:r w:rsidRPr="00414DD6">
        <w:rPr>
          <w:b/>
        </w:rPr>
        <w:t xml:space="preserve">New Section 222A </w:t>
      </w:r>
      <w:r w:rsidRPr="00414DD6">
        <w:rPr>
          <w:b/>
        </w:rPr>
        <w:tab/>
      </w:r>
      <w:r w:rsidR="00F24523">
        <w:rPr>
          <w:b/>
        </w:rPr>
        <w:t>Application</w:t>
      </w:r>
      <w:r w:rsidRPr="00414DD6">
        <w:rPr>
          <w:b/>
        </w:rPr>
        <w:t xml:space="preserve"> – div 14.4A</w:t>
      </w:r>
    </w:p>
    <w:p w14:paraId="1AD1AEC6" w14:textId="30A57943" w:rsidR="00F24523" w:rsidRDefault="009573BD" w:rsidP="007D24C4">
      <w:r>
        <w:t xml:space="preserve">New section 222A </w:t>
      </w:r>
      <w:r w:rsidR="00F24523">
        <w:t>makes clear that new Division 14.4A does not apply to a gift that is returned to the giver within 30 days after its receipt.  Thi</w:t>
      </w:r>
      <w:r w:rsidR="00983AFE">
        <w:t>s</w:t>
      </w:r>
      <w:r w:rsidR="00F24523">
        <w:t xml:space="preserve"> provides a safeguard </w:t>
      </w:r>
      <w:r w:rsidR="00983AFE">
        <w:t>in</w:t>
      </w:r>
      <w:r w:rsidR="00F24523">
        <w:t xml:space="preserve"> that receivers of gifts are able to inquire into the origin of a gift and to return it if they suspect or establish that it has been made by a property developer. This may prevent receivers inadvertently committing the offence of accepting a gift which was from a property developer, by giving them time to make reasonable enquiries to establish the identity and nature of the giver.</w:t>
      </w:r>
    </w:p>
    <w:p w14:paraId="2B00A67B" w14:textId="77777777" w:rsidR="005A2011" w:rsidRDefault="005A2011" w:rsidP="007D24C4"/>
    <w:p w14:paraId="52FF88BC" w14:textId="52C70367" w:rsidR="005A2011" w:rsidRPr="00900B37" w:rsidRDefault="005A2011" w:rsidP="007D24C4">
      <w:r>
        <w:t>Additionally</w:t>
      </w:r>
      <w:r w:rsidR="00D34D9E">
        <w:t>,</w:t>
      </w:r>
      <w:r>
        <w:t xml:space="preserve"> a gift given or received from a close associate who is a candidate at the time the gift was given is not a gift for the purposes of the ban. This is to safeguard the right of individuals who are close associates of property developers to run for public office despite their o</w:t>
      </w:r>
      <w:r w:rsidR="00EF4AA1">
        <w:t>ccupation or relationships</w:t>
      </w:r>
      <w:r w:rsidR="00D34D9E">
        <w:t xml:space="preserve"> to property developer corporations</w:t>
      </w:r>
      <w:r w:rsidR="00EF4AA1">
        <w:t xml:space="preserve">. </w:t>
      </w:r>
      <w:r w:rsidR="00D34D9E">
        <w:t>Such c</w:t>
      </w:r>
      <w:r w:rsidR="00EF4AA1">
        <w:t>andidates will be able to support their campaign for election in accordance with the other applicable rules.</w:t>
      </w:r>
    </w:p>
    <w:p w14:paraId="3A881535" w14:textId="77777777" w:rsidR="00F24523" w:rsidRDefault="00F24523" w:rsidP="007D24C4"/>
    <w:p w14:paraId="38ED079F" w14:textId="77777777" w:rsidR="00F24523" w:rsidRPr="00B83574" w:rsidRDefault="00F24523" w:rsidP="007D24C4">
      <w:pPr>
        <w:keepNext/>
        <w:keepLines/>
        <w:rPr>
          <w:b/>
        </w:rPr>
      </w:pPr>
      <w:r w:rsidRPr="00B83574">
        <w:rPr>
          <w:b/>
        </w:rPr>
        <w:t>New section 222B</w:t>
      </w:r>
      <w:r w:rsidRPr="00B83574">
        <w:rPr>
          <w:b/>
        </w:rPr>
        <w:tab/>
        <w:t>Definitions – div 14.4A</w:t>
      </w:r>
    </w:p>
    <w:p w14:paraId="56D95E58" w14:textId="143697FA" w:rsidR="009573BD" w:rsidRDefault="00F24523" w:rsidP="007D24C4">
      <w:pPr>
        <w:keepNext/>
        <w:keepLines/>
      </w:pPr>
      <w:r>
        <w:t xml:space="preserve">New section 222B </w:t>
      </w:r>
      <w:r w:rsidR="009573BD">
        <w:t xml:space="preserve">outlines definitions of key terms for this division. </w:t>
      </w:r>
    </w:p>
    <w:p w14:paraId="678E8B8A" w14:textId="77777777" w:rsidR="008C6B2D" w:rsidRDefault="008C6B2D" w:rsidP="007D24C4">
      <w:pPr>
        <w:keepNext/>
        <w:keepLines/>
      </w:pPr>
    </w:p>
    <w:p w14:paraId="628C150E" w14:textId="3084162D" w:rsidR="008C6B2D" w:rsidRDefault="008C6B2D" w:rsidP="007D24C4">
      <w:r>
        <w:t xml:space="preserve">It defines when a relevant planning application is considered </w:t>
      </w:r>
      <w:r w:rsidRPr="00CD3B51">
        <w:rPr>
          <w:b/>
          <w:i/>
        </w:rPr>
        <w:t>decided</w:t>
      </w:r>
      <w:r>
        <w:t>, for the purposes of assessing how many planning applications have been made over a specific period, which is part of the test of whether an offence has been committed. The application is decided when it is finalised or decided in accordance with the relevant processes.</w:t>
      </w:r>
    </w:p>
    <w:p w14:paraId="3092F965" w14:textId="77777777" w:rsidR="001D7CB6" w:rsidRDefault="001D7CB6" w:rsidP="007D24C4"/>
    <w:p w14:paraId="3B47ECC1" w14:textId="7A865680" w:rsidR="00CD3B51" w:rsidRDefault="00CD3B51" w:rsidP="007D24C4">
      <w:r>
        <w:t xml:space="preserve">The section defines </w:t>
      </w:r>
      <w:r w:rsidRPr="00CD3B51">
        <w:rPr>
          <w:b/>
          <w:i/>
        </w:rPr>
        <w:t>make</w:t>
      </w:r>
      <w:r>
        <w:t xml:space="preserve">, for the purposes of the </w:t>
      </w:r>
      <w:r w:rsidR="00E71E4F">
        <w:t xml:space="preserve">concept of a property developer or close associate making a relevant planning application, </w:t>
      </w:r>
      <w:r>
        <w:t>as including making or causing another person to make a relevant planning application.</w:t>
      </w:r>
    </w:p>
    <w:p w14:paraId="487BB399" w14:textId="77777777" w:rsidR="00CD3B51" w:rsidRDefault="00CD3B51" w:rsidP="007D24C4"/>
    <w:p w14:paraId="10938F69" w14:textId="729AA563" w:rsidR="00CD3B51" w:rsidRPr="00CD3B51" w:rsidRDefault="00CD3B51" w:rsidP="007D24C4">
      <w:pPr>
        <w:rPr>
          <w:i/>
        </w:rPr>
      </w:pPr>
      <w:r>
        <w:t xml:space="preserve">The section defines </w:t>
      </w:r>
      <w:r>
        <w:rPr>
          <w:b/>
          <w:i/>
        </w:rPr>
        <w:t>political entity</w:t>
      </w:r>
      <w:r>
        <w:rPr>
          <w:i/>
        </w:rPr>
        <w:t xml:space="preserve"> </w:t>
      </w:r>
      <w:r w:rsidRPr="00CD3B51">
        <w:t>as including a</w:t>
      </w:r>
      <w:r w:rsidR="00E71E4F">
        <w:t>n</w:t>
      </w:r>
      <w:r w:rsidRPr="00CD3B51">
        <w:t xml:space="preserve"> MLA, a non-party candidate, an associated entity,</w:t>
      </w:r>
      <w:r w:rsidR="008876F1">
        <w:t xml:space="preserve"> or</w:t>
      </w:r>
      <w:r w:rsidRPr="00CD3B51">
        <w:t xml:space="preserve"> a party grouping. These terms have the meanings they have throughout the Electoral Act.</w:t>
      </w:r>
      <w:r>
        <w:rPr>
          <w:i/>
        </w:rPr>
        <w:t xml:space="preserve"> </w:t>
      </w:r>
    </w:p>
    <w:p w14:paraId="5D7D4BCD" w14:textId="77777777" w:rsidR="000F485A" w:rsidRDefault="000F485A" w:rsidP="007D24C4"/>
    <w:p w14:paraId="507CC308" w14:textId="30BF1AE5" w:rsidR="000F485A" w:rsidRPr="00414DD6" w:rsidRDefault="00CD3B51" w:rsidP="007D24C4">
      <w:pPr>
        <w:rPr>
          <w:b/>
          <w:bCs/>
        </w:rPr>
      </w:pPr>
      <w:r w:rsidRPr="00414DD6">
        <w:rPr>
          <w:b/>
        </w:rPr>
        <w:t xml:space="preserve">New section 222 </w:t>
      </w:r>
      <w:r w:rsidR="00983AFE">
        <w:rPr>
          <w:b/>
        </w:rPr>
        <w:t>C</w:t>
      </w:r>
      <w:r w:rsidR="000F485A" w:rsidRPr="00414DD6">
        <w:rPr>
          <w:b/>
        </w:rPr>
        <w:tab/>
      </w:r>
      <w:r w:rsidRPr="00414DD6">
        <w:rPr>
          <w:b/>
        </w:rPr>
        <w:t xml:space="preserve"> </w:t>
      </w:r>
      <w:r w:rsidRPr="00414DD6">
        <w:rPr>
          <w:b/>
          <w:bCs/>
        </w:rPr>
        <w:t xml:space="preserve">Meaning of </w:t>
      </w:r>
      <w:r w:rsidRPr="00414DD6">
        <w:rPr>
          <w:b/>
          <w:bCs/>
          <w:i/>
          <w:iCs/>
        </w:rPr>
        <w:t>property developer</w:t>
      </w:r>
      <w:r w:rsidRPr="00414DD6">
        <w:rPr>
          <w:b/>
          <w:bCs/>
        </w:rPr>
        <w:t>—div 14.4A</w:t>
      </w:r>
    </w:p>
    <w:p w14:paraId="1790913F" w14:textId="7011D867" w:rsidR="000F485A" w:rsidRDefault="000F485A" w:rsidP="007D24C4">
      <w:r w:rsidRPr="00B83574">
        <w:rPr>
          <w:bCs/>
        </w:rPr>
        <w:t xml:space="preserve">This section defines property developer </w:t>
      </w:r>
      <w:r w:rsidRPr="00B83574">
        <w:t>as a person who carries on a business involv</w:t>
      </w:r>
      <w:r w:rsidR="00E71E4F" w:rsidRPr="00B83574">
        <w:t>ing</w:t>
      </w:r>
      <w:r w:rsidRPr="00B83574">
        <w:t xml:space="preserve"> the </w:t>
      </w:r>
      <w:r w:rsidR="008876F1" w:rsidRPr="00B83574">
        <w:t>residential or commercial</w:t>
      </w:r>
      <w:r w:rsidR="00983AFE">
        <w:t xml:space="preserve"> development of</w:t>
      </w:r>
      <w:r w:rsidRPr="00B83574">
        <w:t xml:space="preserve"> land to sell or lease for profit. </w:t>
      </w:r>
    </w:p>
    <w:p w14:paraId="7629B8EA" w14:textId="77777777" w:rsidR="00983AFE" w:rsidRPr="00B83574" w:rsidRDefault="00983AFE" w:rsidP="007D24C4"/>
    <w:p w14:paraId="52ACA8E4" w14:textId="0476AD8F" w:rsidR="000F485A" w:rsidRPr="00B83574" w:rsidRDefault="000F485A" w:rsidP="007D24C4">
      <w:r w:rsidRPr="00B83574">
        <w:t xml:space="preserve">The </w:t>
      </w:r>
      <w:r w:rsidRPr="00983AFE">
        <w:t xml:space="preserve">definition excludes </w:t>
      </w:r>
      <w:r w:rsidR="008876F1" w:rsidRPr="00983AFE">
        <w:t xml:space="preserve">an incorporated association under the </w:t>
      </w:r>
      <w:r w:rsidR="008876F1" w:rsidRPr="00983AFE">
        <w:rPr>
          <w:i/>
        </w:rPr>
        <w:t>Associations Incorporation Act 1991</w:t>
      </w:r>
      <w:r w:rsidR="00E71E4F" w:rsidRPr="00983AFE">
        <w:rPr>
          <w:i/>
        </w:rPr>
        <w:t xml:space="preserve">.  </w:t>
      </w:r>
      <w:r w:rsidR="00E71E4F" w:rsidRPr="00983AFE">
        <w:t>Associations</w:t>
      </w:r>
      <w:r w:rsidR="008D2537" w:rsidRPr="00983AFE">
        <w:t xml:space="preserve"> are ineligible for incorporation if they trade or obtain pecuniary gain </w:t>
      </w:r>
      <w:r w:rsidR="002A284C" w:rsidRPr="00983AFE">
        <w:t>for members)</w:t>
      </w:r>
      <w:r w:rsidR="00E71E4F" w:rsidRPr="00983AFE">
        <w:t>.  The definition also excludes</w:t>
      </w:r>
      <w:r w:rsidR="002A284C" w:rsidRPr="00983AFE">
        <w:t xml:space="preserve"> other not-for-profit co</w:t>
      </w:r>
      <w:r w:rsidR="00983AFE">
        <w:t>rporations</w:t>
      </w:r>
      <w:r w:rsidR="002A284C" w:rsidRPr="00983AFE">
        <w:t xml:space="preserve">. This section includes an example of a not-for-profit company as being a </w:t>
      </w:r>
      <w:r w:rsidR="002A284C" w:rsidRPr="00983AFE">
        <w:rPr>
          <w:i/>
        </w:rPr>
        <w:t>Corporations Act 2001</w:t>
      </w:r>
      <w:r w:rsidR="002A284C" w:rsidRPr="00983AFE">
        <w:t xml:space="preserve"> company limited by guarantee that does not operate to obtain pecuniary gain for their members</w:t>
      </w:r>
      <w:r w:rsidR="006E0FFA" w:rsidRPr="00983AFE">
        <w:t>. The definition also exclude</w:t>
      </w:r>
      <w:r w:rsidR="00E71E4F" w:rsidRPr="00983AFE">
        <w:t>s</w:t>
      </w:r>
      <w:r w:rsidR="006E0FFA" w:rsidRPr="00983AFE">
        <w:t xml:space="preserve"> a corporation </w:t>
      </w:r>
      <w:r w:rsidRPr="00983AFE">
        <w:t>prescribed by regulation</w:t>
      </w:r>
      <w:r w:rsidR="006E0FFA" w:rsidRPr="00983AFE">
        <w:t xml:space="preserve"> or a corporation to which a s222I </w:t>
      </w:r>
      <w:r w:rsidR="00EF4AA1" w:rsidRPr="00983AFE">
        <w:t>de</w:t>
      </w:r>
      <w:r w:rsidR="00EF4AA1">
        <w:t>claration</w:t>
      </w:r>
      <w:r w:rsidR="00EF4AA1" w:rsidRPr="00983AFE">
        <w:t xml:space="preserve"> </w:t>
      </w:r>
      <w:r w:rsidR="00E71E4F" w:rsidRPr="00983AFE">
        <w:t>by</w:t>
      </w:r>
      <w:r w:rsidR="006E0FFA" w:rsidRPr="00983AFE">
        <w:t xml:space="preserve"> the Electoral Commission applies</w:t>
      </w:r>
      <w:r w:rsidR="006E0FFA" w:rsidRPr="00B83574">
        <w:t xml:space="preserve">. </w:t>
      </w:r>
    </w:p>
    <w:p w14:paraId="63CD6892" w14:textId="77777777" w:rsidR="000F485A" w:rsidRPr="00B83574" w:rsidRDefault="000F485A" w:rsidP="007D24C4"/>
    <w:p w14:paraId="3C8D1456" w14:textId="17F16CE0" w:rsidR="000F485A" w:rsidRPr="00B83574" w:rsidRDefault="000F485A" w:rsidP="007D24C4">
      <w:pPr>
        <w:rPr>
          <w:b/>
          <w:bCs/>
        </w:rPr>
      </w:pPr>
      <w:r w:rsidRPr="00B83574">
        <w:rPr>
          <w:b/>
        </w:rPr>
        <w:t>New section 222</w:t>
      </w:r>
      <w:r w:rsidR="00983AFE" w:rsidRPr="00B83574">
        <w:rPr>
          <w:b/>
        </w:rPr>
        <w:t>D</w:t>
      </w:r>
      <w:r w:rsidRPr="00B83574">
        <w:rPr>
          <w:b/>
        </w:rPr>
        <w:tab/>
        <w:t xml:space="preserve"> </w:t>
      </w:r>
      <w:r w:rsidRPr="00B83574">
        <w:rPr>
          <w:b/>
          <w:bCs/>
        </w:rPr>
        <w:t xml:space="preserve">Meaning of </w:t>
      </w:r>
      <w:r w:rsidRPr="00B83574">
        <w:rPr>
          <w:b/>
          <w:bCs/>
          <w:i/>
          <w:iCs/>
        </w:rPr>
        <w:t>close associate</w:t>
      </w:r>
      <w:r w:rsidRPr="00B83574">
        <w:rPr>
          <w:b/>
          <w:bCs/>
        </w:rPr>
        <w:t>—div 14.4A</w:t>
      </w:r>
    </w:p>
    <w:p w14:paraId="3D4DD30D" w14:textId="23EA7C35" w:rsidR="006E0FFA" w:rsidRPr="00B83574" w:rsidRDefault="006E0FFA" w:rsidP="007D24C4">
      <w:pPr>
        <w:rPr>
          <w:bCs/>
        </w:rPr>
      </w:pPr>
      <w:r w:rsidRPr="00B83574">
        <w:rPr>
          <w:bCs/>
        </w:rPr>
        <w:t xml:space="preserve">This section </w:t>
      </w:r>
      <w:r w:rsidRPr="00983AFE">
        <w:rPr>
          <w:bCs/>
        </w:rPr>
        <w:t xml:space="preserve">defines </w:t>
      </w:r>
      <w:r w:rsidR="00E71E4F" w:rsidRPr="00983AFE">
        <w:rPr>
          <w:bCs/>
        </w:rPr>
        <w:t xml:space="preserve">a </w:t>
      </w:r>
      <w:r w:rsidRPr="00983AFE">
        <w:rPr>
          <w:bCs/>
        </w:rPr>
        <w:t xml:space="preserve">close associate of a corporation to include a related body </w:t>
      </w:r>
      <w:r w:rsidRPr="00B83574">
        <w:rPr>
          <w:bCs/>
        </w:rPr>
        <w:t xml:space="preserve">corporate, a </w:t>
      </w:r>
      <w:r w:rsidR="00983AFE">
        <w:rPr>
          <w:bCs/>
        </w:rPr>
        <w:t>officer</w:t>
      </w:r>
      <w:r w:rsidRPr="00B83574">
        <w:rPr>
          <w:bCs/>
        </w:rPr>
        <w:t xml:space="preserve"> of the corporation or related body corporate, a person who has over 20% voting power in the corporation, a domestic partner of a director, or person with more than 20 % voting power, a stapled entity of the corporation,</w:t>
      </w:r>
      <w:r w:rsidR="008D2537" w:rsidRPr="00B83574">
        <w:rPr>
          <w:bCs/>
        </w:rPr>
        <w:t xml:space="preserve"> </w:t>
      </w:r>
      <w:r w:rsidRPr="00B83574">
        <w:rPr>
          <w:bCs/>
        </w:rPr>
        <w:t>a person who is a beneficiary or holds more than 20% of the units in a trust managed by corporation</w:t>
      </w:r>
      <w:r w:rsidR="00983AFE">
        <w:rPr>
          <w:bCs/>
        </w:rPr>
        <w:t>, or any other person or body prescribed by legislation</w:t>
      </w:r>
      <w:r w:rsidRPr="00B83574">
        <w:rPr>
          <w:bCs/>
        </w:rPr>
        <w:t>.</w:t>
      </w:r>
    </w:p>
    <w:p w14:paraId="3B32F89D" w14:textId="77777777" w:rsidR="000F485A" w:rsidRPr="00B83574" w:rsidRDefault="000F485A" w:rsidP="007D24C4">
      <w:pPr>
        <w:rPr>
          <w:bCs/>
        </w:rPr>
      </w:pPr>
    </w:p>
    <w:p w14:paraId="028B3D76" w14:textId="75ABC4E2" w:rsidR="000F485A" w:rsidRPr="00B83574" w:rsidRDefault="000F485A" w:rsidP="007D24C4">
      <w:pPr>
        <w:keepNext/>
        <w:keepLines/>
        <w:widowControl w:val="0"/>
        <w:rPr>
          <w:b/>
          <w:bCs/>
        </w:rPr>
      </w:pPr>
      <w:r w:rsidRPr="00B83574">
        <w:rPr>
          <w:b/>
          <w:bCs/>
        </w:rPr>
        <w:t>New section 222</w:t>
      </w:r>
      <w:r w:rsidR="00983AFE">
        <w:rPr>
          <w:b/>
          <w:bCs/>
        </w:rPr>
        <w:t>E</w:t>
      </w:r>
      <w:r w:rsidRPr="00B83574">
        <w:rPr>
          <w:b/>
          <w:bCs/>
        </w:rPr>
        <w:tab/>
        <w:t xml:space="preserve">Meaning of </w:t>
      </w:r>
      <w:r w:rsidRPr="00B83574">
        <w:rPr>
          <w:b/>
          <w:bCs/>
          <w:i/>
          <w:iCs/>
        </w:rPr>
        <w:t>relevant planning application</w:t>
      </w:r>
      <w:r w:rsidRPr="00B83574">
        <w:rPr>
          <w:b/>
          <w:bCs/>
        </w:rPr>
        <w:t>—div 14.4A</w:t>
      </w:r>
    </w:p>
    <w:p w14:paraId="76685A0C" w14:textId="325B7A12" w:rsidR="000F485A" w:rsidRPr="00E71E4F" w:rsidRDefault="000F485A" w:rsidP="007D24C4">
      <w:pPr>
        <w:keepNext/>
        <w:keepLines/>
        <w:widowControl w:val="0"/>
      </w:pPr>
      <w:r w:rsidRPr="00B83574">
        <w:rPr>
          <w:bCs/>
        </w:rPr>
        <w:t xml:space="preserve">This section defines relevant planning application. </w:t>
      </w:r>
      <w:r w:rsidRPr="00983AFE">
        <w:rPr>
          <w:bCs/>
        </w:rPr>
        <w:t xml:space="preserve">This definition </w:t>
      </w:r>
      <w:r w:rsidR="00E71E4F" w:rsidRPr="00983AFE">
        <w:rPr>
          <w:bCs/>
        </w:rPr>
        <w:t>is</w:t>
      </w:r>
      <w:r w:rsidR="00983AFE">
        <w:rPr>
          <w:bCs/>
        </w:rPr>
        <w:t xml:space="preserve"> </w:t>
      </w:r>
      <w:r w:rsidRPr="00983AFE">
        <w:rPr>
          <w:bCs/>
        </w:rPr>
        <w:t>relevant</w:t>
      </w:r>
      <w:r w:rsidR="00983AFE">
        <w:rPr>
          <w:bCs/>
        </w:rPr>
        <w:t xml:space="preserve"> </w:t>
      </w:r>
      <w:r w:rsidR="00E71E4F" w:rsidRPr="00983AFE">
        <w:rPr>
          <w:bCs/>
        </w:rPr>
        <w:t>to</w:t>
      </w:r>
      <w:r w:rsidRPr="00983AFE">
        <w:rPr>
          <w:bCs/>
        </w:rPr>
        <w:t xml:space="preserve"> when a property developer</w:t>
      </w:r>
      <w:r w:rsidR="00E71E4F" w:rsidRPr="00983AFE">
        <w:rPr>
          <w:bCs/>
        </w:rPr>
        <w:t xml:space="preserve"> commits an offence of giving a gift</w:t>
      </w:r>
      <w:r w:rsidRPr="00983AFE">
        <w:rPr>
          <w:bCs/>
        </w:rPr>
        <w:t xml:space="preserve">. It has been cast broadly </w:t>
      </w:r>
      <w:r w:rsidRPr="00B83574">
        <w:rPr>
          <w:bCs/>
        </w:rPr>
        <w:t>to cover not only planning applications</w:t>
      </w:r>
      <w:r w:rsidR="006A48A6" w:rsidRPr="00B83574">
        <w:rPr>
          <w:bCs/>
        </w:rPr>
        <w:t xml:space="preserve"> and associated applications in the merit and impact tracks</w:t>
      </w:r>
      <w:r w:rsidRPr="00B83574">
        <w:rPr>
          <w:bCs/>
        </w:rPr>
        <w:t xml:space="preserve"> under the Planning and Development</w:t>
      </w:r>
      <w:r w:rsidR="006A48A6" w:rsidRPr="00B83574">
        <w:rPr>
          <w:bCs/>
        </w:rPr>
        <w:t xml:space="preserve"> </w:t>
      </w:r>
      <w:r w:rsidRPr="00B83574">
        <w:rPr>
          <w:bCs/>
        </w:rPr>
        <w:t xml:space="preserve">Act, but other applications to the Minister or planning and </w:t>
      </w:r>
      <w:r w:rsidRPr="00983AFE">
        <w:rPr>
          <w:bCs/>
        </w:rPr>
        <w:t xml:space="preserve">land authority to </w:t>
      </w:r>
      <w:r w:rsidR="006A48A6" w:rsidRPr="00983AFE">
        <w:t xml:space="preserve">make a variation, special variation or technical amendment to the territory plan. It will also cover any other application, request or action under the Planning and Development Act prescribed by </w:t>
      </w:r>
      <w:r w:rsidR="006A48A6" w:rsidRPr="00E71E4F">
        <w:t>regulation.</w:t>
      </w:r>
    </w:p>
    <w:p w14:paraId="1B743FA1" w14:textId="77777777" w:rsidR="00230CBA" w:rsidRPr="003C2309" w:rsidRDefault="00230CBA" w:rsidP="007D24C4"/>
    <w:p w14:paraId="53561BDF" w14:textId="6A74CA45" w:rsidR="00414DD6" w:rsidRPr="003C2309" w:rsidRDefault="00414DD6" w:rsidP="007D24C4">
      <w:r w:rsidRPr="003C2309">
        <w:t xml:space="preserve">It is important that these types of requests be covered as </w:t>
      </w:r>
      <w:r w:rsidR="00E71E4F">
        <w:t xml:space="preserve">they </w:t>
      </w:r>
      <w:r w:rsidRPr="003C2309">
        <w:t>have the potential to impact the strategy, focus and values of the planning framework within which subsequent applications will be determined.</w:t>
      </w:r>
      <w:r w:rsidR="003C2309" w:rsidRPr="003C2309">
        <w:rPr>
          <w:rFonts w:ascii="Arial" w:hAnsi="Arial"/>
        </w:rPr>
        <w:t xml:space="preserve"> </w:t>
      </w:r>
      <w:r w:rsidR="003C2309" w:rsidRPr="003C2309">
        <w:t>The broad definition covers application</w:t>
      </w:r>
      <w:r w:rsidR="00E71E4F">
        <w:t>s</w:t>
      </w:r>
      <w:r w:rsidR="003C2309" w:rsidRPr="003C2309">
        <w:t xml:space="preserve"> that could influence or be perceived to have potential to influence high level policy decisions of this nature to create a climate favourable to particular types of development, even though no actual application for a particular development proposal has been submitted at the time the decision is made.</w:t>
      </w:r>
    </w:p>
    <w:p w14:paraId="0FE104D4" w14:textId="77777777" w:rsidR="006A48A6" w:rsidRPr="003C2309" w:rsidRDefault="006A48A6" w:rsidP="007D24C4"/>
    <w:p w14:paraId="67D30FEE" w14:textId="4A14A449" w:rsidR="00E5229A" w:rsidRPr="00D34D9E" w:rsidRDefault="006A48A6" w:rsidP="007D24C4">
      <w:r w:rsidRPr="003C2309">
        <w:t xml:space="preserve">The section also provides that a relevant planning application does not include an application if the dominant purpose of the application is to provide </w:t>
      </w:r>
      <w:r w:rsidR="00EF4AA1">
        <w:t xml:space="preserve">residential premises to </w:t>
      </w:r>
      <w:r w:rsidR="00EF4AA1" w:rsidRPr="00D34D9E">
        <w:t xml:space="preserve">be occupied by the applicant or </w:t>
      </w:r>
      <w:r w:rsidRPr="00D34D9E">
        <w:t xml:space="preserve">commercial premises to carry on business (where no substantial part of the commercial premises are to be sold or leased to another person). </w:t>
      </w:r>
      <w:r w:rsidR="00983AFE" w:rsidRPr="00D34D9E">
        <w:t>T</w:t>
      </w:r>
      <w:r w:rsidRPr="00D34D9E">
        <w:t xml:space="preserve">his qualification will limit the application of the ban on </w:t>
      </w:r>
      <w:r w:rsidR="008D2537" w:rsidRPr="00D34D9E">
        <w:t>corporations</w:t>
      </w:r>
      <w:r w:rsidR="00EF4AA1" w:rsidRPr="00D34D9E">
        <w:t xml:space="preserve"> or close </w:t>
      </w:r>
      <w:r w:rsidR="00D34D9E" w:rsidRPr="00D34D9E">
        <w:t>associates who</w:t>
      </w:r>
      <w:r w:rsidR="00E5229A" w:rsidRPr="00D34D9E">
        <w:t xml:space="preserve"> would otherwise be prevented from making political donations where they were developing property for their own </w:t>
      </w:r>
      <w:r w:rsidR="00EF4AA1" w:rsidRPr="00D34D9E">
        <w:t xml:space="preserve">residential or </w:t>
      </w:r>
      <w:r w:rsidR="00E5229A" w:rsidRPr="00D34D9E">
        <w:t xml:space="preserve">commercial premises. </w:t>
      </w:r>
    </w:p>
    <w:p w14:paraId="0A47EC2C" w14:textId="77777777" w:rsidR="00E5229A" w:rsidRPr="00D34D9E" w:rsidRDefault="00E5229A" w:rsidP="007D24C4">
      <w:pPr>
        <w:rPr>
          <w:sz w:val="23"/>
          <w:szCs w:val="23"/>
        </w:rPr>
      </w:pPr>
    </w:p>
    <w:p w14:paraId="043C0285" w14:textId="289D5CAA" w:rsidR="00E5229A" w:rsidRPr="00D34D9E" w:rsidRDefault="00E5229A" w:rsidP="007D24C4">
      <w:pPr>
        <w:keepNext/>
        <w:keepLines/>
        <w:rPr>
          <w:b/>
          <w:bCs/>
        </w:rPr>
      </w:pPr>
      <w:r w:rsidRPr="00D34D9E">
        <w:rPr>
          <w:b/>
        </w:rPr>
        <w:t>New Section 222</w:t>
      </w:r>
      <w:r w:rsidR="00983AFE" w:rsidRPr="00D34D9E">
        <w:rPr>
          <w:b/>
        </w:rPr>
        <w:t>F</w:t>
      </w:r>
      <w:r w:rsidRPr="00D34D9E">
        <w:tab/>
      </w:r>
      <w:r w:rsidRPr="00D34D9E">
        <w:rPr>
          <w:b/>
          <w:bCs/>
        </w:rPr>
        <w:t>Ban on gifts from property developers etc</w:t>
      </w:r>
    </w:p>
    <w:p w14:paraId="40E5C0EA" w14:textId="59AD04D1" w:rsidR="00E5229A" w:rsidRPr="00D34D9E" w:rsidRDefault="007E13C1" w:rsidP="007D24C4">
      <w:pPr>
        <w:keepNext/>
        <w:keepLines/>
        <w:rPr>
          <w:bCs/>
        </w:rPr>
      </w:pPr>
      <w:r w:rsidRPr="00D34D9E">
        <w:rPr>
          <w:bCs/>
        </w:rPr>
        <w:t>Section 222</w:t>
      </w:r>
      <w:r w:rsidR="00983AFE" w:rsidRPr="00D34D9E">
        <w:rPr>
          <w:bCs/>
        </w:rPr>
        <w:t>F</w:t>
      </w:r>
      <w:r w:rsidRPr="00D34D9E">
        <w:rPr>
          <w:bCs/>
        </w:rPr>
        <w:t>(1)provides</w:t>
      </w:r>
      <w:r w:rsidR="0098476C" w:rsidRPr="00D34D9E">
        <w:rPr>
          <w:bCs/>
        </w:rPr>
        <w:t xml:space="preserve"> a new offence where a property developer gives a gift to a political entity.</w:t>
      </w:r>
    </w:p>
    <w:p w14:paraId="2FCA9BE0" w14:textId="77777777" w:rsidR="0098476C" w:rsidRPr="00D34D9E" w:rsidRDefault="0098476C" w:rsidP="007D24C4">
      <w:pPr>
        <w:rPr>
          <w:bCs/>
        </w:rPr>
      </w:pPr>
    </w:p>
    <w:p w14:paraId="2AF3CED4" w14:textId="0B3C1778" w:rsidR="003D00FD" w:rsidRPr="00D34D9E" w:rsidRDefault="007E13C1" w:rsidP="007D24C4">
      <w:r w:rsidRPr="00D34D9E">
        <w:t>S</w:t>
      </w:r>
      <w:r w:rsidR="003C2309" w:rsidRPr="00D34D9E">
        <w:t>ection</w:t>
      </w:r>
      <w:r w:rsidR="00983AFE" w:rsidRPr="00D34D9E">
        <w:t>s 222F</w:t>
      </w:r>
      <w:r w:rsidRPr="00D34D9E">
        <w:t>(2) to (4) provide similar offences for</w:t>
      </w:r>
      <w:r w:rsidR="003D00FD" w:rsidRPr="00D34D9E">
        <w:t>:</w:t>
      </w:r>
    </w:p>
    <w:p w14:paraId="38FFBEA0" w14:textId="5DEEF21E" w:rsidR="003D00FD" w:rsidRPr="00D34D9E" w:rsidRDefault="007E13C1" w:rsidP="007D24C4">
      <w:pPr>
        <w:pStyle w:val="ListParagraph"/>
        <w:numPr>
          <w:ilvl w:val="0"/>
          <w:numId w:val="71"/>
        </w:numPr>
        <w:spacing w:line="276" w:lineRule="auto"/>
      </w:pPr>
      <w:r w:rsidRPr="00D34D9E">
        <w:t xml:space="preserve">a </w:t>
      </w:r>
      <w:r w:rsidR="003C2309" w:rsidRPr="00D34D9E">
        <w:t xml:space="preserve">close associate of a property developer </w:t>
      </w:r>
      <w:r w:rsidRPr="00D34D9E">
        <w:t xml:space="preserve">who </w:t>
      </w:r>
      <w:r w:rsidR="003C2309" w:rsidRPr="00D34D9E">
        <w:t>give</w:t>
      </w:r>
      <w:r w:rsidRPr="00D34D9E">
        <w:t>s</w:t>
      </w:r>
      <w:r w:rsidR="003C2309" w:rsidRPr="00D34D9E">
        <w:t xml:space="preserve"> a gift to a political entity</w:t>
      </w:r>
      <w:r w:rsidR="00E92117" w:rsidRPr="00D34D9E">
        <w:t xml:space="preserve"> </w:t>
      </w:r>
      <w:r w:rsidR="00EF4AA1" w:rsidRPr="00D34D9E">
        <w:t xml:space="preserve">; </w:t>
      </w:r>
      <w:r w:rsidR="003C2309" w:rsidRPr="00D34D9E">
        <w:t xml:space="preserve">or </w:t>
      </w:r>
    </w:p>
    <w:p w14:paraId="2523D71A" w14:textId="3E8FCE2C" w:rsidR="00E5229A" w:rsidRPr="00D34D9E" w:rsidRDefault="002810E3" w:rsidP="007D24C4">
      <w:pPr>
        <w:pStyle w:val="ListParagraph"/>
        <w:numPr>
          <w:ilvl w:val="0"/>
          <w:numId w:val="71"/>
        </w:numPr>
        <w:spacing w:line="276" w:lineRule="auto"/>
      </w:pPr>
      <w:r w:rsidRPr="00D34D9E">
        <w:t xml:space="preserve">a person </w:t>
      </w:r>
      <w:r w:rsidR="007E13C1" w:rsidRPr="00D34D9E">
        <w:t>who</w:t>
      </w:r>
      <w:r w:rsidR="003C2309" w:rsidRPr="00D34D9E">
        <w:t xml:space="preserve"> give</w:t>
      </w:r>
      <w:r w:rsidR="007E13C1" w:rsidRPr="00D34D9E">
        <w:t>s</w:t>
      </w:r>
      <w:r w:rsidR="003C2309" w:rsidRPr="00D34D9E">
        <w:t xml:space="preserve"> a gift </w:t>
      </w:r>
      <w:r w:rsidR="003D00FD" w:rsidRPr="00D34D9E">
        <w:t xml:space="preserve">to a political entity </w:t>
      </w:r>
      <w:r w:rsidR="003C2309" w:rsidRPr="00D34D9E">
        <w:t>on</w:t>
      </w:r>
      <w:r w:rsidR="003D00FD" w:rsidRPr="00D34D9E">
        <w:t xml:space="preserve"> behalf of a property developer; or</w:t>
      </w:r>
    </w:p>
    <w:p w14:paraId="3721C3E3" w14:textId="2DE54E1E" w:rsidR="00BF6BC2" w:rsidRPr="00983AFE" w:rsidRDefault="003D00FD" w:rsidP="007D24C4">
      <w:pPr>
        <w:pStyle w:val="ListParagraph"/>
        <w:numPr>
          <w:ilvl w:val="0"/>
          <w:numId w:val="70"/>
        </w:numPr>
        <w:spacing w:line="276" w:lineRule="auto"/>
      </w:pPr>
      <w:r w:rsidRPr="00983AFE">
        <w:t xml:space="preserve">a person </w:t>
      </w:r>
      <w:r w:rsidR="007E13C1">
        <w:t>who</w:t>
      </w:r>
      <w:r w:rsidR="007E13C1" w:rsidRPr="00983AFE">
        <w:t xml:space="preserve"> </w:t>
      </w:r>
      <w:r w:rsidRPr="00983AFE">
        <w:t>ask</w:t>
      </w:r>
      <w:r w:rsidR="007E13C1">
        <w:t>s</w:t>
      </w:r>
      <w:r w:rsidRPr="00983AFE">
        <w:t xml:space="preserve"> another person to give a gift to a political entity on behalf of a property developer.</w:t>
      </w:r>
      <w:r w:rsidR="00BF6BC2" w:rsidRPr="00983AFE">
        <w:t xml:space="preserve">  Ask includes causing, inducing or </w:t>
      </w:r>
      <w:r w:rsidR="002E3B02" w:rsidRPr="00983AFE">
        <w:t>soliciting</w:t>
      </w:r>
      <w:r w:rsidR="00BF6BC2" w:rsidRPr="00983AFE">
        <w:t xml:space="preserve"> another person to give a gift.</w:t>
      </w:r>
    </w:p>
    <w:p w14:paraId="42275CB2" w14:textId="77777777" w:rsidR="003D00FD" w:rsidRPr="00D34D9E" w:rsidRDefault="003D00FD" w:rsidP="007D24C4"/>
    <w:p w14:paraId="570CBF14" w14:textId="77FDD157" w:rsidR="003D00FD" w:rsidRPr="007E13C1" w:rsidRDefault="003D00FD" w:rsidP="007D24C4">
      <w:pPr>
        <w:rPr>
          <w:bCs/>
        </w:rPr>
      </w:pPr>
      <w:r w:rsidRPr="0025602F">
        <w:rPr>
          <w:bCs/>
        </w:rPr>
        <w:t xml:space="preserve">These offences are established if at the time the gift is </w:t>
      </w:r>
      <w:r w:rsidRPr="007E13C1">
        <w:rPr>
          <w:bCs/>
        </w:rPr>
        <w:t>given the property developer</w:t>
      </w:r>
      <w:r w:rsidR="00E92117" w:rsidRPr="007E13C1">
        <w:rPr>
          <w:bCs/>
        </w:rPr>
        <w:t xml:space="preserve"> or a close associate of the property developer</w:t>
      </w:r>
      <w:r w:rsidRPr="007E13C1">
        <w:rPr>
          <w:bCs/>
        </w:rPr>
        <w:t xml:space="preserve"> </w:t>
      </w:r>
      <w:r w:rsidR="007E13C1">
        <w:rPr>
          <w:bCs/>
        </w:rPr>
        <w:t xml:space="preserve">has </w:t>
      </w:r>
      <w:r w:rsidRPr="007E13C1">
        <w:rPr>
          <w:bCs/>
        </w:rPr>
        <w:t>made a</w:t>
      </w:r>
      <w:r w:rsidR="0025602F">
        <w:rPr>
          <w:bCs/>
        </w:rPr>
        <w:t>t least one</w:t>
      </w:r>
      <w:r w:rsidRPr="007E13C1">
        <w:rPr>
          <w:bCs/>
        </w:rPr>
        <w:t xml:space="preserve"> relevant planning application which has not yet been decided or has made three or more planning applications in the </w:t>
      </w:r>
      <w:r w:rsidR="007E13C1">
        <w:rPr>
          <w:bCs/>
        </w:rPr>
        <w:t>seven</w:t>
      </w:r>
      <w:r w:rsidRPr="007E13C1">
        <w:rPr>
          <w:bCs/>
        </w:rPr>
        <w:t xml:space="preserve"> year period before the gift was given.</w:t>
      </w:r>
    </w:p>
    <w:p w14:paraId="704B858F" w14:textId="77777777" w:rsidR="003D00FD" w:rsidRPr="00D34D9E" w:rsidRDefault="003D00FD" w:rsidP="007D24C4">
      <w:pPr>
        <w:rPr>
          <w:bCs/>
        </w:rPr>
      </w:pPr>
    </w:p>
    <w:p w14:paraId="1C4FAA66" w14:textId="0723DEBE" w:rsidR="003D00FD" w:rsidRPr="00D34D9E" w:rsidRDefault="003D00FD" w:rsidP="007D24C4">
      <w:pPr>
        <w:rPr>
          <w:bCs/>
        </w:rPr>
      </w:pPr>
      <w:r w:rsidRPr="00D34D9E">
        <w:rPr>
          <w:bCs/>
        </w:rPr>
        <w:t xml:space="preserve">The Criminal Code applies to these offences which means that intention to give the gift is required to be proved. </w:t>
      </w:r>
    </w:p>
    <w:p w14:paraId="1DB36B30" w14:textId="77777777" w:rsidR="003D00FD" w:rsidRPr="00D34D9E" w:rsidRDefault="003D00FD" w:rsidP="007D24C4">
      <w:pPr>
        <w:rPr>
          <w:bCs/>
        </w:rPr>
      </w:pPr>
    </w:p>
    <w:p w14:paraId="1F133466" w14:textId="12264C42" w:rsidR="003D00FD" w:rsidRPr="00D34D9E" w:rsidRDefault="003D00FD" w:rsidP="007D24C4">
      <w:pPr>
        <w:rPr>
          <w:bCs/>
        </w:rPr>
      </w:pPr>
      <w:r w:rsidRPr="00D34D9E">
        <w:rPr>
          <w:bCs/>
        </w:rPr>
        <w:t>The offences carries a maximum penalty of 50 penalty units ($</w:t>
      </w:r>
      <w:r w:rsidR="00442EA5" w:rsidRPr="00D34D9E">
        <w:rPr>
          <w:bCs/>
        </w:rPr>
        <w:t>8,000 for an individual or $40,5</w:t>
      </w:r>
      <w:r w:rsidRPr="00D34D9E">
        <w:rPr>
          <w:bCs/>
        </w:rPr>
        <w:t>00 for a corporation) or imprisonment for six months</w:t>
      </w:r>
      <w:r w:rsidR="00442EA5" w:rsidRPr="00D34D9E">
        <w:rPr>
          <w:bCs/>
        </w:rPr>
        <w:t>,</w:t>
      </w:r>
      <w:r w:rsidRPr="00D34D9E">
        <w:rPr>
          <w:bCs/>
        </w:rPr>
        <w:t xml:space="preserve"> or both.</w:t>
      </w:r>
    </w:p>
    <w:p w14:paraId="3F6FFD48" w14:textId="2EB0450A" w:rsidR="003C2309" w:rsidRPr="00B83574" w:rsidRDefault="003C2309" w:rsidP="007D24C4">
      <w:pPr>
        <w:rPr>
          <w:b/>
        </w:rPr>
      </w:pPr>
    </w:p>
    <w:p w14:paraId="36EDF8F6" w14:textId="5D9EA35C" w:rsidR="003C2309" w:rsidRPr="00B83574" w:rsidRDefault="00BF6BC2" w:rsidP="007D24C4">
      <w:pPr>
        <w:rPr>
          <w:b/>
        </w:rPr>
      </w:pPr>
      <w:r w:rsidRPr="00B83574">
        <w:rPr>
          <w:b/>
        </w:rPr>
        <w:t>New Section 222</w:t>
      </w:r>
      <w:r w:rsidR="0025602F">
        <w:rPr>
          <w:b/>
        </w:rPr>
        <w:t>G</w:t>
      </w:r>
      <w:r w:rsidRPr="00B83574">
        <w:rPr>
          <w:b/>
        </w:rPr>
        <w:tab/>
        <w:t>Ban on acceptance of gifts from property developers etc.</w:t>
      </w:r>
    </w:p>
    <w:p w14:paraId="21F6228E" w14:textId="29EDEDAB" w:rsidR="002E3B02" w:rsidRPr="00B83574" w:rsidRDefault="00442EA5" w:rsidP="007D24C4">
      <w:r w:rsidRPr="00B83574">
        <w:t>New Section 222</w:t>
      </w:r>
      <w:r w:rsidR="0025602F">
        <w:t>G</w:t>
      </w:r>
      <w:r w:rsidRPr="00B83574">
        <w:t xml:space="preserve"> makes it an offence for a political entity to accept a gift made by or on behalf of a property developer or a close associate of a property developer. </w:t>
      </w:r>
    </w:p>
    <w:p w14:paraId="4DFAAD7A" w14:textId="77777777" w:rsidR="00442EA5" w:rsidRPr="00B83574" w:rsidRDefault="00442EA5" w:rsidP="007D24C4"/>
    <w:p w14:paraId="086BAE3E" w14:textId="51830070" w:rsidR="00442EA5" w:rsidRPr="007E13C1" w:rsidRDefault="00442EA5" w:rsidP="007D24C4">
      <w:pPr>
        <w:rPr>
          <w:bCs/>
        </w:rPr>
      </w:pPr>
      <w:r w:rsidRPr="00B83574">
        <w:rPr>
          <w:bCs/>
        </w:rPr>
        <w:t>These offences are established if at the time the gift is given</w:t>
      </w:r>
      <w:r w:rsidRPr="0025602F">
        <w:rPr>
          <w:bCs/>
        </w:rPr>
        <w:t xml:space="preserve">, the property </w:t>
      </w:r>
      <w:r w:rsidRPr="007E13C1">
        <w:rPr>
          <w:bCs/>
        </w:rPr>
        <w:t>developer</w:t>
      </w:r>
      <w:r w:rsidR="00E92117" w:rsidRPr="007E13C1">
        <w:rPr>
          <w:bCs/>
        </w:rPr>
        <w:t xml:space="preserve"> or a close associate of the property developer</w:t>
      </w:r>
      <w:r w:rsidRPr="007E13C1">
        <w:rPr>
          <w:bCs/>
        </w:rPr>
        <w:t xml:space="preserve"> </w:t>
      </w:r>
      <w:r w:rsidR="00E92117" w:rsidRPr="007E13C1">
        <w:rPr>
          <w:bCs/>
        </w:rPr>
        <w:t xml:space="preserve">has </w:t>
      </w:r>
      <w:r w:rsidRPr="007E13C1">
        <w:rPr>
          <w:bCs/>
        </w:rPr>
        <w:t>a</w:t>
      </w:r>
      <w:r w:rsidR="0025602F">
        <w:rPr>
          <w:bCs/>
        </w:rPr>
        <w:t xml:space="preserve"> made at least </w:t>
      </w:r>
      <w:r w:rsidR="0025602F" w:rsidRPr="00B83574">
        <w:rPr>
          <w:bCs/>
        </w:rPr>
        <w:t>one</w:t>
      </w:r>
      <w:r w:rsidRPr="00B83574">
        <w:rPr>
          <w:bCs/>
        </w:rPr>
        <w:t xml:space="preserve"> </w:t>
      </w:r>
      <w:r w:rsidRPr="00D34D9E">
        <w:rPr>
          <w:bCs/>
        </w:rPr>
        <w:t xml:space="preserve">relevant planning application which has not yet been decided or has made three or more planning applications in the </w:t>
      </w:r>
      <w:r w:rsidR="007E13C1" w:rsidRPr="00D34D9E">
        <w:rPr>
          <w:bCs/>
        </w:rPr>
        <w:t>seven</w:t>
      </w:r>
      <w:r w:rsidRPr="00D34D9E">
        <w:rPr>
          <w:bCs/>
        </w:rPr>
        <w:t xml:space="preserve"> year period before the gift was given.</w:t>
      </w:r>
      <w:r w:rsidR="007E13C1" w:rsidRPr="00D34D9E">
        <w:rPr>
          <w:bCs/>
        </w:rPr>
        <w:t xml:space="preserve">  </w:t>
      </w:r>
    </w:p>
    <w:p w14:paraId="68F1342E" w14:textId="77777777" w:rsidR="00442EA5" w:rsidRPr="00D34D9E" w:rsidRDefault="00442EA5" w:rsidP="007D24C4"/>
    <w:p w14:paraId="7310E97C" w14:textId="2B7EAC10" w:rsidR="00442EA5" w:rsidRPr="00D34D9E" w:rsidRDefault="00442EA5" w:rsidP="007D24C4">
      <w:pPr>
        <w:rPr>
          <w:bCs/>
        </w:rPr>
      </w:pPr>
      <w:r w:rsidRPr="0025602F">
        <w:t>It is a defence to this offence i</w:t>
      </w:r>
      <w:r w:rsidR="007E13C1">
        <w:t>f</w:t>
      </w:r>
      <w:r w:rsidRPr="0025602F">
        <w:t xml:space="preserve"> the political entity can prove that it took reasonable steps to ensure that the person giving the gift is not a property developer or </w:t>
      </w:r>
      <w:r w:rsidRPr="007E13C1">
        <w:t>close associate</w:t>
      </w:r>
      <w:r w:rsidR="005758D3" w:rsidRPr="007E13C1">
        <w:t>,</w:t>
      </w:r>
      <w:r w:rsidRPr="007E13C1">
        <w:t xml:space="preserve"> or has not made </w:t>
      </w:r>
      <w:r w:rsidRPr="00B83574">
        <w:t xml:space="preserve">a </w:t>
      </w:r>
      <w:r w:rsidRPr="00D34D9E">
        <w:rPr>
          <w:bCs/>
        </w:rPr>
        <w:t>relevant planning application which has not yet been decided or has made three or more planning applications in the 7 year period before the gift was given.</w:t>
      </w:r>
    </w:p>
    <w:p w14:paraId="73A59DCE" w14:textId="7659EE1E" w:rsidR="00442EA5" w:rsidRPr="00D34D9E" w:rsidRDefault="00442EA5" w:rsidP="007D24C4"/>
    <w:p w14:paraId="72A606A3" w14:textId="359BAB3E" w:rsidR="00442EA5" w:rsidRPr="0025602F" w:rsidRDefault="00442EA5" w:rsidP="007D24C4">
      <w:r w:rsidRPr="00D34D9E">
        <w:t xml:space="preserve">This section includes examples of what might constitute reasonable steps. For example, the political entity may obtain a statutory declaration from a person who gives a gift to certify </w:t>
      </w:r>
      <w:r w:rsidRPr="0025602F">
        <w:t xml:space="preserve">that a person is not a property developer, or has not made relevant planning applications at the time the gift is given. These are not requirements, but </w:t>
      </w:r>
      <w:r w:rsidR="000B4F2A" w:rsidRPr="0025602F">
        <w:t>examples</w:t>
      </w:r>
      <w:r w:rsidRPr="0025602F">
        <w:t xml:space="preserve"> that would support a defence to this charge.</w:t>
      </w:r>
    </w:p>
    <w:p w14:paraId="54237FDB" w14:textId="77777777" w:rsidR="00442EA5" w:rsidRPr="00D34D9E" w:rsidRDefault="00442EA5" w:rsidP="007D24C4"/>
    <w:p w14:paraId="2EC7AFCE" w14:textId="0A32150E" w:rsidR="00442EA5" w:rsidRPr="00B83574" w:rsidRDefault="00442EA5" w:rsidP="007D24C4">
      <w:pPr>
        <w:rPr>
          <w:bCs/>
        </w:rPr>
      </w:pPr>
      <w:r w:rsidRPr="00B83574">
        <w:rPr>
          <w:bCs/>
        </w:rPr>
        <w:t>This offences carries a maximum penalty of 50 penalty units ($8,000 for an individual or $40,500 for a corporation) or imprisonment for six months, or both.</w:t>
      </w:r>
    </w:p>
    <w:p w14:paraId="1DA6736B" w14:textId="77777777" w:rsidR="00442EA5" w:rsidRPr="00B83574" w:rsidRDefault="00442EA5" w:rsidP="007D24C4"/>
    <w:p w14:paraId="31CA2AD5" w14:textId="05079D7C" w:rsidR="00442EA5" w:rsidRPr="00B83574" w:rsidRDefault="0025602F" w:rsidP="007D24C4">
      <w:r w:rsidRPr="00B83574">
        <w:t>Subsection</w:t>
      </w:r>
      <w:r>
        <w:t>222G(</w:t>
      </w:r>
      <w:r w:rsidR="00442EA5" w:rsidRPr="00B83574">
        <w:t>3</w:t>
      </w:r>
      <w:r>
        <w:t>)</w:t>
      </w:r>
      <w:r w:rsidR="00442EA5" w:rsidRPr="00B83574">
        <w:t xml:space="preserve"> provides that where a </w:t>
      </w:r>
      <w:r w:rsidR="000B4F2A" w:rsidRPr="00B83574">
        <w:t>political</w:t>
      </w:r>
      <w:r w:rsidR="0047200B" w:rsidRPr="00B83574">
        <w:t xml:space="preserve"> entity accepts a gift from or on behalf of a property developer who has made relevant planning applications, the financial representative of the entity must pay to the Territory the amount of the gift. This amount is enforceable as a debt, and can be recovered in court. </w:t>
      </w:r>
    </w:p>
    <w:p w14:paraId="1B9E6688" w14:textId="77777777" w:rsidR="00500BCD" w:rsidRPr="00B83574" w:rsidRDefault="00500BCD" w:rsidP="007D24C4"/>
    <w:p w14:paraId="29922F08" w14:textId="1031477C" w:rsidR="00932AAF" w:rsidRPr="00B83574" w:rsidRDefault="00932AAF" w:rsidP="007D24C4">
      <w:pPr>
        <w:keepNext/>
        <w:keepLines/>
        <w:rPr>
          <w:b/>
        </w:rPr>
      </w:pPr>
      <w:r w:rsidRPr="00B83574">
        <w:rPr>
          <w:b/>
        </w:rPr>
        <w:t>New Section 222</w:t>
      </w:r>
      <w:r w:rsidR="0025602F">
        <w:rPr>
          <w:b/>
        </w:rPr>
        <w:t>H</w:t>
      </w:r>
      <w:r w:rsidRPr="00B83574">
        <w:rPr>
          <w:b/>
        </w:rPr>
        <w:tab/>
        <w:t>Repayment of other gifts from property developers</w:t>
      </w:r>
    </w:p>
    <w:p w14:paraId="254EF2A6" w14:textId="11025F3F" w:rsidR="00E84265" w:rsidRPr="00D34D9E" w:rsidRDefault="00932AAF" w:rsidP="007D24C4">
      <w:pPr>
        <w:keepNext/>
        <w:keepLines/>
      </w:pPr>
      <w:r w:rsidRPr="0025602F">
        <w:t xml:space="preserve">New section 222G deals with </w:t>
      </w:r>
      <w:r w:rsidR="00E84265" w:rsidRPr="0025602F">
        <w:t>gifts made by, or received from, people who within 12 months of making the donation, become a property developer</w:t>
      </w:r>
      <w:r w:rsidR="00EF4AA1">
        <w:t xml:space="preserve"> and ma</w:t>
      </w:r>
      <w:r w:rsidR="00D34D9E">
        <w:t>ke</w:t>
      </w:r>
      <w:r w:rsidR="00EF4AA1">
        <w:t xml:space="preserve"> a relevant planning application</w:t>
      </w:r>
      <w:r w:rsidR="00E84265" w:rsidRPr="0025602F">
        <w:t xml:space="preserve">. The section does not make </w:t>
      </w:r>
      <w:r w:rsidR="00CF4612">
        <w:t>the giving of the gift</w:t>
      </w:r>
      <w:r w:rsidR="00E84265" w:rsidRPr="0025602F">
        <w:t xml:space="preserve"> a criminal offence but requires an amount </w:t>
      </w:r>
      <w:r w:rsidR="00CF4612">
        <w:t xml:space="preserve">equal to </w:t>
      </w:r>
      <w:r w:rsidR="00E84265" w:rsidRPr="0025602F">
        <w:t>any gift to be repaid to the Territory. This amount is enforceable as a debt, and can be recovered in court</w:t>
      </w:r>
      <w:r w:rsidR="00E84265" w:rsidRPr="00D34D9E">
        <w:t>.</w:t>
      </w:r>
    </w:p>
    <w:p w14:paraId="3AA1186C" w14:textId="77777777" w:rsidR="007C041F" w:rsidRPr="00D34D9E" w:rsidRDefault="007C041F" w:rsidP="007D24C4"/>
    <w:p w14:paraId="5132C38C" w14:textId="32CB431D" w:rsidR="007C041F" w:rsidRPr="00D34D9E" w:rsidRDefault="007C041F" w:rsidP="007D24C4">
      <w:r w:rsidRPr="00CF4612">
        <w:t xml:space="preserve">This section is aimed at preventing </w:t>
      </w:r>
      <w:r w:rsidR="00E92117" w:rsidRPr="00CF4612">
        <w:t xml:space="preserve">corporations or close associates </w:t>
      </w:r>
      <w:r w:rsidRPr="00CF4612">
        <w:t xml:space="preserve">from </w:t>
      </w:r>
      <w:r w:rsidR="00CF4612">
        <w:t>giving</w:t>
      </w:r>
      <w:r w:rsidRPr="00CF4612">
        <w:t xml:space="preserve"> gifts immediately prior to becoming a property developer, in order to avoid the prohibition.</w:t>
      </w:r>
      <w:r w:rsidR="005727D4" w:rsidRPr="00CF4612">
        <w:t xml:space="preserve"> This provision strikes a balance by limiting the period covered to twelve months</w:t>
      </w:r>
      <w:r w:rsidR="00CF4612">
        <w:t xml:space="preserve"> after the giving of the gift</w:t>
      </w:r>
      <w:r w:rsidR="005727D4" w:rsidRPr="00CF4612">
        <w:t xml:space="preserve">, rather than a more extended period. The </w:t>
      </w:r>
      <w:r w:rsidR="00E92117" w:rsidRPr="00CF4612">
        <w:t xml:space="preserve">corporation </w:t>
      </w:r>
      <w:r w:rsidR="00EF4AA1" w:rsidRPr="00CF4612">
        <w:t>or</w:t>
      </w:r>
      <w:r w:rsidR="00EF4AA1">
        <w:t xml:space="preserve"> close associate </w:t>
      </w:r>
      <w:r w:rsidR="005727D4" w:rsidRPr="00CF4612">
        <w:t>giving the gift would be expected to have foresight of the likeli</w:t>
      </w:r>
      <w:r w:rsidR="00CF4612">
        <w:t>hood</w:t>
      </w:r>
      <w:r w:rsidR="005727D4" w:rsidRPr="00CF4612">
        <w:t xml:space="preserve"> that they would engage in a business that involves property development </w:t>
      </w:r>
      <w:r w:rsidR="005727D4" w:rsidRPr="0025602F">
        <w:t xml:space="preserve">within next the 12 months from the time </w:t>
      </w:r>
      <w:r w:rsidR="005727D4" w:rsidRPr="00B83574">
        <w:t xml:space="preserve">they </w:t>
      </w:r>
      <w:r w:rsidR="005727D4" w:rsidRPr="00D34D9E">
        <w:t>give a gift.</w:t>
      </w:r>
    </w:p>
    <w:p w14:paraId="78F2E432" w14:textId="77777777" w:rsidR="005727D4" w:rsidRPr="00D34D9E" w:rsidRDefault="005727D4" w:rsidP="007D24C4"/>
    <w:p w14:paraId="60EAD63C" w14:textId="6B148DB8" w:rsidR="005727D4" w:rsidRPr="00CF4612" w:rsidRDefault="002810E3" w:rsidP="007D24C4">
      <w:pPr>
        <w:rPr>
          <w:b/>
        </w:rPr>
      </w:pPr>
      <w:r w:rsidRPr="00D34D9E">
        <w:rPr>
          <w:b/>
        </w:rPr>
        <w:t>New Section 222</w:t>
      </w:r>
      <w:r w:rsidR="0025602F" w:rsidRPr="00D34D9E">
        <w:rPr>
          <w:b/>
        </w:rPr>
        <w:t>I</w:t>
      </w:r>
      <w:r w:rsidRPr="00D34D9E">
        <w:rPr>
          <w:b/>
        </w:rPr>
        <w:tab/>
      </w:r>
      <w:r w:rsidR="00E92117" w:rsidRPr="00D34D9E">
        <w:rPr>
          <w:b/>
        </w:rPr>
        <w:t>De</w:t>
      </w:r>
      <w:r w:rsidR="00EF4AA1" w:rsidRPr="00D34D9E">
        <w:rPr>
          <w:b/>
        </w:rPr>
        <w:t>claration</w:t>
      </w:r>
      <w:r w:rsidR="00E92117" w:rsidRPr="00D34D9E">
        <w:rPr>
          <w:b/>
        </w:rPr>
        <w:t xml:space="preserve"> that corporation is not a property developer</w:t>
      </w:r>
    </w:p>
    <w:p w14:paraId="252787D2" w14:textId="0E8DC24F" w:rsidR="00E92117" w:rsidRPr="00CF4612" w:rsidRDefault="00E92117" w:rsidP="007D24C4">
      <w:r w:rsidRPr="00CF4612">
        <w:t xml:space="preserve">This section includes a power for the Electoral Commission to receive and decide applications from corporations or close associates for a </w:t>
      </w:r>
      <w:r w:rsidR="00EF4AA1" w:rsidRPr="00CF4612">
        <w:t>de</w:t>
      </w:r>
      <w:r w:rsidR="00EF4AA1">
        <w:t>claration</w:t>
      </w:r>
      <w:r w:rsidR="00EF4AA1" w:rsidRPr="00CF4612">
        <w:t xml:space="preserve"> </w:t>
      </w:r>
      <w:r w:rsidRPr="00CF4612">
        <w:t xml:space="preserve">that the corporation is not a property developer for the purposes of the ban. This will allow entities that are uncertain about the status of the corporation that may make donations to </w:t>
      </w:r>
      <w:r w:rsidR="00540D16" w:rsidRPr="00CF4612">
        <w:t>obtain a ruling that they are or are not</w:t>
      </w:r>
      <w:r w:rsidR="00CF4612">
        <w:t xml:space="preserve"> a property developer</w:t>
      </w:r>
      <w:r w:rsidR="00540D16" w:rsidRPr="00CF4612">
        <w:t xml:space="preserve">, which they can rely on when deciding whether or not to make a donation. This safeguard mechanism supports the intent of the prohibition, while allowing opportunity for companies to pre-emptively check their status. </w:t>
      </w:r>
    </w:p>
    <w:p w14:paraId="5B841F05" w14:textId="77777777" w:rsidR="00540D16" w:rsidRPr="00CF4612" w:rsidRDefault="00540D16" w:rsidP="007D24C4"/>
    <w:p w14:paraId="13AD656E" w14:textId="65C5475D" w:rsidR="00230CBA" w:rsidRPr="00CF4612" w:rsidRDefault="00540D16" w:rsidP="007D24C4">
      <w:r w:rsidRPr="00CF4612">
        <w:t xml:space="preserve">The </w:t>
      </w:r>
      <w:r w:rsidR="00EF4AA1">
        <w:t>declaration</w:t>
      </w:r>
      <w:r w:rsidRPr="00CF4612">
        <w:t xml:space="preserve"> of the Commission will be conclusive for the validity of any donation made while </w:t>
      </w:r>
      <w:r w:rsidR="00CF4612">
        <w:t xml:space="preserve">the </w:t>
      </w:r>
      <w:r w:rsidR="00EF4AA1">
        <w:t xml:space="preserve">declaration </w:t>
      </w:r>
      <w:r w:rsidRPr="00CF4612">
        <w:t>is in force, unless it was made on the basis of false or misleading information.  This will mean that potential donors will be able to obtain certainty</w:t>
      </w:r>
      <w:r w:rsidR="00230CBA" w:rsidRPr="00CF4612">
        <w:t xml:space="preserve"> about the lawfulness of any gift given to a political entity.</w:t>
      </w:r>
    </w:p>
    <w:p w14:paraId="1D04E7BD" w14:textId="77777777" w:rsidR="00230CBA" w:rsidRPr="00CF4612" w:rsidRDefault="00230CBA" w:rsidP="007D24C4"/>
    <w:p w14:paraId="7DB344F0" w14:textId="5C4FAACD" w:rsidR="00540D16" w:rsidRPr="00CF4612" w:rsidRDefault="00540D16" w:rsidP="007D24C4">
      <w:r w:rsidRPr="00CF4612">
        <w:t xml:space="preserve">The </w:t>
      </w:r>
      <w:r w:rsidR="00EF4AA1">
        <w:t>declaration</w:t>
      </w:r>
      <w:r w:rsidR="00EF4AA1" w:rsidRPr="00CF4612">
        <w:t xml:space="preserve"> </w:t>
      </w:r>
      <w:r w:rsidRPr="00CF4612">
        <w:t>will have force for 12 months unless revoked by the Commission with at least seven days’ notice to the property developer.</w:t>
      </w:r>
    </w:p>
    <w:p w14:paraId="457E360D" w14:textId="77777777" w:rsidR="00932AAF" w:rsidRPr="00CF4612" w:rsidRDefault="00932AAF" w:rsidP="007D24C4">
      <w:pPr>
        <w:rPr>
          <w:b/>
        </w:rPr>
      </w:pPr>
    </w:p>
    <w:p w14:paraId="048C9BD5" w14:textId="77777777" w:rsidR="00964EB3" w:rsidRDefault="00964EB3">
      <w:pPr>
        <w:spacing w:line="240" w:lineRule="auto"/>
        <w:rPr>
          <w:b/>
        </w:rPr>
      </w:pPr>
      <w:r>
        <w:rPr>
          <w:b/>
        </w:rPr>
        <w:br w:type="page"/>
      </w:r>
    </w:p>
    <w:p w14:paraId="14812055" w14:textId="2D6E890E" w:rsidR="002810E3" w:rsidRPr="00CF4612" w:rsidRDefault="002810E3" w:rsidP="007D24C4">
      <w:pPr>
        <w:rPr>
          <w:b/>
        </w:rPr>
      </w:pPr>
      <w:r w:rsidRPr="00CF4612">
        <w:rPr>
          <w:b/>
        </w:rPr>
        <w:t xml:space="preserve">Clause </w:t>
      </w:r>
      <w:r w:rsidR="00E92117" w:rsidRPr="00CF4612">
        <w:rPr>
          <w:b/>
        </w:rPr>
        <w:t>12</w:t>
      </w:r>
      <w:r w:rsidRPr="00CF4612">
        <w:rPr>
          <w:b/>
        </w:rPr>
        <w:tab/>
        <w:t>New Part 33</w:t>
      </w:r>
    </w:p>
    <w:p w14:paraId="38C21FA4" w14:textId="77777777" w:rsidR="002810E3" w:rsidRPr="00D34D9E" w:rsidRDefault="002810E3" w:rsidP="007D24C4">
      <w:pPr>
        <w:rPr>
          <w:b/>
        </w:rPr>
      </w:pPr>
    </w:p>
    <w:p w14:paraId="0747F506" w14:textId="738A0154" w:rsidR="002810E3" w:rsidRPr="00D34D9E" w:rsidRDefault="002810E3" w:rsidP="007D24C4">
      <w:pPr>
        <w:rPr>
          <w:b/>
        </w:rPr>
      </w:pPr>
      <w:r w:rsidRPr="00D34D9E">
        <w:rPr>
          <w:b/>
        </w:rPr>
        <w:t xml:space="preserve">Part 33 </w:t>
      </w:r>
      <w:r w:rsidRPr="00D34D9E">
        <w:rPr>
          <w:b/>
        </w:rPr>
        <w:tab/>
        <w:t>Transitional – Electoral Amendment Bill 2018</w:t>
      </w:r>
    </w:p>
    <w:p w14:paraId="7FDA44B0" w14:textId="77777777" w:rsidR="002810E3" w:rsidRPr="00D34D9E" w:rsidRDefault="002810E3" w:rsidP="007D24C4">
      <w:pPr>
        <w:rPr>
          <w:b/>
        </w:rPr>
      </w:pPr>
    </w:p>
    <w:p w14:paraId="1061FB37" w14:textId="7EC4258E" w:rsidR="002810E3" w:rsidRPr="00D34D9E" w:rsidRDefault="002810E3" w:rsidP="007D24C4">
      <w:pPr>
        <w:keepNext/>
        <w:keepLines/>
        <w:ind w:left="2160" w:hanging="2160"/>
        <w:rPr>
          <w:b/>
          <w:bCs/>
        </w:rPr>
      </w:pPr>
      <w:r w:rsidRPr="00D34D9E">
        <w:rPr>
          <w:b/>
        </w:rPr>
        <w:t>New section 517</w:t>
      </w:r>
      <w:r w:rsidRPr="00D34D9E">
        <w:rPr>
          <w:b/>
        </w:rPr>
        <w:tab/>
      </w:r>
      <w:r w:rsidRPr="00D34D9E">
        <w:rPr>
          <w:b/>
          <w:bCs/>
        </w:rPr>
        <w:t>Transitional—gifts from property developers in pre-commencement period</w:t>
      </w:r>
    </w:p>
    <w:p w14:paraId="33F29ED3" w14:textId="1EE173CD" w:rsidR="008B72E1" w:rsidRPr="00CF4612" w:rsidRDefault="002810E3" w:rsidP="007D24C4">
      <w:pPr>
        <w:keepNext/>
        <w:keepLines/>
        <w:rPr>
          <w:bCs/>
        </w:rPr>
      </w:pPr>
      <w:r w:rsidRPr="00CF4612">
        <w:rPr>
          <w:bCs/>
        </w:rPr>
        <w:t>Clause 1</w:t>
      </w:r>
      <w:r w:rsidR="00CF4612">
        <w:rPr>
          <w:bCs/>
        </w:rPr>
        <w:t>2</w:t>
      </w:r>
      <w:r w:rsidRPr="00CF4612">
        <w:rPr>
          <w:bCs/>
        </w:rPr>
        <w:t xml:space="preserve"> includes transitional provisions to apply the ban on gifts from property developers from the time this Bill is presented in the Legislative Assembly. This measure will prevent the ability for property developers</w:t>
      </w:r>
      <w:r w:rsidR="00230CBA" w:rsidRPr="00CF4612">
        <w:rPr>
          <w:bCs/>
        </w:rPr>
        <w:t xml:space="preserve"> or close associates</w:t>
      </w:r>
      <w:r w:rsidRPr="00CF4612">
        <w:rPr>
          <w:bCs/>
        </w:rPr>
        <w:t xml:space="preserve"> to make donations to political parties between the time the bill is pre</w:t>
      </w:r>
      <w:r w:rsidR="008B72E1" w:rsidRPr="00CF4612">
        <w:rPr>
          <w:bCs/>
        </w:rPr>
        <w:t xml:space="preserve">sented and when it commences. </w:t>
      </w:r>
    </w:p>
    <w:p w14:paraId="5E6397A2" w14:textId="77777777" w:rsidR="008B72E1" w:rsidRPr="00D34D9E" w:rsidRDefault="008B72E1" w:rsidP="007D24C4">
      <w:pPr>
        <w:rPr>
          <w:bCs/>
        </w:rPr>
      </w:pPr>
    </w:p>
    <w:p w14:paraId="51C76010" w14:textId="1B7082C6" w:rsidR="002810E3" w:rsidRPr="00B83574" w:rsidRDefault="008B72E1" w:rsidP="007D24C4">
      <w:pPr>
        <w:rPr>
          <w:bCs/>
        </w:rPr>
      </w:pPr>
      <w:r w:rsidRPr="00D34D9E">
        <w:rPr>
          <w:bCs/>
        </w:rPr>
        <w:t xml:space="preserve">The Select Committee report on the 2016 ACT Election and Electoral Act recommending that a ban on property developer donations was published in November 2017, and the </w:t>
      </w:r>
      <w:r w:rsidRPr="00B83574">
        <w:rPr>
          <w:bCs/>
        </w:rPr>
        <w:t>Government’s agreement to that recommendation in its response, tabled on 10 April 2018</w:t>
      </w:r>
      <w:r w:rsidR="0025602F">
        <w:rPr>
          <w:bCs/>
        </w:rPr>
        <w:t>.   Property developers have been aware</w:t>
      </w:r>
      <w:r w:rsidR="00B83574">
        <w:rPr>
          <w:bCs/>
        </w:rPr>
        <w:t xml:space="preserve"> </w:t>
      </w:r>
      <w:r w:rsidRPr="00B83574">
        <w:rPr>
          <w:bCs/>
        </w:rPr>
        <w:t xml:space="preserve">that a ban on property developer donations is imminent. The transitional ban </w:t>
      </w:r>
      <w:r w:rsidR="00276021">
        <w:rPr>
          <w:bCs/>
        </w:rPr>
        <w:t xml:space="preserve">in new section 517 </w:t>
      </w:r>
      <w:r w:rsidRPr="00B83574">
        <w:rPr>
          <w:bCs/>
        </w:rPr>
        <w:t xml:space="preserve">does not criminalise the giving of a gift, but provides that a political entity </w:t>
      </w:r>
      <w:r w:rsidR="002E56CA" w:rsidRPr="00B83574">
        <w:rPr>
          <w:bCs/>
        </w:rPr>
        <w:t>would need to repay to the Territory the amount of</w:t>
      </w:r>
      <w:r w:rsidRPr="00B83574">
        <w:rPr>
          <w:bCs/>
        </w:rPr>
        <w:t xml:space="preserve"> a gift</w:t>
      </w:r>
      <w:r w:rsidR="002E56CA" w:rsidRPr="00B83574">
        <w:rPr>
          <w:bCs/>
        </w:rPr>
        <w:t xml:space="preserve"> received</w:t>
      </w:r>
      <w:r w:rsidRPr="00B83574">
        <w:rPr>
          <w:bCs/>
        </w:rPr>
        <w:t xml:space="preserve"> from, or on behalf of, a property developer</w:t>
      </w:r>
      <w:r w:rsidR="002E56CA" w:rsidRPr="00B83574">
        <w:rPr>
          <w:bCs/>
        </w:rPr>
        <w:t>.</w:t>
      </w:r>
    </w:p>
    <w:p w14:paraId="2C758CAE" w14:textId="77777777" w:rsidR="00721E1B" w:rsidRPr="00B83574" w:rsidRDefault="00721E1B" w:rsidP="007D24C4">
      <w:pPr>
        <w:rPr>
          <w:bCs/>
        </w:rPr>
      </w:pPr>
    </w:p>
    <w:p w14:paraId="34A2B69E" w14:textId="5FC7D077" w:rsidR="00721E1B" w:rsidRPr="00B83574" w:rsidRDefault="00721E1B" w:rsidP="007D24C4">
      <w:pPr>
        <w:rPr>
          <w:b/>
          <w:bCs/>
        </w:rPr>
      </w:pPr>
      <w:r w:rsidRPr="00B83574">
        <w:rPr>
          <w:b/>
          <w:bCs/>
        </w:rPr>
        <w:t>New Section 518</w:t>
      </w:r>
      <w:r w:rsidRPr="00B83574">
        <w:rPr>
          <w:b/>
          <w:bCs/>
        </w:rPr>
        <w:tab/>
        <w:t>Transitional Regulations</w:t>
      </w:r>
    </w:p>
    <w:p w14:paraId="30CF3EFA" w14:textId="7154B3A5" w:rsidR="00721E1B" w:rsidRPr="00D34D9E" w:rsidRDefault="00721E1B" w:rsidP="007D24C4">
      <w:pPr>
        <w:rPr>
          <w:bCs/>
        </w:rPr>
      </w:pPr>
      <w:r w:rsidRPr="00D34D9E">
        <w:rPr>
          <w:bCs/>
        </w:rPr>
        <w:t>This new section provides for the Executive to prescribe by regulation any transitional matters necessary or convenient to be prescribed to support the commencement or operation of the amendments in this bill.</w:t>
      </w:r>
    </w:p>
    <w:p w14:paraId="389ACFE4" w14:textId="77777777" w:rsidR="0047200B" w:rsidRPr="00D34D9E" w:rsidRDefault="0047200B" w:rsidP="007D24C4"/>
    <w:p w14:paraId="58ACFC45" w14:textId="1A41027D" w:rsidR="0047200B" w:rsidRPr="00D34D9E" w:rsidRDefault="00721E1B" w:rsidP="007D24C4">
      <w:r w:rsidRPr="00D34D9E">
        <w:t>The regulation may modify this part to make provision in relation to anything that, in the Executive’s opinion, is not, or is not adequately or appropriately, dealt with in this part.</w:t>
      </w:r>
    </w:p>
    <w:p w14:paraId="397D62B8" w14:textId="77777777" w:rsidR="00721E1B" w:rsidRPr="00D34D9E" w:rsidRDefault="00721E1B" w:rsidP="007D24C4"/>
    <w:p w14:paraId="4B09407D" w14:textId="0522A15B" w:rsidR="00721E1B" w:rsidRPr="00D34D9E" w:rsidRDefault="00721E1B" w:rsidP="007D24C4">
      <w:r w:rsidRPr="00D34D9E">
        <w:t>This transitional provision will allow for any additional details relevant to the retrospective commencement of the prohibition to be settled without the need for further amending legislation to be passed by the Assembly.</w:t>
      </w:r>
    </w:p>
    <w:p w14:paraId="5B4C0FE7" w14:textId="77777777" w:rsidR="00721E1B" w:rsidRPr="00D34D9E" w:rsidRDefault="00721E1B" w:rsidP="007D24C4"/>
    <w:p w14:paraId="11FBD6B0" w14:textId="1DC8D1F6" w:rsidR="00721E1B" w:rsidRPr="00276021" w:rsidRDefault="00964EB3" w:rsidP="007D24C4">
      <w:pPr>
        <w:rPr>
          <w:b/>
          <w:bCs/>
        </w:rPr>
      </w:pPr>
      <w:r>
        <w:rPr>
          <w:b/>
          <w:bCs/>
        </w:rPr>
        <w:t>New Section 519</w:t>
      </w:r>
      <w:r>
        <w:rPr>
          <w:b/>
          <w:bCs/>
        </w:rPr>
        <w:tab/>
      </w:r>
      <w:r w:rsidR="00AB4A1E" w:rsidRPr="00276021">
        <w:rPr>
          <w:b/>
          <w:bCs/>
        </w:rPr>
        <w:t>Expiry—pt 33</w:t>
      </w:r>
    </w:p>
    <w:p w14:paraId="755CA341" w14:textId="4A24302D" w:rsidR="00AB4A1E" w:rsidRPr="00D34D9E" w:rsidRDefault="00AB4A1E" w:rsidP="007D24C4">
      <w:pPr>
        <w:rPr>
          <w:bCs/>
          <w:i/>
        </w:rPr>
      </w:pPr>
      <w:r w:rsidRPr="00276021">
        <w:rPr>
          <w:bCs/>
        </w:rPr>
        <w:t>This section provides that the transitional provision</w:t>
      </w:r>
      <w:r w:rsidR="00CF4612">
        <w:rPr>
          <w:bCs/>
        </w:rPr>
        <w:t>s</w:t>
      </w:r>
      <w:r w:rsidRPr="00276021">
        <w:rPr>
          <w:bCs/>
        </w:rPr>
        <w:t xml:space="preserve"> expire after 3 months. This means that they will no longer be visible in the Electoral Act after that time, however</w:t>
      </w:r>
      <w:r w:rsidRPr="00D34D9E">
        <w:rPr>
          <w:bCs/>
        </w:rPr>
        <w:t xml:space="preserve">, the provisions will continue to have legal force and effect after expiry consistent with the general rule in s 88 of the </w:t>
      </w:r>
      <w:r w:rsidRPr="00D34D9E">
        <w:rPr>
          <w:bCs/>
          <w:i/>
        </w:rPr>
        <w:t>Legislation Act 2001.</w:t>
      </w:r>
    </w:p>
    <w:p w14:paraId="4D04EE4F" w14:textId="77777777" w:rsidR="00AB4A1E" w:rsidRPr="00CF4612" w:rsidRDefault="00AB4A1E" w:rsidP="007D24C4">
      <w:pPr>
        <w:rPr>
          <w:bCs/>
          <w:i/>
        </w:rPr>
      </w:pPr>
    </w:p>
    <w:p w14:paraId="51373107" w14:textId="69590ABB" w:rsidR="00AB4A1E" w:rsidRPr="00CF4612" w:rsidRDefault="00AB4A1E" w:rsidP="007D24C4">
      <w:pPr>
        <w:rPr>
          <w:b/>
          <w:bCs/>
        </w:rPr>
      </w:pPr>
      <w:r w:rsidRPr="00CF4612">
        <w:rPr>
          <w:b/>
          <w:bCs/>
        </w:rPr>
        <w:t xml:space="preserve">Clause </w:t>
      </w:r>
      <w:r w:rsidR="00E92117" w:rsidRPr="00CF4612">
        <w:rPr>
          <w:b/>
          <w:bCs/>
        </w:rPr>
        <w:t>13</w:t>
      </w:r>
      <w:r w:rsidRPr="00CF4612">
        <w:rPr>
          <w:b/>
          <w:bCs/>
        </w:rPr>
        <w:tab/>
        <w:t>Dictionary, note 2</w:t>
      </w:r>
    </w:p>
    <w:p w14:paraId="717186E1" w14:textId="08D2EADE" w:rsidR="00EC1D38" w:rsidRPr="00CF4612" w:rsidRDefault="00AB4A1E" w:rsidP="007D24C4">
      <w:pPr>
        <w:rPr>
          <w:bCs/>
        </w:rPr>
      </w:pPr>
      <w:r w:rsidRPr="00CF4612">
        <w:rPr>
          <w:bCs/>
        </w:rPr>
        <w:t xml:space="preserve">This clause inserts </w:t>
      </w:r>
      <w:r w:rsidR="00EC1D38" w:rsidRPr="00CF4612">
        <w:rPr>
          <w:bCs/>
        </w:rPr>
        <w:t xml:space="preserve">into note 2 </w:t>
      </w:r>
      <w:r w:rsidRPr="00CF4612">
        <w:rPr>
          <w:bCs/>
        </w:rPr>
        <w:t>terms</w:t>
      </w:r>
      <w:r w:rsidR="00EC1D38" w:rsidRPr="00CF4612">
        <w:rPr>
          <w:bCs/>
        </w:rPr>
        <w:t xml:space="preserve"> defined within the </w:t>
      </w:r>
      <w:r w:rsidR="00EC1D38" w:rsidRPr="00CF4612">
        <w:rPr>
          <w:bCs/>
          <w:i/>
        </w:rPr>
        <w:t>Legislation Act 2001</w:t>
      </w:r>
      <w:r w:rsidRPr="00CF4612">
        <w:rPr>
          <w:bCs/>
          <w:i/>
        </w:rPr>
        <w:t xml:space="preserve"> </w:t>
      </w:r>
      <w:r w:rsidR="00EC1D38" w:rsidRPr="00CF4612">
        <w:rPr>
          <w:bCs/>
        </w:rPr>
        <w:t>that are relevant when interpreting the provisions of new Division 14.4A in the Electoral Act.</w:t>
      </w:r>
    </w:p>
    <w:p w14:paraId="46E21A9B" w14:textId="77777777" w:rsidR="00EC1D38" w:rsidRPr="00CF4612" w:rsidRDefault="00EC1D38" w:rsidP="007D24C4">
      <w:pPr>
        <w:rPr>
          <w:bCs/>
        </w:rPr>
      </w:pPr>
    </w:p>
    <w:p w14:paraId="29DCB1A1" w14:textId="17FDA6B7" w:rsidR="00EC1D38" w:rsidRPr="00CF4612" w:rsidRDefault="00EC1D38" w:rsidP="007D24C4">
      <w:pPr>
        <w:keepNext/>
        <w:keepLines/>
        <w:rPr>
          <w:bCs/>
        </w:rPr>
      </w:pPr>
      <w:r w:rsidRPr="00CF4612">
        <w:rPr>
          <w:b/>
          <w:bCs/>
        </w:rPr>
        <w:t xml:space="preserve">Clause </w:t>
      </w:r>
      <w:r w:rsidR="00E92117" w:rsidRPr="00CF4612">
        <w:rPr>
          <w:b/>
          <w:bCs/>
        </w:rPr>
        <w:t>4</w:t>
      </w:r>
      <w:r w:rsidRPr="00CF4612">
        <w:rPr>
          <w:b/>
          <w:bCs/>
        </w:rPr>
        <w:tab/>
        <w:t>Dictionary, new definitions</w:t>
      </w:r>
    </w:p>
    <w:p w14:paraId="617091AA" w14:textId="47C9F584" w:rsidR="00AB4A1E" w:rsidRPr="00CF4612" w:rsidRDefault="00EC1D38" w:rsidP="007D24C4">
      <w:pPr>
        <w:keepNext/>
        <w:keepLines/>
      </w:pPr>
      <w:r w:rsidRPr="00CF4612">
        <w:rPr>
          <w:bCs/>
        </w:rPr>
        <w:t>This clause inserts new definitions of terms used in Division 14.4</w:t>
      </w:r>
      <w:r w:rsidR="00AB4A1E" w:rsidRPr="00CF4612">
        <w:rPr>
          <w:bCs/>
        </w:rPr>
        <w:t xml:space="preserve"> the Bill in the Dictionary for the Electoral Act. The terms have the s</w:t>
      </w:r>
      <w:r w:rsidRPr="00CF4612">
        <w:rPr>
          <w:bCs/>
        </w:rPr>
        <w:t>pecific</w:t>
      </w:r>
      <w:r w:rsidR="00AB4A1E" w:rsidRPr="00CF4612">
        <w:rPr>
          <w:bCs/>
        </w:rPr>
        <w:t xml:space="preserve"> meanings they are given throughout </w:t>
      </w:r>
      <w:r w:rsidRPr="00CF4612">
        <w:rPr>
          <w:bCs/>
        </w:rPr>
        <w:t xml:space="preserve">the sections in </w:t>
      </w:r>
      <w:r w:rsidR="00AB4A1E" w:rsidRPr="00CF4612">
        <w:rPr>
          <w:bCs/>
        </w:rPr>
        <w:t>Division 14.4A.</w:t>
      </w:r>
    </w:p>
    <w:sectPr w:rsidR="00AB4A1E" w:rsidRPr="00CF4612" w:rsidSect="00F41A2F">
      <w:footerReference w:type="default" r:id="rId17"/>
      <w:footerReference w:type="first" r:id="rId18"/>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40845" w14:textId="77777777" w:rsidR="00C96850" w:rsidRDefault="00C96850" w:rsidP="00F6634C">
      <w:r>
        <w:separator/>
      </w:r>
    </w:p>
    <w:p w14:paraId="699DE6ED" w14:textId="77777777" w:rsidR="00C96850" w:rsidRDefault="00C96850" w:rsidP="00F6634C"/>
    <w:p w14:paraId="69B10436" w14:textId="77777777" w:rsidR="00C96850" w:rsidRDefault="00C96850" w:rsidP="00F6634C"/>
  </w:endnote>
  <w:endnote w:type="continuationSeparator" w:id="0">
    <w:p w14:paraId="391C00E3" w14:textId="77777777" w:rsidR="00C96850" w:rsidRDefault="00C96850" w:rsidP="00F6634C">
      <w:r>
        <w:continuationSeparator/>
      </w:r>
    </w:p>
    <w:p w14:paraId="025AD8FD" w14:textId="77777777" w:rsidR="00C96850" w:rsidRDefault="00C96850" w:rsidP="00F6634C"/>
    <w:p w14:paraId="72431130" w14:textId="77777777" w:rsidR="00C96850" w:rsidRDefault="00C96850" w:rsidP="00F6634C"/>
  </w:endnote>
  <w:endnote w:type="continuationNotice" w:id="1">
    <w:p w14:paraId="57C05BCE" w14:textId="77777777" w:rsidR="00C96850" w:rsidRDefault="00C96850" w:rsidP="00F6634C"/>
    <w:p w14:paraId="098ECB5A" w14:textId="77777777" w:rsidR="00C96850" w:rsidRDefault="00C96850" w:rsidP="00F6634C"/>
    <w:p w14:paraId="461BE32F" w14:textId="77777777" w:rsidR="00C96850" w:rsidRDefault="00C96850" w:rsidP="00F663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C170F" w14:textId="77777777" w:rsidR="003857B6" w:rsidRPr="00543814" w:rsidRDefault="003857B6" w:rsidP="00543814">
    <w:pPr>
      <w:pStyle w:val="Footer"/>
      <w:jc w:val="center"/>
      <w:rPr>
        <w:rFonts w:ascii="Calibri" w:hAnsi="Calibri"/>
        <w:b/>
        <w:color w:val="F00000"/>
        <w:sz w:val="24"/>
      </w:rPr>
    </w:pPr>
    <w:r>
      <w:fldChar w:fldCharType="begin" w:fldLock="1"/>
    </w:r>
    <w:r>
      <w:instrText xml:space="preserve"> DOCPROPERTY bjFooterEvenPageDocProperty \* MERGEFORMAT </w:instrText>
    </w:r>
    <w:r>
      <w:fldChar w:fldCharType="separate"/>
    </w:r>
  </w:p>
  <w:p w14:paraId="743BFB54" w14:textId="787D5BDC" w:rsidR="003857B6" w:rsidRPr="00543814" w:rsidRDefault="003857B6" w:rsidP="00543814">
    <w:pPr>
      <w:pStyle w:val="Footer"/>
      <w:jc w:val="center"/>
    </w:pPr>
    <w:r w:rsidRPr="00543814">
      <w:rPr>
        <w:rFonts w:ascii="Calibri" w:hAnsi="Calibri"/>
        <w:b/>
        <w:color w:val="F00000"/>
        <w:sz w:val="24"/>
      </w:rPr>
      <w:t>UNCLASSIFIED</w:t>
    </w:r>
    <w:r>
      <w:t xml:space="preserve">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A9B86" w14:textId="5707531B" w:rsidR="00607097" w:rsidRPr="001E6A90" w:rsidRDefault="001E6A90" w:rsidP="001E6A90">
    <w:pPr>
      <w:pStyle w:val="Footer"/>
      <w:jc w:val="center"/>
      <w:rPr>
        <w:rFonts w:cs="Arial"/>
        <w:sz w:val="14"/>
      </w:rPr>
    </w:pPr>
    <w:r w:rsidRPr="001E6A90">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BBB1C" w14:textId="77777777" w:rsidR="003857B6" w:rsidRPr="00543814" w:rsidRDefault="003857B6" w:rsidP="00543814">
    <w:pPr>
      <w:pStyle w:val="Footer"/>
      <w:jc w:val="center"/>
      <w:rPr>
        <w:rFonts w:ascii="Calibri" w:hAnsi="Calibri"/>
        <w:b/>
        <w:color w:val="F00000"/>
        <w:sz w:val="24"/>
      </w:rPr>
    </w:pPr>
    <w:r>
      <w:fldChar w:fldCharType="begin" w:fldLock="1"/>
    </w:r>
    <w:r>
      <w:instrText xml:space="preserve"> DOCPROPERTY bjFooterFirstPageDocProperty \* MERGEFORMAT </w:instrText>
    </w:r>
    <w:r>
      <w:fldChar w:fldCharType="separate"/>
    </w:r>
  </w:p>
  <w:p w14:paraId="4FDD80BC" w14:textId="74F6001A" w:rsidR="003857B6" w:rsidRDefault="003857B6" w:rsidP="00543814">
    <w:pPr>
      <w:pStyle w:val="Footer"/>
      <w:jc w:val="center"/>
    </w:pPr>
    <w:r w:rsidRPr="00543814">
      <w:rPr>
        <w:rFonts w:ascii="Calibri" w:hAnsi="Calibri"/>
        <w:b/>
        <w:color w:val="F00000"/>
        <w:sz w:val="24"/>
      </w:rPr>
      <w:t>UNCLASSIFIED</w:t>
    </w:r>
    <w:r>
      <w:t xml:space="preserve"> </w:t>
    </w:r>
    <w:r>
      <w:fldChar w:fldCharType="end"/>
    </w:r>
  </w:p>
  <w:p w14:paraId="7920A1F6" w14:textId="77777777" w:rsidR="003857B6" w:rsidRPr="00DC5912" w:rsidRDefault="003857B6" w:rsidP="00DC591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A2F05" w14:textId="459CDD2C" w:rsidR="003857B6" w:rsidRDefault="003857B6" w:rsidP="00543814">
    <w:pPr>
      <w:pStyle w:val="Footer"/>
      <w:spacing w:before="60" w:line="240" w:lineRule="auto"/>
      <w:jc w:val="center"/>
    </w:pPr>
  </w:p>
  <w:p w14:paraId="338684FE" w14:textId="397F2525" w:rsidR="003857B6" w:rsidRDefault="003857B6" w:rsidP="00937954">
    <w:pPr>
      <w:pStyle w:val="Footer"/>
      <w:spacing w:before="60" w:line="240" w:lineRule="auto"/>
      <w:jc w:val="right"/>
      <w:rPr>
        <w:noProof/>
      </w:rPr>
    </w:pPr>
    <w:r>
      <w:fldChar w:fldCharType="begin"/>
    </w:r>
    <w:r>
      <w:instrText xml:space="preserve"> PAGE   \* MERGEFORMAT </w:instrText>
    </w:r>
    <w:r>
      <w:fldChar w:fldCharType="separate"/>
    </w:r>
    <w:r w:rsidR="001E6A90">
      <w:rPr>
        <w:noProof/>
      </w:rPr>
      <w:t>2</w:t>
    </w:r>
    <w:r>
      <w:fldChar w:fldCharType="end"/>
    </w:r>
  </w:p>
  <w:p w14:paraId="484473E7" w14:textId="77777777" w:rsidR="003857B6" w:rsidRDefault="003857B6" w:rsidP="00F6634C"/>
  <w:p w14:paraId="051F30D3" w14:textId="1F6D2A07" w:rsidR="003857B6" w:rsidRPr="001E6A90" w:rsidRDefault="001E6A90" w:rsidP="001E6A90">
    <w:pPr>
      <w:spacing w:before="80"/>
      <w:jc w:val="center"/>
      <w:rPr>
        <w:rFonts w:ascii="Arial" w:hAnsi="Arial"/>
        <w:sz w:val="14"/>
      </w:rPr>
    </w:pPr>
    <w:r w:rsidRPr="001E6A90">
      <w:rPr>
        <w:rFonts w:ascii="Arial" w:hAnsi="Arial"/>
        <w:sz w:val="14"/>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71D87" w14:textId="78CE4175" w:rsidR="003857B6" w:rsidRDefault="003857B6">
    <w:pPr>
      <w:pStyle w:val="Footer"/>
      <w:jc w:val="right"/>
      <w:rPr>
        <w:noProof/>
      </w:rPr>
    </w:pPr>
    <w:r>
      <w:fldChar w:fldCharType="begin"/>
    </w:r>
    <w:r>
      <w:instrText xml:space="preserve"> PAGE   \* MERGEFORMAT </w:instrText>
    </w:r>
    <w:r>
      <w:fldChar w:fldCharType="separate"/>
    </w:r>
    <w:r w:rsidR="001E6A90">
      <w:rPr>
        <w:noProof/>
      </w:rPr>
      <w:t>1</w:t>
    </w:r>
    <w:r>
      <w:fldChar w:fldCharType="end"/>
    </w:r>
  </w:p>
  <w:p w14:paraId="797A1E72" w14:textId="77777777" w:rsidR="003857B6" w:rsidRDefault="003857B6" w:rsidP="00F6634C"/>
  <w:p w14:paraId="5CEEEA02" w14:textId="4F0C217A" w:rsidR="003857B6" w:rsidRPr="001E6A90" w:rsidRDefault="001E6A90" w:rsidP="001E6A90">
    <w:pPr>
      <w:jc w:val="center"/>
      <w:rPr>
        <w:rFonts w:ascii="Arial" w:hAnsi="Arial"/>
        <w:sz w:val="14"/>
      </w:rPr>
    </w:pPr>
    <w:r w:rsidRPr="001E6A90">
      <w:rPr>
        <w:rFonts w:ascii="Arial" w:hAnsi="Arial"/>
        <w:sz w:val="14"/>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BA553" w14:textId="77777777" w:rsidR="00C96850" w:rsidRDefault="00C96850" w:rsidP="00F6634C">
      <w:r>
        <w:separator/>
      </w:r>
    </w:p>
    <w:p w14:paraId="0712281D" w14:textId="77777777" w:rsidR="00C96850" w:rsidRDefault="00C96850" w:rsidP="00F6634C"/>
    <w:p w14:paraId="5E999489" w14:textId="77777777" w:rsidR="00C96850" w:rsidRDefault="00C96850" w:rsidP="00F6634C"/>
  </w:footnote>
  <w:footnote w:type="continuationSeparator" w:id="0">
    <w:p w14:paraId="7FD9DF76" w14:textId="77777777" w:rsidR="00C96850" w:rsidRDefault="00C96850" w:rsidP="00F6634C">
      <w:r>
        <w:continuationSeparator/>
      </w:r>
    </w:p>
    <w:p w14:paraId="645EA914" w14:textId="77777777" w:rsidR="00C96850" w:rsidRDefault="00C96850" w:rsidP="00F6634C"/>
    <w:p w14:paraId="1E893DCF" w14:textId="77777777" w:rsidR="00C96850" w:rsidRDefault="00C96850" w:rsidP="00F6634C"/>
  </w:footnote>
  <w:footnote w:type="continuationNotice" w:id="1">
    <w:p w14:paraId="467B9783" w14:textId="77777777" w:rsidR="00C96850" w:rsidRDefault="00C96850" w:rsidP="00F6634C"/>
    <w:p w14:paraId="0E704952" w14:textId="77777777" w:rsidR="00C96850" w:rsidRDefault="00C96850" w:rsidP="00F6634C"/>
    <w:p w14:paraId="04B98245" w14:textId="77777777" w:rsidR="00C96850" w:rsidRDefault="00C96850" w:rsidP="00F6634C"/>
  </w:footnote>
  <w:footnote w:id="2">
    <w:p w14:paraId="1C2A4FFF" w14:textId="0D85462B" w:rsidR="003857B6" w:rsidRPr="0098476C" w:rsidRDefault="003857B6">
      <w:pPr>
        <w:pStyle w:val="FootnoteText"/>
        <w:rPr>
          <w:rFonts w:asciiTheme="minorHAnsi" w:hAnsiTheme="minorHAnsi"/>
          <w:lang w:val="en-AU"/>
        </w:rPr>
      </w:pPr>
      <w:r w:rsidRPr="0098476C">
        <w:rPr>
          <w:rStyle w:val="FootnoteReference"/>
          <w:rFonts w:asciiTheme="minorHAnsi" w:hAnsiTheme="minorHAnsi"/>
        </w:rPr>
        <w:footnoteRef/>
      </w:r>
      <w:r w:rsidRPr="0098476C">
        <w:rPr>
          <w:rFonts w:asciiTheme="minorHAnsi" w:hAnsiTheme="minorHAnsi"/>
        </w:rPr>
        <w:t xml:space="preserve"> Commonwealth of Australia, Senate, </w:t>
      </w:r>
      <w:r w:rsidRPr="0098476C">
        <w:rPr>
          <w:rFonts w:asciiTheme="minorHAnsi" w:hAnsiTheme="minorHAnsi"/>
          <w:i/>
        </w:rPr>
        <w:t>Select Committee into the Political Influence of Donations Report</w:t>
      </w:r>
      <w:r w:rsidRPr="0098476C">
        <w:rPr>
          <w:rFonts w:asciiTheme="minorHAnsi" w:hAnsiTheme="minorHAnsi"/>
        </w:rPr>
        <w:t xml:space="preserve"> (June 2018) at 3.101</w:t>
      </w:r>
    </w:p>
  </w:footnote>
  <w:footnote w:id="3">
    <w:p w14:paraId="1A947A0E" w14:textId="548BD05F" w:rsidR="003857B6" w:rsidRPr="0098476C" w:rsidRDefault="003857B6">
      <w:pPr>
        <w:pStyle w:val="FootnoteText"/>
        <w:rPr>
          <w:rFonts w:asciiTheme="minorHAnsi" w:hAnsiTheme="minorHAnsi"/>
          <w:lang w:val="en-AU"/>
        </w:rPr>
      </w:pPr>
      <w:r w:rsidRPr="0098476C">
        <w:rPr>
          <w:rStyle w:val="FootnoteReference"/>
          <w:rFonts w:asciiTheme="minorHAnsi" w:hAnsiTheme="minorHAnsi"/>
        </w:rPr>
        <w:footnoteRef/>
      </w:r>
      <w:r w:rsidRPr="0098476C">
        <w:rPr>
          <w:rFonts w:asciiTheme="minorHAnsi" w:hAnsiTheme="minorHAnsi"/>
        </w:rPr>
        <w:t xml:space="preserve"> Commonwealth of Australia, Senate, </w:t>
      </w:r>
      <w:r w:rsidRPr="0098476C">
        <w:rPr>
          <w:rFonts w:asciiTheme="minorHAnsi" w:hAnsiTheme="minorHAnsi"/>
          <w:i/>
        </w:rPr>
        <w:t>Select Committee into the Political Influence of Donations Report</w:t>
      </w:r>
      <w:r w:rsidRPr="0098476C">
        <w:rPr>
          <w:rFonts w:asciiTheme="minorHAnsi" w:hAnsiTheme="minorHAnsi"/>
        </w:rPr>
        <w:t xml:space="preserve"> (June 2018) at 6.55</w:t>
      </w:r>
    </w:p>
  </w:footnote>
  <w:footnote w:id="4">
    <w:p w14:paraId="3516F385" w14:textId="2063417E" w:rsidR="003857B6" w:rsidRPr="0098476C" w:rsidRDefault="003857B6">
      <w:pPr>
        <w:pStyle w:val="FootnoteText"/>
        <w:rPr>
          <w:rFonts w:asciiTheme="minorHAnsi" w:hAnsiTheme="minorHAnsi"/>
          <w:lang w:val="en-AU"/>
        </w:rPr>
      </w:pPr>
      <w:r w:rsidRPr="0098476C">
        <w:rPr>
          <w:rStyle w:val="FootnoteReference"/>
          <w:rFonts w:asciiTheme="minorHAnsi" w:hAnsiTheme="minorHAnsi"/>
        </w:rPr>
        <w:footnoteRef/>
      </w:r>
      <w:r w:rsidRPr="0098476C">
        <w:rPr>
          <w:rFonts w:asciiTheme="minorHAnsi" w:hAnsiTheme="minorHAnsi"/>
        </w:rPr>
        <w:t xml:space="preserve"> Commonwealth of Australia, Senate, </w:t>
      </w:r>
      <w:r w:rsidRPr="0098476C">
        <w:rPr>
          <w:rFonts w:asciiTheme="minorHAnsi" w:hAnsiTheme="minorHAnsi"/>
          <w:i/>
        </w:rPr>
        <w:t>Select Committee into the Political Influence of Donations Report</w:t>
      </w:r>
      <w:r w:rsidRPr="0098476C">
        <w:rPr>
          <w:rFonts w:asciiTheme="minorHAnsi" w:hAnsiTheme="minorHAnsi"/>
        </w:rPr>
        <w:t xml:space="preserve"> (June 2018) at 3.88</w:t>
      </w:r>
    </w:p>
  </w:footnote>
  <w:footnote w:id="5">
    <w:p w14:paraId="7EBAAD1A" w14:textId="30996290" w:rsidR="003857B6" w:rsidRPr="0098476C" w:rsidRDefault="003857B6">
      <w:pPr>
        <w:pStyle w:val="FootnoteText"/>
        <w:rPr>
          <w:rFonts w:asciiTheme="minorHAnsi" w:hAnsiTheme="minorHAnsi"/>
          <w:lang w:val="en-AU"/>
        </w:rPr>
      </w:pPr>
      <w:r w:rsidRPr="0098476C">
        <w:rPr>
          <w:rStyle w:val="FootnoteReference"/>
          <w:rFonts w:asciiTheme="minorHAnsi" w:hAnsiTheme="minorHAnsi"/>
        </w:rPr>
        <w:footnoteRef/>
      </w:r>
      <w:r w:rsidRPr="0098476C">
        <w:rPr>
          <w:rFonts w:asciiTheme="minorHAnsi" w:hAnsiTheme="minorHAnsi"/>
        </w:rPr>
        <w:t xml:space="preserve"> </w:t>
      </w:r>
      <w:r w:rsidRPr="0098476C">
        <w:rPr>
          <w:rFonts w:asciiTheme="minorHAnsi" w:hAnsiTheme="minorHAnsi"/>
          <w:i/>
        </w:rPr>
        <w:t>McCutcheon v Federal Election Commission</w:t>
      </w:r>
      <w:r w:rsidRPr="0098476C">
        <w:rPr>
          <w:rFonts w:asciiTheme="minorHAnsi" w:hAnsiTheme="minorHAnsi"/>
        </w:rPr>
        <w:t xml:space="preserve"> 188 L Ed 2d 468 at 485, 495-498 (2014)</w:t>
      </w:r>
    </w:p>
  </w:footnote>
  <w:footnote w:id="6">
    <w:p w14:paraId="2636B7FE" w14:textId="1FCE15AD" w:rsidR="003857B6" w:rsidRPr="0098476C" w:rsidRDefault="003857B6">
      <w:pPr>
        <w:pStyle w:val="FootnoteText"/>
        <w:rPr>
          <w:rFonts w:asciiTheme="minorHAnsi" w:hAnsiTheme="minorHAnsi"/>
          <w:lang w:val="en-AU"/>
        </w:rPr>
      </w:pPr>
      <w:r w:rsidRPr="0098476C">
        <w:rPr>
          <w:rStyle w:val="FootnoteReference"/>
          <w:rFonts w:asciiTheme="minorHAnsi" w:hAnsiTheme="minorHAnsi"/>
        </w:rPr>
        <w:footnoteRef/>
      </w:r>
      <w:r w:rsidRPr="0098476C">
        <w:rPr>
          <w:rFonts w:asciiTheme="minorHAnsi" w:hAnsiTheme="minorHAnsi"/>
        </w:rPr>
        <w:t xml:space="preserve"> </w:t>
      </w:r>
      <w:r w:rsidRPr="0098476C">
        <w:rPr>
          <w:rFonts w:asciiTheme="minorHAnsi" w:hAnsiTheme="minorHAnsi"/>
          <w:i/>
          <w:color w:val="000000"/>
        </w:rPr>
        <w:t>Harper </w:t>
      </w:r>
      <w:r w:rsidRPr="0098476C">
        <w:rPr>
          <w:rFonts w:asciiTheme="minorHAnsi" w:hAnsiTheme="minorHAnsi"/>
          <w:i/>
          <w:iCs/>
          <w:color w:val="000000"/>
        </w:rPr>
        <w:t>v.</w:t>
      </w:r>
      <w:r w:rsidRPr="0098476C">
        <w:rPr>
          <w:rFonts w:asciiTheme="minorHAnsi" w:hAnsiTheme="minorHAnsi"/>
          <w:i/>
          <w:color w:val="000000"/>
        </w:rPr>
        <w:t xml:space="preserve"> Canada (Attorney General) </w:t>
      </w:r>
      <w:r w:rsidRPr="0098476C">
        <w:rPr>
          <w:rFonts w:asciiTheme="minorHAnsi" w:hAnsiTheme="minorHAnsi"/>
          <w:color w:val="000000"/>
        </w:rPr>
        <w:t>[2004] 1 S.C.R. 827, 2004 SCC 33.</w:t>
      </w:r>
    </w:p>
  </w:footnote>
  <w:footnote w:id="7">
    <w:p w14:paraId="5225D1B3" w14:textId="00AD8213" w:rsidR="003857B6" w:rsidRPr="0098476C" w:rsidRDefault="003857B6">
      <w:pPr>
        <w:pStyle w:val="FootnoteText"/>
        <w:rPr>
          <w:rFonts w:asciiTheme="minorHAnsi" w:hAnsiTheme="minorHAnsi"/>
        </w:rPr>
      </w:pPr>
      <w:r w:rsidRPr="0098476C">
        <w:rPr>
          <w:rStyle w:val="FootnoteReference"/>
          <w:rFonts w:asciiTheme="minorHAnsi" w:hAnsiTheme="minorHAnsi"/>
        </w:rPr>
        <w:footnoteRef/>
      </w:r>
      <w:r w:rsidRPr="0098476C">
        <w:rPr>
          <w:rFonts w:asciiTheme="minorHAnsi" w:hAnsiTheme="minorHAnsi"/>
        </w:rPr>
        <w:t xml:space="preserve"> </w:t>
      </w:r>
      <w:r w:rsidRPr="0098476C">
        <w:rPr>
          <w:rFonts w:asciiTheme="minorHAnsi" w:hAnsiTheme="minorHAnsi"/>
          <w:i/>
          <w:lang w:val="en-AU"/>
        </w:rPr>
        <w:t xml:space="preserve">McCloy v </w:t>
      </w:r>
      <w:r w:rsidRPr="0098476C">
        <w:rPr>
          <w:rFonts w:asciiTheme="minorHAnsi" w:hAnsiTheme="minorHAnsi"/>
          <w:i/>
        </w:rPr>
        <w:t>New South Wales</w:t>
      </w:r>
      <w:r w:rsidRPr="0098476C">
        <w:rPr>
          <w:rFonts w:asciiTheme="minorHAnsi" w:hAnsiTheme="minorHAnsi"/>
        </w:rPr>
        <w:t xml:space="preserve"> [2015] HCA 34 [25].</w:t>
      </w:r>
    </w:p>
  </w:footnote>
  <w:footnote w:id="8">
    <w:p w14:paraId="16B0CC48" w14:textId="1E3B7A9F" w:rsidR="003857B6" w:rsidRPr="0098476C" w:rsidRDefault="003857B6">
      <w:pPr>
        <w:pStyle w:val="FootnoteText"/>
        <w:rPr>
          <w:rFonts w:asciiTheme="minorHAnsi" w:hAnsiTheme="minorHAnsi"/>
          <w:lang w:val="en-AU"/>
        </w:rPr>
      </w:pPr>
      <w:r w:rsidRPr="0098476C">
        <w:rPr>
          <w:rStyle w:val="FootnoteReference"/>
          <w:rFonts w:asciiTheme="minorHAnsi" w:hAnsiTheme="minorHAnsi"/>
        </w:rPr>
        <w:footnoteRef/>
      </w:r>
      <w:r w:rsidRPr="0098476C">
        <w:rPr>
          <w:rFonts w:asciiTheme="minorHAnsi" w:hAnsiTheme="minorHAnsi"/>
        </w:rPr>
        <w:t xml:space="preserve"> </w:t>
      </w:r>
      <w:r w:rsidRPr="0098476C">
        <w:rPr>
          <w:rFonts w:asciiTheme="minorHAnsi" w:hAnsiTheme="minorHAnsi"/>
          <w:i/>
          <w:lang w:val="en-AU"/>
        </w:rPr>
        <w:t xml:space="preserve">McCloy v </w:t>
      </w:r>
      <w:r w:rsidRPr="0098476C">
        <w:rPr>
          <w:rFonts w:asciiTheme="minorHAnsi" w:hAnsiTheme="minorHAnsi"/>
          <w:i/>
        </w:rPr>
        <w:t>New South Wales</w:t>
      </w:r>
      <w:r w:rsidRPr="0098476C">
        <w:rPr>
          <w:rFonts w:asciiTheme="minorHAnsi" w:hAnsiTheme="minorHAnsi"/>
        </w:rPr>
        <w:t xml:space="preserve"> [2015] HCA 34 [25].</w:t>
      </w:r>
    </w:p>
  </w:footnote>
  <w:footnote w:id="9">
    <w:p w14:paraId="7B3BB1DF" w14:textId="4F3C0A74" w:rsidR="003857B6" w:rsidRPr="0098476C" w:rsidRDefault="003857B6">
      <w:pPr>
        <w:pStyle w:val="FootnoteText"/>
        <w:rPr>
          <w:rFonts w:asciiTheme="minorHAnsi" w:hAnsiTheme="minorHAnsi"/>
          <w:lang w:val="en-AU"/>
        </w:rPr>
      </w:pPr>
      <w:r w:rsidRPr="0098476C">
        <w:rPr>
          <w:rStyle w:val="FootnoteReference"/>
          <w:rFonts w:asciiTheme="minorHAnsi" w:hAnsiTheme="minorHAnsi"/>
        </w:rPr>
        <w:footnoteRef/>
      </w:r>
      <w:r w:rsidRPr="0098476C">
        <w:rPr>
          <w:rFonts w:asciiTheme="minorHAnsi" w:hAnsiTheme="minorHAnsi"/>
        </w:rPr>
        <w:t xml:space="preserve"> </w:t>
      </w:r>
      <w:r w:rsidRPr="0098476C">
        <w:rPr>
          <w:rFonts w:asciiTheme="minorHAnsi" w:hAnsiTheme="minorHAnsi"/>
          <w:i/>
          <w:lang w:val="en-AU"/>
        </w:rPr>
        <w:t xml:space="preserve">McCloy v </w:t>
      </w:r>
      <w:r w:rsidRPr="0098476C">
        <w:rPr>
          <w:rFonts w:asciiTheme="minorHAnsi" w:hAnsiTheme="minorHAnsi"/>
          <w:i/>
        </w:rPr>
        <w:t>New South Wales</w:t>
      </w:r>
      <w:r w:rsidRPr="0098476C">
        <w:rPr>
          <w:rFonts w:asciiTheme="minorHAnsi" w:hAnsiTheme="minorHAnsi"/>
        </w:rPr>
        <w:t xml:space="preserve"> [2015] HCA 34 [43].</w:t>
      </w:r>
    </w:p>
  </w:footnote>
  <w:footnote w:id="10">
    <w:p w14:paraId="28763113" w14:textId="782626CB" w:rsidR="003857B6" w:rsidRPr="0098476C" w:rsidRDefault="003857B6">
      <w:pPr>
        <w:pStyle w:val="FootnoteText"/>
        <w:rPr>
          <w:rFonts w:asciiTheme="minorHAnsi" w:hAnsiTheme="minorHAnsi"/>
          <w:lang w:val="en-AU"/>
        </w:rPr>
      </w:pPr>
      <w:r w:rsidRPr="0098476C">
        <w:rPr>
          <w:rStyle w:val="FootnoteReference"/>
          <w:rFonts w:asciiTheme="minorHAnsi" w:hAnsiTheme="minorHAnsi"/>
        </w:rPr>
        <w:footnoteRef/>
      </w:r>
      <w:r w:rsidRPr="0098476C">
        <w:rPr>
          <w:rFonts w:asciiTheme="minorHAnsi" w:hAnsiTheme="minorHAnsi"/>
        </w:rPr>
        <w:t xml:space="preserve"> </w:t>
      </w:r>
      <w:r w:rsidRPr="0098476C">
        <w:rPr>
          <w:rFonts w:asciiTheme="minorHAnsi" w:hAnsiTheme="minorHAnsi"/>
          <w:i/>
          <w:lang w:val="en-AU"/>
        </w:rPr>
        <w:t xml:space="preserve">McCloy v </w:t>
      </w:r>
      <w:r w:rsidRPr="0098476C">
        <w:rPr>
          <w:rFonts w:asciiTheme="minorHAnsi" w:hAnsiTheme="minorHAnsi"/>
          <w:i/>
        </w:rPr>
        <w:t>New South Wales</w:t>
      </w:r>
      <w:r w:rsidRPr="0098476C">
        <w:rPr>
          <w:rFonts w:asciiTheme="minorHAnsi" w:hAnsiTheme="minorHAnsi"/>
        </w:rPr>
        <w:t xml:space="preserve"> [2015] HCA 34 [49].</w:t>
      </w:r>
    </w:p>
  </w:footnote>
  <w:footnote w:id="11">
    <w:p w14:paraId="162CFB24" w14:textId="355A6C87" w:rsidR="003857B6" w:rsidRPr="0098476C" w:rsidRDefault="003857B6">
      <w:pPr>
        <w:pStyle w:val="FootnoteText"/>
        <w:rPr>
          <w:rFonts w:asciiTheme="minorHAnsi" w:hAnsiTheme="minorHAnsi"/>
          <w:lang w:val="en-AU"/>
        </w:rPr>
      </w:pPr>
      <w:r w:rsidRPr="0098476C">
        <w:rPr>
          <w:rStyle w:val="FootnoteReference"/>
          <w:rFonts w:asciiTheme="minorHAnsi" w:hAnsiTheme="minorHAnsi"/>
        </w:rPr>
        <w:footnoteRef/>
      </w:r>
      <w:r w:rsidRPr="0098476C">
        <w:rPr>
          <w:rFonts w:asciiTheme="minorHAnsi" w:hAnsiTheme="minorHAnsi"/>
        </w:rPr>
        <w:t xml:space="preserve"> </w:t>
      </w:r>
      <w:r w:rsidRPr="0098476C">
        <w:rPr>
          <w:rFonts w:asciiTheme="minorHAnsi" w:hAnsiTheme="minorHAnsi"/>
          <w:i/>
          <w:lang w:val="en-AU"/>
        </w:rPr>
        <w:t xml:space="preserve">McCloy v </w:t>
      </w:r>
      <w:r w:rsidRPr="0098476C">
        <w:rPr>
          <w:rFonts w:asciiTheme="minorHAnsi" w:hAnsiTheme="minorHAnsi"/>
          <w:i/>
        </w:rPr>
        <w:t>New South Wales</w:t>
      </w:r>
      <w:r w:rsidRPr="0098476C">
        <w:rPr>
          <w:rFonts w:asciiTheme="minorHAnsi" w:hAnsiTheme="minorHAnsi"/>
        </w:rPr>
        <w:t xml:space="preserve"> [2015] HCA 34 [61].</w:t>
      </w:r>
    </w:p>
  </w:footnote>
  <w:footnote w:id="12">
    <w:p w14:paraId="562473AE" w14:textId="77777777" w:rsidR="003857B6" w:rsidRPr="0098476C" w:rsidRDefault="003857B6" w:rsidP="00D20E06">
      <w:pPr>
        <w:pStyle w:val="FootnoteText"/>
        <w:spacing w:after="0"/>
        <w:rPr>
          <w:rFonts w:asciiTheme="minorHAnsi" w:hAnsiTheme="minorHAnsi" w:cs="Times New Roman"/>
          <w:lang w:val="en-AU"/>
        </w:rPr>
      </w:pPr>
      <w:r w:rsidRPr="0098476C">
        <w:rPr>
          <w:rStyle w:val="FootnoteReference"/>
          <w:rFonts w:asciiTheme="minorHAnsi" w:hAnsiTheme="minorHAnsi"/>
        </w:rPr>
        <w:footnoteRef/>
      </w:r>
      <w:r w:rsidRPr="0098476C">
        <w:rPr>
          <w:rFonts w:asciiTheme="minorHAnsi" w:hAnsiTheme="minorHAnsi" w:cs="Times New Roman"/>
        </w:rPr>
        <w:t xml:space="preserve"> </w:t>
      </w:r>
      <w:r w:rsidRPr="0098476C">
        <w:rPr>
          <w:rFonts w:asciiTheme="minorHAnsi" w:hAnsiTheme="minorHAnsi" w:cs="Times New Roman"/>
          <w:i/>
          <w:iCs/>
        </w:rPr>
        <w:t>Lange v Australian Broadcasting Corporation</w:t>
      </w:r>
      <w:r w:rsidRPr="0098476C">
        <w:rPr>
          <w:rFonts w:asciiTheme="minorHAnsi" w:hAnsiTheme="minorHAnsi" w:cs="Times New Roman"/>
        </w:rPr>
        <w:t xml:space="preserve"> </w:t>
      </w:r>
      <w:hyperlink r:id="rId1" w:tooltip="View Case" w:history="1">
        <w:r w:rsidRPr="0098476C">
          <w:rPr>
            <w:rStyle w:val="Hyperlink"/>
            <w:rFonts w:asciiTheme="minorHAnsi" w:hAnsiTheme="minorHAnsi"/>
          </w:rPr>
          <w:t>[1997] HCA 25</w:t>
        </w:r>
      </w:hyperlink>
      <w:r w:rsidRPr="0098476C">
        <w:rPr>
          <w:rFonts w:asciiTheme="minorHAnsi" w:hAnsiTheme="minorHAnsi" w:cs="Times New Roman"/>
        </w:rPr>
        <w:t xml:space="preserve">; (1997) 189 CLR 520 at 559; </w:t>
      </w:r>
      <w:r w:rsidRPr="0098476C">
        <w:rPr>
          <w:rFonts w:asciiTheme="minorHAnsi" w:hAnsiTheme="minorHAnsi" w:cs="Times New Roman"/>
          <w:i/>
          <w:iCs/>
        </w:rPr>
        <w:t>Coleman v Power</w:t>
      </w:r>
      <w:r w:rsidRPr="0098476C">
        <w:rPr>
          <w:rFonts w:asciiTheme="minorHAnsi" w:hAnsiTheme="minorHAnsi" w:cs="Times New Roman"/>
        </w:rPr>
        <w:t xml:space="preserve"> </w:t>
      </w:r>
      <w:hyperlink r:id="rId2" w:tooltip="View Case" w:history="1">
        <w:r w:rsidRPr="0098476C">
          <w:rPr>
            <w:rStyle w:val="Hyperlink"/>
            <w:rFonts w:asciiTheme="minorHAnsi" w:hAnsiTheme="minorHAnsi"/>
          </w:rPr>
          <w:t>[2004] HCA 39</w:t>
        </w:r>
      </w:hyperlink>
      <w:r w:rsidRPr="0098476C">
        <w:rPr>
          <w:rFonts w:asciiTheme="minorHAnsi" w:hAnsiTheme="minorHAnsi" w:cs="Times New Roman"/>
        </w:rPr>
        <w:t xml:space="preserve">; (2004) 220 CLR 1 at 49 </w:t>
      </w:r>
      <w:hyperlink r:id="rId3" w:anchor="para90" w:history="1">
        <w:r w:rsidRPr="0098476C">
          <w:rPr>
            <w:rStyle w:val="Hyperlink"/>
            <w:rFonts w:asciiTheme="minorHAnsi" w:hAnsiTheme="minorHAnsi"/>
          </w:rPr>
          <w:t>[90]</w:t>
        </w:r>
      </w:hyperlink>
      <w:r w:rsidRPr="0098476C">
        <w:rPr>
          <w:rFonts w:asciiTheme="minorHAnsi" w:hAnsiTheme="minorHAnsi" w:cs="Times New Roman"/>
        </w:rPr>
        <w:t xml:space="preserve"> per McHugh J, 77 [195] per Gummow and Hayne JJ cited by </w:t>
      </w:r>
      <w:r w:rsidRPr="0098476C">
        <w:rPr>
          <w:rFonts w:asciiTheme="minorHAnsi" w:hAnsiTheme="minorHAnsi" w:cs="Times New Roman"/>
          <w:i/>
          <w:iCs/>
        </w:rPr>
        <w:t xml:space="preserve">Wotton v Queensland </w:t>
      </w:r>
      <w:hyperlink r:id="rId4" w:tooltip="View Case" w:history="1">
        <w:r w:rsidRPr="0098476C">
          <w:rPr>
            <w:rStyle w:val="Hyperlink"/>
            <w:rFonts w:asciiTheme="minorHAnsi" w:hAnsiTheme="minorHAnsi"/>
          </w:rPr>
          <w:t>[2012] HCA 2</w:t>
        </w:r>
      </w:hyperlink>
      <w:r w:rsidRPr="0098476C">
        <w:rPr>
          <w:rFonts w:asciiTheme="minorHAnsi" w:hAnsiTheme="minorHAnsi" w:cs="Times New Roman"/>
        </w:rPr>
        <w:t xml:space="preserve"> </w:t>
      </w:r>
      <w:r w:rsidRPr="0098476C">
        <w:rPr>
          <w:rFonts w:asciiTheme="minorHAnsi" w:hAnsiTheme="minorHAnsi" w:cs="Times New Roman"/>
          <w:i/>
          <w:iCs/>
        </w:rPr>
        <w:t xml:space="preserve">29 February 2012 </w:t>
      </w:r>
      <w:r w:rsidRPr="0098476C">
        <w:rPr>
          <w:rFonts w:asciiTheme="minorHAnsi" w:hAnsiTheme="minorHAnsi" w:cs="Times New Roman"/>
          <w:iCs/>
        </w:rPr>
        <w:t>[76].</w:t>
      </w:r>
    </w:p>
  </w:footnote>
  <w:footnote w:id="13">
    <w:p w14:paraId="4F76B3D3" w14:textId="77777777" w:rsidR="003857B6" w:rsidRPr="0098476C" w:rsidRDefault="003857B6" w:rsidP="00D20E06">
      <w:pPr>
        <w:pStyle w:val="FootnoteText"/>
        <w:spacing w:after="0"/>
        <w:rPr>
          <w:rFonts w:asciiTheme="minorHAnsi" w:hAnsiTheme="minorHAnsi"/>
          <w:lang w:val="en-AU"/>
        </w:rPr>
      </w:pPr>
      <w:r w:rsidRPr="0098476C">
        <w:rPr>
          <w:rStyle w:val="FootnoteReference"/>
          <w:rFonts w:asciiTheme="minorHAnsi" w:hAnsiTheme="minorHAnsi"/>
        </w:rPr>
        <w:footnoteRef/>
      </w:r>
      <w:r w:rsidRPr="0098476C">
        <w:rPr>
          <w:rFonts w:asciiTheme="minorHAnsi" w:hAnsiTheme="minorHAnsi" w:cs="Times New Roman"/>
        </w:rPr>
        <w:t xml:space="preserve"> </w:t>
      </w:r>
      <w:r w:rsidRPr="0098476C">
        <w:rPr>
          <w:rFonts w:asciiTheme="minorHAnsi" w:hAnsiTheme="minorHAnsi" w:cs="Times New Roman"/>
          <w:i/>
          <w:iCs/>
        </w:rPr>
        <w:t>Lange v Australian Broadcasting Corporation</w:t>
      </w:r>
      <w:r w:rsidRPr="0098476C">
        <w:rPr>
          <w:rFonts w:asciiTheme="minorHAnsi" w:hAnsiTheme="minorHAnsi" w:cs="Times New Roman"/>
        </w:rPr>
        <w:t xml:space="preserve"> </w:t>
      </w:r>
      <w:hyperlink r:id="rId5" w:tooltip="View Case" w:history="1">
        <w:r w:rsidRPr="0098476C">
          <w:rPr>
            <w:rStyle w:val="Hyperlink"/>
            <w:rFonts w:asciiTheme="minorHAnsi" w:hAnsiTheme="minorHAnsi"/>
          </w:rPr>
          <w:t>[1997] HCA 25</w:t>
        </w:r>
      </w:hyperlink>
      <w:r w:rsidRPr="0098476C">
        <w:rPr>
          <w:rFonts w:asciiTheme="minorHAnsi" w:hAnsiTheme="minorHAnsi" w:cs="Times New Roman"/>
        </w:rPr>
        <w:t>; (1997) 189 CLR 520 at 567.</w:t>
      </w:r>
    </w:p>
  </w:footnote>
  <w:footnote w:id="14">
    <w:p w14:paraId="6F0FA706" w14:textId="77777777" w:rsidR="003857B6" w:rsidRPr="0098476C" w:rsidRDefault="003857B6" w:rsidP="00A9033C">
      <w:pPr>
        <w:pStyle w:val="FootnoteText"/>
        <w:spacing w:after="0"/>
        <w:rPr>
          <w:rFonts w:asciiTheme="minorHAnsi" w:hAnsiTheme="minorHAnsi"/>
          <w:lang w:val="en-AU"/>
        </w:rPr>
      </w:pPr>
      <w:r w:rsidRPr="0098476C">
        <w:rPr>
          <w:rStyle w:val="FootnoteReference"/>
          <w:rFonts w:asciiTheme="minorHAnsi" w:hAnsiTheme="minorHAnsi" w:cs="Arial"/>
        </w:rPr>
        <w:footnoteRef/>
      </w:r>
      <w:r w:rsidRPr="0098476C">
        <w:rPr>
          <w:rFonts w:asciiTheme="minorHAnsi" w:hAnsiTheme="minorHAnsi"/>
        </w:rPr>
        <w:t xml:space="preserve"> </w:t>
      </w:r>
      <w:r w:rsidRPr="0098476C">
        <w:rPr>
          <w:rFonts w:asciiTheme="minorHAnsi" w:hAnsiTheme="minorHAnsi"/>
          <w:i/>
        </w:rPr>
        <w:t>Daniel Emlyn-Jones v Federal Capital Press [Intervener: Human Rights Commissioner]</w:t>
      </w:r>
      <w:r w:rsidRPr="0098476C">
        <w:rPr>
          <w:rFonts w:asciiTheme="minorHAnsi" w:hAnsiTheme="minorHAnsi"/>
        </w:rPr>
        <w:t xml:space="preserve"> [2005] DT 577/2005 (</w:t>
      </w:r>
      <w:r w:rsidRPr="0098476C">
        <w:rPr>
          <w:rFonts w:asciiTheme="minorHAnsi" w:hAnsiTheme="minorHAnsi"/>
          <w:bCs/>
        </w:rPr>
        <w:t>31 July 2009) [155].</w:t>
      </w:r>
    </w:p>
  </w:footnote>
  <w:footnote w:id="15">
    <w:p w14:paraId="59B05143" w14:textId="0BE5A5F7" w:rsidR="003857B6" w:rsidRPr="0098476C" w:rsidRDefault="003857B6">
      <w:pPr>
        <w:pStyle w:val="FootnoteText"/>
        <w:rPr>
          <w:rFonts w:asciiTheme="minorHAnsi" w:hAnsiTheme="minorHAnsi"/>
          <w:lang w:val="en-AU"/>
        </w:rPr>
      </w:pPr>
      <w:r w:rsidRPr="0098476C">
        <w:rPr>
          <w:rStyle w:val="FootnoteReference"/>
          <w:rFonts w:asciiTheme="minorHAnsi" w:hAnsiTheme="minorHAnsi"/>
        </w:rPr>
        <w:footnoteRef/>
      </w:r>
      <w:r w:rsidRPr="0098476C">
        <w:rPr>
          <w:rFonts w:asciiTheme="minorHAnsi" w:hAnsiTheme="minorHAnsi"/>
        </w:rPr>
        <w:t xml:space="preserve"> </w:t>
      </w:r>
      <w:r w:rsidRPr="0098476C">
        <w:rPr>
          <w:rFonts w:asciiTheme="minorHAnsi" w:hAnsiTheme="minorHAnsi"/>
          <w:i/>
          <w:lang w:val="en-AU"/>
        </w:rPr>
        <w:t xml:space="preserve">McCloy v </w:t>
      </w:r>
      <w:r w:rsidRPr="0098476C">
        <w:rPr>
          <w:rFonts w:asciiTheme="minorHAnsi" w:hAnsiTheme="minorHAnsi"/>
          <w:i/>
        </w:rPr>
        <w:t>New South Wales</w:t>
      </w:r>
      <w:r w:rsidRPr="0098476C">
        <w:rPr>
          <w:rFonts w:asciiTheme="minorHAnsi" w:hAnsiTheme="minorHAnsi"/>
        </w:rPr>
        <w:t xml:space="preserve"> [2015] HCA 34 [61].</w:t>
      </w:r>
    </w:p>
  </w:footnote>
  <w:footnote w:id="16">
    <w:p w14:paraId="59029E29" w14:textId="31515A4D" w:rsidR="003857B6" w:rsidRPr="0098476C" w:rsidRDefault="003857B6">
      <w:pPr>
        <w:pStyle w:val="FootnoteText"/>
        <w:rPr>
          <w:rFonts w:asciiTheme="minorHAnsi" w:hAnsiTheme="minorHAnsi"/>
          <w:lang w:val="en-AU"/>
        </w:rPr>
      </w:pPr>
      <w:r w:rsidRPr="0098476C">
        <w:rPr>
          <w:rStyle w:val="FootnoteReference"/>
          <w:rFonts w:asciiTheme="minorHAnsi" w:hAnsiTheme="minorHAnsi"/>
        </w:rPr>
        <w:footnoteRef/>
      </w:r>
      <w:r w:rsidRPr="0098476C">
        <w:rPr>
          <w:rFonts w:asciiTheme="minorHAnsi" w:hAnsiTheme="minorHAnsi"/>
        </w:rPr>
        <w:t xml:space="preserve"> UN Human Rights Committee (Fifty-seventh session, 1996) General Comment No. 25 ‘The right to participate in public affairs, voting rights and the right of equal access to the public service’, Un Doc. </w:t>
      </w:r>
      <w:r w:rsidRPr="0098476C">
        <w:rPr>
          <w:rFonts w:asciiTheme="minorHAnsi" w:hAnsiTheme="minorHAnsi"/>
          <w:bCs/>
          <w:iCs/>
          <w:lang w:val="en-AU"/>
        </w:rPr>
        <w:t>CCPR/C/21/Rev.1/Add.7 [8, 25]</w:t>
      </w:r>
    </w:p>
  </w:footnote>
  <w:footnote w:id="17">
    <w:p w14:paraId="06F114C7" w14:textId="1AC642BF" w:rsidR="003857B6" w:rsidRPr="0098476C" w:rsidRDefault="003857B6">
      <w:pPr>
        <w:pStyle w:val="FootnoteText"/>
        <w:rPr>
          <w:rFonts w:asciiTheme="minorHAnsi" w:hAnsiTheme="minorHAnsi"/>
          <w:lang w:val="en-AU"/>
        </w:rPr>
      </w:pPr>
      <w:r w:rsidRPr="0098476C">
        <w:rPr>
          <w:rStyle w:val="FootnoteReference"/>
          <w:rFonts w:asciiTheme="minorHAnsi" w:hAnsiTheme="minorHAnsi"/>
        </w:rPr>
        <w:footnoteRef/>
      </w:r>
      <w:r w:rsidRPr="0098476C">
        <w:rPr>
          <w:rFonts w:asciiTheme="minorHAnsi" w:hAnsiTheme="minorHAnsi"/>
        </w:rPr>
        <w:t xml:space="preserve"> Ibid</w:t>
      </w:r>
      <w:r w:rsidRPr="0098476C">
        <w:rPr>
          <w:rFonts w:asciiTheme="minorHAnsi" w:hAnsiTheme="minorHAnsi"/>
          <w:bCs/>
          <w:iCs/>
          <w:lang w:val="en-AU"/>
        </w:rPr>
        <w:t xml:space="preserve">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EAD9A" w14:textId="77777777" w:rsidR="003857B6" w:rsidRPr="00543814" w:rsidRDefault="003857B6" w:rsidP="00543814">
    <w:pPr>
      <w:pStyle w:val="Header"/>
      <w:jc w:val="center"/>
      <w:rPr>
        <w:rFonts w:ascii="Calibri" w:hAnsi="Calibri"/>
        <w:color w:val="000000"/>
        <w:sz w:val="22"/>
      </w:rPr>
    </w:pPr>
    <w:r>
      <w:fldChar w:fldCharType="begin" w:fldLock="1"/>
    </w:r>
    <w:r>
      <w:instrText xml:space="preserve"> DOCPROPERTY bjHeaderEvenPageDocProperty \* MERGEFORMAT </w:instrText>
    </w:r>
    <w:r>
      <w:fldChar w:fldCharType="separate"/>
    </w:r>
    <w:r w:rsidRPr="00543814">
      <w:rPr>
        <w:rFonts w:ascii="Calibri" w:hAnsi="Calibri"/>
        <w:b/>
        <w:color w:val="F00000"/>
      </w:rPr>
      <w:t>UNCLASSIFIED</w:t>
    </w:r>
  </w:p>
  <w:p w14:paraId="02B33E5C" w14:textId="36F6DE8A" w:rsidR="003857B6" w:rsidRPr="00543814" w:rsidRDefault="003857B6" w:rsidP="00543814">
    <w:pPr>
      <w:pStyle w:val="Header"/>
      <w:jc w:val="center"/>
    </w:pPr>
    <w:r w:rsidRPr="00543814">
      <w:rPr>
        <w:rFonts w:ascii="Calibri" w:hAnsi="Calibri"/>
        <w:b/>
        <w:color w:val="F00000"/>
      </w:rPr>
      <w:t xml:space="preserve">  </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99353" w14:textId="660D9772" w:rsidR="003857B6" w:rsidRPr="00543814" w:rsidRDefault="003857B6" w:rsidP="00543814">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D9747" w14:textId="3D9337DD" w:rsidR="003857B6" w:rsidRPr="00543814" w:rsidRDefault="003857B6" w:rsidP="00543814">
    <w:pPr>
      <w:pStyle w:val="Header"/>
      <w:jc w:val="center"/>
      <w:rPr>
        <w:rFonts w:ascii="Calibri" w:hAnsi="Calibri"/>
        <w:color w:val="000000"/>
        <w:sz w:val="22"/>
      </w:rPr>
    </w:pPr>
    <w:r>
      <w:fldChar w:fldCharType="begin" w:fldLock="1"/>
    </w:r>
    <w:r>
      <w:instrText xml:space="preserve"> DOCPROPERTY bjHeaderFirstPageDocProperty \* MERGEFORMAT </w:instrText>
    </w:r>
    <w:r>
      <w:fldChar w:fldCharType="separate"/>
    </w:r>
  </w:p>
  <w:p w14:paraId="0C75DFC1" w14:textId="2E115CAE" w:rsidR="003857B6" w:rsidRPr="00543814" w:rsidRDefault="003857B6" w:rsidP="00543814">
    <w:pPr>
      <w:pStyle w:val="Header"/>
      <w:jc w:val="center"/>
    </w:pPr>
    <w:r w:rsidRPr="00543814">
      <w:rPr>
        <w:rFonts w:ascii="Calibri" w:hAnsi="Calibri"/>
        <w:b/>
        <w:color w:val="F00000"/>
      </w:rPr>
      <w:t xml:space="preserve">  </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9C4D5E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06EBA1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DE2708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7AAF75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C7675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7E58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4C70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265036"/>
    <w:lvl w:ilvl="0">
      <w:start w:val="1"/>
      <w:numFmt w:val="bullet"/>
      <w:pStyle w:val="bullets"/>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B28DD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84A22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D5B75"/>
    <w:multiLevelType w:val="hybridMultilevel"/>
    <w:tmpl w:val="A49EDA64"/>
    <w:lvl w:ilvl="0" w:tplc="FA0C23C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02B90F14"/>
    <w:multiLevelType w:val="hybridMultilevel"/>
    <w:tmpl w:val="2D2A2FA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02F1065B"/>
    <w:multiLevelType w:val="hybridMultilevel"/>
    <w:tmpl w:val="1F208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D937BD"/>
    <w:multiLevelType w:val="hybridMultilevel"/>
    <w:tmpl w:val="2ACC495E"/>
    <w:lvl w:ilvl="0" w:tplc="1E4E00D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DA251C"/>
    <w:multiLevelType w:val="hybridMultilevel"/>
    <w:tmpl w:val="59B4E20E"/>
    <w:lvl w:ilvl="0" w:tplc="CFEAEF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DC7EAD"/>
    <w:multiLevelType w:val="hybridMultilevel"/>
    <w:tmpl w:val="FCE8F2B0"/>
    <w:lvl w:ilvl="0" w:tplc="B19E9C16">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1EFC6D88"/>
    <w:multiLevelType w:val="hybridMultilevel"/>
    <w:tmpl w:val="9B00E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080955"/>
    <w:multiLevelType w:val="hybridMultilevel"/>
    <w:tmpl w:val="4DC86BFE"/>
    <w:lvl w:ilvl="0" w:tplc="E26254B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21562B4E"/>
    <w:multiLevelType w:val="hybridMultilevel"/>
    <w:tmpl w:val="14962BBE"/>
    <w:lvl w:ilvl="0" w:tplc="73EEE99A">
      <w:start w:val="1"/>
      <w:numFmt w:val="lowerLetter"/>
      <w:lvlText w:val="(%1)"/>
      <w:lvlJc w:val="left"/>
      <w:pPr>
        <w:ind w:left="720" w:hanging="360"/>
      </w:pPr>
      <w:rPr>
        <w:rFonts w:ascii="Calibri" w:eastAsia="Times New Roman" w:hAnsi="Calibri" w:cs="Times New Roman" w:hint="default"/>
        <w:sz w:val="24"/>
        <w:szCs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219A4EBA"/>
    <w:multiLevelType w:val="hybridMultilevel"/>
    <w:tmpl w:val="D0B8A212"/>
    <w:lvl w:ilvl="0" w:tplc="788E6024">
      <w:start w:val="1"/>
      <w:numFmt w:val="lowerLetter"/>
      <w:lvlText w:val="(%1)"/>
      <w:lvlJc w:val="left"/>
      <w:pPr>
        <w:ind w:left="5747" w:hanging="360"/>
      </w:pPr>
      <w:rPr>
        <w:rFonts w:cs="Times New Roman" w:hint="default"/>
      </w:rPr>
    </w:lvl>
    <w:lvl w:ilvl="1" w:tplc="0C090019" w:tentative="1">
      <w:start w:val="1"/>
      <w:numFmt w:val="lowerLetter"/>
      <w:lvlText w:val="%2."/>
      <w:lvlJc w:val="left"/>
      <w:pPr>
        <w:ind w:left="5267" w:hanging="360"/>
      </w:pPr>
      <w:rPr>
        <w:rFonts w:cs="Times New Roman"/>
      </w:rPr>
    </w:lvl>
    <w:lvl w:ilvl="2" w:tplc="0C09001B" w:tentative="1">
      <w:start w:val="1"/>
      <w:numFmt w:val="lowerRoman"/>
      <w:lvlText w:val="%3."/>
      <w:lvlJc w:val="right"/>
      <w:pPr>
        <w:ind w:left="5987" w:hanging="180"/>
      </w:pPr>
      <w:rPr>
        <w:rFonts w:cs="Times New Roman"/>
      </w:rPr>
    </w:lvl>
    <w:lvl w:ilvl="3" w:tplc="0C09000F" w:tentative="1">
      <w:start w:val="1"/>
      <w:numFmt w:val="decimal"/>
      <w:lvlText w:val="%4."/>
      <w:lvlJc w:val="left"/>
      <w:pPr>
        <w:ind w:left="6707" w:hanging="360"/>
      </w:pPr>
      <w:rPr>
        <w:rFonts w:cs="Times New Roman"/>
      </w:rPr>
    </w:lvl>
    <w:lvl w:ilvl="4" w:tplc="0C090019" w:tentative="1">
      <w:start w:val="1"/>
      <w:numFmt w:val="lowerLetter"/>
      <w:lvlText w:val="%5."/>
      <w:lvlJc w:val="left"/>
      <w:pPr>
        <w:ind w:left="7427" w:hanging="360"/>
      </w:pPr>
      <w:rPr>
        <w:rFonts w:cs="Times New Roman"/>
      </w:rPr>
    </w:lvl>
    <w:lvl w:ilvl="5" w:tplc="0C09001B" w:tentative="1">
      <w:start w:val="1"/>
      <w:numFmt w:val="lowerRoman"/>
      <w:lvlText w:val="%6."/>
      <w:lvlJc w:val="right"/>
      <w:pPr>
        <w:ind w:left="8147" w:hanging="180"/>
      </w:pPr>
      <w:rPr>
        <w:rFonts w:cs="Times New Roman"/>
      </w:rPr>
    </w:lvl>
    <w:lvl w:ilvl="6" w:tplc="0C09000F" w:tentative="1">
      <w:start w:val="1"/>
      <w:numFmt w:val="decimal"/>
      <w:lvlText w:val="%7."/>
      <w:lvlJc w:val="left"/>
      <w:pPr>
        <w:ind w:left="8867" w:hanging="360"/>
      </w:pPr>
      <w:rPr>
        <w:rFonts w:cs="Times New Roman"/>
      </w:rPr>
    </w:lvl>
    <w:lvl w:ilvl="7" w:tplc="0C090019" w:tentative="1">
      <w:start w:val="1"/>
      <w:numFmt w:val="lowerLetter"/>
      <w:lvlText w:val="%8."/>
      <w:lvlJc w:val="left"/>
      <w:pPr>
        <w:ind w:left="9587" w:hanging="360"/>
      </w:pPr>
      <w:rPr>
        <w:rFonts w:cs="Times New Roman"/>
      </w:rPr>
    </w:lvl>
    <w:lvl w:ilvl="8" w:tplc="0C09001B" w:tentative="1">
      <w:start w:val="1"/>
      <w:numFmt w:val="lowerRoman"/>
      <w:lvlText w:val="%9."/>
      <w:lvlJc w:val="right"/>
      <w:pPr>
        <w:ind w:left="10307" w:hanging="180"/>
      </w:pPr>
      <w:rPr>
        <w:rFonts w:cs="Times New Roman"/>
      </w:rPr>
    </w:lvl>
  </w:abstractNum>
  <w:abstractNum w:abstractNumId="20" w15:restartNumberingAfterBreak="0">
    <w:nsid w:val="234537CA"/>
    <w:multiLevelType w:val="hybridMultilevel"/>
    <w:tmpl w:val="105A8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3A93C27"/>
    <w:multiLevelType w:val="hybridMultilevel"/>
    <w:tmpl w:val="B2643174"/>
    <w:lvl w:ilvl="0" w:tplc="73EEE99A">
      <w:start w:val="1"/>
      <w:numFmt w:val="lowerLetter"/>
      <w:lvlText w:val="(%1)"/>
      <w:lvlJc w:val="left"/>
      <w:pPr>
        <w:ind w:left="720" w:hanging="360"/>
      </w:pPr>
      <w:rPr>
        <w:rFonts w:ascii="Calibri" w:eastAsia="Times New Roman" w:hAnsi="Calibri" w:cs="Times New Roman" w:hint="default"/>
        <w:sz w:val="24"/>
        <w:szCs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15:restartNumberingAfterBreak="0">
    <w:nsid w:val="26070C68"/>
    <w:multiLevelType w:val="hybridMultilevel"/>
    <w:tmpl w:val="8334CFD4"/>
    <w:lvl w:ilvl="0" w:tplc="AF5E5D8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15:restartNumberingAfterBreak="0">
    <w:nsid w:val="274246BC"/>
    <w:multiLevelType w:val="hybridMultilevel"/>
    <w:tmpl w:val="A518F63E"/>
    <w:lvl w:ilvl="0" w:tplc="73EEE99A">
      <w:start w:val="1"/>
      <w:numFmt w:val="lowerLetter"/>
      <w:lvlText w:val="(%1)"/>
      <w:lvlJc w:val="left"/>
      <w:pPr>
        <w:ind w:left="720" w:hanging="360"/>
      </w:pPr>
      <w:rPr>
        <w:rFonts w:ascii="Calibri" w:eastAsia="Times New Roman" w:hAnsi="Calibri" w:cs="Times New Roman" w:hint="default"/>
        <w:sz w:val="24"/>
        <w:szCs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274C4704"/>
    <w:multiLevelType w:val="hybridMultilevel"/>
    <w:tmpl w:val="71A444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78135A9"/>
    <w:multiLevelType w:val="hybridMultilevel"/>
    <w:tmpl w:val="14962BBE"/>
    <w:lvl w:ilvl="0" w:tplc="73EEE99A">
      <w:start w:val="1"/>
      <w:numFmt w:val="lowerLetter"/>
      <w:lvlText w:val="(%1)"/>
      <w:lvlJc w:val="left"/>
      <w:pPr>
        <w:ind w:left="720" w:hanging="360"/>
      </w:pPr>
      <w:rPr>
        <w:rFonts w:ascii="Calibri" w:eastAsia="Times New Roman" w:hAnsi="Calibri" w:cs="Times New Roman" w:hint="default"/>
        <w:sz w:val="24"/>
        <w:szCs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3048043F"/>
    <w:multiLevelType w:val="hybridMultilevel"/>
    <w:tmpl w:val="22265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1F37B33"/>
    <w:multiLevelType w:val="hybridMultilevel"/>
    <w:tmpl w:val="58C610FA"/>
    <w:lvl w:ilvl="0" w:tplc="BA946D4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32005FE3"/>
    <w:multiLevelType w:val="hybridMultilevel"/>
    <w:tmpl w:val="23DE6520"/>
    <w:lvl w:ilvl="0" w:tplc="160C125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C2F1515"/>
    <w:multiLevelType w:val="hybridMultilevel"/>
    <w:tmpl w:val="4BF8C7A0"/>
    <w:lvl w:ilvl="0" w:tplc="0C090011">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15:restartNumberingAfterBreak="0">
    <w:nsid w:val="3D214DE1"/>
    <w:multiLevelType w:val="hybridMultilevel"/>
    <w:tmpl w:val="F9002B5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15:restartNumberingAfterBreak="0">
    <w:nsid w:val="3F236EB5"/>
    <w:multiLevelType w:val="hybridMultilevel"/>
    <w:tmpl w:val="DD4C4AAE"/>
    <w:lvl w:ilvl="0" w:tplc="0C090001">
      <w:start w:val="1"/>
      <w:numFmt w:val="bullet"/>
      <w:lvlText w:val=""/>
      <w:lvlJc w:val="left"/>
      <w:pPr>
        <w:ind w:left="720" w:hanging="360"/>
      </w:pPr>
      <w:rPr>
        <w:rFonts w:ascii="Symbol" w:hAnsi="Symbol" w:hint="default"/>
        <w:sz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15:restartNumberingAfterBreak="0">
    <w:nsid w:val="3FAA111A"/>
    <w:multiLevelType w:val="hybridMultilevel"/>
    <w:tmpl w:val="8E7CCB60"/>
    <w:lvl w:ilvl="0" w:tplc="10921832">
      <w:start w:val="1"/>
      <w:numFmt w:val="bullet"/>
      <w:lvlRestart w:val="0"/>
      <w:lvlText w:val=""/>
      <w:lvlJc w:val="left"/>
      <w:pPr>
        <w:tabs>
          <w:tab w:val="num" w:pos="1134"/>
        </w:tabs>
        <w:ind w:left="1701" w:hanging="567"/>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2FF00F3"/>
    <w:multiLevelType w:val="hybridMultilevel"/>
    <w:tmpl w:val="128E36CA"/>
    <w:lvl w:ilvl="0" w:tplc="0C090015">
      <w:start w:val="1"/>
      <w:numFmt w:val="upperLetter"/>
      <w:lvlText w:val="%1."/>
      <w:lvlJc w:val="left"/>
      <w:pPr>
        <w:ind w:left="1440" w:hanging="360"/>
      </w:pPr>
      <w:rPr>
        <w:rFonts w:cs="Times New Roman" w:hint="default"/>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34" w15:restartNumberingAfterBreak="0">
    <w:nsid w:val="447F7174"/>
    <w:multiLevelType w:val="hybridMultilevel"/>
    <w:tmpl w:val="9FFC3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6CA6A74"/>
    <w:multiLevelType w:val="hybridMultilevel"/>
    <w:tmpl w:val="73CA8816"/>
    <w:lvl w:ilvl="0" w:tplc="B19E9C16">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6" w15:restartNumberingAfterBreak="0">
    <w:nsid w:val="46DF22CC"/>
    <w:multiLevelType w:val="hybridMultilevel"/>
    <w:tmpl w:val="38EAFCD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7" w15:restartNumberingAfterBreak="0">
    <w:nsid w:val="4E473C60"/>
    <w:multiLevelType w:val="hybridMultilevel"/>
    <w:tmpl w:val="DB921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FAC3F1D"/>
    <w:multiLevelType w:val="hybridMultilevel"/>
    <w:tmpl w:val="B5143B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4FB9357E"/>
    <w:multiLevelType w:val="hybridMultilevel"/>
    <w:tmpl w:val="D94E2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99B469B"/>
    <w:multiLevelType w:val="hybridMultilevel"/>
    <w:tmpl w:val="87A09448"/>
    <w:lvl w:ilvl="0" w:tplc="B8D2FC02">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1" w15:restartNumberingAfterBreak="0">
    <w:nsid w:val="59E97FE2"/>
    <w:multiLevelType w:val="hybridMultilevel"/>
    <w:tmpl w:val="9D960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C38081D"/>
    <w:multiLevelType w:val="hybridMultilevel"/>
    <w:tmpl w:val="FC20F1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D2A4EF7"/>
    <w:multiLevelType w:val="hybridMultilevel"/>
    <w:tmpl w:val="24900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D3C15EE"/>
    <w:multiLevelType w:val="hybridMultilevel"/>
    <w:tmpl w:val="0C789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D95728D"/>
    <w:multiLevelType w:val="multilevel"/>
    <w:tmpl w:val="54549D3A"/>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15:restartNumberingAfterBreak="0">
    <w:nsid w:val="5F2F5DAE"/>
    <w:multiLevelType w:val="hybridMultilevel"/>
    <w:tmpl w:val="83DAEB86"/>
    <w:lvl w:ilvl="0" w:tplc="B19E9C16">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7" w15:restartNumberingAfterBreak="0">
    <w:nsid w:val="5F5E56CD"/>
    <w:multiLevelType w:val="hybridMultilevel"/>
    <w:tmpl w:val="D66A1A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9" w15:restartNumberingAfterBreak="0">
    <w:nsid w:val="64793FE9"/>
    <w:multiLevelType w:val="hybridMultilevel"/>
    <w:tmpl w:val="12B2AF5A"/>
    <w:lvl w:ilvl="0" w:tplc="0C090001">
      <w:start w:val="1"/>
      <w:numFmt w:val="bullet"/>
      <w:lvlText w:val=""/>
      <w:lvlJc w:val="left"/>
      <w:pPr>
        <w:ind w:left="720" w:hanging="360"/>
      </w:pPr>
      <w:rPr>
        <w:rFonts w:ascii="Symbol" w:hAnsi="Symbol" w:hint="default"/>
        <w:sz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0" w15:restartNumberingAfterBreak="0">
    <w:nsid w:val="65E12A9D"/>
    <w:multiLevelType w:val="hybridMultilevel"/>
    <w:tmpl w:val="E2DCA59C"/>
    <w:lvl w:ilvl="0" w:tplc="73EEE99A">
      <w:start w:val="1"/>
      <w:numFmt w:val="lowerLetter"/>
      <w:lvlText w:val="(%1)"/>
      <w:lvlJc w:val="left"/>
      <w:pPr>
        <w:ind w:left="720" w:hanging="360"/>
      </w:pPr>
      <w:rPr>
        <w:rFonts w:ascii="Calibri" w:eastAsia="Times New Roman" w:hAnsi="Calibri" w:cs="Times New Roman" w:hint="default"/>
        <w:sz w:val="24"/>
        <w:szCs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1" w15:restartNumberingAfterBreak="0">
    <w:nsid w:val="66B74375"/>
    <w:multiLevelType w:val="hybridMultilevel"/>
    <w:tmpl w:val="5762C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70A2EE2"/>
    <w:multiLevelType w:val="hybridMultilevel"/>
    <w:tmpl w:val="B156C9DE"/>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53" w15:restartNumberingAfterBreak="0">
    <w:nsid w:val="6AF878D8"/>
    <w:multiLevelType w:val="hybridMultilevel"/>
    <w:tmpl w:val="6F8E04C2"/>
    <w:lvl w:ilvl="0" w:tplc="73EEE99A">
      <w:start w:val="1"/>
      <w:numFmt w:val="lowerLetter"/>
      <w:lvlText w:val="(%1)"/>
      <w:lvlJc w:val="left"/>
      <w:pPr>
        <w:ind w:left="720" w:hanging="360"/>
      </w:pPr>
      <w:rPr>
        <w:rFonts w:ascii="Calibri" w:eastAsia="Times New Roman" w:hAnsi="Calibri" w:cs="Times New Roman" w:hint="default"/>
        <w:sz w:val="24"/>
        <w:szCs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4" w15:restartNumberingAfterBreak="0">
    <w:nsid w:val="6B8E7EC1"/>
    <w:multiLevelType w:val="hybridMultilevel"/>
    <w:tmpl w:val="2C6C8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D6D3932"/>
    <w:multiLevelType w:val="hybridMultilevel"/>
    <w:tmpl w:val="FAF89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E433E38"/>
    <w:multiLevelType w:val="hybridMultilevel"/>
    <w:tmpl w:val="D20247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059650A"/>
    <w:multiLevelType w:val="hybridMultilevel"/>
    <w:tmpl w:val="F18AB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7596862"/>
    <w:multiLevelType w:val="hybridMultilevel"/>
    <w:tmpl w:val="7A823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7BA68F4"/>
    <w:multiLevelType w:val="hybridMultilevel"/>
    <w:tmpl w:val="727C8604"/>
    <w:lvl w:ilvl="0" w:tplc="B19E9C16">
      <w:start w:val="1"/>
      <w:numFmt w:val="lowerRoman"/>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60"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48"/>
  </w:num>
  <w:num w:numId="10">
    <w:abstractNumId w:val="60"/>
  </w:num>
  <w:num w:numId="11">
    <w:abstractNumId w:val="28"/>
  </w:num>
  <w:num w:numId="12">
    <w:abstractNumId w:val="39"/>
  </w:num>
  <w:num w:numId="13">
    <w:abstractNumId w:val="30"/>
  </w:num>
  <w:num w:numId="14">
    <w:abstractNumId w:val="51"/>
  </w:num>
  <w:num w:numId="15">
    <w:abstractNumId w:val="57"/>
  </w:num>
  <w:num w:numId="16">
    <w:abstractNumId w:val="44"/>
  </w:num>
  <w:num w:numId="17">
    <w:abstractNumId w:val="24"/>
  </w:num>
  <w:num w:numId="18">
    <w:abstractNumId w:val="47"/>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3"/>
  </w:num>
  <w:num w:numId="30">
    <w:abstractNumId w:val="14"/>
  </w:num>
  <w:num w:numId="31">
    <w:abstractNumId w:val="46"/>
  </w:num>
  <w:num w:numId="32">
    <w:abstractNumId w:val="19"/>
  </w:num>
  <w:num w:numId="33">
    <w:abstractNumId w:val="38"/>
  </w:num>
  <w:num w:numId="34">
    <w:abstractNumId w:val="55"/>
  </w:num>
  <w:num w:numId="35">
    <w:abstractNumId w:val="22"/>
  </w:num>
  <w:num w:numId="36">
    <w:abstractNumId w:val="54"/>
  </w:num>
  <w:num w:numId="37">
    <w:abstractNumId w:val="27"/>
  </w:num>
  <w:num w:numId="38">
    <w:abstractNumId w:val="58"/>
  </w:num>
  <w:num w:numId="39">
    <w:abstractNumId w:val="40"/>
  </w:num>
  <w:num w:numId="40">
    <w:abstractNumId w:val="37"/>
  </w:num>
  <w:num w:numId="41">
    <w:abstractNumId w:val="29"/>
  </w:num>
  <w:num w:numId="42">
    <w:abstractNumId w:val="28"/>
  </w:num>
  <w:num w:numId="43">
    <w:abstractNumId w:val="7"/>
  </w:num>
  <w:num w:numId="44">
    <w:abstractNumId w:val="21"/>
  </w:num>
  <w:num w:numId="45">
    <w:abstractNumId w:val="32"/>
  </w:num>
  <w:num w:numId="46">
    <w:abstractNumId w:val="18"/>
  </w:num>
  <w:num w:numId="47">
    <w:abstractNumId w:val="50"/>
  </w:num>
  <w:num w:numId="48">
    <w:abstractNumId w:val="15"/>
  </w:num>
  <w:num w:numId="49">
    <w:abstractNumId w:val="23"/>
  </w:num>
  <w:num w:numId="50">
    <w:abstractNumId w:val="34"/>
  </w:num>
  <w:num w:numId="51">
    <w:abstractNumId w:val="26"/>
  </w:num>
  <w:num w:numId="52">
    <w:abstractNumId w:val="20"/>
  </w:num>
  <w:num w:numId="53">
    <w:abstractNumId w:val="31"/>
  </w:num>
  <w:num w:numId="54">
    <w:abstractNumId w:val="41"/>
  </w:num>
  <w:num w:numId="55">
    <w:abstractNumId w:val="35"/>
  </w:num>
  <w:num w:numId="56">
    <w:abstractNumId w:val="49"/>
  </w:num>
  <w:num w:numId="57">
    <w:abstractNumId w:val="17"/>
  </w:num>
  <w:num w:numId="58">
    <w:abstractNumId w:val="43"/>
  </w:num>
  <w:num w:numId="59">
    <w:abstractNumId w:val="25"/>
  </w:num>
  <w:num w:numId="60">
    <w:abstractNumId w:val="53"/>
  </w:num>
  <w:num w:numId="61">
    <w:abstractNumId w:val="12"/>
  </w:num>
  <w:num w:numId="62">
    <w:abstractNumId w:val="10"/>
  </w:num>
  <w:num w:numId="63">
    <w:abstractNumId w:val="59"/>
  </w:num>
  <w:num w:numId="64">
    <w:abstractNumId w:val="33"/>
  </w:num>
  <w:num w:numId="65">
    <w:abstractNumId w:val="52"/>
  </w:num>
  <w:num w:numId="66">
    <w:abstractNumId w:val="16"/>
  </w:num>
  <w:num w:numId="67">
    <w:abstractNumId w:val="45"/>
  </w:num>
  <w:num w:numId="68">
    <w:abstractNumId w:val="42"/>
  </w:num>
  <w:num w:numId="69">
    <w:abstractNumId w:val="56"/>
  </w:num>
  <w:num w:numId="70">
    <w:abstractNumId w:val="11"/>
  </w:num>
  <w:num w:numId="71">
    <w:abstractNumId w:val="3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760"/>
    <w:rsid w:val="00000744"/>
    <w:rsid w:val="00000D55"/>
    <w:rsid w:val="000017F2"/>
    <w:rsid w:val="00003193"/>
    <w:rsid w:val="000037CA"/>
    <w:rsid w:val="00003B06"/>
    <w:rsid w:val="00003E8C"/>
    <w:rsid w:val="000044DF"/>
    <w:rsid w:val="000065F2"/>
    <w:rsid w:val="00006A9D"/>
    <w:rsid w:val="00006CBF"/>
    <w:rsid w:val="00007947"/>
    <w:rsid w:val="00007EB9"/>
    <w:rsid w:val="00010F19"/>
    <w:rsid w:val="00011917"/>
    <w:rsid w:val="000119D8"/>
    <w:rsid w:val="00011F35"/>
    <w:rsid w:val="000122F3"/>
    <w:rsid w:val="00012F60"/>
    <w:rsid w:val="00013402"/>
    <w:rsid w:val="00013A9C"/>
    <w:rsid w:val="00013E25"/>
    <w:rsid w:val="0001486E"/>
    <w:rsid w:val="0001535A"/>
    <w:rsid w:val="0001570F"/>
    <w:rsid w:val="000165D0"/>
    <w:rsid w:val="0001665A"/>
    <w:rsid w:val="000172B2"/>
    <w:rsid w:val="00017F39"/>
    <w:rsid w:val="00020A0B"/>
    <w:rsid w:val="00020FD5"/>
    <w:rsid w:val="000212EB"/>
    <w:rsid w:val="00021D97"/>
    <w:rsid w:val="000227DF"/>
    <w:rsid w:val="00022F73"/>
    <w:rsid w:val="000235BB"/>
    <w:rsid w:val="00024137"/>
    <w:rsid w:val="00024DD6"/>
    <w:rsid w:val="0002613E"/>
    <w:rsid w:val="00026A53"/>
    <w:rsid w:val="000274AB"/>
    <w:rsid w:val="000276C7"/>
    <w:rsid w:val="00032126"/>
    <w:rsid w:val="0003311C"/>
    <w:rsid w:val="00033631"/>
    <w:rsid w:val="0003416C"/>
    <w:rsid w:val="00034720"/>
    <w:rsid w:val="00034929"/>
    <w:rsid w:val="00034C22"/>
    <w:rsid w:val="000357F8"/>
    <w:rsid w:val="00036405"/>
    <w:rsid w:val="00036A5F"/>
    <w:rsid w:val="00036D89"/>
    <w:rsid w:val="00037CE7"/>
    <w:rsid w:val="00040CF4"/>
    <w:rsid w:val="0004169B"/>
    <w:rsid w:val="00041C3B"/>
    <w:rsid w:val="00041F36"/>
    <w:rsid w:val="00041FDD"/>
    <w:rsid w:val="000420D8"/>
    <w:rsid w:val="00042214"/>
    <w:rsid w:val="000426C2"/>
    <w:rsid w:val="00042847"/>
    <w:rsid w:val="00043A31"/>
    <w:rsid w:val="000457F3"/>
    <w:rsid w:val="00045C05"/>
    <w:rsid w:val="00045FC1"/>
    <w:rsid w:val="00046070"/>
    <w:rsid w:val="00046E05"/>
    <w:rsid w:val="0005013E"/>
    <w:rsid w:val="000503A9"/>
    <w:rsid w:val="00050B04"/>
    <w:rsid w:val="00050DBA"/>
    <w:rsid w:val="00051B48"/>
    <w:rsid w:val="000520A6"/>
    <w:rsid w:val="00052C8A"/>
    <w:rsid w:val="00052E31"/>
    <w:rsid w:val="0005382B"/>
    <w:rsid w:val="00054677"/>
    <w:rsid w:val="000557CF"/>
    <w:rsid w:val="00055F64"/>
    <w:rsid w:val="00057734"/>
    <w:rsid w:val="000577EC"/>
    <w:rsid w:val="00057D1D"/>
    <w:rsid w:val="0006013C"/>
    <w:rsid w:val="0006082A"/>
    <w:rsid w:val="00060F09"/>
    <w:rsid w:val="00060FDF"/>
    <w:rsid w:val="00061144"/>
    <w:rsid w:val="000613C2"/>
    <w:rsid w:val="00061886"/>
    <w:rsid w:val="0006244A"/>
    <w:rsid w:val="00062620"/>
    <w:rsid w:val="00062EF2"/>
    <w:rsid w:val="000633C1"/>
    <w:rsid w:val="00063AF2"/>
    <w:rsid w:val="00063DB0"/>
    <w:rsid w:val="00064C7F"/>
    <w:rsid w:val="0006545C"/>
    <w:rsid w:val="00065468"/>
    <w:rsid w:val="00066031"/>
    <w:rsid w:val="00066731"/>
    <w:rsid w:val="0006694B"/>
    <w:rsid w:val="00067CD2"/>
    <w:rsid w:val="00070095"/>
    <w:rsid w:val="00072D58"/>
    <w:rsid w:val="00072EA8"/>
    <w:rsid w:val="0007375C"/>
    <w:rsid w:val="00073760"/>
    <w:rsid w:val="00074ACD"/>
    <w:rsid w:val="00076249"/>
    <w:rsid w:val="000762EC"/>
    <w:rsid w:val="00076783"/>
    <w:rsid w:val="00077549"/>
    <w:rsid w:val="00081B40"/>
    <w:rsid w:val="00081E18"/>
    <w:rsid w:val="000833D6"/>
    <w:rsid w:val="0008366F"/>
    <w:rsid w:val="00083F05"/>
    <w:rsid w:val="000842CF"/>
    <w:rsid w:val="0008433C"/>
    <w:rsid w:val="000851B2"/>
    <w:rsid w:val="0008530E"/>
    <w:rsid w:val="00085645"/>
    <w:rsid w:val="000857B4"/>
    <w:rsid w:val="00085E95"/>
    <w:rsid w:val="0008657A"/>
    <w:rsid w:val="0008673D"/>
    <w:rsid w:val="00086C41"/>
    <w:rsid w:val="00086C90"/>
    <w:rsid w:val="00086FCA"/>
    <w:rsid w:val="00087FCC"/>
    <w:rsid w:val="0009047A"/>
    <w:rsid w:val="00090C73"/>
    <w:rsid w:val="00090D7D"/>
    <w:rsid w:val="00092480"/>
    <w:rsid w:val="00092A0F"/>
    <w:rsid w:val="00092B9F"/>
    <w:rsid w:val="000942EE"/>
    <w:rsid w:val="000945CF"/>
    <w:rsid w:val="00094FD4"/>
    <w:rsid w:val="00095738"/>
    <w:rsid w:val="00095800"/>
    <w:rsid w:val="000958D7"/>
    <w:rsid w:val="00095A67"/>
    <w:rsid w:val="00096A8C"/>
    <w:rsid w:val="000977FD"/>
    <w:rsid w:val="000A09FC"/>
    <w:rsid w:val="000A1383"/>
    <w:rsid w:val="000A13F5"/>
    <w:rsid w:val="000A2153"/>
    <w:rsid w:val="000A2470"/>
    <w:rsid w:val="000A2684"/>
    <w:rsid w:val="000A2A5C"/>
    <w:rsid w:val="000A2F6F"/>
    <w:rsid w:val="000A345B"/>
    <w:rsid w:val="000A3C79"/>
    <w:rsid w:val="000A4586"/>
    <w:rsid w:val="000A49BF"/>
    <w:rsid w:val="000A4DAA"/>
    <w:rsid w:val="000A5FDC"/>
    <w:rsid w:val="000A76D9"/>
    <w:rsid w:val="000A7D8D"/>
    <w:rsid w:val="000B080D"/>
    <w:rsid w:val="000B136E"/>
    <w:rsid w:val="000B14AF"/>
    <w:rsid w:val="000B31C6"/>
    <w:rsid w:val="000B370E"/>
    <w:rsid w:val="000B3958"/>
    <w:rsid w:val="000B3D50"/>
    <w:rsid w:val="000B478E"/>
    <w:rsid w:val="000B4F2A"/>
    <w:rsid w:val="000B590E"/>
    <w:rsid w:val="000B5BE5"/>
    <w:rsid w:val="000B5C27"/>
    <w:rsid w:val="000B66F1"/>
    <w:rsid w:val="000B77EF"/>
    <w:rsid w:val="000B7EC6"/>
    <w:rsid w:val="000C007A"/>
    <w:rsid w:val="000C040C"/>
    <w:rsid w:val="000C1875"/>
    <w:rsid w:val="000C26D1"/>
    <w:rsid w:val="000C339B"/>
    <w:rsid w:val="000C4309"/>
    <w:rsid w:val="000C45F3"/>
    <w:rsid w:val="000C467D"/>
    <w:rsid w:val="000C4AC0"/>
    <w:rsid w:val="000C4C8E"/>
    <w:rsid w:val="000C5065"/>
    <w:rsid w:val="000C509D"/>
    <w:rsid w:val="000C51C5"/>
    <w:rsid w:val="000C6F00"/>
    <w:rsid w:val="000C7F39"/>
    <w:rsid w:val="000D1393"/>
    <w:rsid w:val="000D16F4"/>
    <w:rsid w:val="000D1BA2"/>
    <w:rsid w:val="000D2C67"/>
    <w:rsid w:val="000D3C11"/>
    <w:rsid w:val="000D3C24"/>
    <w:rsid w:val="000D47D2"/>
    <w:rsid w:val="000D5345"/>
    <w:rsid w:val="000D53DB"/>
    <w:rsid w:val="000D5B3F"/>
    <w:rsid w:val="000D652C"/>
    <w:rsid w:val="000D703B"/>
    <w:rsid w:val="000D7E01"/>
    <w:rsid w:val="000E0C67"/>
    <w:rsid w:val="000E1A96"/>
    <w:rsid w:val="000E1D21"/>
    <w:rsid w:val="000E29A4"/>
    <w:rsid w:val="000E3C40"/>
    <w:rsid w:val="000E3FC2"/>
    <w:rsid w:val="000E43D7"/>
    <w:rsid w:val="000E45AD"/>
    <w:rsid w:val="000E47FE"/>
    <w:rsid w:val="000E508E"/>
    <w:rsid w:val="000E6447"/>
    <w:rsid w:val="000E661D"/>
    <w:rsid w:val="000E6FF4"/>
    <w:rsid w:val="000F1D43"/>
    <w:rsid w:val="000F2B96"/>
    <w:rsid w:val="000F3093"/>
    <w:rsid w:val="000F3799"/>
    <w:rsid w:val="000F485A"/>
    <w:rsid w:val="000F4C8B"/>
    <w:rsid w:val="000F4FA7"/>
    <w:rsid w:val="000F51D6"/>
    <w:rsid w:val="000F5AF6"/>
    <w:rsid w:val="000F642E"/>
    <w:rsid w:val="000F6AA8"/>
    <w:rsid w:val="000F6DB1"/>
    <w:rsid w:val="000F790D"/>
    <w:rsid w:val="00100D53"/>
    <w:rsid w:val="00100E59"/>
    <w:rsid w:val="00101503"/>
    <w:rsid w:val="00101E88"/>
    <w:rsid w:val="00101FC6"/>
    <w:rsid w:val="00104503"/>
    <w:rsid w:val="001045CA"/>
    <w:rsid w:val="00105AFD"/>
    <w:rsid w:val="00106C6C"/>
    <w:rsid w:val="00106EE4"/>
    <w:rsid w:val="0010794F"/>
    <w:rsid w:val="00107BE1"/>
    <w:rsid w:val="001101D7"/>
    <w:rsid w:val="001112B8"/>
    <w:rsid w:val="00111686"/>
    <w:rsid w:val="00111A76"/>
    <w:rsid w:val="001129DB"/>
    <w:rsid w:val="00112C4D"/>
    <w:rsid w:val="00113678"/>
    <w:rsid w:val="00113692"/>
    <w:rsid w:val="00114280"/>
    <w:rsid w:val="001144E0"/>
    <w:rsid w:val="00115FCF"/>
    <w:rsid w:val="00116274"/>
    <w:rsid w:val="0011672E"/>
    <w:rsid w:val="0011712A"/>
    <w:rsid w:val="00117372"/>
    <w:rsid w:val="001179F7"/>
    <w:rsid w:val="00121855"/>
    <w:rsid w:val="00121DDC"/>
    <w:rsid w:val="0012202A"/>
    <w:rsid w:val="001227CF"/>
    <w:rsid w:val="00122EE1"/>
    <w:rsid w:val="00123C64"/>
    <w:rsid w:val="00124189"/>
    <w:rsid w:val="00124407"/>
    <w:rsid w:val="00124615"/>
    <w:rsid w:val="001254CC"/>
    <w:rsid w:val="001255A5"/>
    <w:rsid w:val="0012597C"/>
    <w:rsid w:val="0012637F"/>
    <w:rsid w:val="001267FD"/>
    <w:rsid w:val="00127F6F"/>
    <w:rsid w:val="0013028F"/>
    <w:rsid w:val="00131118"/>
    <w:rsid w:val="0013140B"/>
    <w:rsid w:val="001320C7"/>
    <w:rsid w:val="00132314"/>
    <w:rsid w:val="0013280D"/>
    <w:rsid w:val="00132868"/>
    <w:rsid w:val="00134271"/>
    <w:rsid w:val="001345F8"/>
    <w:rsid w:val="0013550C"/>
    <w:rsid w:val="00135C10"/>
    <w:rsid w:val="001370BD"/>
    <w:rsid w:val="00137741"/>
    <w:rsid w:val="00137DC9"/>
    <w:rsid w:val="0014031C"/>
    <w:rsid w:val="001404FF"/>
    <w:rsid w:val="00141061"/>
    <w:rsid w:val="00141A37"/>
    <w:rsid w:val="00142808"/>
    <w:rsid w:val="00143668"/>
    <w:rsid w:val="00143701"/>
    <w:rsid w:val="00143E5B"/>
    <w:rsid w:val="00143E6D"/>
    <w:rsid w:val="00144447"/>
    <w:rsid w:val="0014457E"/>
    <w:rsid w:val="00145364"/>
    <w:rsid w:val="00145728"/>
    <w:rsid w:val="00145C8A"/>
    <w:rsid w:val="00145ECF"/>
    <w:rsid w:val="00146857"/>
    <w:rsid w:val="00146CBD"/>
    <w:rsid w:val="001475AF"/>
    <w:rsid w:val="00147B5B"/>
    <w:rsid w:val="00151B9B"/>
    <w:rsid w:val="00152730"/>
    <w:rsid w:val="0015320A"/>
    <w:rsid w:val="0015362B"/>
    <w:rsid w:val="001538A4"/>
    <w:rsid w:val="00153971"/>
    <w:rsid w:val="001564B6"/>
    <w:rsid w:val="001577A9"/>
    <w:rsid w:val="00157C75"/>
    <w:rsid w:val="001609F9"/>
    <w:rsid w:val="00160B3A"/>
    <w:rsid w:val="0016184C"/>
    <w:rsid w:val="00162408"/>
    <w:rsid w:val="00162E78"/>
    <w:rsid w:val="001630FA"/>
    <w:rsid w:val="001636FD"/>
    <w:rsid w:val="00163744"/>
    <w:rsid w:val="00164A49"/>
    <w:rsid w:val="00164B78"/>
    <w:rsid w:val="00164D68"/>
    <w:rsid w:val="00164E7A"/>
    <w:rsid w:val="001650A1"/>
    <w:rsid w:val="001651A5"/>
    <w:rsid w:val="001652EE"/>
    <w:rsid w:val="001656F8"/>
    <w:rsid w:val="00165F0C"/>
    <w:rsid w:val="00166CA8"/>
    <w:rsid w:val="00166D97"/>
    <w:rsid w:val="001670E7"/>
    <w:rsid w:val="00170455"/>
    <w:rsid w:val="00171533"/>
    <w:rsid w:val="0017277A"/>
    <w:rsid w:val="00172AA2"/>
    <w:rsid w:val="001756D8"/>
    <w:rsid w:val="0017626F"/>
    <w:rsid w:val="001773B7"/>
    <w:rsid w:val="00177EEA"/>
    <w:rsid w:val="00180319"/>
    <w:rsid w:val="00180A76"/>
    <w:rsid w:val="00181F6C"/>
    <w:rsid w:val="00183532"/>
    <w:rsid w:val="001836C4"/>
    <w:rsid w:val="00183AD3"/>
    <w:rsid w:val="00183D5B"/>
    <w:rsid w:val="00184BED"/>
    <w:rsid w:val="00184CD2"/>
    <w:rsid w:val="00186CF6"/>
    <w:rsid w:val="00190048"/>
    <w:rsid w:val="001909E6"/>
    <w:rsid w:val="00191B79"/>
    <w:rsid w:val="00192203"/>
    <w:rsid w:val="0019221D"/>
    <w:rsid w:val="0019375C"/>
    <w:rsid w:val="00193BA2"/>
    <w:rsid w:val="0019677F"/>
    <w:rsid w:val="001A168A"/>
    <w:rsid w:val="001A1C0B"/>
    <w:rsid w:val="001A1CFA"/>
    <w:rsid w:val="001A2651"/>
    <w:rsid w:val="001A2A0B"/>
    <w:rsid w:val="001A2F17"/>
    <w:rsid w:val="001A2FF6"/>
    <w:rsid w:val="001A3907"/>
    <w:rsid w:val="001A3A45"/>
    <w:rsid w:val="001A3ECA"/>
    <w:rsid w:val="001A3EDE"/>
    <w:rsid w:val="001A4947"/>
    <w:rsid w:val="001A4BA1"/>
    <w:rsid w:val="001A6C2F"/>
    <w:rsid w:val="001A7727"/>
    <w:rsid w:val="001A79CF"/>
    <w:rsid w:val="001A7AAC"/>
    <w:rsid w:val="001B01CD"/>
    <w:rsid w:val="001B0684"/>
    <w:rsid w:val="001B11FC"/>
    <w:rsid w:val="001B1FD7"/>
    <w:rsid w:val="001B2479"/>
    <w:rsid w:val="001B3A61"/>
    <w:rsid w:val="001B3BEB"/>
    <w:rsid w:val="001B4076"/>
    <w:rsid w:val="001B5233"/>
    <w:rsid w:val="001B6376"/>
    <w:rsid w:val="001B69AD"/>
    <w:rsid w:val="001B6AFA"/>
    <w:rsid w:val="001B7090"/>
    <w:rsid w:val="001B7472"/>
    <w:rsid w:val="001C1DAF"/>
    <w:rsid w:val="001C1DB2"/>
    <w:rsid w:val="001C1F12"/>
    <w:rsid w:val="001C42EE"/>
    <w:rsid w:val="001C49B8"/>
    <w:rsid w:val="001C4B20"/>
    <w:rsid w:val="001C53A2"/>
    <w:rsid w:val="001C59DB"/>
    <w:rsid w:val="001C6204"/>
    <w:rsid w:val="001C69F4"/>
    <w:rsid w:val="001C7271"/>
    <w:rsid w:val="001D0B4D"/>
    <w:rsid w:val="001D0F73"/>
    <w:rsid w:val="001D22AD"/>
    <w:rsid w:val="001D25BC"/>
    <w:rsid w:val="001D2A06"/>
    <w:rsid w:val="001D4C4A"/>
    <w:rsid w:val="001D4CA4"/>
    <w:rsid w:val="001D5235"/>
    <w:rsid w:val="001D5852"/>
    <w:rsid w:val="001D6F31"/>
    <w:rsid w:val="001D7CB6"/>
    <w:rsid w:val="001D7D17"/>
    <w:rsid w:val="001E1617"/>
    <w:rsid w:val="001E2101"/>
    <w:rsid w:val="001E25FA"/>
    <w:rsid w:val="001E26F3"/>
    <w:rsid w:val="001E2952"/>
    <w:rsid w:val="001E2B5B"/>
    <w:rsid w:val="001E33FE"/>
    <w:rsid w:val="001E63B6"/>
    <w:rsid w:val="001E6A90"/>
    <w:rsid w:val="001E6CFF"/>
    <w:rsid w:val="001E73E0"/>
    <w:rsid w:val="001E7D5F"/>
    <w:rsid w:val="001F07E2"/>
    <w:rsid w:val="001F08AB"/>
    <w:rsid w:val="001F0EAF"/>
    <w:rsid w:val="001F1BD5"/>
    <w:rsid w:val="001F2466"/>
    <w:rsid w:val="001F28B6"/>
    <w:rsid w:val="001F294C"/>
    <w:rsid w:val="001F363F"/>
    <w:rsid w:val="001F428F"/>
    <w:rsid w:val="001F5012"/>
    <w:rsid w:val="001F5B9E"/>
    <w:rsid w:val="001F5C70"/>
    <w:rsid w:val="001F6098"/>
    <w:rsid w:val="001F6C4C"/>
    <w:rsid w:val="001F7441"/>
    <w:rsid w:val="002006B8"/>
    <w:rsid w:val="002017DC"/>
    <w:rsid w:val="00201BE2"/>
    <w:rsid w:val="002022D2"/>
    <w:rsid w:val="00202672"/>
    <w:rsid w:val="002031EE"/>
    <w:rsid w:val="0020456E"/>
    <w:rsid w:val="00205382"/>
    <w:rsid w:val="00205808"/>
    <w:rsid w:val="0020585F"/>
    <w:rsid w:val="0020655C"/>
    <w:rsid w:val="00206744"/>
    <w:rsid w:val="00206BA3"/>
    <w:rsid w:val="00206D41"/>
    <w:rsid w:val="00207ECF"/>
    <w:rsid w:val="00210051"/>
    <w:rsid w:val="002107F3"/>
    <w:rsid w:val="00210D30"/>
    <w:rsid w:val="00210D7A"/>
    <w:rsid w:val="002131FC"/>
    <w:rsid w:val="002134EB"/>
    <w:rsid w:val="00213C0E"/>
    <w:rsid w:val="00213CE5"/>
    <w:rsid w:val="00214118"/>
    <w:rsid w:val="00214307"/>
    <w:rsid w:val="0021435A"/>
    <w:rsid w:val="00214E0A"/>
    <w:rsid w:val="002151AC"/>
    <w:rsid w:val="00215820"/>
    <w:rsid w:val="00215A07"/>
    <w:rsid w:val="00215F81"/>
    <w:rsid w:val="0021608C"/>
    <w:rsid w:val="00216B01"/>
    <w:rsid w:val="00217363"/>
    <w:rsid w:val="002200C2"/>
    <w:rsid w:val="002212FB"/>
    <w:rsid w:val="00221BFA"/>
    <w:rsid w:val="0022225E"/>
    <w:rsid w:val="002222B7"/>
    <w:rsid w:val="00222510"/>
    <w:rsid w:val="00222E7B"/>
    <w:rsid w:val="00223360"/>
    <w:rsid w:val="00223FAE"/>
    <w:rsid w:val="0022411A"/>
    <w:rsid w:val="00224320"/>
    <w:rsid w:val="002250A3"/>
    <w:rsid w:val="002250E9"/>
    <w:rsid w:val="0022586C"/>
    <w:rsid w:val="00225E8D"/>
    <w:rsid w:val="0022671B"/>
    <w:rsid w:val="00226F5E"/>
    <w:rsid w:val="0023013C"/>
    <w:rsid w:val="00230C82"/>
    <w:rsid w:val="00230CBA"/>
    <w:rsid w:val="00230F6B"/>
    <w:rsid w:val="0023171C"/>
    <w:rsid w:val="00232952"/>
    <w:rsid w:val="002329A4"/>
    <w:rsid w:val="00232D47"/>
    <w:rsid w:val="00233057"/>
    <w:rsid w:val="002345BD"/>
    <w:rsid w:val="00234C11"/>
    <w:rsid w:val="00234D9D"/>
    <w:rsid w:val="00236041"/>
    <w:rsid w:val="00236190"/>
    <w:rsid w:val="00237CCD"/>
    <w:rsid w:val="00240156"/>
    <w:rsid w:val="00240642"/>
    <w:rsid w:val="00242879"/>
    <w:rsid w:val="0024298C"/>
    <w:rsid w:val="00244799"/>
    <w:rsid w:val="0024581E"/>
    <w:rsid w:val="00245F00"/>
    <w:rsid w:val="00246764"/>
    <w:rsid w:val="00247355"/>
    <w:rsid w:val="00247589"/>
    <w:rsid w:val="002477EE"/>
    <w:rsid w:val="00247BEA"/>
    <w:rsid w:val="00247DC9"/>
    <w:rsid w:val="0025013B"/>
    <w:rsid w:val="00250428"/>
    <w:rsid w:val="0025078F"/>
    <w:rsid w:val="00251450"/>
    <w:rsid w:val="002514C4"/>
    <w:rsid w:val="00251CE4"/>
    <w:rsid w:val="00252AEA"/>
    <w:rsid w:val="00252E05"/>
    <w:rsid w:val="00252FB5"/>
    <w:rsid w:val="0025311A"/>
    <w:rsid w:val="00253269"/>
    <w:rsid w:val="002532E1"/>
    <w:rsid w:val="00253A3C"/>
    <w:rsid w:val="002541C0"/>
    <w:rsid w:val="00254694"/>
    <w:rsid w:val="00255FF0"/>
    <w:rsid w:val="0025602F"/>
    <w:rsid w:val="00256826"/>
    <w:rsid w:val="00256C1E"/>
    <w:rsid w:val="002571F3"/>
    <w:rsid w:val="00262B78"/>
    <w:rsid w:val="00264788"/>
    <w:rsid w:val="00264B8F"/>
    <w:rsid w:val="00264C61"/>
    <w:rsid w:val="00264D73"/>
    <w:rsid w:val="002651D6"/>
    <w:rsid w:val="002654F1"/>
    <w:rsid w:val="00265BFB"/>
    <w:rsid w:val="00265DCF"/>
    <w:rsid w:val="0026623E"/>
    <w:rsid w:val="002668BA"/>
    <w:rsid w:val="00266F68"/>
    <w:rsid w:val="00267471"/>
    <w:rsid w:val="00267961"/>
    <w:rsid w:val="002701E2"/>
    <w:rsid w:val="00270887"/>
    <w:rsid w:val="00271285"/>
    <w:rsid w:val="00271B05"/>
    <w:rsid w:val="00272F05"/>
    <w:rsid w:val="0027303E"/>
    <w:rsid w:val="002736D7"/>
    <w:rsid w:val="00273E2C"/>
    <w:rsid w:val="0027423C"/>
    <w:rsid w:val="00274C49"/>
    <w:rsid w:val="00274F51"/>
    <w:rsid w:val="00276021"/>
    <w:rsid w:val="0027734B"/>
    <w:rsid w:val="002774DB"/>
    <w:rsid w:val="00277A64"/>
    <w:rsid w:val="00277CA0"/>
    <w:rsid w:val="002801D0"/>
    <w:rsid w:val="00280425"/>
    <w:rsid w:val="00280C5C"/>
    <w:rsid w:val="002810E3"/>
    <w:rsid w:val="00281563"/>
    <w:rsid w:val="0028217C"/>
    <w:rsid w:val="0028268A"/>
    <w:rsid w:val="00282AFD"/>
    <w:rsid w:val="00283845"/>
    <w:rsid w:val="00284004"/>
    <w:rsid w:val="0028502E"/>
    <w:rsid w:val="00285822"/>
    <w:rsid w:val="00285EF0"/>
    <w:rsid w:val="00286C34"/>
    <w:rsid w:val="00286CFE"/>
    <w:rsid w:val="00287242"/>
    <w:rsid w:val="00287594"/>
    <w:rsid w:val="00287626"/>
    <w:rsid w:val="002879DE"/>
    <w:rsid w:val="00287B42"/>
    <w:rsid w:val="00287BFF"/>
    <w:rsid w:val="00287E08"/>
    <w:rsid w:val="00287F73"/>
    <w:rsid w:val="00291A96"/>
    <w:rsid w:val="00291DB6"/>
    <w:rsid w:val="00292395"/>
    <w:rsid w:val="002937CF"/>
    <w:rsid w:val="00295448"/>
    <w:rsid w:val="00295802"/>
    <w:rsid w:val="00296566"/>
    <w:rsid w:val="002973A8"/>
    <w:rsid w:val="002974AE"/>
    <w:rsid w:val="00297A3D"/>
    <w:rsid w:val="002A0ADA"/>
    <w:rsid w:val="002A11EA"/>
    <w:rsid w:val="002A1957"/>
    <w:rsid w:val="002A1CEE"/>
    <w:rsid w:val="002A203B"/>
    <w:rsid w:val="002A284C"/>
    <w:rsid w:val="002A32E0"/>
    <w:rsid w:val="002A35FE"/>
    <w:rsid w:val="002A4F17"/>
    <w:rsid w:val="002A50C2"/>
    <w:rsid w:val="002A5443"/>
    <w:rsid w:val="002A58E2"/>
    <w:rsid w:val="002A6E71"/>
    <w:rsid w:val="002A726B"/>
    <w:rsid w:val="002A73E5"/>
    <w:rsid w:val="002B066F"/>
    <w:rsid w:val="002B14D6"/>
    <w:rsid w:val="002B1C3E"/>
    <w:rsid w:val="002B1CC3"/>
    <w:rsid w:val="002B221C"/>
    <w:rsid w:val="002B2AB9"/>
    <w:rsid w:val="002B3245"/>
    <w:rsid w:val="002B39E9"/>
    <w:rsid w:val="002B417B"/>
    <w:rsid w:val="002B4949"/>
    <w:rsid w:val="002B5821"/>
    <w:rsid w:val="002B5870"/>
    <w:rsid w:val="002B5925"/>
    <w:rsid w:val="002B5948"/>
    <w:rsid w:val="002B5DF2"/>
    <w:rsid w:val="002B5FAC"/>
    <w:rsid w:val="002B6575"/>
    <w:rsid w:val="002B662C"/>
    <w:rsid w:val="002B665C"/>
    <w:rsid w:val="002B683D"/>
    <w:rsid w:val="002B686D"/>
    <w:rsid w:val="002B6915"/>
    <w:rsid w:val="002C0A46"/>
    <w:rsid w:val="002C1031"/>
    <w:rsid w:val="002C2A59"/>
    <w:rsid w:val="002C36FD"/>
    <w:rsid w:val="002C571D"/>
    <w:rsid w:val="002C5A61"/>
    <w:rsid w:val="002C5EE2"/>
    <w:rsid w:val="002C6019"/>
    <w:rsid w:val="002C6620"/>
    <w:rsid w:val="002C6AEB"/>
    <w:rsid w:val="002C7093"/>
    <w:rsid w:val="002C7212"/>
    <w:rsid w:val="002C7B3E"/>
    <w:rsid w:val="002C7CA4"/>
    <w:rsid w:val="002D0031"/>
    <w:rsid w:val="002D1385"/>
    <w:rsid w:val="002D1410"/>
    <w:rsid w:val="002D1429"/>
    <w:rsid w:val="002D1788"/>
    <w:rsid w:val="002D2267"/>
    <w:rsid w:val="002D24FA"/>
    <w:rsid w:val="002D2AD2"/>
    <w:rsid w:val="002D2ADD"/>
    <w:rsid w:val="002D2C57"/>
    <w:rsid w:val="002D3856"/>
    <w:rsid w:val="002D42D3"/>
    <w:rsid w:val="002D469A"/>
    <w:rsid w:val="002D4A92"/>
    <w:rsid w:val="002D55DF"/>
    <w:rsid w:val="002D59A5"/>
    <w:rsid w:val="002D622E"/>
    <w:rsid w:val="002D6489"/>
    <w:rsid w:val="002D686B"/>
    <w:rsid w:val="002D6938"/>
    <w:rsid w:val="002D6AA4"/>
    <w:rsid w:val="002D7226"/>
    <w:rsid w:val="002E03F4"/>
    <w:rsid w:val="002E0A32"/>
    <w:rsid w:val="002E12C7"/>
    <w:rsid w:val="002E1A7E"/>
    <w:rsid w:val="002E1B41"/>
    <w:rsid w:val="002E2C82"/>
    <w:rsid w:val="002E3B02"/>
    <w:rsid w:val="002E4BF9"/>
    <w:rsid w:val="002E5391"/>
    <w:rsid w:val="002E56CA"/>
    <w:rsid w:val="002E59E6"/>
    <w:rsid w:val="002E67B5"/>
    <w:rsid w:val="002F14AF"/>
    <w:rsid w:val="002F167D"/>
    <w:rsid w:val="002F1FD8"/>
    <w:rsid w:val="002F2BC9"/>
    <w:rsid w:val="002F327A"/>
    <w:rsid w:val="002F3E0E"/>
    <w:rsid w:val="002F4750"/>
    <w:rsid w:val="002F5A5C"/>
    <w:rsid w:val="002F60D1"/>
    <w:rsid w:val="002F61F0"/>
    <w:rsid w:val="002F7A86"/>
    <w:rsid w:val="00301047"/>
    <w:rsid w:val="0030136E"/>
    <w:rsid w:val="00301378"/>
    <w:rsid w:val="00301A58"/>
    <w:rsid w:val="00301B9A"/>
    <w:rsid w:val="00301D68"/>
    <w:rsid w:val="003021AD"/>
    <w:rsid w:val="0030249C"/>
    <w:rsid w:val="003026A5"/>
    <w:rsid w:val="00302897"/>
    <w:rsid w:val="003036E9"/>
    <w:rsid w:val="00304A15"/>
    <w:rsid w:val="00304DA9"/>
    <w:rsid w:val="00304DF7"/>
    <w:rsid w:val="0030568B"/>
    <w:rsid w:val="00305D57"/>
    <w:rsid w:val="00307340"/>
    <w:rsid w:val="00307E87"/>
    <w:rsid w:val="00310DE4"/>
    <w:rsid w:val="003119D9"/>
    <w:rsid w:val="0031216B"/>
    <w:rsid w:val="003124D6"/>
    <w:rsid w:val="00312B5F"/>
    <w:rsid w:val="0031311E"/>
    <w:rsid w:val="0031372C"/>
    <w:rsid w:val="00313B96"/>
    <w:rsid w:val="00314524"/>
    <w:rsid w:val="0031545D"/>
    <w:rsid w:val="00315D92"/>
    <w:rsid w:val="00316F0D"/>
    <w:rsid w:val="003170C9"/>
    <w:rsid w:val="00317753"/>
    <w:rsid w:val="00317ADF"/>
    <w:rsid w:val="003204A2"/>
    <w:rsid w:val="0032086E"/>
    <w:rsid w:val="003213A1"/>
    <w:rsid w:val="003221B8"/>
    <w:rsid w:val="00322606"/>
    <w:rsid w:val="00322A3D"/>
    <w:rsid w:val="00322A80"/>
    <w:rsid w:val="00322AB5"/>
    <w:rsid w:val="00323404"/>
    <w:rsid w:val="00323BA3"/>
    <w:rsid w:val="00323D51"/>
    <w:rsid w:val="0032491B"/>
    <w:rsid w:val="00325505"/>
    <w:rsid w:val="0032636F"/>
    <w:rsid w:val="003263C6"/>
    <w:rsid w:val="00326971"/>
    <w:rsid w:val="00326CA7"/>
    <w:rsid w:val="00327702"/>
    <w:rsid w:val="00327BA9"/>
    <w:rsid w:val="00327BEA"/>
    <w:rsid w:val="00330A10"/>
    <w:rsid w:val="00330CAD"/>
    <w:rsid w:val="00330CE7"/>
    <w:rsid w:val="0033106C"/>
    <w:rsid w:val="00331333"/>
    <w:rsid w:val="00331AEE"/>
    <w:rsid w:val="00332F41"/>
    <w:rsid w:val="00333679"/>
    <w:rsid w:val="00333CBB"/>
    <w:rsid w:val="00334227"/>
    <w:rsid w:val="00334960"/>
    <w:rsid w:val="00334B0E"/>
    <w:rsid w:val="00334F0B"/>
    <w:rsid w:val="003350FC"/>
    <w:rsid w:val="003358A7"/>
    <w:rsid w:val="00335C47"/>
    <w:rsid w:val="00335DFC"/>
    <w:rsid w:val="00336271"/>
    <w:rsid w:val="00336924"/>
    <w:rsid w:val="0033716E"/>
    <w:rsid w:val="00337D14"/>
    <w:rsid w:val="0034077A"/>
    <w:rsid w:val="00341D6E"/>
    <w:rsid w:val="0034205F"/>
    <w:rsid w:val="003426BC"/>
    <w:rsid w:val="00342C36"/>
    <w:rsid w:val="003447CE"/>
    <w:rsid w:val="0034506A"/>
    <w:rsid w:val="003455C9"/>
    <w:rsid w:val="00345B11"/>
    <w:rsid w:val="00346013"/>
    <w:rsid w:val="003461C3"/>
    <w:rsid w:val="00346546"/>
    <w:rsid w:val="0035009B"/>
    <w:rsid w:val="00350F62"/>
    <w:rsid w:val="00351071"/>
    <w:rsid w:val="003519E7"/>
    <w:rsid w:val="00351E2B"/>
    <w:rsid w:val="00351F59"/>
    <w:rsid w:val="003521EA"/>
    <w:rsid w:val="0035263A"/>
    <w:rsid w:val="00352862"/>
    <w:rsid w:val="00352BB1"/>
    <w:rsid w:val="00352DDB"/>
    <w:rsid w:val="0035373C"/>
    <w:rsid w:val="003545FB"/>
    <w:rsid w:val="003548E7"/>
    <w:rsid w:val="003559E9"/>
    <w:rsid w:val="003568D2"/>
    <w:rsid w:val="00356E56"/>
    <w:rsid w:val="003570F0"/>
    <w:rsid w:val="00357D5C"/>
    <w:rsid w:val="00360233"/>
    <w:rsid w:val="0036028E"/>
    <w:rsid w:val="0036052E"/>
    <w:rsid w:val="0036091C"/>
    <w:rsid w:val="0036102E"/>
    <w:rsid w:val="0036117E"/>
    <w:rsid w:val="0036130C"/>
    <w:rsid w:val="00363373"/>
    <w:rsid w:val="003634B3"/>
    <w:rsid w:val="00364748"/>
    <w:rsid w:val="00364DDC"/>
    <w:rsid w:val="00364FB7"/>
    <w:rsid w:val="00365205"/>
    <w:rsid w:val="00366ED8"/>
    <w:rsid w:val="0036776D"/>
    <w:rsid w:val="00367E81"/>
    <w:rsid w:val="00370C00"/>
    <w:rsid w:val="00370D36"/>
    <w:rsid w:val="003713CE"/>
    <w:rsid w:val="00371A18"/>
    <w:rsid w:val="00371C4D"/>
    <w:rsid w:val="00373697"/>
    <w:rsid w:val="003739E6"/>
    <w:rsid w:val="00373A08"/>
    <w:rsid w:val="0037428B"/>
    <w:rsid w:val="00374E13"/>
    <w:rsid w:val="00375AC2"/>
    <w:rsid w:val="00375C42"/>
    <w:rsid w:val="00375F5A"/>
    <w:rsid w:val="0037617E"/>
    <w:rsid w:val="00376193"/>
    <w:rsid w:val="0037688B"/>
    <w:rsid w:val="00376B2D"/>
    <w:rsid w:val="00376F4B"/>
    <w:rsid w:val="00376FDE"/>
    <w:rsid w:val="00380575"/>
    <w:rsid w:val="00381626"/>
    <w:rsid w:val="00381C38"/>
    <w:rsid w:val="00381D4B"/>
    <w:rsid w:val="00382022"/>
    <w:rsid w:val="003827A9"/>
    <w:rsid w:val="00382E5F"/>
    <w:rsid w:val="00384870"/>
    <w:rsid w:val="0038506B"/>
    <w:rsid w:val="003854A9"/>
    <w:rsid w:val="003857B6"/>
    <w:rsid w:val="003864A6"/>
    <w:rsid w:val="00387CEA"/>
    <w:rsid w:val="0039021B"/>
    <w:rsid w:val="00391355"/>
    <w:rsid w:val="003915E8"/>
    <w:rsid w:val="0039212F"/>
    <w:rsid w:val="00392D0C"/>
    <w:rsid w:val="003930D0"/>
    <w:rsid w:val="003937C4"/>
    <w:rsid w:val="00394436"/>
    <w:rsid w:val="003956B9"/>
    <w:rsid w:val="003959A3"/>
    <w:rsid w:val="00396D87"/>
    <w:rsid w:val="00397193"/>
    <w:rsid w:val="00397F6D"/>
    <w:rsid w:val="003A15A4"/>
    <w:rsid w:val="003A2378"/>
    <w:rsid w:val="003A2BC4"/>
    <w:rsid w:val="003A2FA7"/>
    <w:rsid w:val="003A3CAD"/>
    <w:rsid w:val="003A5479"/>
    <w:rsid w:val="003A5B5A"/>
    <w:rsid w:val="003A6448"/>
    <w:rsid w:val="003B1121"/>
    <w:rsid w:val="003B13BC"/>
    <w:rsid w:val="003B1449"/>
    <w:rsid w:val="003B1D23"/>
    <w:rsid w:val="003B31FE"/>
    <w:rsid w:val="003B32A3"/>
    <w:rsid w:val="003B3BF4"/>
    <w:rsid w:val="003B409E"/>
    <w:rsid w:val="003B491D"/>
    <w:rsid w:val="003B509F"/>
    <w:rsid w:val="003B5572"/>
    <w:rsid w:val="003B55B1"/>
    <w:rsid w:val="003B621B"/>
    <w:rsid w:val="003B62F7"/>
    <w:rsid w:val="003B6911"/>
    <w:rsid w:val="003B709B"/>
    <w:rsid w:val="003B71CF"/>
    <w:rsid w:val="003B739A"/>
    <w:rsid w:val="003B74C1"/>
    <w:rsid w:val="003B7A31"/>
    <w:rsid w:val="003C1726"/>
    <w:rsid w:val="003C1978"/>
    <w:rsid w:val="003C1FEF"/>
    <w:rsid w:val="003C2309"/>
    <w:rsid w:val="003C23A7"/>
    <w:rsid w:val="003C25A7"/>
    <w:rsid w:val="003C2868"/>
    <w:rsid w:val="003C3336"/>
    <w:rsid w:val="003C38A7"/>
    <w:rsid w:val="003C396B"/>
    <w:rsid w:val="003C3BDC"/>
    <w:rsid w:val="003C436B"/>
    <w:rsid w:val="003C4F78"/>
    <w:rsid w:val="003C5161"/>
    <w:rsid w:val="003C5685"/>
    <w:rsid w:val="003C5737"/>
    <w:rsid w:val="003C5E36"/>
    <w:rsid w:val="003C6037"/>
    <w:rsid w:val="003C65B0"/>
    <w:rsid w:val="003C6F4F"/>
    <w:rsid w:val="003C707C"/>
    <w:rsid w:val="003C70DD"/>
    <w:rsid w:val="003C770B"/>
    <w:rsid w:val="003D00FD"/>
    <w:rsid w:val="003D0D12"/>
    <w:rsid w:val="003D15A0"/>
    <w:rsid w:val="003D2BBF"/>
    <w:rsid w:val="003D32D8"/>
    <w:rsid w:val="003D396E"/>
    <w:rsid w:val="003D4B4B"/>
    <w:rsid w:val="003D5E14"/>
    <w:rsid w:val="003D61A1"/>
    <w:rsid w:val="003D6500"/>
    <w:rsid w:val="003D698C"/>
    <w:rsid w:val="003D6A23"/>
    <w:rsid w:val="003D6C8A"/>
    <w:rsid w:val="003D6FAE"/>
    <w:rsid w:val="003D70D2"/>
    <w:rsid w:val="003D7789"/>
    <w:rsid w:val="003E0933"/>
    <w:rsid w:val="003E1CBB"/>
    <w:rsid w:val="003E265C"/>
    <w:rsid w:val="003E3C7D"/>
    <w:rsid w:val="003E3D64"/>
    <w:rsid w:val="003E4FAE"/>
    <w:rsid w:val="003E52AE"/>
    <w:rsid w:val="003E5B05"/>
    <w:rsid w:val="003E5FA3"/>
    <w:rsid w:val="003E61C0"/>
    <w:rsid w:val="003E69CE"/>
    <w:rsid w:val="003E6FB5"/>
    <w:rsid w:val="003F2E41"/>
    <w:rsid w:val="003F517E"/>
    <w:rsid w:val="003F7126"/>
    <w:rsid w:val="003F7252"/>
    <w:rsid w:val="003F7DCF"/>
    <w:rsid w:val="00400064"/>
    <w:rsid w:val="004008D1"/>
    <w:rsid w:val="004010D8"/>
    <w:rsid w:val="004013E0"/>
    <w:rsid w:val="00402639"/>
    <w:rsid w:val="004027CC"/>
    <w:rsid w:val="00402858"/>
    <w:rsid w:val="004031A5"/>
    <w:rsid w:val="00403234"/>
    <w:rsid w:val="004032E1"/>
    <w:rsid w:val="0040372A"/>
    <w:rsid w:val="00403806"/>
    <w:rsid w:val="004040DD"/>
    <w:rsid w:val="004061EA"/>
    <w:rsid w:val="00406420"/>
    <w:rsid w:val="00406434"/>
    <w:rsid w:val="004067A1"/>
    <w:rsid w:val="00407676"/>
    <w:rsid w:val="00411053"/>
    <w:rsid w:val="00411894"/>
    <w:rsid w:val="004126F8"/>
    <w:rsid w:val="004131EB"/>
    <w:rsid w:val="004134CF"/>
    <w:rsid w:val="004135D5"/>
    <w:rsid w:val="00414534"/>
    <w:rsid w:val="004149E8"/>
    <w:rsid w:val="00414DD6"/>
    <w:rsid w:val="00415778"/>
    <w:rsid w:val="004157DD"/>
    <w:rsid w:val="00415E50"/>
    <w:rsid w:val="00415FCD"/>
    <w:rsid w:val="004160E4"/>
    <w:rsid w:val="00416E4C"/>
    <w:rsid w:val="00416E90"/>
    <w:rsid w:val="00417E0B"/>
    <w:rsid w:val="00420D14"/>
    <w:rsid w:val="00421708"/>
    <w:rsid w:val="004222C1"/>
    <w:rsid w:val="0042288E"/>
    <w:rsid w:val="004229E2"/>
    <w:rsid w:val="004230B5"/>
    <w:rsid w:val="0042486F"/>
    <w:rsid w:val="00425444"/>
    <w:rsid w:val="00425A8C"/>
    <w:rsid w:val="004269D7"/>
    <w:rsid w:val="00427DC6"/>
    <w:rsid w:val="00430308"/>
    <w:rsid w:val="00431900"/>
    <w:rsid w:val="00432CB4"/>
    <w:rsid w:val="00433B49"/>
    <w:rsid w:val="00434161"/>
    <w:rsid w:val="0043422C"/>
    <w:rsid w:val="00434E9C"/>
    <w:rsid w:val="00435777"/>
    <w:rsid w:val="004366F6"/>
    <w:rsid w:val="004407F0"/>
    <w:rsid w:val="00440F58"/>
    <w:rsid w:val="0044116A"/>
    <w:rsid w:val="0044169C"/>
    <w:rsid w:val="0044213E"/>
    <w:rsid w:val="00442421"/>
    <w:rsid w:val="00442EA5"/>
    <w:rsid w:val="004434D0"/>
    <w:rsid w:val="00444694"/>
    <w:rsid w:val="00445033"/>
    <w:rsid w:val="0044604A"/>
    <w:rsid w:val="0044745A"/>
    <w:rsid w:val="00447CFB"/>
    <w:rsid w:val="0045148E"/>
    <w:rsid w:val="004514FD"/>
    <w:rsid w:val="0045327C"/>
    <w:rsid w:val="004533C8"/>
    <w:rsid w:val="00454089"/>
    <w:rsid w:val="00454BB4"/>
    <w:rsid w:val="004557D1"/>
    <w:rsid w:val="00455964"/>
    <w:rsid w:val="00455CCD"/>
    <w:rsid w:val="00456704"/>
    <w:rsid w:val="00456CDA"/>
    <w:rsid w:val="004575FD"/>
    <w:rsid w:val="004604F5"/>
    <w:rsid w:val="00460AE9"/>
    <w:rsid w:val="0046185D"/>
    <w:rsid w:val="00461B27"/>
    <w:rsid w:val="00461DF2"/>
    <w:rsid w:val="00464591"/>
    <w:rsid w:val="00464B28"/>
    <w:rsid w:val="004654EA"/>
    <w:rsid w:val="004660FA"/>
    <w:rsid w:val="00466772"/>
    <w:rsid w:val="00466B7A"/>
    <w:rsid w:val="004670CC"/>
    <w:rsid w:val="00467EA1"/>
    <w:rsid w:val="004700DF"/>
    <w:rsid w:val="00470162"/>
    <w:rsid w:val="0047043B"/>
    <w:rsid w:val="00470DD4"/>
    <w:rsid w:val="0047106F"/>
    <w:rsid w:val="004713F6"/>
    <w:rsid w:val="0047200B"/>
    <w:rsid w:val="004731C8"/>
    <w:rsid w:val="0047347F"/>
    <w:rsid w:val="004738B7"/>
    <w:rsid w:val="00473A42"/>
    <w:rsid w:val="00474070"/>
    <w:rsid w:val="00474121"/>
    <w:rsid w:val="004741FD"/>
    <w:rsid w:val="0047591F"/>
    <w:rsid w:val="00475C0E"/>
    <w:rsid w:val="00476852"/>
    <w:rsid w:val="0048014F"/>
    <w:rsid w:val="00480D6F"/>
    <w:rsid w:val="00481649"/>
    <w:rsid w:val="00481880"/>
    <w:rsid w:val="00481C17"/>
    <w:rsid w:val="00481EE8"/>
    <w:rsid w:val="004831AE"/>
    <w:rsid w:val="004835B5"/>
    <w:rsid w:val="00484F56"/>
    <w:rsid w:val="00485097"/>
    <w:rsid w:val="004851EE"/>
    <w:rsid w:val="00485A1F"/>
    <w:rsid w:val="00486475"/>
    <w:rsid w:val="00487C9D"/>
    <w:rsid w:val="00487D6E"/>
    <w:rsid w:val="00490008"/>
    <w:rsid w:val="004906E1"/>
    <w:rsid w:val="004907A7"/>
    <w:rsid w:val="00490E97"/>
    <w:rsid w:val="00491025"/>
    <w:rsid w:val="004915F2"/>
    <w:rsid w:val="0049188C"/>
    <w:rsid w:val="004924EE"/>
    <w:rsid w:val="00492827"/>
    <w:rsid w:val="00492B0A"/>
    <w:rsid w:val="00492CF8"/>
    <w:rsid w:val="00492EA6"/>
    <w:rsid w:val="0049372E"/>
    <w:rsid w:val="00493E31"/>
    <w:rsid w:val="00494EE0"/>
    <w:rsid w:val="00495891"/>
    <w:rsid w:val="00496A4D"/>
    <w:rsid w:val="00496D87"/>
    <w:rsid w:val="004977DC"/>
    <w:rsid w:val="004A044B"/>
    <w:rsid w:val="004A06DC"/>
    <w:rsid w:val="004A0ED7"/>
    <w:rsid w:val="004A1685"/>
    <w:rsid w:val="004A26C3"/>
    <w:rsid w:val="004A3521"/>
    <w:rsid w:val="004A3E34"/>
    <w:rsid w:val="004A3E6F"/>
    <w:rsid w:val="004A3E84"/>
    <w:rsid w:val="004A4234"/>
    <w:rsid w:val="004A4696"/>
    <w:rsid w:val="004A5FE9"/>
    <w:rsid w:val="004A6217"/>
    <w:rsid w:val="004A6A4A"/>
    <w:rsid w:val="004B056F"/>
    <w:rsid w:val="004B0BE0"/>
    <w:rsid w:val="004B15B5"/>
    <w:rsid w:val="004B174C"/>
    <w:rsid w:val="004B2186"/>
    <w:rsid w:val="004B2722"/>
    <w:rsid w:val="004B2941"/>
    <w:rsid w:val="004B2E3C"/>
    <w:rsid w:val="004B30DA"/>
    <w:rsid w:val="004B3345"/>
    <w:rsid w:val="004B3815"/>
    <w:rsid w:val="004B3892"/>
    <w:rsid w:val="004B3A40"/>
    <w:rsid w:val="004B3CE7"/>
    <w:rsid w:val="004B4880"/>
    <w:rsid w:val="004B4C90"/>
    <w:rsid w:val="004B4D74"/>
    <w:rsid w:val="004B52FD"/>
    <w:rsid w:val="004B55AD"/>
    <w:rsid w:val="004B69DA"/>
    <w:rsid w:val="004B6E7B"/>
    <w:rsid w:val="004B7091"/>
    <w:rsid w:val="004B722A"/>
    <w:rsid w:val="004C0525"/>
    <w:rsid w:val="004C16D9"/>
    <w:rsid w:val="004C197D"/>
    <w:rsid w:val="004C2974"/>
    <w:rsid w:val="004C2CD6"/>
    <w:rsid w:val="004C33BC"/>
    <w:rsid w:val="004C56A9"/>
    <w:rsid w:val="004C5C64"/>
    <w:rsid w:val="004C623C"/>
    <w:rsid w:val="004C67C1"/>
    <w:rsid w:val="004C7068"/>
    <w:rsid w:val="004D08C1"/>
    <w:rsid w:val="004D1162"/>
    <w:rsid w:val="004D1192"/>
    <w:rsid w:val="004D1AD6"/>
    <w:rsid w:val="004D2268"/>
    <w:rsid w:val="004D24EA"/>
    <w:rsid w:val="004D32FD"/>
    <w:rsid w:val="004D3939"/>
    <w:rsid w:val="004D3E21"/>
    <w:rsid w:val="004D3E33"/>
    <w:rsid w:val="004D40A6"/>
    <w:rsid w:val="004D4610"/>
    <w:rsid w:val="004D4D6A"/>
    <w:rsid w:val="004D4ED6"/>
    <w:rsid w:val="004D5F79"/>
    <w:rsid w:val="004D6514"/>
    <w:rsid w:val="004D70FB"/>
    <w:rsid w:val="004E0E1E"/>
    <w:rsid w:val="004E1579"/>
    <w:rsid w:val="004E173A"/>
    <w:rsid w:val="004E19DF"/>
    <w:rsid w:val="004E3972"/>
    <w:rsid w:val="004E3A64"/>
    <w:rsid w:val="004E4475"/>
    <w:rsid w:val="004E4BF0"/>
    <w:rsid w:val="004E520D"/>
    <w:rsid w:val="004E589C"/>
    <w:rsid w:val="004E58E4"/>
    <w:rsid w:val="004E5CE8"/>
    <w:rsid w:val="004E6182"/>
    <w:rsid w:val="004E6250"/>
    <w:rsid w:val="004E6A25"/>
    <w:rsid w:val="004E6C6B"/>
    <w:rsid w:val="004E710E"/>
    <w:rsid w:val="004E775B"/>
    <w:rsid w:val="004E78A5"/>
    <w:rsid w:val="004E7AB7"/>
    <w:rsid w:val="004E7CFE"/>
    <w:rsid w:val="004F1280"/>
    <w:rsid w:val="004F1F84"/>
    <w:rsid w:val="004F262F"/>
    <w:rsid w:val="004F26DC"/>
    <w:rsid w:val="004F383E"/>
    <w:rsid w:val="004F39DD"/>
    <w:rsid w:val="004F3EFF"/>
    <w:rsid w:val="004F4361"/>
    <w:rsid w:val="004F4775"/>
    <w:rsid w:val="004F5395"/>
    <w:rsid w:val="004F7654"/>
    <w:rsid w:val="004F7C00"/>
    <w:rsid w:val="004F7EFD"/>
    <w:rsid w:val="00500BCD"/>
    <w:rsid w:val="00502582"/>
    <w:rsid w:val="00503607"/>
    <w:rsid w:val="00503EE9"/>
    <w:rsid w:val="00503F2D"/>
    <w:rsid w:val="00505363"/>
    <w:rsid w:val="0050700F"/>
    <w:rsid w:val="0050724B"/>
    <w:rsid w:val="00507347"/>
    <w:rsid w:val="005073AA"/>
    <w:rsid w:val="00507924"/>
    <w:rsid w:val="005079D6"/>
    <w:rsid w:val="005103B9"/>
    <w:rsid w:val="0051243D"/>
    <w:rsid w:val="00512450"/>
    <w:rsid w:val="00512595"/>
    <w:rsid w:val="0051375C"/>
    <w:rsid w:val="00513890"/>
    <w:rsid w:val="00513ABE"/>
    <w:rsid w:val="00513E23"/>
    <w:rsid w:val="00514F66"/>
    <w:rsid w:val="00515A86"/>
    <w:rsid w:val="00515F3E"/>
    <w:rsid w:val="005171AF"/>
    <w:rsid w:val="00517AF5"/>
    <w:rsid w:val="00520064"/>
    <w:rsid w:val="00520326"/>
    <w:rsid w:val="00520B41"/>
    <w:rsid w:val="00521595"/>
    <w:rsid w:val="00521AA3"/>
    <w:rsid w:val="00522C7D"/>
    <w:rsid w:val="00522DD4"/>
    <w:rsid w:val="00522F02"/>
    <w:rsid w:val="00523293"/>
    <w:rsid w:val="00524088"/>
    <w:rsid w:val="00524317"/>
    <w:rsid w:val="00524BB7"/>
    <w:rsid w:val="005255E5"/>
    <w:rsid w:val="005261F7"/>
    <w:rsid w:val="00526565"/>
    <w:rsid w:val="00526C23"/>
    <w:rsid w:val="00527C0E"/>
    <w:rsid w:val="005314EB"/>
    <w:rsid w:val="00532BA2"/>
    <w:rsid w:val="00533C5C"/>
    <w:rsid w:val="005341B2"/>
    <w:rsid w:val="00534839"/>
    <w:rsid w:val="00534AD4"/>
    <w:rsid w:val="005351FB"/>
    <w:rsid w:val="0053563A"/>
    <w:rsid w:val="005358FB"/>
    <w:rsid w:val="00535C79"/>
    <w:rsid w:val="005363F2"/>
    <w:rsid w:val="00537541"/>
    <w:rsid w:val="00537760"/>
    <w:rsid w:val="00540411"/>
    <w:rsid w:val="00540D16"/>
    <w:rsid w:val="005418BF"/>
    <w:rsid w:val="00541C26"/>
    <w:rsid w:val="005429CB"/>
    <w:rsid w:val="005431F6"/>
    <w:rsid w:val="005437F5"/>
    <w:rsid w:val="00543814"/>
    <w:rsid w:val="00544371"/>
    <w:rsid w:val="0054703D"/>
    <w:rsid w:val="00547388"/>
    <w:rsid w:val="00547833"/>
    <w:rsid w:val="00550819"/>
    <w:rsid w:val="00550A77"/>
    <w:rsid w:val="00552B36"/>
    <w:rsid w:val="00552E70"/>
    <w:rsid w:val="005532AB"/>
    <w:rsid w:val="00553F97"/>
    <w:rsid w:val="0055443D"/>
    <w:rsid w:val="00554B15"/>
    <w:rsid w:val="0055530F"/>
    <w:rsid w:val="005555FB"/>
    <w:rsid w:val="0055564B"/>
    <w:rsid w:val="005566EF"/>
    <w:rsid w:val="005568AA"/>
    <w:rsid w:val="00557CAC"/>
    <w:rsid w:val="0056007E"/>
    <w:rsid w:val="0056027E"/>
    <w:rsid w:val="00560959"/>
    <w:rsid w:val="0056160E"/>
    <w:rsid w:val="00561921"/>
    <w:rsid w:val="00561A1A"/>
    <w:rsid w:val="00562216"/>
    <w:rsid w:val="005622BD"/>
    <w:rsid w:val="00562402"/>
    <w:rsid w:val="005626C8"/>
    <w:rsid w:val="00563A0D"/>
    <w:rsid w:val="00564ECD"/>
    <w:rsid w:val="005652B6"/>
    <w:rsid w:val="0056579D"/>
    <w:rsid w:val="00565948"/>
    <w:rsid w:val="005659AB"/>
    <w:rsid w:val="00566627"/>
    <w:rsid w:val="0056680C"/>
    <w:rsid w:val="00566D31"/>
    <w:rsid w:val="00566F49"/>
    <w:rsid w:val="00567158"/>
    <w:rsid w:val="0056765C"/>
    <w:rsid w:val="00570781"/>
    <w:rsid w:val="00570ACB"/>
    <w:rsid w:val="00570CEC"/>
    <w:rsid w:val="00571504"/>
    <w:rsid w:val="0057154D"/>
    <w:rsid w:val="00571A7C"/>
    <w:rsid w:val="00572058"/>
    <w:rsid w:val="005727D4"/>
    <w:rsid w:val="00572FA3"/>
    <w:rsid w:val="005736BC"/>
    <w:rsid w:val="005748C8"/>
    <w:rsid w:val="00574972"/>
    <w:rsid w:val="00574A1A"/>
    <w:rsid w:val="00574FFB"/>
    <w:rsid w:val="0057588B"/>
    <w:rsid w:val="005758D3"/>
    <w:rsid w:val="00575D66"/>
    <w:rsid w:val="00575FC7"/>
    <w:rsid w:val="00576D8F"/>
    <w:rsid w:val="005772AA"/>
    <w:rsid w:val="00577F77"/>
    <w:rsid w:val="005805C1"/>
    <w:rsid w:val="00582246"/>
    <w:rsid w:val="0058269D"/>
    <w:rsid w:val="00582D0F"/>
    <w:rsid w:val="005834C4"/>
    <w:rsid w:val="00584942"/>
    <w:rsid w:val="00585947"/>
    <w:rsid w:val="005865E5"/>
    <w:rsid w:val="005866CC"/>
    <w:rsid w:val="005878DD"/>
    <w:rsid w:val="00587E73"/>
    <w:rsid w:val="005909D2"/>
    <w:rsid w:val="00590C62"/>
    <w:rsid w:val="00591040"/>
    <w:rsid w:val="00591E3D"/>
    <w:rsid w:val="00592A04"/>
    <w:rsid w:val="00592BA4"/>
    <w:rsid w:val="005930D9"/>
    <w:rsid w:val="00593116"/>
    <w:rsid w:val="005939FB"/>
    <w:rsid w:val="00593BE4"/>
    <w:rsid w:val="0059437B"/>
    <w:rsid w:val="0059445F"/>
    <w:rsid w:val="005946AB"/>
    <w:rsid w:val="0059535F"/>
    <w:rsid w:val="00595B26"/>
    <w:rsid w:val="0059604A"/>
    <w:rsid w:val="0059657B"/>
    <w:rsid w:val="00596B8C"/>
    <w:rsid w:val="00596EEC"/>
    <w:rsid w:val="00597345"/>
    <w:rsid w:val="005A091D"/>
    <w:rsid w:val="005A0B90"/>
    <w:rsid w:val="005A0E6C"/>
    <w:rsid w:val="005A1757"/>
    <w:rsid w:val="005A1E94"/>
    <w:rsid w:val="005A2011"/>
    <w:rsid w:val="005A257F"/>
    <w:rsid w:val="005A2794"/>
    <w:rsid w:val="005A2C69"/>
    <w:rsid w:val="005A2FF0"/>
    <w:rsid w:val="005A4765"/>
    <w:rsid w:val="005A4A4A"/>
    <w:rsid w:val="005A4D8E"/>
    <w:rsid w:val="005A5D50"/>
    <w:rsid w:val="005A743D"/>
    <w:rsid w:val="005A7945"/>
    <w:rsid w:val="005A7AC7"/>
    <w:rsid w:val="005B2C3F"/>
    <w:rsid w:val="005B36E3"/>
    <w:rsid w:val="005B3751"/>
    <w:rsid w:val="005B3DC9"/>
    <w:rsid w:val="005B3FCE"/>
    <w:rsid w:val="005B4D3F"/>
    <w:rsid w:val="005B6270"/>
    <w:rsid w:val="005B6457"/>
    <w:rsid w:val="005B6E2F"/>
    <w:rsid w:val="005B77A2"/>
    <w:rsid w:val="005B7F41"/>
    <w:rsid w:val="005C13CA"/>
    <w:rsid w:val="005C14E1"/>
    <w:rsid w:val="005C18A0"/>
    <w:rsid w:val="005C3491"/>
    <w:rsid w:val="005C36E0"/>
    <w:rsid w:val="005C42D3"/>
    <w:rsid w:val="005C43F0"/>
    <w:rsid w:val="005C579A"/>
    <w:rsid w:val="005C5918"/>
    <w:rsid w:val="005C61A8"/>
    <w:rsid w:val="005C67DC"/>
    <w:rsid w:val="005C6966"/>
    <w:rsid w:val="005C6B99"/>
    <w:rsid w:val="005C723B"/>
    <w:rsid w:val="005C7924"/>
    <w:rsid w:val="005C7B6E"/>
    <w:rsid w:val="005C7D2D"/>
    <w:rsid w:val="005D058B"/>
    <w:rsid w:val="005D05DB"/>
    <w:rsid w:val="005D0A41"/>
    <w:rsid w:val="005D0EDD"/>
    <w:rsid w:val="005D121D"/>
    <w:rsid w:val="005D1616"/>
    <w:rsid w:val="005D1754"/>
    <w:rsid w:val="005D230C"/>
    <w:rsid w:val="005D2F49"/>
    <w:rsid w:val="005D3570"/>
    <w:rsid w:val="005D3E51"/>
    <w:rsid w:val="005D405C"/>
    <w:rsid w:val="005D513C"/>
    <w:rsid w:val="005D55E2"/>
    <w:rsid w:val="005D591E"/>
    <w:rsid w:val="005D5BFA"/>
    <w:rsid w:val="005D5CF8"/>
    <w:rsid w:val="005D6672"/>
    <w:rsid w:val="005D686D"/>
    <w:rsid w:val="005D7819"/>
    <w:rsid w:val="005D79BE"/>
    <w:rsid w:val="005E09A7"/>
    <w:rsid w:val="005E0B8D"/>
    <w:rsid w:val="005E209D"/>
    <w:rsid w:val="005E2196"/>
    <w:rsid w:val="005E403F"/>
    <w:rsid w:val="005E41D4"/>
    <w:rsid w:val="005E4C63"/>
    <w:rsid w:val="005E5FB8"/>
    <w:rsid w:val="005E64AA"/>
    <w:rsid w:val="005E7243"/>
    <w:rsid w:val="005E7A6F"/>
    <w:rsid w:val="005F03F6"/>
    <w:rsid w:val="005F05A6"/>
    <w:rsid w:val="005F1123"/>
    <w:rsid w:val="005F3ECB"/>
    <w:rsid w:val="005F49C8"/>
    <w:rsid w:val="005F5C4A"/>
    <w:rsid w:val="005F5FC5"/>
    <w:rsid w:val="005F61FB"/>
    <w:rsid w:val="005F6620"/>
    <w:rsid w:val="00600233"/>
    <w:rsid w:val="00600DC5"/>
    <w:rsid w:val="00601497"/>
    <w:rsid w:val="00603A99"/>
    <w:rsid w:val="006040BB"/>
    <w:rsid w:val="0060434E"/>
    <w:rsid w:val="0060478F"/>
    <w:rsid w:val="00605FBD"/>
    <w:rsid w:val="006060E6"/>
    <w:rsid w:val="00606E39"/>
    <w:rsid w:val="00607097"/>
    <w:rsid w:val="006109C0"/>
    <w:rsid w:val="00612C71"/>
    <w:rsid w:val="00613268"/>
    <w:rsid w:val="00614C17"/>
    <w:rsid w:val="006167E9"/>
    <w:rsid w:val="00616F9E"/>
    <w:rsid w:val="0061728B"/>
    <w:rsid w:val="0061731C"/>
    <w:rsid w:val="006177AB"/>
    <w:rsid w:val="00617A58"/>
    <w:rsid w:val="00620341"/>
    <w:rsid w:val="00620C63"/>
    <w:rsid w:val="0062137C"/>
    <w:rsid w:val="0062178D"/>
    <w:rsid w:val="00622225"/>
    <w:rsid w:val="0062300E"/>
    <w:rsid w:val="00623655"/>
    <w:rsid w:val="00623B53"/>
    <w:rsid w:val="006251CE"/>
    <w:rsid w:val="00625BC3"/>
    <w:rsid w:val="0062779A"/>
    <w:rsid w:val="006278F7"/>
    <w:rsid w:val="00627B4F"/>
    <w:rsid w:val="00630B28"/>
    <w:rsid w:val="00630E67"/>
    <w:rsid w:val="00632057"/>
    <w:rsid w:val="00632131"/>
    <w:rsid w:val="006326DF"/>
    <w:rsid w:val="00632D03"/>
    <w:rsid w:val="00632E0D"/>
    <w:rsid w:val="0063305F"/>
    <w:rsid w:val="006337D8"/>
    <w:rsid w:val="00634288"/>
    <w:rsid w:val="00634671"/>
    <w:rsid w:val="00634A88"/>
    <w:rsid w:val="00634AB8"/>
    <w:rsid w:val="00634E85"/>
    <w:rsid w:val="00635D8D"/>
    <w:rsid w:val="00636222"/>
    <w:rsid w:val="0063638C"/>
    <w:rsid w:val="006379F9"/>
    <w:rsid w:val="00637A3C"/>
    <w:rsid w:val="00637D52"/>
    <w:rsid w:val="0064002B"/>
    <w:rsid w:val="00640AB5"/>
    <w:rsid w:val="006411C6"/>
    <w:rsid w:val="00641985"/>
    <w:rsid w:val="00642833"/>
    <w:rsid w:val="00642B5B"/>
    <w:rsid w:val="00642C89"/>
    <w:rsid w:val="00642CC7"/>
    <w:rsid w:val="00643D81"/>
    <w:rsid w:val="0064553F"/>
    <w:rsid w:val="00645FFD"/>
    <w:rsid w:val="0064602B"/>
    <w:rsid w:val="00646211"/>
    <w:rsid w:val="00646792"/>
    <w:rsid w:val="00646C38"/>
    <w:rsid w:val="006470AA"/>
    <w:rsid w:val="00647481"/>
    <w:rsid w:val="00647814"/>
    <w:rsid w:val="00647D00"/>
    <w:rsid w:val="00647E04"/>
    <w:rsid w:val="006502E5"/>
    <w:rsid w:val="00650F63"/>
    <w:rsid w:val="00651559"/>
    <w:rsid w:val="00651A07"/>
    <w:rsid w:val="00651B1E"/>
    <w:rsid w:val="0065204C"/>
    <w:rsid w:val="006526E8"/>
    <w:rsid w:val="0065316E"/>
    <w:rsid w:val="0065362D"/>
    <w:rsid w:val="006538F5"/>
    <w:rsid w:val="00654287"/>
    <w:rsid w:val="00654F29"/>
    <w:rsid w:val="00655279"/>
    <w:rsid w:val="00655874"/>
    <w:rsid w:val="006560A9"/>
    <w:rsid w:val="006566FF"/>
    <w:rsid w:val="00660596"/>
    <w:rsid w:val="00660EB1"/>
    <w:rsid w:val="00661098"/>
    <w:rsid w:val="006613E7"/>
    <w:rsid w:val="006614E1"/>
    <w:rsid w:val="00662661"/>
    <w:rsid w:val="00665195"/>
    <w:rsid w:val="0066575D"/>
    <w:rsid w:val="00665C2E"/>
    <w:rsid w:val="00665E11"/>
    <w:rsid w:val="006662D8"/>
    <w:rsid w:val="00666A23"/>
    <w:rsid w:val="00667B63"/>
    <w:rsid w:val="00670515"/>
    <w:rsid w:val="00670A76"/>
    <w:rsid w:val="00670B9F"/>
    <w:rsid w:val="00670E1C"/>
    <w:rsid w:val="0067305E"/>
    <w:rsid w:val="006739F7"/>
    <w:rsid w:val="00674703"/>
    <w:rsid w:val="00675726"/>
    <w:rsid w:val="00675B6A"/>
    <w:rsid w:val="00676F9A"/>
    <w:rsid w:val="006771D4"/>
    <w:rsid w:val="00677558"/>
    <w:rsid w:val="0068019C"/>
    <w:rsid w:val="00681143"/>
    <w:rsid w:val="00681520"/>
    <w:rsid w:val="0068169D"/>
    <w:rsid w:val="00682BC2"/>
    <w:rsid w:val="00683663"/>
    <w:rsid w:val="00683C94"/>
    <w:rsid w:val="0068416F"/>
    <w:rsid w:val="00684943"/>
    <w:rsid w:val="00685878"/>
    <w:rsid w:val="00686C30"/>
    <w:rsid w:val="0068702A"/>
    <w:rsid w:val="00687277"/>
    <w:rsid w:val="0068767F"/>
    <w:rsid w:val="006879C3"/>
    <w:rsid w:val="00690D2A"/>
    <w:rsid w:val="00691038"/>
    <w:rsid w:val="0069199C"/>
    <w:rsid w:val="006926FE"/>
    <w:rsid w:val="00693A5E"/>
    <w:rsid w:val="00693F52"/>
    <w:rsid w:val="00694167"/>
    <w:rsid w:val="00694B51"/>
    <w:rsid w:val="006955CC"/>
    <w:rsid w:val="006955DE"/>
    <w:rsid w:val="0069696D"/>
    <w:rsid w:val="00696A9C"/>
    <w:rsid w:val="006974E5"/>
    <w:rsid w:val="006979ED"/>
    <w:rsid w:val="00697AE0"/>
    <w:rsid w:val="00697E94"/>
    <w:rsid w:val="006A0765"/>
    <w:rsid w:val="006A07E6"/>
    <w:rsid w:val="006A1538"/>
    <w:rsid w:val="006A15C5"/>
    <w:rsid w:val="006A22F7"/>
    <w:rsid w:val="006A2525"/>
    <w:rsid w:val="006A2FF9"/>
    <w:rsid w:val="006A3135"/>
    <w:rsid w:val="006A383A"/>
    <w:rsid w:val="006A3872"/>
    <w:rsid w:val="006A3A6F"/>
    <w:rsid w:val="006A3E77"/>
    <w:rsid w:val="006A40D6"/>
    <w:rsid w:val="006A4170"/>
    <w:rsid w:val="006A48A6"/>
    <w:rsid w:val="006A4E4D"/>
    <w:rsid w:val="006A4F15"/>
    <w:rsid w:val="006A5099"/>
    <w:rsid w:val="006A52D9"/>
    <w:rsid w:val="006A5339"/>
    <w:rsid w:val="006A55A4"/>
    <w:rsid w:val="006A6133"/>
    <w:rsid w:val="006A6C76"/>
    <w:rsid w:val="006A7151"/>
    <w:rsid w:val="006A746D"/>
    <w:rsid w:val="006A7FEC"/>
    <w:rsid w:val="006B064A"/>
    <w:rsid w:val="006B0E9A"/>
    <w:rsid w:val="006B1CCF"/>
    <w:rsid w:val="006B2278"/>
    <w:rsid w:val="006B2605"/>
    <w:rsid w:val="006B3C87"/>
    <w:rsid w:val="006B4237"/>
    <w:rsid w:val="006B4296"/>
    <w:rsid w:val="006B434B"/>
    <w:rsid w:val="006B5124"/>
    <w:rsid w:val="006B5571"/>
    <w:rsid w:val="006B7358"/>
    <w:rsid w:val="006B772D"/>
    <w:rsid w:val="006C022B"/>
    <w:rsid w:val="006C0386"/>
    <w:rsid w:val="006C0AEC"/>
    <w:rsid w:val="006C0D0C"/>
    <w:rsid w:val="006C0D5A"/>
    <w:rsid w:val="006C1F5F"/>
    <w:rsid w:val="006C2A39"/>
    <w:rsid w:val="006C46F2"/>
    <w:rsid w:val="006C5843"/>
    <w:rsid w:val="006C5CFC"/>
    <w:rsid w:val="006C64E5"/>
    <w:rsid w:val="006C673F"/>
    <w:rsid w:val="006C6BB7"/>
    <w:rsid w:val="006C778C"/>
    <w:rsid w:val="006C7E56"/>
    <w:rsid w:val="006D01D1"/>
    <w:rsid w:val="006D02A4"/>
    <w:rsid w:val="006D1202"/>
    <w:rsid w:val="006D1B3E"/>
    <w:rsid w:val="006D3619"/>
    <w:rsid w:val="006D3F79"/>
    <w:rsid w:val="006D4724"/>
    <w:rsid w:val="006D54B3"/>
    <w:rsid w:val="006D5FBC"/>
    <w:rsid w:val="006D6329"/>
    <w:rsid w:val="006D64BD"/>
    <w:rsid w:val="006D6725"/>
    <w:rsid w:val="006D68C3"/>
    <w:rsid w:val="006D6E47"/>
    <w:rsid w:val="006D7370"/>
    <w:rsid w:val="006E045B"/>
    <w:rsid w:val="006E0A09"/>
    <w:rsid w:val="006E0F39"/>
    <w:rsid w:val="006E0FFA"/>
    <w:rsid w:val="006E118B"/>
    <w:rsid w:val="006E130B"/>
    <w:rsid w:val="006E2B03"/>
    <w:rsid w:val="006E2C3E"/>
    <w:rsid w:val="006E34B6"/>
    <w:rsid w:val="006E36E8"/>
    <w:rsid w:val="006E3AC1"/>
    <w:rsid w:val="006E444E"/>
    <w:rsid w:val="006E58A4"/>
    <w:rsid w:val="006E6256"/>
    <w:rsid w:val="006E69F3"/>
    <w:rsid w:val="006E6C4A"/>
    <w:rsid w:val="006E74DA"/>
    <w:rsid w:val="006E7B71"/>
    <w:rsid w:val="006E7EE1"/>
    <w:rsid w:val="006F1312"/>
    <w:rsid w:val="006F170E"/>
    <w:rsid w:val="006F1776"/>
    <w:rsid w:val="006F1F52"/>
    <w:rsid w:val="006F21D8"/>
    <w:rsid w:val="006F2DB5"/>
    <w:rsid w:val="006F2E92"/>
    <w:rsid w:val="006F35F0"/>
    <w:rsid w:val="006F3CBF"/>
    <w:rsid w:val="006F4802"/>
    <w:rsid w:val="006F5379"/>
    <w:rsid w:val="006F57B8"/>
    <w:rsid w:val="006F5FBB"/>
    <w:rsid w:val="006F623C"/>
    <w:rsid w:val="006F63E4"/>
    <w:rsid w:val="006F70EB"/>
    <w:rsid w:val="006F735D"/>
    <w:rsid w:val="006F751C"/>
    <w:rsid w:val="006F7E52"/>
    <w:rsid w:val="007001DD"/>
    <w:rsid w:val="00700338"/>
    <w:rsid w:val="00700388"/>
    <w:rsid w:val="00700704"/>
    <w:rsid w:val="00701233"/>
    <w:rsid w:val="0070140A"/>
    <w:rsid w:val="00702000"/>
    <w:rsid w:val="00702519"/>
    <w:rsid w:val="00702C37"/>
    <w:rsid w:val="00702DBB"/>
    <w:rsid w:val="007041A0"/>
    <w:rsid w:val="0070425D"/>
    <w:rsid w:val="00704703"/>
    <w:rsid w:val="00704755"/>
    <w:rsid w:val="00704B7E"/>
    <w:rsid w:val="007065B5"/>
    <w:rsid w:val="007067D8"/>
    <w:rsid w:val="00706C0F"/>
    <w:rsid w:val="007076FB"/>
    <w:rsid w:val="00707F42"/>
    <w:rsid w:val="0071020C"/>
    <w:rsid w:val="00710F42"/>
    <w:rsid w:val="00711353"/>
    <w:rsid w:val="00711B5C"/>
    <w:rsid w:val="007130B0"/>
    <w:rsid w:val="0071385C"/>
    <w:rsid w:val="00713CCF"/>
    <w:rsid w:val="0071494D"/>
    <w:rsid w:val="00714D0D"/>
    <w:rsid w:val="00714E5F"/>
    <w:rsid w:val="007152A9"/>
    <w:rsid w:val="00715530"/>
    <w:rsid w:val="00715C43"/>
    <w:rsid w:val="0071662D"/>
    <w:rsid w:val="00716B26"/>
    <w:rsid w:val="00716CF2"/>
    <w:rsid w:val="00717873"/>
    <w:rsid w:val="00717F5B"/>
    <w:rsid w:val="00720270"/>
    <w:rsid w:val="0072061A"/>
    <w:rsid w:val="007210A0"/>
    <w:rsid w:val="00721144"/>
    <w:rsid w:val="00721E1B"/>
    <w:rsid w:val="007237B9"/>
    <w:rsid w:val="00723963"/>
    <w:rsid w:val="00724A1B"/>
    <w:rsid w:val="00726D56"/>
    <w:rsid w:val="0072726A"/>
    <w:rsid w:val="007273A3"/>
    <w:rsid w:val="00727415"/>
    <w:rsid w:val="0072744D"/>
    <w:rsid w:val="00727673"/>
    <w:rsid w:val="0073020C"/>
    <w:rsid w:val="00731B17"/>
    <w:rsid w:val="00731C7C"/>
    <w:rsid w:val="0073209E"/>
    <w:rsid w:val="0073211C"/>
    <w:rsid w:val="007326D7"/>
    <w:rsid w:val="0073275A"/>
    <w:rsid w:val="00732F80"/>
    <w:rsid w:val="00733369"/>
    <w:rsid w:val="007339C0"/>
    <w:rsid w:val="007349B8"/>
    <w:rsid w:val="0073546A"/>
    <w:rsid w:val="00735E50"/>
    <w:rsid w:val="00736109"/>
    <w:rsid w:val="00736702"/>
    <w:rsid w:val="00736C5D"/>
    <w:rsid w:val="007371FC"/>
    <w:rsid w:val="00737475"/>
    <w:rsid w:val="00737AD9"/>
    <w:rsid w:val="00737E4C"/>
    <w:rsid w:val="00737FE2"/>
    <w:rsid w:val="00740038"/>
    <w:rsid w:val="007407E0"/>
    <w:rsid w:val="00740AFF"/>
    <w:rsid w:val="007416B7"/>
    <w:rsid w:val="007417F0"/>
    <w:rsid w:val="00742717"/>
    <w:rsid w:val="007429CF"/>
    <w:rsid w:val="00742BD8"/>
    <w:rsid w:val="00742F48"/>
    <w:rsid w:val="00743742"/>
    <w:rsid w:val="00743D60"/>
    <w:rsid w:val="00743F9E"/>
    <w:rsid w:val="00744732"/>
    <w:rsid w:val="007449F6"/>
    <w:rsid w:val="0074529F"/>
    <w:rsid w:val="00745D7C"/>
    <w:rsid w:val="00747108"/>
    <w:rsid w:val="007502DA"/>
    <w:rsid w:val="00750F0E"/>
    <w:rsid w:val="00751210"/>
    <w:rsid w:val="00752C3A"/>
    <w:rsid w:val="007532DA"/>
    <w:rsid w:val="007541BC"/>
    <w:rsid w:val="00754240"/>
    <w:rsid w:val="00754331"/>
    <w:rsid w:val="00754626"/>
    <w:rsid w:val="00755208"/>
    <w:rsid w:val="00756878"/>
    <w:rsid w:val="00756BBA"/>
    <w:rsid w:val="007571CB"/>
    <w:rsid w:val="007572AD"/>
    <w:rsid w:val="0076037A"/>
    <w:rsid w:val="00760DC9"/>
    <w:rsid w:val="00761A52"/>
    <w:rsid w:val="00761A84"/>
    <w:rsid w:val="00761E8C"/>
    <w:rsid w:val="007626D5"/>
    <w:rsid w:val="007629C9"/>
    <w:rsid w:val="00762EC2"/>
    <w:rsid w:val="007633C1"/>
    <w:rsid w:val="00763A0C"/>
    <w:rsid w:val="00763AA8"/>
    <w:rsid w:val="007642E9"/>
    <w:rsid w:val="00764B3E"/>
    <w:rsid w:val="00765134"/>
    <w:rsid w:val="007652B3"/>
    <w:rsid w:val="00765322"/>
    <w:rsid w:val="00765550"/>
    <w:rsid w:val="007658B8"/>
    <w:rsid w:val="00765AC2"/>
    <w:rsid w:val="00765C15"/>
    <w:rsid w:val="00766009"/>
    <w:rsid w:val="00766307"/>
    <w:rsid w:val="007703F7"/>
    <w:rsid w:val="00770A14"/>
    <w:rsid w:val="00771B9A"/>
    <w:rsid w:val="00771DE4"/>
    <w:rsid w:val="007729F5"/>
    <w:rsid w:val="00772C86"/>
    <w:rsid w:val="00773057"/>
    <w:rsid w:val="00773ABF"/>
    <w:rsid w:val="0077563E"/>
    <w:rsid w:val="00775A9F"/>
    <w:rsid w:val="00775C60"/>
    <w:rsid w:val="00777D35"/>
    <w:rsid w:val="00777F5D"/>
    <w:rsid w:val="0078002B"/>
    <w:rsid w:val="0078071F"/>
    <w:rsid w:val="00780DDC"/>
    <w:rsid w:val="00781C4A"/>
    <w:rsid w:val="00781DFE"/>
    <w:rsid w:val="00781F9D"/>
    <w:rsid w:val="00782179"/>
    <w:rsid w:val="007824D1"/>
    <w:rsid w:val="00783153"/>
    <w:rsid w:val="007839D0"/>
    <w:rsid w:val="007849BD"/>
    <w:rsid w:val="00784CA4"/>
    <w:rsid w:val="00785608"/>
    <w:rsid w:val="007867C7"/>
    <w:rsid w:val="00787FC9"/>
    <w:rsid w:val="00790FE4"/>
    <w:rsid w:val="00791FE9"/>
    <w:rsid w:val="00792803"/>
    <w:rsid w:val="00792D72"/>
    <w:rsid w:val="0079332F"/>
    <w:rsid w:val="007936A0"/>
    <w:rsid w:val="0079391E"/>
    <w:rsid w:val="007957E0"/>
    <w:rsid w:val="00795BF3"/>
    <w:rsid w:val="00795D93"/>
    <w:rsid w:val="00796B78"/>
    <w:rsid w:val="007971E9"/>
    <w:rsid w:val="00797C23"/>
    <w:rsid w:val="00797C9F"/>
    <w:rsid w:val="007A0A16"/>
    <w:rsid w:val="007A0AFE"/>
    <w:rsid w:val="007A1C3D"/>
    <w:rsid w:val="007A21DF"/>
    <w:rsid w:val="007A2C59"/>
    <w:rsid w:val="007A2E8D"/>
    <w:rsid w:val="007A2F11"/>
    <w:rsid w:val="007A35A8"/>
    <w:rsid w:val="007A39EA"/>
    <w:rsid w:val="007A3DA1"/>
    <w:rsid w:val="007A4053"/>
    <w:rsid w:val="007A4396"/>
    <w:rsid w:val="007A46BC"/>
    <w:rsid w:val="007A5B9C"/>
    <w:rsid w:val="007A64D1"/>
    <w:rsid w:val="007A651A"/>
    <w:rsid w:val="007A7FC2"/>
    <w:rsid w:val="007B003A"/>
    <w:rsid w:val="007B0130"/>
    <w:rsid w:val="007B07DD"/>
    <w:rsid w:val="007B1507"/>
    <w:rsid w:val="007B169D"/>
    <w:rsid w:val="007B2457"/>
    <w:rsid w:val="007B26C9"/>
    <w:rsid w:val="007B2C29"/>
    <w:rsid w:val="007B2F68"/>
    <w:rsid w:val="007B3023"/>
    <w:rsid w:val="007B32D3"/>
    <w:rsid w:val="007B4AFD"/>
    <w:rsid w:val="007B62AB"/>
    <w:rsid w:val="007B648B"/>
    <w:rsid w:val="007B6799"/>
    <w:rsid w:val="007B6816"/>
    <w:rsid w:val="007B6E5F"/>
    <w:rsid w:val="007B7384"/>
    <w:rsid w:val="007B7D8D"/>
    <w:rsid w:val="007C041F"/>
    <w:rsid w:val="007C09D4"/>
    <w:rsid w:val="007C1F79"/>
    <w:rsid w:val="007C2779"/>
    <w:rsid w:val="007C3C4B"/>
    <w:rsid w:val="007C42CE"/>
    <w:rsid w:val="007C44D3"/>
    <w:rsid w:val="007C5010"/>
    <w:rsid w:val="007C5346"/>
    <w:rsid w:val="007C5BA9"/>
    <w:rsid w:val="007C5DE1"/>
    <w:rsid w:val="007C6169"/>
    <w:rsid w:val="007C62F2"/>
    <w:rsid w:val="007C6D65"/>
    <w:rsid w:val="007C6F00"/>
    <w:rsid w:val="007C70B2"/>
    <w:rsid w:val="007C7823"/>
    <w:rsid w:val="007C7D06"/>
    <w:rsid w:val="007C7FB2"/>
    <w:rsid w:val="007D001C"/>
    <w:rsid w:val="007D004A"/>
    <w:rsid w:val="007D042D"/>
    <w:rsid w:val="007D1269"/>
    <w:rsid w:val="007D24C4"/>
    <w:rsid w:val="007D2A96"/>
    <w:rsid w:val="007D33F7"/>
    <w:rsid w:val="007D34E4"/>
    <w:rsid w:val="007D395B"/>
    <w:rsid w:val="007D3D6A"/>
    <w:rsid w:val="007D424D"/>
    <w:rsid w:val="007D47FA"/>
    <w:rsid w:val="007D528D"/>
    <w:rsid w:val="007D5813"/>
    <w:rsid w:val="007D63F7"/>
    <w:rsid w:val="007D6F50"/>
    <w:rsid w:val="007D7156"/>
    <w:rsid w:val="007D7696"/>
    <w:rsid w:val="007D7C91"/>
    <w:rsid w:val="007E001F"/>
    <w:rsid w:val="007E099B"/>
    <w:rsid w:val="007E13C1"/>
    <w:rsid w:val="007E2928"/>
    <w:rsid w:val="007E2D4C"/>
    <w:rsid w:val="007E2E79"/>
    <w:rsid w:val="007E390F"/>
    <w:rsid w:val="007E4A89"/>
    <w:rsid w:val="007E55B4"/>
    <w:rsid w:val="007E5692"/>
    <w:rsid w:val="007E56A8"/>
    <w:rsid w:val="007E56CB"/>
    <w:rsid w:val="007E6072"/>
    <w:rsid w:val="007E6388"/>
    <w:rsid w:val="007E7361"/>
    <w:rsid w:val="007F01FC"/>
    <w:rsid w:val="007F07CB"/>
    <w:rsid w:val="007F1102"/>
    <w:rsid w:val="007F346C"/>
    <w:rsid w:val="007F37E7"/>
    <w:rsid w:val="007F3D56"/>
    <w:rsid w:val="007F4D8C"/>
    <w:rsid w:val="007F501D"/>
    <w:rsid w:val="007F5089"/>
    <w:rsid w:val="007F510F"/>
    <w:rsid w:val="007F5225"/>
    <w:rsid w:val="007F5450"/>
    <w:rsid w:val="007F5A43"/>
    <w:rsid w:val="007F5EC8"/>
    <w:rsid w:val="007F6531"/>
    <w:rsid w:val="007F719C"/>
    <w:rsid w:val="007F722D"/>
    <w:rsid w:val="0080005F"/>
    <w:rsid w:val="00800807"/>
    <w:rsid w:val="00800882"/>
    <w:rsid w:val="00801057"/>
    <w:rsid w:val="00801D20"/>
    <w:rsid w:val="00801F10"/>
    <w:rsid w:val="00802A6C"/>
    <w:rsid w:val="00802BF4"/>
    <w:rsid w:val="00803802"/>
    <w:rsid w:val="00803D00"/>
    <w:rsid w:val="00803F69"/>
    <w:rsid w:val="00803F72"/>
    <w:rsid w:val="00803FB5"/>
    <w:rsid w:val="00804589"/>
    <w:rsid w:val="00805241"/>
    <w:rsid w:val="00805415"/>
    <w:rsid w:val="00805830"/>
    <w:rsid w:val="00805BCC"/>
    <w:rsid w:val="00805C1F"/>
    <w:rsid w:val="00806142"/>
    <w:rsid w:val="008063D0"/>
    <w:rsid w:val="008068EE"/>
    <w:rsid w:val="00806E8F"/>
    <w:rsid w:val="00810600"/>
    <w:rsid w:val="00810788"/>
    <w:rsid w:val="00810F80"/>
    <w:rsid w:val="00811773"/>
    <w:rsid w:val="00811BC7"/>
    <w:rsid w:val="00812E49"/>
    <w:rsid w:val="00812FCC"/>
    <w:rsid w:val="008137FA"/>
    <w:rsid w:val="00813F4B"/>
    <w:rsid w:val="00814C4C"/>
    <w:rsid w:val="00815693"/>
    <w:rsid w:val="00815A2C"/>
    <w:rsid w:val="00815B1F"/>
    <w:rsid w:val="00815DAD"/>
    <w:rsid w:val="008166AD"/>
    <w:rsid w:val="008166C3"/>
    <w:rsid w:val="00816994"/>
    <w:rsid w:val="00817A6C"/>
    <w:rsid w:val="00817CB1"/>
    <w:rsid w:val="008204DA"/>
    <w:rsid w:val="00820623"/>
    <w:rsid w:val="00820F19"/>
    <w:rsid w:val="008210DB"/>
    <w:rsid w:val="00821208"/>
    <w:rsid w:val="008212BF"/>
    <w:rsid w:val="00821873"/>
    <w:rsid w:val="00821BE4"/>
    <w:rsid w:val="008222EE"/>
    <w:rsid w:val="00824861"/>
    <w:rsid w:val="00824BBB"/>
    <w:rsid w:val="008253D9"/>
    <w:rsid w:val="00825420"/>
    <w:rsid w:val="00826C37"/>
    <w:rsid w:val="008279CF"/>
    <w:rsid w:val="008308F6"/>
    <w:rsid w:val="008317E4"/>
    <w:rsid w:val="00831B2B"/>
    <w:rsid w:val="00831EF3"/>
    <w:rsid w:val="008320DD"/>
    <w:rsid w:val="00832F7A"/>
    <w:rsid w:val="00833450"/>
    <w:rsid w:val="00833AAB"/>
    <w:rsid w:val="00833D07"/>
    <w:rsid w:val="00833F21"/>
    <w:rsid w:val="00834657"/>
    <w:rsid w:val="0083465B"/>
    <w:rsid w:val="00834D69"/>
    <w:rsid w:val="00834E67"/>
    <w:rsid w:val="00835744"/>
    <w:rsid w:val="0083590B"/>
    <w:rsid w:val="00836082"/>
    <w:rsid w:val="008362E5"/>
    <w:rsid w:val="00836745"/>
    <w:rsid w:val="0083680C"/>
    <w:rsid w:val="00836A70"/>
    <w:rsid w:val="00840138"/>
    <w:rsid w:val="008405A6"/>
    <w:rsid w:val="0084077D"/>
    <w:rsid w:val="008407BA"/>
    <w:rsid w:val="00840D66"/>
    <w:rsid w:val="0084179B"/>
    <w:rsid w:val="00841A5A"/>
    <w:rsid w:val="00841F1F"/>
    <w:rsid w:val="00841FF1"/>
    <w:rsid w:val="0084296A"/>
    <w:rsid w:val="00842DEF"/>
    <w:rsid w:val="0084396D"/>
    <w:rsid w:val="008439A9"/>
    <w:rsid w:val="00844A1C"/>
    <w:rsid w:val="008451FD"/>
    <w:rsid w:val="008457B7"/>
    <w:rsid w:val="00845D64"/>
    <w:rsid w:val="00846CB3"/>
    <w:rsid w:val="00846D99"/>
    <w:rsid w:val="00847966"/>
    <w:rsid w:val="00850800"/>
    <w:rsid w:val="00850C21"/>
    <w:rsid w:val="00851A3D"/>
    <w:rsid w:val="00851B3B"/>
    <w:rsid w:val="00851BBA"/>
    <w:rsid w:val="00851D8C"/>
    <w:rsid w:val="00852760"/>
    <w:rsid w:val="0085385B"/>
    <w:rsid w:val="00853D3F"/>
    <w:rsid w:val="00853FD5"/>
    <w:rsid w:val="00854068"/>
    <w:rsid w:val="008553B2"/>
    <w:rsid w:val="00855524"/>
    <w:rsid w:val="00855ACE"/>
    <w:rsid w:val="00855DD2"/>
    <w:rsid w:val="00855DD5"/>
    <w:rsid w:val="00856368"/>
    <w:rsid w:val="0085694C"/>
    <w:rsid w:val="008569BC"/>
    <w:rsid w:val="00856B9D"/>
    <w:rsid w:val="008575C9"/>
    <w:rsid w:val="00857709"/>
    <w:rsid w:val="0086053E"/>
    <w:rsid w:val="008609A8"/>
    <w:rsid w:val="00861C88"/>
    <w:rsid w:val="008624D1"/>
    <w:rsid w:val="00862E7C"/>
    <w:rsid w:val="008632F0"/>
    <w:rsid w:val="008633BF"/>
    <w:rsid w:val="00863428"/>
    <w:rsid w:val="008635AE"/>
    <w:rsid w:val="00863CCA"/>
    <w:rsid w:val="00864255"/>
    <w:rsid w:val="008645E6"/>
    <w:rsid w:val="00865554"/>
    <w:rsid w:val="00865CD9"/>
    <w:rsid w:val="0086677F"/>
    <w:rsid w:val="008679C3"/>
    <w:rsid w:val="008679F0"/>
    <w:rsid w:val="00870929"/>
    <w:rsid w:val="00870AE1"/>
    <w:rsid w:val="00870E5C"/>
    <w:rsid w:val="00871823"/>
    <w:rsid w:val="00871DF3"/>
    <w:rsid w:val="00872760"/>
    <w:rsid w:val="008731D8"/>
    <w:rsid w:val="008731EA"/>
    <w:rsid w:val="00873310"/>
    <w:rsid w:val="008735A6"/>
    <w:rsid w:val="00875168"/>
    <w:rsid w:val="00876729"/>
    <w:rsid w:val="00876FED"/>
    <w:rsid w:val="00877722"/>
    <w:rsid w:val="00877741"/>
    <w:rsid w:val="008777AD"/>
    <w:rsid w:val="00877C4B"/>
    <w:rsid w:val="00877CAD"/>
    <w:rsid w:val="00880367"/>
    <w:rsid w:val="00880607"/>
    <w:rsid w:val="00880621"/>
    <w:rsid w:val="00880767"/>
    <w:rsid w:val="00880A62"/>
    <w:rsid w:val="00880B70"/>
    <w:rsid w:val="00880F99"/>
    <w:rsid w:val="008837A3"/>
    <w:rsid w:val="00884FF2"/>
    <w:rsid w:val="008859B7"/>
    <w:rsid w:val="0088608D"/>
    <w:rsid w:val="00886384"/>
    <w:rsid w:val="0088641E"/>
    <w:rsid w:val="00886CBB"/>
    <w:rsid w:val="00886F8C"/>
    <w:rsid w:val="008876F1"/>
    <w:rsid w:val="00887DBF"/>
    <w:rsid w:val="0089386B"/>
    <w:rsid w:val="00893FE7"/>
    <w:rsid w:val="008947E4"/>
    <w:rsid w:val="00895619"/>
    <w:rsid w:val="0089578E"/>
    <w:rsid w:val="00896BC7"/>
    <w:rsid w:val="008A0A8B"/>
    <w:rsid w:val="008A17B4"/>
    <w:rsid w:val="008A1E44"/>
    <w:rsid w:val="008A28FF"/>
    <w:rsid w:val="008A33AA"/>
    <w:rsid w:val="008A34DC"/>
    <w:rsid w:val="008A3835"/>
    <w:rsid w:val="008A499F"/>
    <w:rsid w:val="008A52E3"/>
    <w:rsid w:val="008A546C"/>
    <w:rsid w:val="008A54FE"/>
    <w:rsid w:val="008A5EF2"/>
    <w:rsid w:val="008A6036"/>
    <w:rsid w:val="008A6F74"/>
    <w:rsid w:val="008A7DA2"/>
    <w:rsid w:val="008B12A4"/>
    <w:rsid w:val="008B1350"/>
    <w:rsid w:val="008B2868"/>
    <w:rsid w:val="008B3E84"/>
    <w:rsid w:val="008B5054"/>
    <w:rsid w:val="008B56C9"/>
    <w:rsid w:val="008B5AC8"/>
    <w:rsid w:val="008B5AE9"/>
    <w:rsid w:val="008B6AEB"/>
    <w:rsid w:val="008B72E1"/>
    <w:rsid w:val="008B79FB"/>
    <w:rsid w:val="008C0BB3"/>
    <w:rsid w:val="008C14D6"/>
    <w:rsid w:val="008C1DC2"/>
    <w:rsid w:val="008C2C28"/>
    <w:rsid w:val="008C2D23"/>
    <w:rsid w:val="008C36EC"/>
    <w:rsid w:val="008C380B"/>
    <w:rsid w:val="008C439C"/>
    <w:rsid w:val="008C5A45"/>
    <w:rsid w:val="008C62F3"/>
    <w:rsid w:val="008C6B2D"/>
    <w:rsid w:val="008C7431"/>
    <w:rsid w:val="008C76C4"/>
    <w:rsid w:val="008C7CB3"/>
    <w:rsid w:val="008D07F6"/>
    <w:rsid w:val="008D0C2A"/>
    <w:rsid w:val="008D188E"/>
    <w:rsid w:val="008D1C3A"/>
    <w:rsid w:val="008D2537"/>
    <w:rsid w:val="008D2D83"/>
    <w:rsid w:val="008D38E0"/>
    <w:rsid w:val="008D4F13"/>
    <w:rsid w:val="008D514D"/>
    <w:rsid w:val="008D5981"/>
    <w:rsid w:val="008D6275"/>
    <w:rsid w:val="008D7117"/>
    <w:rsid w:val="008D72D9"/>
    <w:rsid w:val="008D7383"/>
    <w:rsid w:val="008D75D5"/>
    <w:rsid w:val="008D75DC"/>
    <w:rsid w:val="008D7924"/>
    <w:rsid w:val="008E05CC"/>
    <w:rsid w:val="008E07D2"/>
    <w:rsid w:val="008E0EB5"/>
    <w:rsid w:val="008E2751"/>
    <w:rsid w:val="008E4208"/>
    <w:rsid w:val="008E5289"/>
    <w:rsid w:val="008E5BFA"/>
    <w:rsid w:val="008E5C62"/>
    <w:rsid w:val="008E5C6A"/>
    <w:rsid w:val="008E5EB4"/>
    <w:rsid w:val="008E60CE"/>
    <w:rsid w:val="008E659F"/>
    <w:rsid w:val="008E6FE2"/>
    <w:rsid w:val="008E71AD"/>
    <w:rsid w:val="008F04B9"/>
    <w:rsid w:val="008F1017"/>
    <w:rsid w:val="008F163E"/>
    <w:rsid w:val="008F1D26"/>
    <w:rsid w:val="008F2145"/>
    <w:rsid w:val="008F4176"/>
    <w:rsid w:val="008F464D"/>
    <w:rsid w:val="008F53F6"/>
    <w:rsid w:val="008F5C83"/>
    <w:rsid w:val="008F7C25"/>
    <w:rsid w:val="009008B1"/>
    <w:rsid w:val="00900B37"/>
    <w:rsid w:val="00900EA4"/>
    <w:rsid w:val="0090208F"/>
    <w:rsid w:val="009031DA"/>
    <w:rsid w:val="009033BB"/>
    <w:rsid w:val="00903D67"/>
    <w:rsid w:val="00903D85"/>
    <w:rsid w:val="00904319"/>
    <w:rsid w:val="00906221"/>
    <w:rsid w:val="00906922"/>
    <w:rsid w:val="00907043"/>
    <w:rsid w:val="009106BC"/>
    <w:rsid w:val="00911B87"/>
    <w:rsid w:val="009123C3"/>
    <w:rsid w:val="00912445"/>
    <w:rsid w:val="009125F6"/>
    <w:rsid w:val="009137CB"/>
    <w:rsid w:val="00913C69"/>
    <w:rsid w:val="00913FE2"/>
    <w:rsid w:val="0091415D"/>
    <w:rsid w:val="00915159"/>
    <w:rsid w:val="0091545D"/>
    <w:rsid w:val="00915470"/>
    <w:rsid w:val="009158E3"/>
    <w:rsid w:val="00917CF2"/>
    <w:rsid w:val="00920748"/>
    <w:rsid w:val="00920E45"/>
    <w:rsid w:val="009216C1"/>
    <w:rsid w:val="00923485"/>
    <w:rsid w:val="00923F8C"/>
    <w:rsid w:val="00924911"/>
    <w:rsid w:val="00925DE4"/>
    <w:rsid w:val="00925DEF"/>
    <w:rsid w:val="009267CC"/>
    <w:rsid w:val="00926A36"/>
    <w:rsid w:val="00926A7D"/>
    <w:rsid w:val="009277EA"/>
    <w:rsid w:val="009307A7"/>
    <w:rsid w:val="00932784"/>
    <w:rsid w:val="00932AAF"/>
    <w:rsid w:val="00932BCC"/>
    <w:rsid w:val="00933059"/>
    <w:rsid w:val="009338D2"/>
    <w:rsid w:val="00935B0E"/>
    <w:rsid w:val="0093668E"/>
    <w:rsid w:val="009366E7"/>
    <w:rsid w:val="00936D8A"/>
    <w:rsid w:val="00937321"/>
    <w:rsid w:val="00937954"/>
    <w:rsid w:val="00940192"/>
    <w:rsid w:val="009407D6"/>
    <w:rsid w:val="00940A6A"/>
    <w:rsid w:val="0094179E"/>
    <w:rsid w:val="00941B3F"/>
    <w:rsid w:val="00941CEC"/>
    <w:rsid w:val="00942057"/>
    <w:rsid w:val="00942DEE"/>
    <w:rsid w:val="009430CF"/>
    <w:rsid w:val="00943E07"/>
    <w:rsid w:val="009441F9"/>
    <w:rsid w:val="00944B9C"/>
    <w:rsid w:val="00944C87"/>
    <w:rsid w:val="00944C9D"/>
    <w:rsid w:val="00945669"/>
    <w:rsid w:val="00945D90"/>
    <w:rsid w:val="00947F4A"/>
    <w:rsid w:val="00947F5C"/>
    <w:rsid w:val="00950DB5"/>
    <w:rsid w:val="00950E6E"/>
    <w:rsid w:val="00951511"/>
    <w:rsid w:val="00951A4A"/>
    <w:rsid w:val="00951B14"/>
    <w:rsid w:val="009520FC"/>
    <w:rsid w:val="00953C30"/>
    <w:rsid w:val="009547AD"/>
    <w:rsid w:val="00955182"/>
    <w:rsid w:val="009573BD"/>
    <w:rsid w:val="00960F61"/>
    <w:rsid w:val="00961BF3"/>
    <w:rsid w:val="0096219A"/>
    <w:rsid w:val="00962361"/>
    <w:rsid w:val="009624C0"/>
    <w:rsid w:val="00962E07"/>
    <w:rsid w:val="00963FAF"/>
    <w:rsid w:val="0096463A"/>
    <w:rsid w:val="0096471F"/>
    <w:rsid w:val="009647FF"/>
    <w:rsid w:val="00964EB3"/>
    <w:rsid w:val="009650F2"/>
    <w:rsid w:val="00965440"/>
    <w:rsid w:val="00965653"/>
    <w:rsid w:val="00965CED"/>
    <w:rsid w:val="0096715B"/>
    <w:rsid w:val="009705AB"/>
    <w:rsid w:val="00970CAB"/>
    <w:rsid w:val="00971117"/>
    <w:rsid w:val="00972323"/>
    <w:rsid w:val="00972717"/>
    <w:rsid w:val="00972882"/>
    <w:rsid w:val="009738AF"/>
    <w:rsid w:val="00973D12"/>
    <w:rsid w:val="00973E97"/>
    <w:rsid w:val="009745A5"/>
    <w:rsid w:val="009750C0"/>
    <w:rsid w:val="009759FA"/>
    <w:rsid w:val="00975B07"/>
    <w:rsid w:val="0098001A"/>
    <w:rsid w:val="00980259"/>
    <w:rsid w:val="00980EC1"/>
    <w:rsid w:val="00981BE7"/>
    <w:rsid w:val="00982113"/>
    <w:rsid w:val="0098294F"/>
    <w:rsid w:val="00982D2C"/>
    <w:rsid w:val="00983AFE"/>
    <w:rsid w:val="0098417E"/>
    <w:rsid w:val="0098476C"/>
    <w:rsid w:val="00984FEA"/>
    <w:rsid w:val="00985043"/>
    <w:rsid w:val="00985094"/>
    <w:rsid w:val="009850CF"/>
    <w:rsid w:val="0098536D"/>
    <w:rsid w:val="00987454"/>
    <w:rsid w:val="00990313"/>
    <w:rsid w:val="009906DF"/>
    <w:rsid w:val="009910C5"/>
    <w:rsid w:val="009913C6"/>
    <w:rsid w:val="009914B4"/>
    <w:rsid w:val="009918F7"/>
    <w:rsid w:val="00991C59"/>
    <w:rsid w:val="00992149"/>
    <w:rsid w:val="009921C5"/>
    <w:rsid w:val="00992D58"/>
    <w:rsid w:val="00992E28"/>
    <w:rsid w:val="00993FA9"/>
    <w:rsid w:val="00994514"/>
    <w:rsid w:val="00994710"/>
    <w:rsid w:val="00994A76"/>
    <w:rsid w:val="00994D36"/>
    <w:rsid w:val="00994E7F"/>
    <w:rsid w:val="009953C1"/>
    <w:rsid w:val="0099670B"/>
    <w:rsid w:val="0099693C"/>
    <w:rsid w:val="00996A6A"/>
    <w:rsid w:val="00996E02"/>
    <w:rsid w:val="009977FC"/>
    <w:rsid w:val="009A1BE2"/>
    <w:rsid w:val="009A267E"/>
    <w:rsid w:val="009A26D4"/>
    <w:rsid w:val="009A2CE2"/>
    <w:rsid w:val="009A31AA"/>
    <w:rsid w:val="009A33E0"/>
    <w:rsid w:val="009A5CA6"/>
    <w:rsid w:val="009A6764"/>
    <w:rsid w:val="009A67A6"/>
    <w:rsid w:val="009A67CC"/>
    <w:rsid w:val="009A7E90"/>
    <w:rsid w:val="009A7F73"/>
    <w:rsid w:val="009B0BA7"/>
    <w:rsid w:val="009B1CF6"/>
    <w:rsid w:val="009B1EF5"/>
    <w:rsid w:val="009B243A"/>
    <w:rsid w:val="009B28F9"/>
    <w:rsid w:val="009B2AED"/>
    <w:rsid w:val="009B2D89"/>
    <w:rsid w:val="009B34F8"/>
    <w:rsid w:val="009B3BF8"/>
    <w:rsid w:val="009B4EE3"/>
    <w:rsid w:val="009B5954"/>
    <w:rsid w:val="009B7055"/>
    <w:rsid w:val="009C16AA"/>
    <w:rsid w:val="009C16AE"/>
    <w:rsid w:val="009C172D"/>
    <w:rsid w:val="009C17EC"/>
    <w:rsid w:val="009C1F0B"/>
    <w:rsid w:val="009C39FB"/>
    <w:rsid w:val="009C3A1D"/>
    <w:rsid w:val="009C3AA2"/>
    <w:rsid w:val="009C44C7"/>
    <w:rsid w:val="009C458F"/>
    <w:rsid w:val="009C6375"/>
    <w:rsid w:val="009C7452"/>
    <w:rsid w:val="009C7BF4"/>
    <w:rsid w:val="009D16AE"/>
    <w:rsid w:val="009D1E62"/>
    <w:rsid w:val="009D2705"/>
    <w:rsid w:val="009D27B4"/>
    <w:rsid w:val="009D2DE7"/>
    <w:rsid w:val="009D2E36"/>
    <w:rsid w:val="009D3260"/>
    <w:rsid w:val="009D45AA"/>
    <w:rsid w:val="009D4D95"/>
    <w:rsid w:val="009D56B8"/>
    <w:rsid w:val="009D5AF0"/>
    <w:rsid w:val="009D5D2A"/>
    <w:rsid w:val="009D66C9"/>
    <w:rsid w:val="009D6B47"/>
    <w:rsid w:val="009D764B"/>
    <w:rsid w:val="009D7C0C"/>
    <w:rsid w:val="009E01BD"/>
    <w:rsid w:val="009E1222"/>
    <w:rsid w:val="009E157A"/>
    <w:rsid w:val="009E1F2D"/>
    <w:rsid w:val="009E2DD1"/>
    <w:rsid w:val="009E3A66"/>
    <w:rsid w:val="009E4061"/>
    <w:rsid w:val="009E5180"/>
    <w:rsid w:val="009E732A"/>
    <w:rsid w:val="009E7622"/>
    <w:rsid w:val="009E7D1D"/>
    <w:rsid w:val="009F06C8"/>
    <w:rsid w:val="009F0759"/>
    <w:rsid w:val="009F1473"/>
    <w:rsid w:val="009F15E1"/>
    <w:rsid w:val="009F16AC"/>
    <w:rsid w:val="009F250A"/>
    <w:rsid w:val="009F2D9C"/>
    <w:rsid w:val="009F2EB9"/>
    <w:rsid w:val="009F3A7B"/>
    <w:rsid w:val="009F3F1D"/>
    <w:rsid w:val="009F4DF9"/>
    <w:rsid w:val="009F6CD2"/>
    <w:rsid w:val="009F7085"/>
    <w:rsid w:val="00A00671"/>
    <w:rsid w:val="00A00923"/>
    <w:rsid w:val="00A01AE5"/>
    <w:rsid w:val="00A027CC"/>
    <w:rsid w:val="00A02F5A"/>
    <w:rsid w:val="00A035D0"/>
    <w:rsid w:val="00A03B31"/>
    <w:rsid w:val="00A03D5E"/>
    <w:rsid w:val="00A03DB6"/>
    <w:rsid w:val="00A04324"/>
    <w:rsid w:val="00A043F0"/>
    <w:rsid w:val="00A047AF"/>
    <w:rsid w:val="00A0504D"/>
    <w:rsid w:val="00A055CC"/>
    <w:rsid w:val="00A0567C"/>
    <w:rsid w:val="00A05BC4"/>
    <w:rsid w:val="00A066E7"/>
    <w:rsid w:val="00A06BE6"/>
    <w:rsid w:val="00A074EC"/>
    <w:rsid w:val="00A0759D"/>
    <w:rsid w:val="00A078FB"/>
    <w:rsid w:val="00A07C13"/>
    <w:rsid w:val="00A07E96"/>
    <w:rsid w:val="00A1009A"/>
    <w:rsid w:val="00A1015E"/>
    <w:rsid w:val="00A1021F"/>
    <w:rsid w:val="00A10424"/>
    <w:rsid w:val="00A10547"/>
    <w:rsid w:val="00A107FC"/>
    <w:rsid w:val="00A126BC"/>
    <w:rsid w:val="00A13F17"/>
    <w:rsid w:val="00A13F5B"/>
    <w:rsid w:val="00A140BB"/>
    <w:rsid w:val="00A14D50"/>
    <w:rsid w:val="00A15835"/>
    <w:rsid w:val="00A16A51"/>
    <w:rsid w:val="00A16CB7"/>
    <w:rsid w:val="00A17CF9"/>
    <w:rsid w:val="00A204E7"/>
    <w:rsid w:val="00A227A1"/>
    <w:rsid w:val="00A22988"/>
    <w:rsid w:val="00A2422B"/>
    <w:rsid w:val="00A24DAE"/>
    <w:rsid w:val="00A252C4"/>
    <w:rsid w:val="00A27067"/>
    <w:rsid w:val="00A27140"/>
    <w:rsid w:val="00A279BB"/>
    <w:rsid w:val="00A27C2B"/>
    <w:rsid w:val="00A3025D"/>
    <w:rsid w:val="00A30463"/>
    <w:rsid w:val="00A30701"/>
    <w:rsid w:val="00A31109"/>
    <w:rsid w:val="00A317CB"/>
    <w:rsid w:val="00A32E09"/>
    <w:rsid w:val="00A3351D"/>
    <w:rsid w:val="00A3369C"/>
    <w:rsid w:val="00A35123"/>
    <w:rsid w:val="00A35FB1"/>
    <w:rsid w:val="00A36C76"/>
    <w:rsid w:val="00A37301"/>
    <w:rsid w:val="00A379F2"/>
    <w:rsid w:val="00A37B55"/>
    <w:rsid w:val="00A37BB1"/>
    <w:rsid w:val="00A37E03"/>
    <w:rsid w:val="00A41077"/>
    <w:rsid w:val="00A410D6"/>
    <w:rsid w:val="00A41666"/>
    <w:rsid w:val="00A41CFB"/>
    <w:rsid w:val="00A42C29"/>
    <w:rsid w:val="00A446C2"/>
    <w:rsid w:val="00A4473C"/>
    <w:rsid w:val="00A45360"/>
    <w:rsid w:val="00A458DB"/>
    <w:rsid w:val="00A462E7"/>
    <w:rsid w:val="00A504F9"/>
    <w:rsid w:val="00A50A2F"/>
    <w:rsid w:val="00A5148E"/>
    <w:rsid w:val="00A51A61"/>
    <w:rsid w:val="00A52FD4"/>
    <w:rsid w:val="00A53181"/>
    <w:rsid w:val="00A531C3"/>
    <w:rsid w:val="00A53B94"/>
    <w:rsid w:val="00A53C3D"/>
    <w:rsid w:val="00A53CDC"/>
    <w:rsid w:val="00A53E77"/>
    <w:rsid w:val="00A540C6"/>
    <w:rsid w:val="00A54CF5"/>
    <w:rsid w:val="00A551B1"/>
    <w:rsid w:val="00A56101"/>
    <w:rsid w:val="00A5717D"/>
    <w:rsid w:val="00A57523"/>
    <w:rsid w:val="00A5797B"/>
    <w:rsid w:val="00A61221"/>
    <w:rsid w:val="00A61585"/>
    <w:rsid w:val="00A61699"/>
    <w:rsid w:val="00A61C62"/>
    <w:rsid w:val="00A63225"/>
    <w:rsid w:val="00A6333C"/>
    <w:rsid w:val="00A63F13"/>
    <w:rsid w:val="00A648EF"/>
    <w:rsid w:val="00A65D70"/>
    <w:rsid w:val="00A66AE3"/>
    <w:rsid w:val="00A70069"/>
    <w:rsid w:val="00A701DA"/>
    <w:rsid w:val="00A70600"/>
    <w:rsid w:val="00A70CFE"/>
    <w:rsid w:val="00A70D26"/>
    <w:rsid w:val="00A729F1"/>
    <w:rsid w:val="00A72B2B"/>
    <w:rsid w:val="00A735BB"/>
    <w:rsid w:val="00A74656"/>
    <w:rsid w:val="00A7515E"/>
    <w:rsid w:val="00A762AC"/>
    <w:rsid w:val="00A7634F"/>
    <w:rsid w:val="00A76B6C"/>
    <w:rsid w:val="00A800B5"/>
    <w:rsid w:val="00A803BE"/>
    <w:rsid w:val="00A8099C"/>
    <w:rsid w:val="00A80CC7"/>
    <w:rsid w:val="00A80D2C"/>
    <w:rsid w:val="00A813F4"/>
    <w:rsid w:val="00A82583"/>
    <w:rsid w:val="00A829EA"/>
    <w:rsid w:val="00A82FB4"/>
    <w:rsid w:val="00A83600"/>
    <w:rsid w:val="00A83D38"/>
    <w:rsid w:val="00A84169"/>
    <w:rsid w:val="00A84416"/>
    <w:rsid w:val="00A850FE"/>
    <w:rsid w:val="00A851DD"/>
    <w:rsid w:val="00A854D9"/>
    <w:rsid w:val="00A85DB7"/>
    <w:rsid w:val="00A861EA"/>
    <w:rsid w:val="00A87927"/>
    <w:rsid w:val="00A87982"/>
    <w:rsid w:val="00A87D74"/>
    <w:rsid w:val="00A9033C"/>
    <w:rsid w:val="00A90F7D"/>
    <w:rsid w:val="00A91486"/>
    <w:rsid w:val="00A916ED"/>
    <w:rsid w:val="00A92561"/>
    <w:rsid w:val="00A929ED"/>
    <w:rsid w:val="00A92A86"/>
    <w:rsid w:val="00A92DAF"/>
    <w:rsid w:val="00A93F42"/>
    <w:rsid w:val="00A942E6"/>
    <w:rsid w:val="00A94502"/>
    <w:rsid w:val="00A94CFA"/>
    <w:rsid w:val="00A95605"/>
    <w:rsid w:val="00A968DE"/>
    <w:rsid w:val="00A96EBA"/>
    <w:rsid w:val="00A96FBF"/>
    <w:rsid w:val="00A97103"/>
    <w:rsid w:val="00A97832"/>
    <w:rsid w:val="00AA0271"/>
    <w:rsid w:val="00AA02A6"/>
    <w:rsid w:val="00AA127C"/>
    <w:rsid w:val="00AA1A7B"/>
    <w:rsid w:val="00AA1EDA"/>
    <w:rsid w:val="00AA26F6"/>
    <w:rsid w:val="00AA27F7"/>
    <w:rsid w:val="00AA2967"/>
    <w:rsid w:val="00AA3F39"/>
    <w:rsid w:val="00AA4233"/>
    <w:rsid w:val="00AA42AD"/>
    <w:rsid w:val="00AA5067"/>
    <w:rsid w:val="00AA511F"/>
    <w:rsid w:val="00AA5CF0"/>
    <w:rsid w:val="00AB0371"/>
    <w:rsid w:val="00AB040C"/>
    <w:rsid w:val="00AB0A0E"/>
    <w:rsid w:val="00AB25F3"/>
    <w:rsid w:val="00AB4A1E"/>
    <w:rsid w:val="00AB5504"/>
    <w:rsid w:val="00AB5A28"/>
    <w:rsid w:val="00AB65A5"/>
    <w:rsid w:val="00AB69BC"/>
    <w:rsid w:val="00AB700A"/>
    <w:rsid w:val="00AB7116"/>
    <w:rsid w:val="00AC0556"/>
    <w:rsid w:val="00AC0749"/>
    <w:rsid w:val="00AC34DD"/>
    <w:rsid w:val="00AC39AA"/>
    <w:rsid w:val="00AC48F6"/>
    <w:rsid w:val="00AC4947"/>
    <w:rsid w:val="00AC5F64"/>
    <w:rsid w:val="00AC6C62"/>
    <w:rsid w:val="00AC7C2E"/>
    <w:rsid w:val="00AC7E00"/>
    <w:rsid w:val="00AD1272"/>
    <w:rsid w:val="00AD1BB5"/>
    <w:rsid w:val="00AD21A3"/>
    <w:rsid w:val="00AD2463"/>
    <w:rsid w:val="00AD2985"/>
    <w:rsid w:val="00AD4948"/>
    <w:rsid w:val="00AD5447"/>
    <w:rsid w:val="00AD557B"/>
    <w:rsid w:val="00AD56C0"/>
    <w:rsid w:val="00AD6BF0"/>
    <w:rsid w:val="00AE1450"/>
    <w:rsid w:val="00AE180A"/>
    <w:rsid w:val="00AE1DB7"/>
    <w:rsid w:val="00AE2050"/>
    <w:rsid w:val="00AE54E4"/>
    <w:rsid w:val="00AE57B4"/>
    <w:rsid w:val="00AE606F"/>
    <w:rsid w:val="00AE6CA7"/>
    <w:rsid w:val="00AE7BED"/>
    <w:rsid w:val="00AF031C"/>
    <w:rsid w:val="00AF045B"/>
    <w:rsid w:val="00AF05AA"/>
    <w:rsid w:val="00AF06C7"/>
    <w:rsid w:val="00AF0777"/>
    <w:rsid w:val="00AF1041"/>
    <w:rsid w:val="00AF1543"/>
    <w:rsid w:val="00AF193F"/>
    <w:rsid w:val="00AF1C18"/>
    <w:rsid w:val="00AF2AA9"/>
    <w:rsid w:val="00AF2C0E"/>
    <w:rsid w:val="00AF3920"/>
    <w:rsid w:val="00AF5538"/>
    <w:rsid w:val="00AF56C4"/>
    <w:rsid w:val="00AF6413"/>
    <w:rsid w:val="00AF66F9"/>
    <w:rsid w:val="00AF6745"/>
    <w:rsid w:val="00AF7568"/>
    <w:rsid w:val="00AF7EE9"/>
    <w:rsid w:val="00AF7F1B"/>
    <w:rsid w:val="00B00B35"/>
    <w:rsid w:val="00B00F8B"/>
    <w:rsid w:val="00B00FC9"/>
    <w:rsid w:val="00B01571"/>
    <w:rsid w:val="00B01960"/>
    <w:rsid w:val="00B02596"/>
    <w:rsid w:val="00B02D9C"/>
    <w:rsid w:val="00B03D7F"/>
    <w:rsid w:val="00B03F5D"/>
    <w:rsid w:val="00B05046"/>
    <w:rsid w:val="00B0569F"/>
    <w:rsid w:val="00B05E0A"/>
    <w:rsid w:val="00B076E3"/>
    <w:rsid w:val="00B10C47"/>
    <w:rsid w:val="00B10DEA"/>
    <w:rsid w:val="00B10F0E"/>
    <w:rsid w:val="00B1103C"/>
    <w:rsid w:val="00B118D2"/>
    <w:rsid w:val="00B1211B"/>
    <w:rsid w:val="00B12745"/>
    <w:rsid w:val="00B12B7F"/>
    <w:rsid w:val="00B13C95"/>
    <w:rsid w:val="00B14650"/>
    <w:rsid w:val="00B147E9"/>
    <w:rsid w:val="00B14C4A"/>
    <w:rsid w:val="00B15339"/>
    <w:rsid w:val="00B156E7"/>
    <w:rsid w:val="00B15C49"/>
    <w:rsid w:val="00B1658A"/>
    <w:rsid w:val="00B16AB1"/>
    <w:rsid w:val="00B1769D"/>
    <w:rsid w:val="00B20B5E"/>
    <w:rsid w:val="00B21A71"/>
    <w:rsid w:val="00B21A95"/>
    <w:rsid w:val="00B21F9A"/>
    <w:rsid w:val="00B224D8"/>
    <w:rsid w:val="00B25570"/>
    <w:rsid w:val="00B25A3E"/>
    <w:rsid w:val="00B26973"/>
    <w:rsid w:val="00B26AF2"/>
    <w:rsid w:val="00B27697"/>
    <w:rsid w:val="00B27BB2"/>
    <w:rsid w:val="00B302CB"/>
    <w:rsid w:val="00B30AC6"/>
    <w:rsid w:val="00B310AB"/>
    <w:rsid w:val="00B3166A"/>
    <w:rsid w:val="00B31797"/>
    <w:rsid w:val="00B31BC3"/>
    <w:rsid w:val="00B31CA9"/>
    <w:rsid w:val="00B32064"/>
    <w:rsid w:val="00B322A4"/>
    <w:rsid w:val="00B334F5"/>
    <w:rsid w:val="00B33E0D"/>
    <w:rsid w:val="00B34E38"/>
    <w:rsid w:val="00B35CCE"/>
    <w:rsid w:val="00B35F67"/>
    <w:rsid w:val="00B36222"/>
    <w:rsid w:val="00B36B3A"/>
    <w:rsid w:val="00B37786"/>
    <w:rsid w:val="00B37FB4"/>
    <w:rsid w:val="00B40149"/>
    <w:rsid w:val="00B407F1"/>
    <w:rsid w:val="00B409DA"/>
    <w:rsid w:val="00B4147F"/>
    <w:rsid w:val="00B41991"/>
    <w:rsid w:val="00B41B37"/>
    <w:rsid w:val="00B41FA8"/>
    <w:rsid w:val="00B424FB"/>
    <w:rsid w:val="00B45F5C"/>
    <w:rsid w:val="00B46C4B"/>
    <w:rsid w:val="00B518E0"/>
    <w:rsid w:val="00B51A1C"/>
    <w:rsid w:val="00B51E92"/>
    <w:rsid w:val="00B5325E"/>
    <w:rsid w:val="00B53776"/>
    <w:rsid w:val="00B53F69"/>
    <w:rsid w:val="00B54DB2"/>
    <w:rsid w:val="00B5547A"/>
    <w:rsid w:val="00B563EF"/>
    <w:rsid w:val="00B5765C"/>
    <w:rsid w:val="00B604EA"/>
    <w:rsid w:val="00B60C9F"/>
    <w:rsid w:val="00B61837"/>
    <w:rsid w:val="00B61E0C"/>
    <w:rsid w:val="00B62151"/>
    <w:rsid w:val="00B626C3"/>
    <w:rsid w:val="00B633EE"/>
    <w:rsid w:val="00B63A06"/>
    <w:rsid w:val="00B64166"/>
    <w:rsid w:val="00B649C8"/>
    <w:rsid w:val="00B64C8A"/>
    <w:rsid w:val="00B712FD"/>
    <w:rsid w:val="00B725CF"/>
    <w:rsid w:val="00B7267B"/>
    <w:rsid w:val="00B72862"/>
    <w:rsid w:val="00B74549"/>
    <w:rsid w:val="00B74B19"/>
    <w:rsid w:val="00B74B23"/>
    <w:rsid w:val="00B763A2"/>
    <w:rsid w:val="00B7697A"/>
    <w:rsid w:val="00B76C45"/>
    <w:rsid w:val="00B770F1"/>
    <w:rsid w:val="00B77DF8"/>
    <w:rsid w:val="00B80361"/>
    <w:rsid w:val="00B805A0"/>
    <w:rsid w:val="00B82AF0"/>
    <w:rsid w:val="00B82FA8"/>
    <w:rsid w:val="00B83574"/>
    <w:rsid w:val="00B83E35"/>
    <w:rsid w:val="00B84190"/>
    <w:rsid w:val="00B843B0"/>
    <w:rsid w:val="00B8557F"/>
    <w:rsid w:val="00B857B9"/>
    <w:rsid w:val="00B85C1B"/>
    <w:rsid w:val="00B8633D"/>
    <w:rsid w:val="00B8719A"/>
    <w:rsid w:val="00B9006A"/>
    <w:rsid w:val="00B901C2"/>
    <w:rsid w:val="00B90D92"/>
    <w:rsid w:val="00B90E65"/>
    <w:rsid w:val="00B91332"/>
    <w:rsid w:val="00B92184"/>
    <w:rsid w:val="00B92411"/>
    <w:rsid w:val="00B94BCE"/>
    <w:rsid w:val="00B959B4"/>
    <w:rsid w:val="00B95C3F"/>
    <w:rsid w:val="00B96161"/>
    <w:rsid w:val="00B968EC"/>
    <w:rsid w:val="00B9709E"/>
    <w:rsid w:val="00B973ED"/>
    <w:rsid w:val="00B97C42"/>
    <w:rsid w:val="00B97EEB"/>
    <w:rsid w:val="00BA0709"/>
    <w:rsid w:val="00BA0BFE"/>
    <w:rsid w:val="00BA1142"/>
    <w:rsid w:val="00BA138A"/>
    <w:rsid w:val="00BA1466"/>
    <w:rsid w:val="00BA1BA2"/>
    <w:rsid w:val="00BA1BC4"/>
    <w:rsid w:val="00BA1DCF"/>
    <w:rsid w:val="00BA2A4B"/>
    <w:rsid w:val="00BA2DB5"/>
    <w:rsid w:val="00BA37DF"/>
    <w:rsid w:val="00BA4069"/>
    <w:rsid w:val="00BA535C"/>
    <w:rsid w:val="00BA5CE4"/>
    <w:rsid w:val="00BA5FC1"/>
    <w:rsid w:val="00BB0006"/>
    <w:rsid w:val="00BB0222"/>
    <w:rsid w:val="00BB04D1"/>
    <w:rsid w:val="00BB10A1"/>
    <w:rsid w:val="00BB1447"/>
    <w:rsid w:val="00BB21F2"/>
    <w:rsid w:val="00BB2279"/>
    <w:rsid w:val="00BB28E7"/>
    <w:rsid w:val="00BB3183"/>
    <w:rsid w:val="00BB3587"/>
    <w:rsid w:val="00BB396F"/>
    <w:rsid w:val="00BB3C7F"/>
    <w:rsid w:val="00BB4265"/>
    <w:rsid w:val="00BB43CD"/>
    <w:rsid w:val="00BB4609"/>
    <w:rsid w:val="00BB5BB8"/>
    <w:rsid w:val="00BB6406"/>
    <w:rsid w:val="00BB79B5"/>
    <w:rsid w:val="00BB7B42"/>
    <w:rsid w:val="00BC069F"/>
    <w:rsid w:val="00BC06B2"/>
    <w:rsid w:val="00BC0A98"/>
    <w:rsid w:val="00BC0FB8"/>
    <w:rsid w:val="00BC14F6"/>
    <w:rsid w:val="00BC1F89"/>
    <w:rsid w:val="00BC217E"/>
    <w:rsid w:val="00BC22D0"/>
    <w:rsid w:val="00BC28C4"/>
    <w:rsid w:val="00BC3542"/>
    <w:rsid w:val="00BC3ADE"/>
    <w:rsid w:val="00BC4929"/>
    <w:rsid w:val="00BC4CF8"/>
    <w:rsid w:val="00BC508B"/>
    <w:rsid w:val="00BC5224"/>
    <w:rsid w:val="00BC53CF"/>
    <w:rsid w:val="00BC5699"/>
    <w:rsid w:val="00BC5FFC"/>
    <w:rsid w:val="00BC6837"/>
    <w:rsid w:val="00BC6D7C"/>
    <w:rsid w:val="00BC74B5"/>
    <w:rsid w:val="00BD0014"/>
    <w:rsid w:val="00BD0067"/>
    <w:rsid w:val="00BD0863"/>
    <w:rsid w:val="00BD0965"/>
    <w:rsid w:val="00BD0B6D"/>
    <w:rsid w:val="00BD0E68"/>
    <w:rsid w:val="00BD1B5E"/>
    <w:rsid w:val="00BD1E51"/>
    <w:rsid w:val="00BD26C9"/>
    <w:rsid w:val="00BD2CC5"/>
    <w:rsid w:val="00BD3433"/>
    <w:rsid w:val="00BD3755"/>
    <w:rsid w:val="00BD3AA2"/>
    <w:rsid w:val="00BD5535"/>
    <w:rsid w:val="00BD575A"/>
    <w:rsid w:val="00BD6056"/>
    <w:rsid w:val="00BD6722"/>
    <w:rsid w:val="00BD752F"/>
    <w:rsid w:val="00BD756B"/>
    <w:rsid w:val="00BD77C1"/>
    <w:rsid w:val="00BD7EA6"/>
    <w:rsid w:val="00BE1856"/>
    <w:rsid w:val="00BE2372"/>
    <w:rsid w:val="00BE268F"/>
    <w:rsid w:val="00BE2F9F"/>
    <w:rsid w:val="00BE3E6C"/>
    <w:rsid w:val="00BE4168"/>
    <w:rsid w:val="00BE455B"/>
    <w:rsid w:val="00BE4AF1"/>
    <w:rsid w:val="00BE4B47"/>
    <w:rsid w:val="00BE5B4E"/>
    <w:rsid w:val="00BE5D4F"/>
    <w:rsid w:val="00BE640F"/>
    <w:rsid w:val="00BE7729"/>
    <w:rsid w:val="00BF012E"/>
    <w:rsid w:val="00BF01C7"/>
    <w:rsid w:val="00BF107D"/>
    <w:rsid w:val="00BF122D"/>
    <w:rsid w:val="00BF31F0"/>
    <w:rsid w:val="00BF3F4C"/>
    <w:rsid w:val="00BF4F87"/>
    <w:rsid w:val="00BF5152"/>
    <w:rsid w:val="00BF5F4B"/>
    <w:rsid w:val="00BF685D"/>
    <w:rsid w:val="00BF6BC2"/>
    <w:rsid w:val="00BF7859"/>
    <w:rsid w:val="00C000CE"/>
    <w:rsid w:val="00C00AF7"/>
    <w:rsid w:val="00C011A5"/>
    <w:rsid w:val="00C017D1"/>
    <w:rsid w:val="00C0198F"/>
    <w:rsid w:val="00C02CF2"/>
    <w:rsid w:val="00C039AA"/>
    <w:rsid w:val="00C039EB"/>
    <w:rsid w:val="00C03C54"/>
    <w:rsid w:val="00C03D31"/>
    <w:rsid w:val="00C0479A"/>
    <w:rsid w:val="00C04B07"/>
    <w:rsid w:val="00C04C67"/>
    <w:rsid w:val="00C051C8"/>
    <w:rsid w:val="00C0570D"/>
    <w:rsid w:val="00C05AD9"/>
    <w:rsid w:val="00C05C81"/>
    <w:rsid w:val="00C05FCF"/>
    <w:rsid w:val="00C068B9"/>
    <w:rsid w:val="00C07C1B"/>
    <w:rsid w:val="00C101D5"/>
    <w:rsid w:val="00C10320"/>
    <w:rsid w:val="00C115C2"/>
    <w:rsid w:val="00C11613"/>
    <w:rsid w:val="00C11950"/>
    <w:rsid w:val="00C11E28"/>
    <w:rsid w:val="00C124C7"/>
    <w:rsid w:val="00C12EBA"/>
    <w:rsid w:val="00C130C4"/>
    <w:rsid w:val="00C13D17"/>
    <w:rsid w:val="00C142AC"/>
    <w:rsid w:val="00C157D8"/>
    <w:rsid w:val="00C167AD"/>
    <w:rsid w:val="00C17800"/>
    <w:rsid w:val="00C17D82"/>
    <w:rsid w:val="00C2040D"/>
    <w:rsid w:val="00C20B13"/>
    <w:rsid w:val="00C211D7"/>
    <w:rsid w:val="00C21360"/>
    <w:rsid w:val="00C2460D"/>
    <w:rsid w:val="00C2491E"/>
    <w:rsid w:val="00C252A5"/>
    <w:rsid w:val="00C25FF9"/>
    <w:rsid w:val="00C26101"/>
    <w:rsid w:val="00C2611A"/>
    <w:rsid w:val="00C26BC5"/>
    <w:rsid w:val="00C308EC"/>
    <w:rsid w:val="00C32453"/>
    <w:rsid w:val="00C32513"/>
    <w:rsid w:val="00C325FB"/>
    <w:rsid w:val="00C32D8A"/>
    <w:rsid w:val="00C3367B"/>
    <w:rsid w:val="00C33DC7"/>
    <w:rsid w:val="00C3403D"/>
    <w:rsid w:val="00C342E3"/>
    <w:rsid w:val="00C345AD"/>
    <w:rsid w:val="00C360EC"/>
    <w:rsid w:val="00C37635"/>
    <w:rsid w:val="00C40771"/>
    <w:rsid w:val="00C40C45"/>
    <w:rsid w:val="00C4143D"/>
    <w:rsid w:val="00C42BF1"/>
    <w:rsid w:val="00C430ED"/>
    <w:rsid w:val="00C43991"/>
    <w:rsid w:val="00C45E55"/>
    <w:rsid w:val="00C461B5"/>
    <w:rsid w:val="00C46300"/>
    <w:rsid w:val="00C46860"/>
    <w:rsid w:val="00C47A90"/>
    <w:rsid w:val="00C5013A"/>
    <w:rsid w:val="00C5087A"/>
    <w:rsid w:val="00C515D4"/>
    <w:rsid w:val="00C51DCC"/>
    <w:rsid w:val="00C524C2"/>
    <w:rsid w:val="00C52ED5"/>
    <w:rsid w:val="00C53B80"/>
    <w:rsid w:val="00C541A4"/>
    <w:rsid w:val="00C54368"/>
    <w:rsid w:val="00C543C6"/>
    <w:rsid w:val="00C54450"/>
    <w:rsid w:val="00C54B32"/>
    <w:rsid w:val="00C54C56"/>
    <w:rsid w:val="00C54E91"/>
    <w:rsid w:val="00C55ECC"/>
    <w:rsid w:val="00C56EA0"/>
    <w:rsid w:val="00C57174"/>
    <w:rsid w:val="00C57291"/>
    <w:rsid w:val="00C57E6B"/>
    <w:rsid w:val="00C60347"/>
    <w:rsid w:val="00C60AC0"/>
    <w:rsid w:val="00C61BC7"/>
    <w:rsid w:val="00C623C4"/>
    <w:rsid w:val="00C62D24"/>
    <w:rsid w:val="00C645C1"/>
    <w:rsid w:val="00C649C5"/>
    <w:rsid w:val="00C65D88"/>
    <w:rsid w:val="00C66D38"/>
    <w:rsid w:val="00C673A7"/>
    <w:rsid w:val="00C6783F"/>
    <w:rsid w:val="00C70325"/>
    <w:rsid w:val="00C704CA"/>
    <w:rsid w:val="00C70B4D"/>
    <w:rsid w:val="00C71911"/>
    <w:rsid w:val="00C73140"/>
    <w:rsid w:val="00C73855"/>
    <w:rsid w:val="00C73ABE"/>
    <w:rsid w:val="00C74260"/>
    <w:rsid w:val="00C74263"/>
    <w:rsid w:val="00C74DD6"/>
    <w:rsid w:val="00C7594F"/>
    <w:rsid w:val="00C75EC7"/>
    <w:rsid w:val="00C76AC7"/>
    <w:rsid w:val="00C774E0"/>
    <w:rsid w:val="00C77643"/>
    <w:rsid w:val="00C77EAD"/>
    <w:rsid w:val="00C8086A"/>
    <w:rsid w:val="00C80B68"/>
    <w:rsid w:val="00C81131"/>
    <w:rsid w:val="00C81896"/>
    <w:rsid w:val="00C81DE9"/>
    <w:rsid w:val="00C82C83"/>
    <w:rsid w:val="00C82D95"/>
    <w:rsid w:val="00C830D9"/>
    <w:rsid w:val="00C8351C"/>
    <w:rsid w:val="00C84193"/>
    <w:rsid w:val="00C850AF"/>
    <w:rsid w:val="00C854AC"/>
    <w:rsid w:val="00C854E5"/>
    <w:rsid w:val="00C8595F"/>
    <w:rsid w:val="00C8642E"/>
    <w:rsid w:val="00C876F8"/>
    <w:rsid w:val="00C87DCE"/>
    <w:rsid w:val="00C9022E"/>
    <w:rsid w:val="00C90F90"/>
    <w:rsid w:val="00C9145D"/>
    <w:rsid w:val="00C92701"/>
    <w:rsid w:val="00C92C33"/>
    <w:rsid w:val="00C9327D"/>
    <w:rsid w:val="00C93682"/>
    <w:rsid w:val="00C93FAC"/>
    <w:rsid w:val="00C943E1"/>
    <w:rsid w:val="00C96850"/>
    <w:rsid w:val="00C97827"/>
    <w:rsid w:val="00C97964"/>
    <w:rsid w:val="00C97C71"/>
    <w:rsid w:val="00CA06D3"/>
    <w:rsid w:val="00CA0C22"/>
    <w:rsid w:val="00CA0D1A"/>
    <w:rsid w:val="00CA21B4"/>
    <w:rsid w:val="00CA2D30"/>
    <w:rsid w:val="00CA48F1"/>
    <w:rsid w:val="00CA4D8F"/>
    <w:rsid w:val="00CA4E70"/>
    <w:rsid w:val="00CA525F"/>
    <w:rsid w:val="00CA5371"/>
    <w:rsid w:val="00CA5B43"/>
    <w:rsid w:val="00CA6606"/>
    <w:rsid w:val="00CA7122"/>
    <w:rsid w:val="00CA734D"/>
    <w:rsid w:val="00CB0596"/>
    <w:rsid w:val="00CB22F6"/>
    <w:rsid w:val="00CB2B5B"/>
    <w:rsid w:val="00CB2BC0"/>
    <w:rsid w:val="00CB3181"/>
    <w:rsid w:val="00CB44BA"/>
    <w:rsid w:val="00CB46CF"/>
    <w:rsid w:val="00CB479D"/>
    <w:rsid w:val="00CB47E9"/>
    <w:rsid w:val="00CB4A8D"/>
    <w:rsid w:val="00CB4D4C"/>
    <w:rsid w:val="00CB52A3"/>
    <w:rsid w:val="00CB5899"/>
    <w:rsid w:val="00CB6298"/>
    <w:rsid w:val="00CB6663"/>
    <w:rsid w:val="00CB67FB"/>
    <w:rsid w:val="00CB6C54"/>
    <w:rsid w:val="00CB74B0"/>
    <w:rsid w:val="00CB7A12"/>
    <w:rsid w:val="00CB7BDC"/>
    <w:rsid w:val="00CC00D8"/>
    <w:rsid w:val="00CC0719"/>
    <w:rsid w:val="00CC0D71"/>
    <w:rsid w:val="00CC12D3"/>
    <w:rsid w:val="00CC2EF2"/>
    <w:rsid w:val="00CC34DB"/>
    <w:rsid w:val="00CC3915"/>
    <w:rsid w:val="00CC3C3B"/>
    <w:rsid w:val="00CC5DAA"/>
    <w:rsid w:val="00CC623B"/>
    <w:rsid w:val="00CC62ED"/>
    <w:rsid w:val="00CC6423"/>
    <w:rsid w:val="00CC728B"/>
    <w:rsid w:val="00CC75A4"/>
    <w:rsid w:val="00CD14B2"/>
    <w:rsid w:val="00CD1A01"/>
    <w:rsid w:val="00CD21AD"/>
    <w:rsid w:val="00CD2851"/>
    <w:rsid w:val="00CD2DC4"/>
    <w:rsid w:val="00CD3B51"/>
    <w:rsid w:val="00CD3E51"/>
    <w:rsid w:val="00CD4E3D"/>
    <w:rsid w:val="00CD6177"/>
    <w:rsid w:val="00CD6540"/>
    <w:rsid w:val="00CD7116"/>
    <w:rsid w:val="00CD72B6"/>
    <w:rsid w:val="00CD77B8"/>
    <w:rsid w:val="00CE0BD4"/>
    <w:rsid w:val="00CE0CCB"/>
    <w:rsid w:val="00CE139F"/>
    <w:rsid w:val="00CE19FD"/>
    <w:rsid w:val="00CE1C38"/>
    <w:rsid w:val="00CE2069"/>
    <w:rsid w:val="00CE2ED3"/>
    <w:rsid w:val="00CE36EB"/>
    <w:rsid w:val="00CE38B6"/>
    <w:rsid w:val="00CE40E3"/>
    <w:rsid w:val="00CE431E"/>
    <w:rsid w:val="00CE4725"/>
    <w:rsid w:val="00CE5C18"/>
    <w:rsid w:val="00CE6764"/>
    <w:rsid w:val="00CE6F9C"/>
    <w:rsid w:val="00CE7AA9"/>
    <w:rsid w:val="00CF03C3"/>
    <w:rsid w:val="00CF07BF"/>
    <w:rsid w:val="00CF14A1"/>
    <w:rsid w:val="00CF1721"/>
    <w:rsid w:val="00CF1970"/>
    <w:rsid w:val="00CF1DE7"/>
    <w:rsid w:val="00CF3A27"/>
    <w:rsid w:val="00CF3B54"/>
    <w:rsid w:val="00CF459B"/>
    <w:rsid w:val="00CF4612"/>
    <w:rsid w:val="00CF5085"/>
    <w:rsid w:val="00CF51DA"/>
    <w:rsid w:val="00CF5647"/>
    <w:rsid w:val="00CF5953"/>
    <w:rsid w:val="00CF5A6B"/>
    <w:rsid w:val="00CF600D"/>
    <w:rsid w:val="00CF62F0"/>
    <w:rsid w:val="00CF671F"/>
    <w:rsid w:val="00CF69B8"/>
    <w:rsid w:val="00CF6AB7"/>
    <w:rsid w:val="00CF6D5A"/>
    <w:rsid w:val="00CF75B6"/>
    <w:rsid w:val="00CF766D"/>
    <w:rsid w:val="00CF78E3"/>
    <w:rsid w:val="00CF791F"/>
    <w:rsid w:val="00CF7ADA"/>
    <w:rsid w:val="00D00ADB"/>
    <w:rsid w:val="00D013D7"/>
    <w:rsid w:val="00D01708"/>
    <w:rsid w:val="00D01C89"/>
    <w:rsid w:val="00D01DC1"/>
    <w:rsid w:val="00D02199"/>
    <w:rsid w:val="00D02244"/>
    <w:rsid w:val="00D02869"/>
    <w:rsid w:val="00D02D96"/>
    <w:rsid w:val="00D043E5"/>
    <w:rsid w:val="00D04671"/>
    <w:rsid w:val="00D047F6"/>
    <w:rsid w:val="00D052C6"/>
    <w:rsid w:val="00D05530"/>
    <w:rsid w:val="00D0656F"/>
    <w:rsid w:val="00D06BE5"/>
    <w:rsid w:val="00D06EF2"/>
    <w:rsid w:val="00D10691"/>
    <w:rsid w:val="00D1078E"/>
    <w:rsid w:val="00D10FBF"/>
    <w:rsid w:val="00D1236C"/>
    <w:rsid w:val="00D12480"/>
    <w:rsid w:val="00D1274C"/>
    <w:rsid w:val="00D12C08"/>
    <w:rsid w:val="00D158F8"/>
    <w:rsid w:val="00D159AF"/>
    <w:rsid w:val="00D161C0"/>
    <w:rsid w:val="00D173D2"/>
    <w:rsid w:val="00D17ABD"/>
    <w:rsid w:val="00D17B78"/>
    <w:rsid w:val="00D2030E"/>
    <w:rsid w:val="00D2059D"/>
    <w:rsid w:val="00D20ADA"/>
    <w:rsid w:val="00D20E06"/>
    <w:rsid w:val="00D20F3F"/>
    <w:rsid w:val="00D20F55"/>
    <w:rsid w:val="00D219C7"/>
    <w:rsid w:val="00D22478"/>
    <w:rsid w:val="00D22886"/>
    <w:rsid w:val="00D22B69"/>
    <w:rsid w:val="00D22FF5"/>
    <w:rsid w:val="00D23489"/>
    <w:rsid w:val="00D23817"/>
    <w:rsid w:val="00D23CDD"/>
    <w:rsid w:val="00D23D9C"/>
    <w:rsid w:val="00D246D0"/>
    <w:rsid w:val="00D24AF9"/>
    <w:rsid w:val="00D2505B"/>
    <w:rsid w:val="00D2616A"/>
    <w:rsid w:val="00D27C83"/>
    <w:rsid w:val="00D302DF"/>
    <w:rsid w:val="00D30ED5"/>
    <w:rsid w:val="00D3157F"/>
    <w:rsid w:val="00D31899"/>
    <w:rsid w:val="00D319D2"/>
    <w:rsid w:val="00D31DA7"/>
    <w:rsid w:val="00D32ABC"/>
    <w:rsid w:val="00D330DB"/>
    <w:rsid w:val="00D334C2"/>
    <w:rsid w:val="00D3372F"/>
    <w:rsid w:val="00D340F6"/>
    <w:rsid w:val="00D346A3"/>
    <w:rsid w:val="00D34D9E"/>
    <w:rsid w:val="00D361D5"/>
    <w:rsid w:val="00D36A79"/>
    <w:rsid w:val="00D3776B"/>
    <w:rsid w:val="00D37DC0"/>
    <w:rsid w:val="00D4031A"/>
    <w:rsid w:val="00D4082B"/>
    <w:rsid w:val="00D408B4"/>
    <w:rsid w:val="00D41091"/>
    <w:rsid w:val="00D4178E"/>
    <w:rsid w:val="00D41C8C"/>
    <w:rsid w:val="00D421F3"/>
    <w:rsid w:val="00D436EF"/>
    <w:rsid w:val="00D43DEC"/>
    <w:rsid w:val="00D43E85"/>
    <w:rsid w:val="00D4401A"/>
    <w:rsid w:val="00D46B51"/>
    <w:rsid w:val="00D46C43"/>
    <w:rsid w:val="00D47072"/>
    <w:rsid w:val="00D4740D"/>
    <w:rsid w:val="00D5113C"/>
    <w:rsid w:val="00D51923"/>
    <w:rsid w:val="00D521BD"/>
    <w:rsid w:val="00D534CB"/>
    <w:rsid w:val="00D535B3"/>
    <w:rsid w:val="00D535F1"/>
    <w:rsid w:val="00D53802"/>
    <w:rsid w:val="00D53A67"/>
    <w:rsid w:val="00D54052"/>
    <w:rsid w:val="00D546EF"/>
    <w:rsid w:val="00D5473A"/>
    <w:rsid w:val="00D548D9"/>
    <w:rsid w:val="00D55614"/>
    <w:rsid w:val="00D55DCA"/>
    <w:rsid w:val="00D578C2"/>
    <w:rsid w:val="00D57C41"/>
    <w:rsid w:val="00D57F92"/>
    <w:rsid w:val="00D615A7"/>
    <w:rsid w:val="00D61892"/>
    <w:rsid w:val="00D61E0B"/>
    <w:rsid w:val="00D6332A"/>
    <w:rsid w:val="00D636F1"/>
    <w:rsid w:val="00D63E4E"/>
    <w:rsid w:val="00D63F85"/>
    <w:rsid w:val="00D64BE2"/>
    <w:rsid w:val="00D656C6"/>
    <w:rsid w:val="00D6589C"/>
    <w:rsid w:val="00D66190"/>
    <w:rsid w:val="00D661A2"/>
    <w:rsid w:val="00D665EE"/>
    <w:rsid w:val="00D67E42"/>
    <w:rsid w:val="00D702CE"/>
    <w:rsid w:val="00D7031D"/>
    <w:rsid w:val="00D70411"/>
    <w:rsid w:val="00D704C2"/>
    <w:rsid w:val="00D71378"/>
    <w:rsid w:val="00D7145B"/>
    <w:rsid w:val="00D7196C"/>
    <w:rsid w:val="00D71995"/>
    <w:rsid w:val="00D71BE8"/>
    <w:rsid w:val="00D71C17"/>
    <w:rsid w:val="00D7262A"/>
    <w:rsid w:val="00D72B4F"/>
    <w:rsid w:val="00D73A9D"/>
    <w:rsid w:val="00D73D8E"/>
    <w:rsid w:val="00D74FF8"/>
    <w:rsid w:val="00D756B1"/>
    <w:rsid w:val="00D757E8"/>
    <w:rsid w:val="00D758CE"/>
    <w:rsid w:val="00D75B38"/>
    <w:rsid w:val="00D764A5"/>
    <w:rsid w:val="00D76BA1"/>
    <w:rsid w:val="00D777E7"/>
    <w:rsid w:val="00D77FFB"/>
    <w:rsid w:val="00D8092A"/>
    <w:rsid w:val="00D80DBD"/>
    <w:rsid w:val="00D8113C"/>
    <w:rsid w:val="00D81212"/>
    <w:rsid w:val="00D815B5"/>
    <w:rsid w:val="00D81DAB"/>
    <w:rsid w:val="00D82422"/>
    <w:rsid w:val="00D834BC"/>
    <w:rsid w:val="00D8464D"/>
    <w:rsid w:val="00D84DA6"/>
    <w:rsid w:val="00D85BE1"/>
    <w:rsid w:val="00D85E77"/>
    <w:rsid w:val="00D8600F"/>
    <w:rsid w:val="00D86481"/>
    <w:rsid w:val="00D876B0"/>
    <w:rsid w:val="00D8799B"/>
    <w:rsid w:val="00D87E43"/>
    <w:rsid w:val="00D909F1"/>
    <w:rsid w:val="00D90AD5"/>
    <w:rsid w:val="00D911E6"/>
    <w:rsid w:val="00D91989"/>
    <w:rsid w:val="00D91BE2"/>
    <w:rsid w:val="00D92660"/>
    <w:rsid w:val="00D92B72"/>
    <w:rsid w:val="00D93187"/>
    <w:rsid w:val="00D937FE"/>
    <w:rsid w:val="00D93BE2"/>
    <w:rsid w:val="00D94250"/>
    <w:rsid w:val="00D944C1"/>
    <w:rsid w:val="00D95AD4"/>
    <w:rsid w:val="00D95CC8"/>
    <w:rsid w:val="00D97452"/>
    <w:rsid w:val="00DA00AB"/>
    <w:rsid w:val="00DA1022"/>
    <w:rsid w:val="00DA1A1C"/>
    <w:rsid w:val="00DA2A94"/>
    <w:rsid w:val="00DA38F8"/>
    <w:rsid w:val="00DA4556"/>
    <w:rsid w:val="00DA4678"/>
    <w:rsid w:val="00DA4CA7"/>
    <w:rsid w:val="00DA56CD"/>
    <w:rsid w:val="00DA5EE0"/>
    <w:rsid w:val="00DA7202"/>
    <w:rsid w:val="00DA72B2"/>
    <w:rsid w:val="00DB066B"/>
    <w:rsid w:val="00DB0A2D"/>
    <w:rsid w:val="00DB1712"/>
    <w:rsid w:val="00DB194D"/>
    <w:rsid w:val="00DB2FB5"/>
    <w:rsid w:val="00DB3268"/>
    <w:rsid w:val="00DB3517"/>
    <w:rsid w:val="00DB36C4"/>
    <w:rsid w:val="00DB3D37"/>
    <w:rsid w:val="00DB3ED8"/>
    <w:rsid w:val="00DB3F45"/>
    <w:rsid w:val="00DB412A"/>
    <w:rsid w:val="00DB450C"/>
    <w:rsid w:val="00DB4E5B"/>
    <w:rsid w:val="00DB5819"/>
    <w:rsid w:val="00DB5A12"/>
    <w:rsid w:val="00DB6F67"/>
    <w:rsid w:val="00DC090E"/>
    <w:rsid w:val="00DC0A9B"/>
    <w:rsid w:val="00DC1018"/>
    <w:rsid w:val="00DC2A89"/>
    <w:rsid w:val="00DC2F09"/>
    <w:rsid w:val="00DC33F3"/>
    <w:rsid w:val="00DC34D6"/>
    <w:rsid w:val="00DC39C3"/>
    <w:rsid w:val="00DC3B2B"/>
    <w:rsid w:val="00DC3FC8"/>
    <w:rsid w:val="00DC4179"/>
    <w:rsid w:val="00DC529C"/>
    <w:rsid w:val="00DC5577"/>
    <w:rsid w:val="00DC5912"/>
    <w:rsid w:val="00DC5B57"/>
    <w:rsid w:val="00DC603C"/>
    <w:rsid w:val="00DC632F"/>
    <w:rsid w:val="00DC6401"/>
    <w:rsid w:val="00DC70E0"/>
    <w:rsid w:val="00DC72D5"/>
    <w:rsid w:val="00DC7B98"/>
    <w:rsid w:val="00DC7D73"/>
    <w:rsid w:val="00DD07B2"/>
    <w:rsid w:val="00DD10F0"/>
    <w:rsid w:val="00DD1DC5"/>
    <w:rsid w:val="00DD22C6"/>
    <w:rsid w:val="00DD2E24"/>
    <w:rsid w:val="00DD3695"/>
    <w:rsid w:val="00DD3848"/>
    <w:rsid w:val="00DD3B29"/>
    <w:rsid w:val="00DD48BC"/>
    <w:rsid w:val="00DD50ED"/>
    <w:rsid w:val="00DD5B7C"/>
    <w:rsid w:val="00DD7966"/>
    <w:rsid w:val="00DD79D4"/>
    <w:rsid w:val="00DD7F4E"/>
    <w:rsid w:val="00DE0063"/>
    <w:rsid w:val="00DE01E7"/>
    <w:rsid w:val="00DE0690"/>
    <w:rsid w:val="00DE093A"/>
    <w:rsid w:val="00DE0986"/>
    <w:rsid w:val="00DE0BAA"/>
    <w:rsid w:val="00DE1814"/>
    <w:rsid w:val="00DE2756"/>
    <w:rsid w:val="00DE27B7"/>
    <w:rsid w:val="00DE32CE"/>
    <w:rsid w:val="00DE4BC2"/>
    <w:rsid w:val="00DE556F"/>
    <w:rsid w:val="00DE5B7B"/>
    <w:rsid w:val="00DE5D33"/>
    <w:rsid w:val="00DE71FE"/>
    <w:rsid w:val="00DE7437"/>
    <w:rsid w:val="00DE7A6D"/>
    <w:rsid w:val="00DF0054"/>
    <w:rsid w:val="00DF0337"/>
    <w:rsid w:val="00DF0492"/>
    <w:rsid w:val="00DF06CC"/>
    <w:rsid w:val="00DF153C"/>
    <w:rsid w:val="00DF1FAE"/>
    <w:rsid w:val="00DF1FB1"/>
    <w:rsid w:val="00DF262E"/>
    <w:rsid w:val="00DF277B"/>
    <w:rsid w:val="00DF5A84"/>
    <w:rsid w:val="00DF5E7E"/>
    <w:rsid w:val="00DF6815"/>
    <w:rsid w:val="00DF68FA"/>
    <w:rsid w:val="00DF6F04"/>
    <w:rsid w:val="00DF7320"/>
    <w:rsid w:val="00DF793B"/>
    <w:rsid w:val="00E00218"/>
    <w:rsid w:val="00E01A40"/>
    <w:rsid w:val="00E01A9A"/>
    <w:rsid w:val="00E02096"/>
    <w:rsid w:val="00E026CC"/>
    <w:rsid w:val="00E026E6"/>
    <w:rsid w:val="00E032B4"/>
    <w:rsid w:val="00E04F8C"/>
    <w:rsid w:val="00E0599D"/>
    <w:rsid w:val="00E06341"/>
    <w:rsid w:val="00E067BE"/>
    <w:rsid w:val="00E073D3"/>
    <w:rsid w:val="00E07585"/>
    <w:rsid w:val="00E078BA"/>
    <w:rsid w:val="00E07B68"/>
    <w:rsid w:val="00E07FF5"/>
    <w:rsid w:val="00E104AF"/>
    <w:rsid w:val="00E10FAE"/>
    <w:rsid w:val="00E114A1"/>
    <w:rsid w:val="00E116B1"/>
    <w:rsid w:val="00E119E9"/>
    <w:rsid w:val="00E1278C"/>
    <w:rsid w:val="00E13551"/>
    <w:rsid w:val="00E14087"/>
    <w:rsid w:val="00E14360"/>
    <w:rsid w:val="00E143E7"/>
    <w:rsid w:val="00E14867"/>
    <w:rsid w:val="00E14C30"/>
    <w:rsid w:val="00E15168"/>
    <w:rsid w:val="00E15B7C"/>
    <w:rsid w:val="00E15C98"/>
    <w:rsid w:val="00E161CE"/>
    <w:rsid w:val="00E16ED0"/>
    <w:rsid w:val="00E17274"/>
    <w:rsid w:val="00E1767D"/>
    <w:rsid w:val="00E20830"/>
    <w:rsid w:val="00E20AC8"/>
    <w:rsid w:val="00E20E27"/>
    <w:rsid w:val="00E22A05"/>
    <w:rsid w:val="00E22F6B"/>
    <w:rsid w:val="00E23A10"/>
    <w:rsid w:val="00E2462F"/>
    <w:rsid w:val="00E24EF1"/>
    <w:rsid w:val="00E25B57"/>
    <w:rsid w:val="00E25EBF"/>
    <w:rsid w:val="00E27D2C"/>
    <w:rsid w:val="00E27E40"/>
    <w:rsid w:val="00E30467"/>
    <w:rsid w:val="00E30786"/>
    <w:rsid w:val="00E31106"/>
    <w:rsid w:val="00E314DD"/>
    <w:rsid w:val="00E3203C"/>
    <w:rsid w:val="00E32A37"/>
    <w:rsid w:val="00E32BAE"/>
    <w:rsid w:val="00E32CD6"/>
    <w:rsid w:val="00E3310B"/>
    <w:rsid w:val="00E3325C"/>
    <w:rsid w:val="00E334F5"/>
    <w:rsid w:val="00E33AF3"/>
    <w:rsid w:val="00E34ED7"/>
    <w:rsid w:val="00E35185"/>
    <w:rsid w:val="00E356B6"/>
    <w:rsid w:val="00E367D4"/>
    <w:rsid w:val="00E36934"/>
    <w:rsid w:val="00E373C0"/>
    <w:rsid w:val="00E40C4B"/>
    <w:rsid w:val="00E4104B"/>
    <w:rsid w:val="00E41135"/>
    <w:rsid w:val="00E412DF"/>
    <w:rsid w:val="00E41357"/>
    <w:rsid w:val="00E4425F"/>
    <w:rsid w:val="00E44839"/>
    <w:rsid w:val="00E46CAE"/>
    <w:rsid w:val="00E47A9E"/>
    <w:rsid w:val="00E5002E"/>
    <w:rsid w:val="00E50A6F"/>
    <w:rsid w:val="00E51C8C"/>
    <w:rsid w:val="00E5229A"/>
    <w:rsid w:val="00E52448"/>
    <w:rsid w:val="00E54B25"/>
    <w:rsid w:val="00E54F4F"/>
    <w:rsid w:val="00E54F90"/>
    <w:rsid w:val="00E5526F"/>
    <w:rsid w:val="00E55A01"/>
    <w:rsid w:val="00E55F4E"/>
    <w:rsid w:val="00E56A7E"/>
    <w:rsid w:val="00E56C72"/>
    <w:rsid w:val="00E57094"/>
    <w:rsid w:val="00E604C6"/>
    <w:rsid w:val="00E61E77"/>
    <w:rsid w:val="00E61EF5"/>
    <w:rsid w:val="00E62279"/>
    <w:rsid w:val="00E622DE"/>
    <w:rsid w:val="00E625A8"/>
    <w:rsid w:val="00E63E9E"/>
    <w:rsid w:val="00E63FC3"/>
    <w:rsid w:val="00E64750"/>
    <w:rsid w:val="00E648DF"/>
    <w:rsid w:val="00E6518E"/>
    <w:rsid w:val="00E6522C"/>
    <w:rsid w:val="00E65D67"/>
    <w:rsid w:val="00E65D98"/>
    <w:rsid w:val="00E66D0E"/>
    <w:rsid w:val="00E709C8"/>
    <w:rsid w:val="00E71A34"/>
    <w:rsid w:val="00E71B64"/>
    <w:rsid w:val="00E71E4F"/>
    <w:rsid w:val="00E71E95"/>
    <w:rsid w:val="00E720FC"/>
    <w:rsid w:val="00E72325"/>
    <w:rsid w:val="00E73255"/>
    <w:rsid w:val="00E7535D"/>
    <w:rsid w:val="00E7571F"/>
    <w:rsid w:val="00E75922"/>
    <w:rsid w:val="00E75EA8"/>
    <w:rsid w:val="00E76559"/>
    <w:rsid w:val="00E7655E"/>
    <w:rsid w:val="00E76714"/>
    <w:rsid w:val="00E772DD"/>
    <w:rsid w:val="00E77DF4"/>
    <w:rsid w:val="00E808C4"/>
    <w:rsid w:val="00E80DB8"/>
    <w:rsid w:val="00E80FB6"/>
    <w:rsid w:val="00E819C1"/>
    <w:rsid w:val="00E82C1B"/>
    <w:rsid w:val="00E82F65"/>
    <w:rsid w:val="00E831E0"/>
    <w:rsid w:val="00E83387"/>
    <w:rsid w:val="00E83A08"/>
    <w:rsid w:val="00E83E66"/>
    <w:rsid w:val="00E84265"/>
    <w:rsid w:val="00E842B7"/>
    <w:rsid w:val="00E85886"/>
    <w:rsid w:val="00E85963"/>
    <w:rsid w:val="00E859D0"/>
    <w:rsid w:val="00E86073"/>
    <w:rsid w:val="00E8629D"/>
    <w:rsid w:val="00E86B25"/>
    <w:rsid w:val="00E873AD"/>
    <w:rsid w:val="00E90F60"/>
    <w:rsid w:val="00E911D4"/>
    <w:rsid w:val="00E92117"/>
    <w:rsid w:val="00E93511"/>
    <w:rsid w:val="00E953DA"/>
    <w:rsid w:val="00E959E1"/>
    <w:rsid w:val="00E96263"/>
    <w:rsid w:val="00E9630B"/>
    <w:rsid w:val="00E96A15"/>
    <w:rsid w:val="00E96B5D"/>
    <w:rsid w:val="00E96D33"/>
    <w:rsid w:val="00E96E87"/>
    <w:rsid w:val="00E975A1"/>
    <w:rsid w:val="00E97C7F"/>
    <w:rsid w:val="00EA0274"/>
    <w:rsid w:val="00EA11B2"/>
    <w:rsid w:val="00EA1D07"/>
    <w:rsid w:val="00EA2CBA"/>
    <w:rsid w:val="00EA2EB4"/>
    <w:rsid w:val="00EA4586"/>
    <w:rsid w:val="00EA4F7E"/>
    <w:rsid w:val="00EA5077"/>
    <w:rsid w:val="00EA50CC"/>
    <w:rsid w:val="00EA55FA"/>
    <w:rsid w:val="00EA5BB4"/>
    <w:rsid w:val="00EA6745"/>
    <w:rsid w:val="00EA6E97"/>
    <w:rsid w:val="00EA7EEE"/>
    <w:rsid w:val="00EA7FED"/>
    <w:rsid w:val="00EB0103"/>
    <w:rsid w:val="00EB0382"/>
    <w:rsid w:val="00EB1209"/>
    <w:rsid w:val="00EB186E"/>
    <w:rsid w:val="00EB1BC7"/>
    <w:rsid w:val="00EB2590"/>
    <w:rsid w:val="00EB2988"/>
    <w:rsid w:val="00EB584A"/>
    <w:rsid w:val="00EB6224"/>
    <w:rsid w:val="00EB6AC5"/>
    <w:rsid w:val="00EB6E40"/>
    <w:rsid w:val="00EB6F5F"/>
    <w:rsid w:val="00EB744D"/>
    <w:rsid w:val="00EB75B1"/>
    <w:rsid w:val="00EB7EFE"/>
    <w:rsid w:val="00EC0AB8"/>
    <w:rsid w:val="00EC13BF"/>
    <w:rsid w:val="00EC1617"/>
    <w:rsid w:val="00EC1D38"/>
    <w:rsid w:val="00EC2D09"/>
    <w:rsid w:val="00EC2DB0"/>
    <w:rsid w:val="00EC3296"/>
    <w:rsid w:val="00EC3612"/>
    <w:rsid w:val="00EC38A3"/>
    <w:rsid w:val="00EC44A3"/>
    <w:rsid w:val="00EC45EE"/>
    <w:rsid w:val="00EC4D13"/>
    <w:rsid w:val="00EC53B1"/>
    <w:rsid w:val="00EC5428"/>
    <w:rsid w:val="00EC5BD6"/>
    <w:rsid w:val="00EC6041"/>
    <w:rsid w:val="00EC65B9"/>
    <w:rsid w:val="00EC6820"/>
    <w:rsid w:val="00EC71B4"/>
    <w:rsid w:val="00ED09EB"/>
    <w:rsid w:val="00ED1E85"/>
    <w:rsid w:val="00ED21F7"/>
    <w:rsid w:val="00ED296C"/>
    <w:rsid w:val="00ED2F36"/>
    <w:rsid w:val="00ED315A"/>
    <w:rsid w:val="00ED4329"/>
    <w:rsid w:val="00ED462B"/>
    <w:rsid w:val="00ED4BB0"/>
    <w:rsid w:val="00ED4CF2"/>
    <w:rsid w:val="00ED62B5"/>
    <w:rsid w:val="00ED6DF5"/>
    <w:rsid w:val="00ED7C0E"/>
    <w:rsid w:val="00EE0810"/>
    <w:rsid w:val="00EE17FE"/>
    <w:rsid w:val="00EE1C1F"/>
    <w:rsid w:val="00EE22C7"/>
    <w:rsid w:val="00EE2A7B"/>
    <w:rsid w:val="00EE4289"/>
    <w:rsid w:val="00EE4530"/>
    <w:rsid w:val="00EE531D"/>
    <w:rsid w:val="00EE6459"/>
    <w:rsid w:val="00EE6FE4"/>
    <w:rsid w:val="00EE77D6"/>
    <w:rsid w:val="00EE7B87"/>
    <w:rsid w:val="00EF132E"/>
    <w:rsid w:val="00EF136D"/>
    <w:rsid w:val="00EF1554"/>
    <w:rsid w:val="00EF27C2"/>
    <w:rsid w:val="00EF2A05"/>
    <w:rsid w:val="00EF2D06"/>
    <w:rsid w:val="00EF3A49"/>
    <w:rsid w:val="00EF42B9"/>
    <w:rsid w:val="00EF4639"/>
    <w:rsid w:val="00EF4755"/>
    <w:rsid w:val="00EF4AA1"/>
    <w:rsid w:val="00EF548E"/>
    <w:rsid w:val="00EF6383"/>
    <w:rsid w:val="00EF7188"/>
    <w:rsid w:val="00EF743A"/>
    <w:rsid w:val="00EF74FC"/>
    <w:rsid w:val="00EF7846"/>
    <w:rsid w:val="00EF7D8F"/>
    <w:rsid w:val="00F007DF"/>
    <w:rsid w:val="00F00D3C"/>
    <w:rsid w:val="00F010CD"/>
    <w:rsid w:val="00F01528"/>
    <w:rsid w:val="00F02346"/>
    <w:rsid w:val="00F044A7"/>
    <w:rsid w:val="00F05D84"/>
    <w:rsid w:val="00F0738C"/>
    <w:rsid w:val="00F10976"/>
    <w:rsid w:val="00F1213C"/>
    <w:rsid w:val="00F12D8C"/>
    <w:rsid w:val="00F12E30"/>
    <w:rsid w:val="00F130AF"/>
    <w:rsid w:val="00F134D2"/>
    <w:rsid w:val="00F13507"/>
    <w:rsid w:val="00F13615"/>
    <w:rsid w:val="00F1476D"/>
    <w:rsid w:val="00F162FA"/>
    <w:rsid w:val="00F1678B"/>
    <w:rsid w:val="00F169FB"/>
    <w:rsid w:val="00F17B36"/>
    <w:rsid w:val="00F206B7"/>
    <w:rsid w:val="00F20FB7"/>
    <w:rsid w:val="00F21194"/>
    <w:rsid w:val="00F21D9B"/>
    <w:rsid w:val="00F227F2"/>
    <w:rsid w:val="00F228B0"/>
    <w:rsid w:val="00F23AA0"/>
    <w:rsid w:val="00F23B27"/>
    <w:rsid w:val="00F23C94"/>
    <w:rsid w:val="00F244AE"/>
    <w:rsid w:val="00F24523"/>
    <w:rsid w:val="00F245F4"/>
    <w:rsid w:val="00F247B1"/>
    <w:rsid w:val="00F247EB"/>
    <w:rsid w:val="00F25573"/>
    <w:rsid w:val="00F25CCB"/>
    <w:rsid w:val="00F25CED"/>
    <w:rsid w:val="00F25E5D"/>
    <w:rsid w:val="00F263A9"/>
    <w:rsid w:val="00F263C6"/>
    <w:rsid w:val="00F275F5"/>
    <w:rsid w:val="00F27EE1"/>
    <w:rsid w:val="00F30390"/>
    <w:rsid w:val="00F31064"/>
    <w:rsid w:val="00F31D66"/>
    <w:rsid w:val="00F3237A"/>
    <w:rsid w:val="00F32434"/>
    <w:rsid w:val="00F3265A"/>
    <w:rsid w:val="00F32C67"/>
    <w:rsid w:val="00F33488"/>
    <w:rsid w:val="00F33F6B"/>
    <w:rsid w:val="00F34006"/>
    <w:rsid w:val="00F34918"/>
    <w:rsid w:val="00F35616"/>
    <w:rsid w:val="00F3591C"/>
    <w:rsid w:val="00F372EF"/>
    <w:rsid w:val="00F37DBB"/>
    <w:rsid w:val="00F40BFD"/>
    <w:rsid w:val="00F40C3A"/>
    <w:rsid w:val="00F40CFB"/>
    <w:rsid w:val="00F40EE1"/>
    <w:rsid w:val="00F41A2F"/>
    <w:rsid w:val="00F41A5B"/>
    <w:rsid w:val="00F426FB"/>
    <w:rsid w:val="00F42A89"/>
    <w:rsid w:val="00F42BAA"/>
    <w:rsid w:val="00F436F7"/>
    <w:rsid w:val="00F43832"/>
    <w:rsid w:val="00F43878"/>
    <w:rsid w:val="00F43953"/>
    <w:rsid w:val="00F43F15"/>
    <w:rsid w:val="00F44087"/>
    <w:rsid w:val="00F44476"/>
    <w:rsid w:val="00F44781"/>
    <w:rsid w:val="00F45744"/>
    <w:rsid w:val="00F459F5"/>
    <w:rsid w:val="00F45FAD"/>
    <w:rsid w:val="00F461FF"/>
    <w:rsid w:val="00F475F0"/>
    <w:rsid w:val="00F4764E"/>
    <w:rsid w:val="00F47F06"/>
    <w:rsid w:val="00F500C3"/>
    <w:rsid w:val="00F50A1A"/>
    <w:rsid w:val="00F515C0"/>
    <w:rsid w:val="00F5174D"/>
    <w:rsid w:val="00F523E9"/>
    <w:rsid w:val="00F52F4D"/>
    <w:rsid w:val="00F53C28"/>
    <w:rsid w:val="00F54723"/>
    <w:rsid w:val="00F54815"/>
    <w:rsid w:val="00F54F79"/>
    <w:rsid w:val="00F5506B"/>
    <w:rsid w:val="00F5696E"/>
    <w:rsid w:val="00F56EC2"/>
    <w:rsid w:val="00F60425"/>
    <w:rsid w:val="00F60523"/>
    <w:rsid w:val="00F60906"/>
    <w:rsid w:val="00F60E65"/>
    <w:rsid w:val="00F61807"/>
    <w:rsid w:val="00F61B7B"/>
    <w:rsid w:val="00F61DA1"/>
    <w:rsid w:val="00F61DF0"/>
    <w:rsid w:val="00F62826"/>
    <w:rsid w:val="00F634EF"/>
    <w:rsid w:val="00F635A7"/>
    <w:rsid w:val="00F638B1"/>
    <w:rsid w:val="00F63E7E"/>
    <w:rsid w:val="00F64187"/>
    <w:rsid w:val="00F645A7"/>
    <w:rsid w:val="00F64BB3"/>
    <w:rsid w:val="00F64E41"/>
    <w:rsid w:val="00F65E96"/>
    <w:rsid w:val="00F6634C"/>
    <w:rsid w:val="00F66842"/>
    <w:rsid w:val="00F67A42"/>
    <w:rsid w:val="00F67BA7"/>
    <w:rsid w:val="00F67D35"/>
    <w:rsid w:val="00F71C01"/>
    <w:rsid w:val="00F7289E"/>
    <w:rsid w:val="00F72A74"/>
    <w:rsid w:val="00F72DC7"/>
    <w:rsid w:val="00F73961"/>
    <w:rsid w:val="00F74C22"/>
    <w:rsid w:val="00F756AB"/>
    <w:rsid w:val="00F756D8"/>
    <w:rsid w:val="00F75FE0"/>
    <w:rsid w:val="00F7604E"/>
    <w:rsid w:val="00F76A81"/>
    <w:rsid w:val="00F76C85"/>
    <w:rsid w:val="00F77790"/>
    <w:rsid w:val="00F77807"/>
    <w:rsid w:val="00F77F12"/>
    <w:rsid w:val="00F80F65"/>
    <w:rsid w:val="00F81552"/>
    <w:rsid w:val="00F81EE2"/>
    <w:rsid w:val="00F81F20"/>
    <w:rsid w:val="00F82A73"/>
    <w:rsid w:val="00F833E0"/>
    <w:rsid w:val="00F83CCE"/>
    <w:rsid w:val="00F83D50"/>
    <w:rsid w:val="00F849E0"/>
    <w:rsid w:val="00F8532B"/>
    <w:rsid w:val="00F85A4D"/>
    <w:rsid w:val="00F86301"/>
    <w:rsid w:val="00F868F4"/>
    <w:rsid w:val="00F86985"/>
    <w:rsid w:val="00F87F7A"/>
    <w:rsid w:val="00F9026C"/>
    <w:rsid w:val="00F91146"/>
    <w:rsid w:val="00F912C4"/>
    <w:rsid w:val="00F9146A"/>
    <w:rsid w:val="00F91938"/>
    <w:rsid w:val="00F94265"/>
    <w:rsid w:val="00F94459"/>
    <w:rsid w:val="00F94722"/>
    <w:rsid w:val="00F94A15"/>
    <w:rsid w:val="00F95A4B"/>
    <w:rsid w:val="00FA0396"/>
    <w:rsid w:val="00FA1F41"/>
    <w:rsid w:val="00FA20DD"/>
    <w:rsid w:val="00FA2432"/>
    <w:rsid w:val="00FA250D"/>
    <w:rsid w:val="00FA265A"/>
    <w:rsid w:val="00FA2E61"/>
    <w:rsid w:val="00FA3094"/>
    <w:rsid w:val="00FA3846"/>
    <w:rsid w:val="00FA4684"/>
    <w:rsid w:val="00FA5431"/>
    <w:rsid w:val="00FA54F3"/>
    <w:rsid w:val="00FA5D38"/>
    <w:rsid w:val="00FA5F78"/>
    <w:rsid w:val="00FA63D4"/>
    <w:rsid w:val="00FA64C1"/>
    <w:rsid w:val="00FA66D0"/>
    <w:rsid w:val="00FA6E6B"/>
    <w:rsid w:val="00FA771C"/>
    <w:rsid w:val="00FA7860"/>
    <w:rsid w:val="00FA7BF8"/>
    <w:rsid w:val="00FB0CED"/>
    <w:rsid w:val="00FB17C3"/>
    <w:rsid w:val="00FB3244"/>
    <w:rsid w:val="00FB361C"/>
    <w:rsid w:val="00FB416D"/>
    <w:rsid w:val="00FB4676"/>
    <w:rsid w:val="00FB58AE"/>
    <w:rsid w:val="00FB64F8"/>
    <w:rsid w:val="00FB781B"/>
    <w:rsid w:val="00FB798F"/>
    <w:rsid w:val="00FB7FCC"/>
    <w:rsid w:val="00FC012F"/>
    <w:rsid w:val="00FC05A3"/>
    <w:rsid w:val="00FC0DB0"/>
    <w:rsid w:val="00FC1F59"/>
    <w:rsid w:val="00FC25B9"/>
    <w:rsid w:val="00FC4021"/>
    <w:rsid w:val="00FC4B81"/>
    <w:rsid w:val="00FC54C4"/>
    <w:rsid w:val="00FC5C42"/>
    <w:rsid w:val="00FC628A"/>
    <w:rsid w:val="00FC6438"/>
    <w:rsid w:val="00FC67E9"/>
    <w:rsid w:val="00FC6DF4"/>
    <w:rsid w:val="00FC6E85"/>
    <w:rsid w:val="00FC7357"/>
    <w:rsid w:val="00FC78FE"/>
    <w:rsid w:val="00FC7EF3"/>
    <w:rsid w:val="00FC7F89"/>
    <w:rsid w:val="00FD0192"/>
    <w:rsid w:val="00FD0210"/>
    <w:rsid w:val="00FD05E1"/>
    <w:rsid w:val="00FD0905"/>
    <w:rsid w:val="00FD129E"/>
    <w:rsid w:val="00FD1487"/>
    <w:rsid w:val="00FD1550"/>
    <w:rsid w:val="00FD196B"/>
    <w:rsid w:val="00FD3BF5"/>
    <w:rsid w:val="00FD4E92"/>
    <w:rsid w:val="00FD5125"/>
    <w:rsid w:val="00FD512F"/>
    <w:rsid w:val="00FD5850"/>
    <w:rsid w:val="00FD6964"/>
    <w:rsid w:val="00FD71C4"/>
    <w:rsid w:val="00FD77F4"/>
    <w:rsid w:val="00FE03A3"/>
    <w:rsid w:val="00FE06FB"/>
    <w:rsid w:val="00FE0A60"/>
    <w:rsid w:val="00FE1E8D"/>
    <w:rsid w:val="00FE23EA"/>
    <w:rsid w:val="00FE2F98"/>
    <w:rsid w:val="00FE3C55"/>
    <w:rsid w:val="00FE3D56"/>
    <w:rsid w:val="00FE4088"/>
    <w:rsid w:val="00FE4682"/>
    <w:rsid w:val="00FE46A9"/>
    <w:rsid w:val="00FE4D1A"/>
    <w:rsid w:val="00FE518D"/>
    <w:rsid w:val="00FE6536"/>
    <w:rsid w:val="00FE67A0"/>
    <w:rsid w:val="00FE6AE2"/>
    <w:rsid w:val="00FE6FD9"/>
    <w:rsid w:val="00FE736D"/>
    <w:rsid w:val="00FE7656"/>
    <w:rsid w:val="00FF014A"/>
    <w:rsid w:val="00FF0BFE"/>
    <w:rsid w:val="00FF0E16"/>
    <w:rsid w:val="00FF17FD"/>
    <w:rsid w:val="00FF1828"/>
    <w:rsid w:val="00FF251E"/>
    <w:rsid w:val="00FF28E1"/>
    <w:rsid w:val="00FF2991"/>
    <w:rsid w:val="00FF2BE2"/>
    <w:rsid w:val="00FF3F99"/>
    <w:rsid w:val="00FF64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34618FF"/>
  <w14:defaultImageDpi w14:val="0"/>
  <w15:docId w15:val="{653898CA-329C-4106-9A8B-D16574ECE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annotation text" w:uiPriority="0"/>
    <w:lsdException w:name="header" w:locked="1" w:uiPriority="0"/>
    <w:lsdException w:name="caption" w:locked="1" w:semiHidden="1" w:uiPriority="0" w:unhideWhenUsed="1" w:qFormat="1"/>
    <w:lsdException w:name="footnote reference" w:uiPriority="0"/>
    <w:lsdException w:name="annotation reference" w:uiPriority="0"/>
    <w:lsdException w:name="page number" w:locked="1"/>
    <w:lsdException w:name="List Number" w:semiHidden="1" w:unhideWhenUsed="1"/>
    <w:lsdException w:name="List 4" w:semiHidden="1" w:unhideWhenUsed="1"/>
    <w:lsdException w:name="List 5" w:semiHidden="1" w:unhideWhenUsed="1"/>
    <w:lsdException w:name="List Bullet 2" w:uiPriority="0"/>
    <w:lsdException w:name="Title" w:locked="1" w:uiPriority="0" w:qFormat="1"/>
    <w:lsdException w:name="Default Paragraph Font" w:locked="1" w:uiPriority="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34C"/>
    <w:pPr>
      <w:spacing w:line="276" w:lineRule="auto"/>
    </w:pPr>
    <w:rPr>
      <w:rFonts w:asciiTheme="minorHAnsi" w:hAnsiTheme="minorHAnsi" w:cs="Arial"/>
      <w:sz w:val="24"/>
      <w:szCs w:val="24"/>
      <w:lang w:eastAsia="en-US"/>
    </w:rPr>
  </w:style>
  <w:style w:type="paragraph" w:styleId="Heading1">
    <w:name w:val="heading 1"/>
    <w:basedOn w:val="Normal"/>
    <w:next w:val="Normal"/>
    <w:link w:val="Heading1Char"/>
    <w:uiPriority w:val="9"/>
    <w:qFormat/>
    <w:locked/>
    <w:rsid w:val="00287242"/>
    <w:pPr>
      <w:contextualSpacing/>
      <w:jc w:val="center"/>
      <w:outlineLvl w:val="0"/>
    </w:pPr>
    <w:rPr>
      <w:b/>
      <w:bCs/>
      <w:u w:val="single"/>
    </w:rPr>
  </w:style>
  <w:style w:type="paragraph" w:styleId="Heading2">
    <w:name w:val="heading 2"/>
    <w:basedOn w:val="Normal"/>
    <w:next w:val="Normal"/>
    <w:link w:val="Heading2Char"/>
    <w:uiPriority w:val="9"/>
    <w:unhideWhenUsed/>
    <w:qFormat/>
    <w:locked/>
    <w:rsid w:val="00287242"/>
    <w:pPr>
      <w:contextualSpacing/>
      <w:outlineLvl w:val="1"/>
    </w:pPr>
    <w:rPr>
      <w:b/>
    </w:rPr>
  </w:style>
  <w:style w:type="paragraph" w:styleId="Heading3">
    <w:name w:val="heading 3"/>
    <w:basedOn w:val="Normal"/>
    <w:next w:val="Normal"/>
    <w:link w:val="Heading3Char"/>
    <w:uiPriority w:val="9"/>
    <w:unhideWhenUsed/>
    <w:qFormat/>
    <w:locked/>
    <w:rsid w:val="00F6634C"/>
    <w:pPr>
      <w:autoSpaceDE w:val="0"/>
      <w:autoSpaceDN w:val="0"/>
      <w:adjustRightInd w:val="0"/>
      <w:spacing w:line="240" w:lineRule="auto"/>
      <w:outlineLvl w:val="2"/>
    </w:pPr>
    <w:rPr>
      <w:rFonts w:cs="Calibri"/>
      <w:i/>
      <w:iCs/>
      <w:color w:val="000000"/>
      <w:lang w:eastAsia="en-AU"/>
    </w:rPr>
  </w:style>
  <w:style w:type="paragraph" w:styleId="Heading4">
    <w:name w:val="heading 4"/>
    <w:basedOn w:val="Normal"/>
    <w:next w:val="Normal"/>
    <w:link w:val="Heading4Char"/>
    <w:uiPriority w:val="9"/>
    <w:unhideWhenUsed/>
    <w:qFormat/>
    <w:locked/>
    <w:rsid w:val="00287242"/>
    <w:pPr>
      <w:spacing w:before="240"/>
      <w:outlineLvl w:val="3"/>
    </w:pPr>
    <w:rPr>
      <w:u w:val="single"/>
    </w:rPr>
  </w:style>
  <w:style w:type="paragraph" w:styleId="Heading5">
    <w:name w:val="heading 5"/>
    <w:basedOn w:val="Normal"/>
    <w:next w:val="Normal"/>
    <w:link w:val="Heading5Char"/>
    <w:uiPriority w:val="9"/>
    <w:unhideWhenUsed/>
    <w:qFormat/>
    <w:locked/>
    <w:rsid w:val="00B805A0"/>
    <w:pPr>
      <w:keepNext/>
      <w:keepLines/>
      <w:widowControl w:val="0"/>
      <w:outlineLvl w:val="4"/>
    </w:pPr>
    <w:rPr>
      <w:b/>
    </w:rPr>
  </w:style>
  <w:style w:type="paragraph" w:styleId="Heading6">
    <w:name w:val="heading 6"/>
    <w:basedOn w:val="Normal"/>
    <w:next w:val="Normal"/>
    <w:link w:val="Heading6Char"/>
    <w:uiPriority w:val="9"/>
    <w:unhideWhenUsed/>
    <w:qFormat/>
    <w:locked/>
    <w:rsid w:val="006F170E"/>
    <w:pPr>
      <w:keepNext/>
      <w:keepLines/>
      <w:spacing w:before="40"/>
      <w:outlineLvl w:val="5"/>
    </w:pPr>
    <w:rPr>
      <w:rFonts w:asciiTheme="majorHAnsi" w:eastAsiaTheme="majorEastAsia" w:hAnsiTheme="majorHAnsi" w:cs="Times New Roman"/>
      <w:color w:val="243F60" w:themeColor="accent1" w:themeShade="7F"/>
    </w:rPr>
  </w:style>
  <w:style w:type="paragraph" w:styleId="Heading7">
    <w:name w:val="heading 7"/>
    <w:basedOn w:val="Normal"/>
    <w:next w:val="Normal"/>
    <w:link w:val="Heading7Char"/>
    <w:uiPriority w:val="9"/>
    <w:unhideWhenUsed/>
    <w:qFormat/>
    <w:locked/>
    <w:rsid w:val="006F170E"/>
    <w:pPr>
      <w:keepNext/>
      <w:keepLines/>
      <w:spacing w:before="40"/>
      <w:outlineLvl w:val="6"/>
    </w:pPr>
    <w:rPr>
      <w:rFonts w:asciiTheme="majorHAnsi" w:eastAsiaTheme="majorEastAsia" w:hAnsiTheme="majorHAnsi" w:cs="Times New Roman"/>
      <w:i/>
      <w:iCs/>
      <w:color w:val="243F60" w:themeColor="accent1" w:themeShade="7F"/>
    </w:rPr>
  </w:style>
  <w:style w:type="paragraph" w:styleId="Heading8">
    <w:name w:val="heading 8"/>
    <w:basedOn w:val="Normal"/>
    <w:next w:val="Normal"/>
    <w:link w:val="Heading8Char"/>
    <w:uiPriority w:val="99"/>
    <w:qFormat/>
    <w:rsid w:val="00852760"/>
    <w:pPr>
      <w:keepNext/>
      <w:widowControl w:val="0"/>
      <w:spacing w:line="240" w:lineRule="auto"/>
      <w:jc w:val="right"/>
      <w:outlineLvl w:val="7"/>
    </w:pPr>
    <w:rPr>
      <w:rFonts w:ascii="Times New Roman" w:hAnsi="Times New Roman"/>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87242"/>
    <w:rPr>
      <w:rFonts w:cs="Times New Roman"/>
      <w:b/>
      <w:bCs/>
      <w:sz w:val="24"/>
      <w:szCs w:val="24"/>
      <w:u w:val="single"/>
      <w:lang w:val="x-none" w:eastAsia="en-US"/>
    </w:rPr>
  </w:style>
  <w:style w:type="character" w:customStyle="1" w:styleId="Heading2Char">
    <w:name w:val="Heading 2 Char"/>
    <w:basedOn w:val="DefaultParagraphFont"/>
    <w:link w:val="Heading2"/>
    <w:uiPriority w:val="9"/>
    <w:locked/>
    <w:rsid w:val="00287242"/>
    <w:rPr>
      <w:rFonts w:asciiTheme="minorHAnsi" w:hAnsiTheme="minorHAnsi" w:cs="Times New Roman"/>
      <w:b/>
      <w:sz w:val="24"/>
      <w:szCs w:val="24"/>
      <w:lang w:val="x-none" w:eastAsia="en-US"/>
    </w:rPr>
  </w:style>
  <w:style w:type="character" w:customStyle="1" w:styleId="Heading3Char">
    <w:name w:val="Heading 3 Char"/>
    <w:basedOn w:val="DefaultParagraphFont"/>
    <w:link w:val="Heading3"/>
    <w:uiPriority w:val="9"/>
    <w:locked/>
    <w:rsid w:val="00F6634C"/>
    <w:rPr>
      <w:rFonts w:cs="Times New Roman"/>
      <w:i/>
      <w:iCs/>
      <w:color w:val="000000"/>
      <w:sz w:val="24"/>
      <w:szCs w:val="24"/>
    </w:rPr>
  </w:style>
  <w:style w:type="character" w:customStyle="1" w:styleId="Heading4Char">
    <w:name w:val="Heading 4 Char"/>
    <w:basedOn w:val="DefaultParagraphFont"/>
    <w:link w:val="Heading4"/>
    <w:uiPriority w:val="9"/>
    <w:locked/>
    <w:rsid w:val="00287242"/>
    <w:rPr>
      <w:rFonts w:asciiTheme="minorHAnsi" w:hAnsiTheme="minorHAnsi" w:cs="Times New Roman"/>
      <w:sz w:val="24"/>
      <w:szCs w:val="24"/>
      <w:u w:val="single"/>
      <w:lang w:val="x-none" w:eastAsia="en-US"/>
    </w:rPr>
  </w:style>
  <w:style w:type="character" w:customStyle="1" w:styleId="Heading5Char">
    <w:name w:val="Heading 5 Char"/>
    <w:basedOn w:val="DefaultParagraphFont"/>
    <w:link w:val="Heading5"/>
    <w:uiPriority w:val="9"/>
    <w:locked/>
    <w:rsid w:val="00B805A0"/>
    <w:rPr>
      <w:rFonts w:asciiTheme="minorHAnsi" w:hAnsiTheme="minorHAnsi" w:cs="Arial"/>
      <w:b/>
      <w:sz w:val="24"/>
      <w:szCs w:val="24"/>
      <w:lang w:val="x-none" w:eastAsia="en-US"/>
    </w:rPr>
  </w:style>
  <w:style w:type="character" w:customStyle="1" w:styleId="Heading6Char">
    <w:name w:val="Heading 6 Char"/>
    <w:basedOn w:val="DefaultParagraphFont"/>
    <w:link w:val="Heading6"/>
    <w:uiPriority w:val="9"/>
    <w:locked/>
    <w:rsid w:val="006F170E"/>
    <w:rPr>
      <w:rFonts w:asciiTheme="majorHAnsi" w:eastAsiaTheme="majorEastAsia" w:hAnsiTheme="majorHAnsi" w:cs="Times New Roman"/>
      <w:color w:val="243F60" w:themeColor="accent1" w:themeShade="7F"/>
      <w:sz w:val="24"/>
      <w:szCs w:val="24"/>
      <w:lang w:val="x-none" w:eastAsia="en-US"/>
    </w:rPr>
  </w:style>
  <w:style w:type="character" w:customStyle="1" w:styleId="Heading7Char">
    <w:name w:val="Heading 7 Char"/>
    <w:basedOn w:val="DefaultParagraphFont"/>
    <w:link w:val="Heading7"/>
    <w:uiPriority w:val="9"/>
    <w:locked/>
    <w:rsid w:val="006F170E"/>
    <w:rPr>
      <w:rFonts w:asciiTheme="majorHAnsi" w:eastAsiaTheme="majorEastAsia" w:hAnsiTheme="majorHAnsi" w:cs="Times New Roman"/>
      <w:i/>
      <w:iCs/>
      <w:color w:val="243F60" w:themeColor="accent1" w:themeShade="7F"/>
      <w:sz w:val="24"/>
      <w:szCs w:val="24"/>
      <w:lang w:val="x-none"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rsid w:val="00852760"/>
    <w:pPr>
      <w:widowControl w:val="0"/>
      <w:tabs>
        <w:tab w:val="center" w:pos="4320"/>
        <w:tab w:val="right" w:pos="8640"/>
      </w:tabs>
      <w:spacing w:line="240" w:lineRule="auto"/>
    </w:pPr>
    <w:rPr>
      <w:rFonts w:ascii="Times New Roman" w:hAnsi="Times New Roman"/>
      <w:szCs w:val="20"/>
      <w:lang w:val="en-GB"/>
    </w:rPr>
  </w:style>
  <w:style w:type="character" w:customStyle="1" w:styleId="HeaderChar">
    <w:name w:val="Header Char"/>
    <w:basedOn w:val="DefaultParagraphFont"/>
    <w:link w:val="Header"/>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F6634C"/>
    <w:pPr>
      <w:spacing w:before="120" w:after="60" w:line="240" w:lineRule="exact"/>
    </w:pPr>
    <w:rPr>
      <w:rFonts w:ascii="Arial" w:hAnsi="Arial" w:cs="Times New Roman"/>
      <w:sz w:val="18"/>
      <w:szCs w:val="20"/>
    </w:rPr>
  </w:style>
  <w:style w:type="character" w:customStyle="1" w:styleId="FooterChar">
    <w:name w:val="Footer Char"/>
    <w:basedOn w:val="DefaultParagraphFont"/>
    <w:link w:val="Footer"/>
    <w:uiPriority w:val="99"/>
    <w:locked/>
    <w:rsid w:val="00F6634C"/>
    <w:rPr>
      <w:rFonts w:ascii="Arial" w:hAnsi="Arial" w:cs="Times New Roman"/>
      <w:sz w:val="18"/>
      <w:lang w:val="x-none" w:eastAsia="en-US"/>
    </w:rPr>
  </w:style>
  <w:style w:type="paragraph" w:customStyle="1" w:styleId="HeaderEven">
    <w:name w:val="HeaderEven"/>
    <w:basedOn w:val="Normal"/>
    <w:uiPriority w:val="99"/>
    <w:rsid w:val="00852760"/>
    <w:pPr>
      <w:spacing w:line="240" w:lineRule="auto"/>
    </w:pPr>
    <w:rPr>
      <w:rFonts w:ascii="Arial" w:hAnsi="Arial"/>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52760"/>
    <w:pPr>
      <w:spacing w:line="240" w:lineRule="auto"/>
      <w:ind w:left="720"/>
    </w:pPr>
    <w:rPr>
      <w:rFonts w:cs="Calibri"/>
      <w:lang w:eastAsia="en-AU"/>
    </w:rPr>
  </w:style>
  <w:style w:type="character" w:styleId="CommentReference">
    <w:name w:val="annotation reference"/>
    <w:basedOn w:val="DefaultParagraphFont"/>
    <w:semiHidden/>
    <w:rsid w:val="008609A8"/>
    <w:rPr>
      <w:rFonts w:cs="Times New Roman"/>
      <w:sz w:val="16"/>
      <w:szCs w:val="16"/>
    </w:rPr>
  </w:style>
  <w:style w:type="paragraph" w:styleId="CommentText">
    <w:name w:val="annotation text"/>
    <w:basedOn w:val="Normal"/>
    <w:link w:val="CommentTextChar"/>
    <w:semiHidden/>
    <w:rsid w:val="008609A8"/>
    <w:rPr>
      <w:sz w:val="20"/>
      <w:szCs w:val="20"/>
    </w:rPr>
  </w:style>
  <w:style w:type="character" w:customStyle="1" w:styleId="CommentTextChar">
    <w:name w:val="Comment Text Char"/>
    <w:basedOn w:val="DefaultParagraphFont"/>
    <w:link w:val="CommentText"/>
    <w:semiHidden/>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line="240" w:lineRule="auto"/>
      <w:ind w:left="1100"/>
      <w:jc w:val="both"/>
    </w:pPr>
    <w:rPr>
      <w:rFonts w:ascii="Times New Roman" w:hAnsi="Times New Roman"/>
      <w:szCs w:val="20"/>
    </w:rPr>
  </w:style>
  <w:style w:type="paragraph" w:customStyle="1" w:styleId="Apara">
    <w:name w:val="A para"/>
    <w:basedOn w:val="Normal"/>
    <w:link w:val="AparaChar"/>
    <w:uiPriority w:val="99"/>
    <w:rsid w:val="00B147E9"/>
    <w:pPr>
      <w:tabs>
        <w:tab w:val="right" w:pos="1400"/>
        <w:tab w:val="left" w:pos="1600"/>
      </w:tabs>
      <w:spacing w:before="140" w:line="240" w:lineRule="auto"/>
      <w:ind w:left="1600" w:hanging="1600"/>
      <w:jc w:val="both"/>
      <w:outlineLvl w:val="6"/>
    </w:pPr>
    <w:rPr>
      <w:rFonts w:ascii="Times New Roman" w:hAnsi="Times New Roman"/>
      <w:szCs w:val="20"/>
    </w:rPr>
  </w:style>
  <w:style w:type="paragraph" w:styleId="FootnoteText">
    <w:name w:val="footnote text"/>
    <w:aliases w:val="5_G"/>
    <w:basedOn w:val="Normal"/>
    <w:link w:val="FootnoteTextChar"/>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aliases w:val="5_G Char"/>
    <w:basedOn w:val="DefaultParagraphFont"/>
    <w:link w:val="FootnoteText"/>
    <w:locked/>
    <w:rsid w:val="00205382"/>
    <w:rPr>
      <w:rFonts w:ascii="Times New Roman" w:hAnsi="Times New Roman" w:cs="Times New Roman"/>
      <w:lang w:val="en-GB" w:eastAsia="en-US"/>
    </w:rPr>
  </w:style>
  <w:style w:type="character" w:styleId="FootnoteReference">
    <w:name w:val="footnote reference"/>
    <w:aliases w:val="4_G"/>
    <w:basedOn w:val="DefaultParagraphFont"/>
    <w:rsid w:val="00205382"/>
    <w:rPr>
      <w:rFonts w:cs="Times New Roman"/>
      <w:vertAlign w:val="superscript"/>
    </w:rPr>
  </w:style>
  <w:style w:type="paragraph" w:customStyle="1" w:styleId="aDef">
    <w:name w:val="aDef"/>
    <w:basedOn w:val="Normal"/>
    <w:link w:val="aDefChar"/>
    <w:rsid w:val="00DD3B29"/>
    <w:pPr>
      <w:spacing w:before="140" w:line="240" w:lineRule="auto"/>
      <w:ind w:left="1100"/>
      <w:jc w:val="both"/>
    </w:pPr>
    <w:rPr>
      <w:rFonts w:ascii="Times New Roman" w:hAnsi="Times New Roman"/>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line="240" w:lineRule="auto"/>
      <w:ind w:left="2100" w:hanging="2100"/>
      <w:jc w:val="both"/>
      <w:outlineLvl w:val="7"/>
    </w:pPr>
    <w:rPr>
      <w:rFonts w:ascii="Times New Roman" w:hAnsi="Times New Roman"/>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line="240" w:lineRule="auto"/>
      <w:jc w:val="both"/>
    </w:pPr>
    <w:rPr>
      <w:rFonts w:ascii="Times New Roman" w:hAnsi="Times New Roman"/>
      <w:szCs w:val="20"/>
    </w:rPr>
  </w:style>
  <w:style w:type="paragraph" w:customStyle="1" w:styleId="Amain">
    <w:name w:val="A main"/>
    <w:basedOn w:val="Normal"/>
    <w:uiPriority w:val="99"/>
    <w:rsid w:val="003C6037"/>
    <w:pPr>
      <w:numPr>
        <w:ilvl w:val="5"/>
        <w:numId w:val="9"/>
      </w:numPr>
      <w:spacing w:before="140" w:line="240" w:lineRule="auto"/>
      <w:jc w:val="both"/>
      <w:outlineLvl w:val="5"/>
    </w:pPr>
    <w:rPr>
      <w:rFonts w:ascii="Times New Roman" w:hAnsi="Times New Roman"/>
      <w:szCs w:val="20"/>
    </w:rPr>
  </w:style>
  <w:style w:type="paragraph" w:customStyle="1" w:styleId="Asubpara">
    <w:name w:val="A subpara"/>
    <w:basedOn w:val="Normal"/>
    <w:uiPriority w:val="99"/>
    <w:rsid w:val="003C6037"/>
    <w:pPr>
      <w:tabs>
        <w:tab w:val="num" w:pos="2140"/>
      </w:tabs>
      <w:spacing w:before="140" w:line="240" w:lineRule="auto"/>
      <w:ind w:left="2140" w:hanging="200"/>
      <w:jc w:val="both"/>
      <w:outlineLvl w:val="7"/>
    </w:pPr>
    <w:rPr>
      <w:rFonts w:ascii="Times New Roman" w:hAnsi="Times New Roman"/>
      <w:szCs w:val="20"/>
    </w:rPr>
  </w:style>
  <w:style w:type="paragraph" w:customStyle="1" w:styleId="Asubsubpara">
    <w:name w:val="A subsubpara"/>
    <w:basedOn w:val="Normal"/>
    <w:uiPriority w:val="99"/>
    <w:rsid w:val="003C6037"/>
    <w:pPr>
      <w:tabs>
        <w:tab w:val="num" w:pos="2660"/>
      </w:tabs>
      <w:spacing w:before="140" w:line="240" w:lineRule="auto"/>
      <w:ind w:left="2660" w:hanging="200"/>
      <w:jc w:val="both"/>
      <w:outlineLvl w:val="8"/>
    </w:pPr>
    <w:rPr>
      <w:rFonts w:ascii="Times New Roman" w:hAnsi="Times New Roman"/>
      <w:szCs w:val="20"/>
    </w:rPr>
  </w:style>
  <w:style w:type="paragraph" w:customStyle="1" w:styleId="AH5Sec">
    <w:name w:val="A H5 Sec"/>
    <w:basedOn w:val="Normal"/>
    <w:next w:val="Amain"/>
    <w:rsid w:val="003C6037"/>
    <w:pPr>
      <w:keepNext/>
      <w:numPr>
        <w:ilvl w:val="4"/>
        <w:numId w:val="9"/>
      </w:numPr>
      <w:spacing w:before="240" w:line="240" w:lineRule="auto"/>
      <w:outlineLvl w:val="4"/>
    </w:pPr>
    <w:rPr>
      <w:rFonts w:ascii="Arial" w:hAnsi="Arial"/>
      <w:b/>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10"/>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line="240" w:lineRule="auto"/>
      <w:ind w:left="2140" w:hanging="2140"/>
      <w:jc w:val="both"/>
    </w:pPr>
    <w:rPr>
      <w:rFonts w:ascii="Times New Roman" w:hAnsi="Times New Roman"/>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F6634C"/>
    <w:rPr>
      <w:rFonts w:cs="Times New Roman"/>
      <w:b/>
      <w:sz w:val="24"/>
    </w:rPr>
  </w:style>
  <w:style w:type="paragraph" w:customStyle="1" w:styleId="aNote">
    <w:name w:val="aNote"/>
    <w:basedOn w:val="Normal"/>
    <w:link w:val="aNoteChar"/>
    <w:rsid w:val="001101D7"/>
    <w:pPr>
      <w:spacing w:before="14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lang w:eastAsia="en-AU"/>
    </w:rPr>
  </w:style>
  <w:style w:type="character" w:customStyle="1" w:styleId="Calibri12">
    <w:name w:val="Calibri 12"/>
    <w:uiPriority w:val="1"/>
    <w:qFormat/>
    <w:rsid w:val="00032126"/>
    <w:rPr>
      <w:rFonts w:ascii="Calibri" w:hAnsi="Calibri"/>
      <w:sz w:val="24"/>
    </w:rPr>
  </w:style>
  <w:style w:type="paragraph" w:customStyle="1" w:styleId="bullets">
    <w:name w:val="bullets"/>
    <w:basedOn w:val="Default"/>
    <w:qFormat/>
    <w:rsid w:val="004E3972"/>
    <w:pPr>
      <w:numPr>
        <w:numId w:val="4"/>
      </w:numPr>
      <w:tabs>
        <w:tab w:val="num" w:pos="432"/>
      </w:tabs>
      <w:spacing w:before="120" w:line="276" w:lineRule="auto"/>
      <w:ind w:left="720"/>
    </w:pPr>
    <w:rPr>
      <w:rFonts w:asciiTheme="minorHAnsi" w:hAnsiTheme="minorHAnsi"/>
    </w:rPr>
  </w:style>
  <w:style w:type="paragraph" w:styleId="Index5">
    <w:name w:val="index 5"/>
    <w:basedOn w:val="Normal"/>
    <w:next w:val="Normal"/>
    <w:autoRedefine/>
    <w:uiPriority w:val="99"/>
    <w:rsid w:val="00F6634C"/>
    <w:pPr>
      <w:spacing w:line="240" w:lineRule="auto"/>
      <w:ind w:left="1100" w:hanging="220"/>
    </w:pPr>
  </w:style>
  <w:style w:type="paragraph" w:customStyle="1" w:styleId="FRONTPAGE">
    <w:name w:val="FRONTPAGE"/>
    <w:qFormat/>
    <w:rsid w:val="00F6634C"/>
    <w:pPr>
      <w:jc w:val="center"/>
    </w:pPr>
    <w:rPr>
      <w:rFonts w:cs="Times New Roman"/>
      <w:sz w:val="22"/>
      <w:szCs w:val="22"/>
      <w:lang w:eastAsia="en-US"/>
    </w:rPr>
  </w:style>
  <w:style w:type="paragraph" w:styleId="HTMLPreformatted">
    <w:name w:val="HTML Preformatted"/>
    <w:basedOn w:val="Normal"/>
    <w:link w:val="HTMLPreformattedChar"/>
    <w:uiPriority w:val="99"/>
    <w:unhideWhenUsed/>
    <w:rsid w:val="00F64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en-AU"/>
    </w:rPr>
  </w:style>
  <w:style w:type="character" w:customStyle="1" w:styleId="HTMLPreformattedChar">
    <w:name w:val="HTML Preformatted Char"/>
    <w:basedOn w:val="DefaultParagraphFont"/>
    <w:link w:val="HTMLPreformatted"/>
    <w:uiPriority w:val="99"/>
    <w:locked/>
    <w:rsid w:val="00F64BB3"/>
    <w:rPr>
      <w:rFonts w:ascii="Courier New" w:hAnsi="Courier New" w:cs="Courier New"/>
    </w:rPr>
  </w:style>
  <w:style w:type="paragraph" w:styleId="BodyText">
    <w:name w:val="Body Text"/>
    <w:basedOn w:val="Normal"/>
    <w:link w:val="BodyTextChar"/>
    <w:uiPriority w:val="99"/>
    <w:rsid w:val="006F170E"/>
    <w:pPr>
      <w:spacing w:line="240" w:lineRule="auto"/>
      <w:jc w:val="both"/>
    </w:pPr>
    <w:rPr>
      <w:rFonts w:ascii="Times New Roman" w:hAnsi="Times New Roman" w:cs="Times New Roman"/>
      <w:i/>
      <w:iCs/>
      <w:sz w:val="22"/>
      <w:szCs w:val="22"/>
      <w:lang w:eastAsia="en-AU"/>
    </w:rPr>
  </w:style>
  <w:style w:type="character" w:customStyle="1" w:styleId="BodyTextChar">
    <w:name w:val="Body Text Char"/>
    <w:basedOn w:val="DefaultParagraphFont"/>
    <w:link w:val="BodyText"/>
    <w:uiPriority w:val="99"/>
    <w:locked/>
    <w:rsid w:val="006F170E"/>
    <w:rPr>
      <w:rFonts w:ascii="Times New Roman" w:hAnsi="Times New Roman" w:cs="Times New Roman"/>
      <w:i/>
      <w:iCs/>
      <w:sz w:val="22"/>
      <w:szCs w:val="22"/>
    </w:rPr>
  </w:style>
  <w:style w:type="paragraph" w:customStyle="1" w:styleId="CteeCommentHead">
    <w:name w:val="CteeCommentHead"/>
    <w:basedOn w:val="Normal"/>
    <w:next w:val="BodyText"/>
    <w:uiPriority w:val="99"/>
    <w:rsid w:val="006F170E"/>
    <w:pPr>
      <w:spacing w:after="240" w:line="240" w:lineRule="auto"/>
      <w:jc w:val="both"/>
    </w:pPr>
    <w:rPr>
      <w:rFonts w:ascii="Calibri" w:hAnsi="Calibri" w:cs="Calibri"/>
      <w:b/>
      <w:bCs/>
      <w:sz w:val="22"/>
      <w:szCs w:val="22"/>
      <w:lang w:eastAsia="en-AU"/>
    </w:rPr>
  </w:style>
  <w:style w:type="paragraph" w:styleId="ListBullet2">
    <w:name w:val="List Bullet 2"/>
    <w:basedOn w:val="Normal"/>
    <w:uiPriority w:val="99"/>
    <w:unhideWhenUsed/>
    <w:rsid w:val="00E00218"/>
    <w:pPr>
      <w:tabs>
        <w:tab w:val="num" w:pos="643"/>
      </w:tabs>
      <w:spacing w:after="240" w:line="240" w:lineRule="auto"/>
      <w:ind w:left="643" w:hanging="360"/>
      <w:contextualSpacing/>
      <w:jc w:val="both"/>
    </w:pPr>
    <w:rPr>
      <w:rFonts w:ascii="Arial" w:hAnsi="Arial"/>
      <w:lang w:val="en-US" w:eastAsia="en-AU"/>
    </w:rPr>
  </w:style>
  <w:style w:type="paragraph" w:customStyle="1" w:styleId="Listindented">
    <w:name w:val="List indented"/>
    <w:basedOn w:val="ListBullet2"/>
    <w:link w:val="ListindentedChar"/>
    <w:qFormat/>
    <w:rsid w:val="00E00218"/>
    <w:pPr>
      <w:tabs>
        <w:tab w:val="clear" w:pos="643"/>
        <w:tab w:val="num" w:pos="851"/>
      </w:tabs>
      <w:ind w:left="850" w:hanging="425"/>
      <w:contextualSpacing w:val="0"/>
    </w:pPr>
    <w:rPr>
      <w:lang w:val="en-GB"/>
    </w:rPr>
  </w:style>
  <w:style w:type="character" w:customStyle="1" w:styleId="ListindentedChar">
    <w:name w:val="List indented Char"/>
    <w:basedOn w:val="DefaultParagraphFont"/>
    <w:link w:val="Listindented"/>
    <w:locked/>
    <w:rsid w:val="00E00218"/>
    <w:rPr>
      <w:rFonts w:ascii="Arial" w:hAnsi="Arial" w:cs="Arial"/>
      <w:sz w:val="24"/>
      <w:szCs w:val="24"/>
      <w:lang w:val="en-GB" w:eastAsia="x-none"/>
    </w:rPr>
  </w:style>
  <w:style w:type="paragraph" w:customStyle="1" w:styleId="Clause">
    <w:name w:val="Clause"/>
    <w:basedOn w:val="Normal"/>
    <w:next w:val="Normal"/>
    <w:rsid w:val="007B07DD"/>
    <w:pPr>
      <w:suppressLineNumbers/>
      <w:tabs>
        <w:tab w:val="left" w:pos="426"/>
        <w:tab w:val="left" w:pos="992"/>
        <w:tab w:val="left" w:pos="1559"/>
        <w:tab w:val="left" w:pos="2126"/>
        <w:tab w:val="left" w:pos="2693"/>
        <w:tab w:val="left" w:pos="3260"/>
      </w:tabs>
      <w:overflowPunct w:val="0"/>
      <w:autoSpaceDE w:val="0"/>
      <w:autoSpaceDN w:val="0"/>
      <w:adjustRightInd w:val="0"/>
      <w:spacing w:before="180" w:line="264" w:lineRule="auto"/>
      <w:ind w:left="964" w:hanging="964"/>
      <w:textAlignment w:val="baseline"/>
    </w:pPr>
    <w:rPr>
      <w:rFonts w:ascii="Times New Roman" w:hAnsi="Times New Roman" w:cs="Times New Roman"/>
      <w:sz w:val="20"/>
      <w:szCs w:val="20"/>
    </w:rPr>
  </w:style>
  <w:style w:type="table" w:styleId="TableGrid">
    <w:name w:val="Table Grid"/>
    <w:basedOn w:val="TableNormal"/>
    <w:uiPriority w:val="39"/>
    <w:locked/>
    <w:rsid w:val="004740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691255">
      <w:marLeft w:val="0"/>
      <w:marRight w:val="0"/>
      <w:marTop w:val="0"/>
      <w:marBottom w:val="0"/>
      <w:divBdr>
        <w:top w:val="none" w:sz="0" w:space="0" w:color="auto"/>
        <w:left w:val="none" w:sz="0" w:space="0" w:color="auto"/>
        <w:bottom w:val="none" w:sz="0" w:space="0" w:color="auto"/>
        <w:right w:val="none" w:sz="0" w:space="0" w:color="auto"/>
      </w:divBdr>
    </w:div>
    <w:div w:id="1498691272">
      <w:marLeft w:val="0"/>
      <w:marRight w:val="0"/>
      <w:marTop w:val="0"/>
      <w:marBottom w:val="0"/>
      <w:divBdr>
        <w:top w:val="none" w:sz="0" w:space="0" w:color="auto"/>
        <w:left w:val="none" w:sz="0" w:space="0" w:color="auto"/>
        <w:bottom w:val="none" w:sz="0" w:space="0" w:color="auto"/>
        <w:right w:val="none" w:sz="0" w:space="0" w:color="auto"/>
      </w:divBdr>
    </w:div>
    <w:div w:id="1498691275">
      <w:marLeft w:val="0"/>
      <w:marRight w:val="0"/>
      <w:marTop w:val="0"/>
      <w:marBottom w:val="0"/>
      <w:divBdr>
        <w:top w:val="none" w:sz="0" w:space="0" w:color="auto"/>
        <w:left w:val="none" w:sz="0" w:space="0" w:color="auto"/>
        <w:bottom w:val="none" w:sz="0" w:space="0" w:color="auto"/>
        <w:right w:val="none" w:sz="0" w:space="0" w:color="auto"/>
      </w:divBdr>
      <w:divsChild>
        <w:div w:id="1498691267">
          <w:marLeft w:val="0"/>
          <w:marRight w:val="0"/>
          <w:marTop w:val="0"/>
          <w:marBottom w:val="0"/>
          <w:divBdr>
            <w:top w:val="none" w:sz="0" w:space="0" w:color="auto"/>
            <w:left w:val="none" w:sz="0" w:space="0" w:color="auto"/>
            <w:bottom w:val="none" w:sz="0" w:space="0" w:color="auto"/>
            <w:right w:val="none" w:sz="0" w:space="0" w:color="auto"/>
          </w:divBdr>
        </w:div>
        <w:div w:id="1498691268">
          <w:marLeft w:val="0"/>
          <w:marRight w:val="0"/>
          <w:marTop w:val="0"/>
          <w:marBottom w:val="0"/>
          <w:divBdr>
            <w:top w:val="none" w:sz="0" w:space="0" w:color="auto"/>
            <w:left w:val="none" w:sz="0" w:space="0" w:color="auto"/>
            <w:bottom w:val="none" w:sz="0" w:space="0" w:color="auto"/>
            <w:right w:val="none" w:sz="0" w:space="0" w:color="auto"/>
          </w:divBdr>
        </w:div>
        <w:div w:id="1498691274">
          <w:marLeft w:val="0"/>
          <w:marRight w:val="0"/>
          <w:marTop w:val="0"/>
          <w:marBottom w:val="0"/>
          <w:divBdr>
            <w:top w:val="none" w:sz="0" w:space="0" w:color="auto"/>
            <w:left w:val="none" w:sz="0" w:space="0" w:color="auto"/>
            <w:bottom w:val="none" w:sz="0" w:space="0" w:color="auto"/>
            <w:right w:val="none" w:sz="0" w:space="0" w:color="auto"/>
          </w:divBdr>
        </w:div>
        <w:div w:id="1498691279">
          <w:marLeft w:val="0"/>
          <w:marRight w:val="0"/>
          <w:marTop w:val="0"/>
          <w:marBottom w:val="0"/>
          <w:divBdr>
            <w:top w:val="none" w:sz="0" w:space="0" w:color="auto"/>
            <w:left w:val="none" w:sz="0" w:space="0" w:color="auto"/>
            <w:bottom w:val="none" w:sz="0" w:space="0" w:color="auto"/>
            <w:right w:val="none" w:sz="0" w:space="0" w:color="auto"/>
          </w:divBdr>
        </w:div>
        <w:div w:id="1498691281">
          <w:marLeft w:val="0"/>
          <w:marRight w:val="0"/>
          <w:marTop w:val="0"/>
          <w:marBottom w:val="0"/>
          <w:divBdr>
            <w:top w:val="none" w:sz="0" w:space="0" w:color="auto"/>
            <w:left w:val="none" w:sz="0" w:space="0" w:color="auto"/>
            <w:bottom w:val="none" w:sz="0" w:space="0" w:color="auto"/>
            <w:right w:val="none" w:sz="0" w:space="0" w:color="auto"/>
          </w:divBdr>
        </w:div>
        <w:div w:id="1498691282">
          <w:marLeft w:val="0"/>
          <w:marRight w:val="0"/>
          <w:marTop w:val="0"/>
          <w:marBottom w:val="0"/>
          <w:divBdr>
            <w:top w:val="none" w:sz="0" w:space="0" w:color="auto"/>
            <w:left w:val="none" w:sz="0" w:space="0" w:color="auto"/>
            <w:bottom w:val="none" w:sz="0" w:space="0" w:color="auto"/>
            <w:right w:val="none" w:sz="0" w:space="0" w:color="auto"/>
          </w:divBdr>
        </w:div>
        <w:div w:id="1498691283">
          <w:marLeft w:val="0"/>
          <w:marRight w:val="0"/>
          <w:marTop w:val="0"/>
          <w:marBottom w:val="0"/>
          <w:divBdr>
            <w:top w:val="none" w:sz="0" w:space="0" w:color="auto"/>
            <w:left w:val="none" w:sz="0" w:space="0" w:color="auto"/>
            <w:bottom w:val="none" w:sz="0" w:space="0" w:color="auto"/>
            <w:right w:val="none" w:sz="0" w:space="0" w:color="auto"/>
          </w:divBdr>
        </w:div>
        <w:div w:id="1498691284">
          <w:marLeft w:val="0"/>
          <w:marRight w:val="0"/>
          <w:marTop w:val="0"/>
          <w:marBottom w:val="0"/>
          <w:divBdr>
            <w:top w:val="none" w:sz="0" w:space="0" w:color="auto"/>
            <w:left w:val="none" w:sz="0" w:space="0" w:color="auto"/>
            <w:bottom w:val="none" w:sz="0" w:space="0" w:color="auto"/>
            <w:right w:val="none" w:sz="0" w:space="0" w:color="auto"/>
          </w:divBdr>
        </w:div>
        <w:div w:id="1498691285">
          <w:marLeft w:val="0"/>
          <w:marRight w:val="0"/>
          <w:marTop w:val="0"/>
          <w:marBottom w:val="0"/>
          <w:divBdr>
            <w:top w:val="none" w:sz="0" w:space="0" w:color="auto"/>
            <w:left w:val="none" w:sz="0" w:space="0" w:color="auto"/>
            <w:bottom w:val="none" w:sz="0" w:space="0" w:color="auto"/>
            <w:right w:val="none" w:sz="0" w:space="0" w:color="auto"/>
          </w:divBdr>
        </w:div>
        <w:div w:id="1498691286">
          <w:marLeft w:val="0"/>
          <w:marRight w:val="0"/>
          <w:marTop w:val="0"/>
          <w:marBottom w:val="0"/>
          <w:divBdr>
            <w:top w:val="none" w:sz="0" w:space="0" w:color="auto"/>
            <w:left w:val="none" w:sz="0" w:space="0" w:color="auto"/>
            <w:bottom w:val="none" w:sz="0" w:space="0" w:color="auto"/>
            <w:right w:val="none" w:sz="0" w:space="0" w:color="auto"/>
          </w:divBdr>
        </w:div>
        <w:div w:id="1498691287">
          <w:marLeft w:val="0"/>
          <w:marRight w:val="0"/>
          <w:marTop w:val="0"/>
          <w:marBottom w:val="0"/>
          <w:divBdr>
            <w:top w:val="none" w:sz="0" w:space="0" w:color="auto"/>
            <w:left w:val="none" w:sz="0" w:space="0" w:color="auto"/>
            <w:bottom w:val="none" w:sz="0" w:space="0" w:color="auto"/>
            <w:right w:val="none" w:sz="0" w:space="0" w:color="auto"/>
          </w:divBdr>
        </w:div>
        <w:div w:id="1498691288">
          <w:marLeft w:val="0"/>
          <w:marRight w:val="0"/>
          <w:marTop w:val="0"/>
          <w:marBottom w:val="0"/>
          <w:divBdr>
            <w:top w:val="none" w:sz="0" w:space="0" w:color="auto"/>
            <w:left w:val="none" w:sz="0" w:space="0" w:color="auto"/>
            <w:bottom w:val="none" w:sz="0" w:space="0" w:color="auto"/>
            <w:right w:val="none" w:sz="0" w:space="0" w:color="auto"/>
          </w:divBdr>
        </w:div>
        <w:div w:id="1498691289">
          <w:marLeft w:val="0"/>
          <w:marRight w:val="0"/>
          <w:marTop w:val="0"/>
          <w:marBottom w:val="0"/>
          <w:divBdr>
            <w:top w:val="none" w:sz="0" w:space="0" w:color="auto"/>
            <w:left w:val="none" w:sz="0" w:space="0" w:color="auto"/>
            <w:bottom w:val="none" w:sz="0" w:space="0" w:color="auto"/>
            <w:right w:val="none" w:sz="0" w:space="0" w:color="auto"/>
          </w:divBdr>
        </w:div>
        <w:div w:id="1498691290">
          <w:marLeft w:val="0"/>
          <w:marRight w:val="0"/>
          <w:marTop w:val="0"/>
          <w:marBottom w:val="0"/>
          <w:divBdr>
            <w:top w:val="none" w:sz="0" w:space="0" w:color="auto"/>
            <w:left w:val="none" w:sz="0" w:space="0" w:color="auto"/>
            <w:bottom w:val="none" w:sz="0" w:space="0" w:color="auto"/>
            <w:right w:val="none" w:sz="0" w:space="0" w:color="auto"/>
          </w:divBdr>
        </w:div>
        <w:div w:id="1498691291">
          <w:marLeft w:val="0"/>
          <w:marRight w:val="0"/>
          <w:marTop w:val="0"/>
          <w:marBottom w:val="0"/>
          <w:divBdr>
            <w:top w:val="none" w:sz="0" w:space="0" w:color="auto"/>
            <w:left w:val="none" w:sz="0" w:space="0" w:color="auto"/>
            <w:bottom w:val="none" w:sz="0" w:space="0" w:color="auto"/>
            <w:right w:val="none" w:sz="0" w:space="0" w:color="auto"/>
          </w:divBdr>
        </w:div>
        <w:div w:id="1498691341">
          <w:marLeft w:val="0"/>
          <w:marRight w:val="0"/>
          <w:marTop w:val="0"/>
          <w:marBottom w:val="0"/>
          <w:divBdr>
            <w:top w:val="none" w:sz="0" w:space="0" w:color="auto"/>
            <w:left w:val="none" w:sz="0" w:space="0" w:color="auto"/>
            <w:bottom w:val="none" w:sz="0" w:space="0" w:color="auto"/>
            <w:right w:val="none" w:sz="0" w:space="0" w:color="auto"/>
          </w:divBdr>
        </w:div>
        <w:div w:id="1498691343">
          <w:marLeft w:val="0"/>
          <w:marRight w:val="0"/>
          <w:marTop w:val="0"/>
          <w:marBottom w:val="0"/>
          <w:divBdr>
            <w:top w:val="none" w:sz="0" w:space="0" w:color="auto"/>
            <w:left w:val="none" w:sz="0" w:space="0" w:color="auto"/>
            <w:bottom w:val="none" w:sz="0" w:space="0" w:color="auto"/>
            <w:right w:val="none" w:sz="0" w:space="0" w:color="auto"/>
          </w:divBdr>
        </w:div>
        <w:div w:id="1498691345">
          <w:marLeft w:val="0"/>
          <w:marRight w:val="0"/>
          <w:marTop w:val="0"/>
          <w:marBottom w:val="0"/>
          <w:divBdr>
            <w:top w:val="none" w:sz="0" w:space="0" w:color="auto"/>
            <w:left w:val="none" w:sz="0" w:space="0" w:color="auto"/>
            <w:bottom w:val="none" w:sz="0" w:space="0" w:color="auto"/>
            <w:right w:val="none" w:sz="0" w:space="0" w:color="auto"/>
          </w:divBdr>
        </w:div>
        <w:div w:id="1498691346">
          <w:marLeft w:val="0"/>
          <w:marRight w:val="0"/>
          <w:marTop w:val="0"/>
          <w:marBottom w:val="0"/>
          <w:divBdr>
            <w:top w:val="none" w:sz="0" w:space="0" w:color="auto"/>
            <w:left w:val="none" w:sz="0" w:space="0" w:color="auto"/>
            <w:bottom w:val="none" w:sz="0" w:space="0" w:color="auto"/>
            <w:right w:val="none" w:sz="0" w:space="0" w:color="auto"/>
          </w:divBdr>
        </w:div>
      </w:divsChild>
    </w:div>
    <w:div w:id="1498691280">
      <w:marLeft w:val="0"/>
      <w:marRight w:val="0"/>
      <w:marTop w:val="0"/>
      <w:marBottom w:val="0"/>
      <w:divBdr>
        <w:top w:val="none" w:sz="0" w:space="0" w:color="auto"/>
        <w:left w:val="none" w:sz="0" w:space="0" w:color="auto"/>
        <w:bottom w:val="none" w:sz="0" w:space="0" w:color="auto"/>
        <w:right w:val="none" w:sz="0" w:space="0" w:color="auto"/>
      </w:divBdr>
      <w:divsChild>
        <w:div w:id="1498691266">
          <w:marLeft w:val="0"/>
          <w:marRight w:val="0"/>
          <w:marTop w:val="0"/>
          <w:marBottom w:val="0"/>
          <w:divBdr>
            <w:top w:val="none" w:sz="0" w:space="0" w:color="auto"/>
            <w:left w:val="none" w:sz="0" w:space="0" w:color="auto"/>
            <w:bottom w:val="none" w:sz="0" w:space="0" w:color="auto"/>
            <w:right w:val="none" w:sz="0" w:space="0" w:color="auto"/>
          </w:divBdr>
        </w:div>
        <w:div w:id="1498691269">
          <w:marLeft w:val="0"/>
          <w:marRight w:val="0"/>
          <w:marTop w:val="0"/>
          <w:marBottom w:val="0"/>
          <w:divBdr>
            <w:top w:val="none" w:sz="0" w:space="0" w:color="auto"/>
            <w:left w:val="none" w:sz="0" w:space="0" w:color="auto"/>
            <w:bottom w:val="none" w:sz="0" w:space="0" w:color="auto"/>
            <w:right w:val="none" w:sz="0" w:space="0" w:color="auto"/>
          </w:divBdr>
        </w:div>
        <w:div w:id="1498691270">
          <w:marLeft w:val="0"/>
          <w:marRight w:val="0"/>
          <w:marTop w:val="0"/>
          <w:marBottom w:val="0"/>
          <w:divBdr>
            <w:top w:val="none" w:sz="0" w:space="0" w:color="auto"/>
            <w:left w:val="none" w:sz="0" w:space="0" w:color="auto"/>
            <w:bottom w:val="none" w:sz="0" w:space="0" w:color="auto"/>
            <w:right w:val="none" w:sz="0" w:space="0" w:color="auto"/>
          </w:divBdr>
        </w:div>
        <w:div w:id="1498691271">
          <w:marLeft w:val="0"/>
          <w:marRight w:val="0"/>
          <w:marTop w:val="0"/>
          <w:marBottom w:val="0"/>
          <w:divBdr>
            <w:top w:val="none" w:sz="0" w:space="0" w:color="auto"/>
            <w:left w:val="none" w:sz="0" w:space="0" w:color="auto"/>
            <w:bottom w:val="none" w:sz="0" w:space="0" w:color="auto"/>
            <w:right w:val="none" w:sz="0" w:space="0" w:color="auto"/>
          </w:divBdr>
        </w:div>
        <w:div w:id="1498691273">
          <w:marLeft w:val="0"/>
          <w:marRight w:val="0"/>
          <w:marTop w:val="0"/>
          <w:marBottom w:val="0"/>
          <w:divBdr>
            <w:top w:val="none" w:sz="0" w:space="0" w:color="auto"/>
            <w:left w:val="none" w:sz="0" w:space="0" w:color="auto"/>
            <w:bottom w:val="none" w:sz="0" w:space="0" w:color="auto"/>
            <w:right w:val="none" w:sz="0" w:space="0" w:color="auto"/>
          </w:divBdr>
        </w:div>
        <w:div w:id="1498691276">
          <w:marLeft w:val="0"/>
          <w:marRight w:val="0"/>
          <w:marTop w:val="0"/>
          <w:marBottom w:val="0"/>
          <w:divBdr>
            <w:top w:val="none" w:sz="0" w:space="0" w:color="auto"/>
            <w:left w:val="none" w:sz="0" w:space="0" w:color="auto"/>
            <w:bottom w:val="none" w:sz="0" w:space="0" w:color="auto"/>
            <w:right w:val="none" w:sz="0" w:space="0" w:color="auto"/>
          </w:divBdr>
        </w:div>
        <w:div w:id="1498691277">
          <w:marLeft w:val="0"/>
          <w:marRight w:val="0"/>
          <w:marTop w:val="0"/>
          <w:marBottom w:val="0"/>
          <w:divBdr>
            <w:top w:val="none" w:sz="0" w:space="0" w:color="auto"/>
            <w:left w:val="none" w:sz="0" w:space="0" w:color="auto"/>
            <w:bottom w:val="none" w:sz="0" w:space="0" w:color="auto"/>
            <w:right w:val="none" w:sz="0" w:space="0" w:color="auto"/>
          </w:divBdr>
        </w:div>
        <w:div w:id="1498691278">
          <w:marLeft w:val="0"/>
          <w:marRight w:val="0"/>
          <w:marTop w:val="0"/>
          <w:marBottom w:val="0"/>
          <w:divBdr>
            <w:top w:val="none" w:sz="0" w:space="0" w:color="auto"/>
            <w:left w:val="none" w:sz="0" w:space="0" w:color="auto"/>
            <w:bottom w:val="none" w:sz="0" w:space="0" w:color="auto"/>
            <w:right w:val="none" w:sz="0" w:space="0" w:color="auto"/>
          </w:divBdr>
        </w:div>
        <w:div w:id="1498691292">
          <w:marLeft w:val="0"/>
          <w:marRight w:val="0"/>
          <w:marTop w:val="0"/>
          <w:marBottom w:val="0"/>
          <w:divBdr>
            <w:top w:val="none" w:sz="0" w:space="0" w:color="auto"/>
            <w:left w:val="none" w:sz="0" w:space="0" w:color="auto"/>
            <w:bottom w:val="none" w:sz="0" w:space="0" w:color="auto"/>
            <w:right w:val="none" w:sz="0" w:space="0" w:color="auto"/>
          </w:divBdr>
        </w:div>
        <w:div w:id="1498691293">
          <w:marLeft w:val="0"/>
          <w:marRight w:val="0"/>
          <w:marTop w:val="0"/>
          <w:marBottom w:val="0"/>
          <w:divBdr>
            <w:top w:val="none" w:sz="0" w:space="0" w:color="auto"/>
            <w:left w:val="none" w:sz="0" w:space="0" w:color="auto"/>
            <w:bottom w:val="none" w:sz="0" w:space="0" w:color="auto"/>
            <w:right w:val="none" w:sz="0" w:space="0" w:color="auto"/>
          </w:divBdr>
        </w:div>
        <w:div w:id="1498691342">
          <w:marLeft w:val="0"/>
          <w:marRight w:val="0"/>
          <w:marTop w:val="0"/>
          <w:marBottom w:val="0"/>
          <w:divBdr>
            <w:top w:val="none" w:sz="0" w:space="0" w:color="auto"/>
            <w:left w:val="none" w:sz="0" w:space="0" w:color="auto"/>
            <w:bottom w:val="none" w:sz="0" w:space="0" w:color="auto"/>
            <w:right w:val="none" w:sz="0" w:space="0" w:color="auto"/>
          </w:divBdr>
        </w:div>
        <w:div w:id="1498691344">
          <w:marLeft w:val="0"/>
          <w:marRight w:val="0"/>
          <w:marTop w:val="0"/>
          <w:marBottom w:val="0"/>
          <w:divBdr>
            <w:top w:val="none" w:sz="0" w:space="0" w:color="auto"/>
            <w:left w:val="none" w:sz="0" w:space="0" w:color="auto"/>
            <w:bottom w:val="none" w:sz="0" w:space="0" w:color="auto"/>
            <w:right w:val="none" w:sz="0" w:space="0" w:color="auto"/>
          </w:divBdr>
        </w:div>
      </w:divsChild>
    </w:div>
    <w:div w:id="1498691299">
      <w:marLeft w:val="0"/>
      <w:marRight w:val="0"/>
      <w:marTop w:val="0"/>
      <w:marBottom w:val="0"/>
      <w:divBdr>
        <w:top w:val="none" w:sz="0" w:space="0" w:color="auto"/>
        <w:left w:val="none" w:sz="0" w:space="0" w:color="auto"/>
        <w:bottom w:val="none" w:sz="0" w:space="0" w:color="auto"/>
        <w:right w:val="none" w:sz="0" w:space="0" w:color="auto"/>
      </w:divBdr>
    </w:div>
    <w:div w:id="1498691302">
      <w:marLeft w:val="0"/>
      <w:marRight w:val="0"/>
      <w:marTop w:val="0"/>
      <w:marBottom w:val="0"/>
      <w:divBdr>
        <w:top w:val="none" w:sz="0" w:space="0" w:color="auto"/>
        <w:left w:val="none" w:sz="0" w:space="0" w:color="auto"/>
        <w:bottom w:val="none" w:sz="0" w:space="0" w:color="auto"/>
        <w:right w:val="none" w:sz="0" w:space="0" w:color="auto"/>
      </w:divBdr>
      <w:divsChild>
        <w:div w:id="1498691306">
          <w:marLeft w:val="0"/>
          <w:marRight w:val="0"/>
          <w:marTop w:val="0"/>
          <w:marBottom w:val="0"/>
          <w:divBdr>
            <w:top w:val="none" w:sz="0" w:space="0" w:color="auto"/>
            <w:left w:val="none" w:sz="0" w:space="0" w:color="auto"/>
            <w:bottom w:val="none" w:sz="0" w:space="0" w:color="auto"/>
            <w:right w:val="none" w:sz="0" w:space="0" w:color="auto"/>
          </w:divBdr>
          <w:divsChild>
            <w:div w:id="1498691317">
              <w:marLeft w:val="0"/>
              <w:marRight w:val="0"/>
              <w:marTop w:val="0"/>
              <w:marBottom w:val="0"/>
              <w:divBdr>
                <w:top w:val="none" w:sz="0" w:space="0" w:color="auto"/>
                <w:left w:val="none" w:sz="0" w:space="0" w:color="auto"/>
                <w:bottom w:val="none" w:sz="0" w:space="0" w:color="auto"/>
                <w:right w:val="none" w:sz="0" w:space="0" w:color="auto"/>
              </w:divBdr>
              <w:divsChild>
                <w:div w:id="1498691340">
                  <w:marLeft w:val="0"/>
                  <w:marRight w:val="0"/>
                  <w:marTop w:val="0"/>
                  <w:marBottom w:val="0"/>
                  <w:divBdr>
                    <w:top w:val="none" w:sz="0" w:space="0" w:color="auto"/>
                    <w:left w:val="none" w:sz="0" w:space="0" w:color="auto"/>
                    <w:bottom w:val="none" w:sz="0" w:space="0" w:color="auto"/>
                    <w:right w:val="none" w:sz="0" w:space="0" w:color="auto"/>
                  </w:divBdr>
                  <w:divsChild>
                    <w:div w:id="1498691334">
                      <w:marLeft w:val="0"/>
                      <w:marRight w:val="0"/>
                      <w:marTop w:val="0"/>
                      <w:marBottom w:val="0"/>
                      <w:divBdr>
                        <w:top w:val="none" w:sz="0" w:space="0" w:color="auto"/>
                        <w:left w:val="none" w:sz="0" w:space="0" w:color="auto"/>
                        <w:bottom w:val="none" w:sz="0" w:space="0" w:color="auto"/>
                        <w:right w:val="none" w:sz="0" w:space="0" w:color="auto"/>
                      </w:divBdr>
                      <w:divsChild>
                        <w:div w:id="1498691308">
                          <w:marLeft w:val="0"/>
                          <w:marRight w:val="0"/>
                          <w:marTop w:val="0"/>
                          <w:marBottom w:val="0"/>
                          <w:divBdr>
                            <w:top w:val="none" w:sz="0" w:space="0" w:color="auto"/>
                            <w:left w:val="none" w:sz="0" w:space="0" w:color="auto"/>
                            <w:bottom w:val="none" w:sz="0" w:space="0" w:color="auto"/>
                            <w:right w:val="none" w:sz="0" w:space="0" w:color="auto"/>
                          </w:divBdr>
                          <w:divsChild>
                            <w:div w:id="1498691307">
                              <w:marLeft w:val="0"/>
                              <w:marRight w:val="0"/>
                              <w:marTop w:val="0"/>
                              <w:marBottom w:val="0"/>
                              <w:divBdr>
                                <w:top w:val="none" w:sz="0" w:space="0" w:color="auto"/>
                                <w:left w:val="none" w:sz="0" w:space="0" w:color="auto"/>
                                <w:bottom w:val="none" w:sz="0" w:space="0" w:color="auto"/>
                                <w:right w:val="none" w:sz="0" w:space="0" w:color="auto"/>
                              </w:divBdr>
                              <w:divsChild>
                                <w:div w:id="1498691337">
                                  <w:marLeft w:val="0"/>
                                  <w:marRight w:val="0"/>
                                  <w:marTop w:val="0"/>
                                  <w:marBottom w:val="0"/>
                                  <w:divBdr>
                                    <w:top w:val="none" w:sz="0" w:space="0" w:color="auto"/>
                                    <w:left w:val="none" w:sz="0" w:space="0" w:color="auto"/>
                                    <w:bottom w:val="none" w:sz="0" w:space="0" w:color="auto"/>
                                    <w:right w:val="none" w:sz="0" w:space="0" w:color="auto"/>
                                  </w:divBdr>
                                  <w:divsChild>
                                    <w:div w:id="149869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691310">
      <w:marLeft w:val="0"/>
      <w:marRight w:val="0"/>
      <w:marTop w:val="0"/>
      <w:marBottom w:val="0"/>
      <w:divBdr>
        <w:top w:val="none" w:sz="0" w:space="0" w:color="auto"/>
        <w:left w:val="none" w:sz="0" w:space="0" w:color="auto"/>
        <w:bottom w:val="none" w:sz="0" w:space="0" w:color="auto"/>
        <w:right w:val="none" w:sz="0" w:space="0" w:color="auto"/>
      </w:divBdr>
      <w:divsChild>
        <w:div w:id="1498691318">
          <w:marLeft w:val="0"/>
          <w:marRight w:val="0"/>
          <w:marTop w:val="0"/>
          <w:marBottom w:val="0"/>
          <w:divBdr>
            <w:top w:val="none" w:sz="0" w:space="0" w:color="auto"/>
            <w:left w:val="none" w:sz="0" w:space="0" w:color="auto"/>
            <w:bottom w:val="none" w:sz="0" w:space="0" w:color="auto"/>
            <w:right w:val="none" w:sz="0" w:space="0" w:color="auto"/>
          </w:divBdr>
          <w:divsChild>
            <w:div w:id="1498691316">
              <w:marLeft w:val="0"/>
              <w:marRight w:val="0"/>
              <w:marTop w:val="0"/>
              <w:marBottom w:val="0"/>
              <w:divBdr>
                <w:top w:val="none" w:sz="0" w:space="0" w:color="auto"/>
                <w:left w:val="none" w:sz="0" w:space="0" w:color="auto"/>
                <w:bottom w:val="none" w:sz="0" w:space="0" w:color="auto"/>
                <w:right w:val="none" w:sz="0" w:space="0" w:color="auto"/>
              </w:divBdr>
              <w:divsChild>
                <w:div w:id="1498691328">
                  <w:marLeft w:val="0"/>
                  <w:marRight w:val="0"/>
                  <w:marTop w:val="0"/>
                  <w:marBottom w:val="0"/>
                  <w:divBdr>
                    <w:top w:val="none" w:sz="0" w:space="0" w:color="auto"/>
                    <w:left w:val="none" w:sz="0" w:space="0" w:color="auto"/>
                    <w:bottom w:val="none" w:sz="0" w:space="0" w:color="auto"/>
                    <w:right w:val="none" w:sz="0" w:space="0" w:color="auto"/>
                  </w:divBdr>
                  <w:divsChild>
                    <w:div w:id="1498691336">
                      <w:marLeft w:val="0"/>
                      <w:marRight w:val="0"/>
                      <w:marTop w:val="0"/>
                      <w:marBottom w:val="0"/>
                      <w:divBdr>
                        <w:top w:val="none" w:sz="0" w:space="0" w:color="auto"/>
                        <w:left w:val="none" w:sz="0" w:space="0" w:color="auto"/>
                        <w:bottom w:val="none" w:sz="0" w:space="0" w:color="auto"/>
                        <w:right w:val="none" w:sz="0" w:space="0" w:color="auto"/>
                      </w:divBdr>
                      <w:divsChild>
                        <w:div w:id="1498691297">
                          <w:marLeft w:val="0"/>
                          <w:marRight w:val="0"/>
                          <w:marTop w:val="0"/>
                          <w:marBottom w:val="0"/>
                          <w:divBdr>
                            <w:top w:val="none" w:sz="0" w:space="0" w:color="auto"/>
                            <w:left w:val="none" w:sz="0" w:space="0" w:color="auto"/>
                            <w:bottom w:val="none" w:sz="0" w:space="0" w:color="auto"/>
                            <w:right w:val="none" w:sz="0" w:space="0" w:color="auto"/>
                          </w:divBdr>
                          <w:divsChild>
                            <w:div w:id="1498691305">
                              <w:marLeft w:val="0"/>
                              <w:marRight w:val="0"/>
                              <w:marTop w:val="0"/>
                              <w:marBottom w:val="0"/>
                              <w:divBdr>
                                <w:top w:val="none" w:sz="0" w:space="0" w:color="auto"/>
                                <w:left w:val="none" w:sz="0" w:space="0" w:color="auto"/>
                                <w:bottom w:val="none" w:sz="0" w:space="0" w:color="auto"/>
                                <w:right w:val="none" w:sz="0" w:space="0" w:color="auto"/>
                              </w:divBdr>
                              <w:divsChild>
                                <w:div w:id="14986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691312">
      <w:marLeft w:val="0"/>
      <w:marRight w:val="0"/>
      <w:marTop w:val="0"/>
      <w:marBottom w:val="0"/>
      <w:divBdr>
        <w:top w:val="none" w:sz="0" w:space="0" w:color="auto"/>
        <w:left w:val="none" w:sz="0" w:space="0" w:color="auto"/>
        <w:bottom w:val="none" w:sz="0" w:space="0" w:color="auto"/>
        <w:right w:val="none" w:sz="0" w:space="0" w:color="auto"/>
      </w:divBdr>
    </w:div>
    <w:div w:id="1498691315">
      <w:marLeft w:val="0"/>
      <w:marRight w:val="0"/>
      <w:marTop w:val="0"/>
      <w:marBottom w:val="0"/>
      <w:divBdr>
        <w:top w:val="none" w:sz="0" w:space="0" w:color="auto"/>
        <w:left w:val="none" w:sz="0" w:space="0" w:color="auto"/>
        <w:bottom w:val="none" w:sz="0" w:space="0" w:color="auto"/>
        <w:right w:val="none" w:sz="0" w:space="0" w:color="auto"/>
      </w:divBdr>
      <w:divsChild>
        <w:div w:id="1498691295">
          <w:marLeft w:val="0"/>
          <w:marRight w:val="0"/>
          <w:marTop w:val="0"/>
          <w:marBottom w:val="0"/>
          <w:divBdr>
            <w:top w:val="none" w:sz="0" w:space="0" w:color="auto"/>
            <w:left w:val="none" w:sz="0" w:space="0" w:color="auto"/>
            <w:bottom w:val="none" w:sz="0" w:space="0" w:color="auto"/>
            <w:right w:val="none" w:sz="0" w:space="0" w:color="auto"/>
          </w:divBdr>
          <w:divsChild>
            <w:div w:id="1498691304">
              <w:marLeft w:val="0"/>
              <w:marRight w:val="0"/>
              <w:marTop w:val="0"/>
              <w:marBottom w:val="0"/>
              <w:divBdr>
                <w:top w:val="none" w:sz="0" w:space="0" w:color="auto"/>
                <w:left w:val="none" w:sz="0" w:space="0" w:color="auto"/>
                <w:bottom w:val="none" w:sz="0" w:space="0" w:color="auto"/>
                <w:right w:val="none" w:sz="0" w:space="0" w:color="auto"/>
              </w:divBdr>
              <w:divsChild>
                <w:div w:id="149869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91321">
      <w:marLeft w:val="0"/>
      <w:marRight w:val="0"/>
      <w:marTop w:val="0"/>
      <w:marBottom w:val="0"/>
      <w:divBdr>
        <w:top w:val="none" w:sz="0" w:space="0" w:color="auto"/>
        <w:left w:val="none" w:sz="0" w:space="0" w:color="auto"/>
        <w:bottom w:val="none" w:sz="0" w:space="0" w:color="auto"/>
        <w:right w:val="none" w:sz="0" w:space="0" w:color="auto"/>
      </w:divBdr>
      <w:divsChild>
        <w:div w:id="1498691294">
          <w:marLeft w:val="0"/>
          <w:marRight w:val="0"/>
          <w:marTop w:val="0"/>
          <w:marBottom w:val="0"/>
          <w:divBdr>
            <w:top w:val="none" w:sz="0" w:space="0" w:color="auto"/>
            <w:left w:val="none" w:sz="0" w:space="0" w:color="auto"/>
            <w:bottom w:val="none" w:sz="0" w:space="0" w:color="auto"/>
            <w:right w:val="none" w:sz="0" w:space="0" w:color="auto"/>
          </w:divBdr>
          <w:divsChild>
            <w:div w:id="149869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91324">
      <w:marLeft w:val="0"/>
      <w:marRight w:val="0"/>
      <w:marTop w:val="0"/>
      <w:marBottom w:val="0"/>
      <w:divBdr>
        <w:top w:val="none" w:sz="0" w:space="0" w:color="auto"/>
        <w:left w:val="none" w:sz="0" w:space="0" w:color="auto"/>
        <w:bottom w:val="none" w:sz="0" w:space="0" w:color="auto"/>
        <w:right w:val="none" w:sz="0" w:space="0" w:color="auto"/>
      </w:divBdr>
      <w:divsChild>
        <w:div w:id="1498691300">
          <w:marLeft w:val="0"/>
          <w:marRight w:val="0"/>
          <w:marTop w:val="0"/>
          <w:marBottom w:val="0"/>
          <w:divBdr>
            <w:top w:val="none" w:sz="0" w:space="0" w:color="auto"/>
            <w:left w:val="none" w:sz="0" w:space="0" w:color="auto"/>
            <w:bottom w:val="none" w:sz="0" w:space="0" w:color="auto"/>
            <w:right w:val="none" w:sz="0" w:space="0" w:color="auto"/>
          </w:divBdr>
          <w:divsChild>
            <w:div w:id="1498691314">
              <w:marLeft w:val="0"/>
              <w:marRight w:val="0"/>
              <w:marTop w:val="0"/>
              <w:marBottom w:val="0"/>
              <w:divBdr>
                <w:top w:val="none" w:sz="0" w:space="0" w:color="auto"/>
                <w:left w:val="none" w:sz="0" w:space="0" w:color="auto"/>
                <w:bottom w:val="none" w:sz="0" w:space="0" w:color="auto"/>
                <w:right w:val="none" w:sz="0" w:space="0" w:color="auto"/>
              </w:divBdr>
              <w:divsChild>
                <w:div w:id="149869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91325">
      <w:marLeft w:val="0"/>
      <w:marRight w:val="0"/>
      <w:marTop w:val="0"/>
      <w:marBottom w:val="0"/>
      <w:divBdr>
        <w:top w:val="none" w:sz="0" w:space="0" w:color="auto"/>
        <w:left w:val="none" w:sz="0" w:space="0" w:color="auto"/>
        <w:bottom w:val="none" w:sz="0" w:space="0" w:color="auto"/>
        <w:right w:val="none" w:sz="0" w:space="0" w:color="auto"/>
      </w:divBdr>
      <w:divsChild>
        <w:div w:id="1498691320">
          <w:marLeft w:val="0"/>
          <w:marRight w:val="0"/>
          <w:marTop w:val="0"/>
          <w:marBottom w:val="0"/>
          <w:divBdr>
            <w:top w:val="none" w:sz="0" w:space="0" w:color="auto"/>
            <w:left w:val="none" w:sz="0" w:space="0" w:color="auto"/>
            <w:bottom w:val="none" w:sz="0" w:space="0" w:color="auto"/>
            <w:right w:val="none" w:sz="0" w:space="0" w:color="auto"/>
          </w:divBdr>
          <w:divsChild>
            <w:div w:id="1498691296">
              <w:marLeft w:val="0"/>
              <w:marRight w:val="0"/>
              <w:marTop w:val="0"/>
              <w:marBottom w:val="0"/>
              <w:divBdr>
                <w:top w:val="none" w:sz="0" w:space="0" w:color="auto"/>
                <w:left w:val="none" w:sz="0" w:space="0" w:color="auto"/>
                <w:bottom w:val="none" w:sz="0" w:space="0" w:color="auto"/>
                <w:right w:val="none" w:sz="0" w:space="0" w:color="auto"/>
              </w:divBdr>
              <w:divsChild>
                <w:div w:id="1498691313">
                  <w:marLeft w:val="0"/>
                  <w:marRight w:val="0"/>
                  <w:marTop w:val="0"/>
                  <w:marBottom w:val="0"/>
                  <w:divBdr>
                    <w:top w:val="none" w:sz="0" w:space="0" w:color="auto"/>
                    <w:left w:val="none" w:sz="0" w:space="0" w:color="auto"/>
                    <w:bottom w:val="none" w:sz="0" w:space="0" w:color="auto"/>
                    <w:right w:val="none" w:sz="0" w:space="0" w:color="auto"/>
                  </w:divBdr>
                  <w:divsChild>
                    <w:div w:id="1498691303">
                      <w:marLeft w:val="0"/>
                      <w:marRight w:val="0"/>
                      <w:marTop w:val="0"/>
                      <w:marBottom w:val="0"/>
                      <w:divBdr>
                        <w:top w:val="none" w:sz="0" w:space="0" w:color="auto"/>
                        <w:left w:val="none" w:sz="0" w:space="0" w:color="auto"/>
                        <w:bottom w:val="none" w:sz="0" w:space="0" w:color="auto"/>
                        <w:right w:val="none" w:sz="0" w:space="0" w:color="auto"/>
                      </w:divBdr>
                      <w:divsChild>
                        <w:div w:id="1498691335">
                          <w:marLeft w:val="0"/>
                          <w:marRight w:val="0"/>
                          <w:marTop w:val="0"/>
                          <w:marBottom w:val="0"/>
                          <w:divBdr>
                            <w:top w:val="none" w:sz="0" w:space="0" w:color="auto"/>
                            <w:left w:val="none" w:sz="0" w:space="0" w:color="auto"/>
                            <w:bottom w:val="none" w:sz="0" w:space="0" w:color="auto"/>
                            <w:right w:val="none" w:sz="0" w:space="0" w:color="auto"/>
                          </w:divBdr>
                          <w:divsChild>
                            <w:div w:id="1498691331">
                              <w:marLeft w:val="0"/>
                              <w:marRight w:val="0"/>
                              <w:marTop w:val="0"/>
                              <w:marBottom w:val="0"/>
                              <w:divBdr>
                                <w:top w:val="none" w:sz="0" w:space="0" w:color="auto"/>
                                <w:left w:val="none" w:sz="0" w:space="0" w:color="auto"/>
                                <w:bottom w:val="none" w:sz="0" w:space="0" w:color="auto"/>
                                <w:right w:val="none" w:sz="0" w:space="0" w:color="auto"/>
                              </w:divBdr>
                              <w:divsChild>
                                <w:div w:id="149869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691327">
      <w:marLeft w:val="0"/>
      <w:marRight w:val="0"/>
      <w:marTop w:val="0"/>
      <w:marBottom w:val="0"/>
      <w:divBdr>
        <w:top w:val="none" w:sz="0" w:space="0" w:color="auto"/>
        <w:left w:val="none" w:sz="0" w:space="0" w:color="auto"/>
        <w:bottom w:val="none" w:sz="0" w:space="0" w:color="auto"/>
        <w:right w:val="none" w:sz="0" w:space="0" w:color="auto"/>
      </w:divBdr>
    </w:div>
    <w:div w:id="1498691329">
      <w:marLeft w:val="0"/>
      <w:marRight w:val="0"/>
      <w:marTop w:val="0"/>
      <w:marBottom w:val="0"/>
      <w:divBdr>
        <w:top w:val="none" w:sz="0" w:space="0" w:color="auto"/>
        <w:left w:val="none" w:sz="0" w:space="0" w:color="auto"/>
        <w:bottom w:val="none" w:sz="0" w:space="0" w:color="auto"/>
        <w:right w:val="none" w:sz="0" w:space="0" w:color="auto"/>
      </w:divBdr>
    </w:div>
    <w:div w:id="1498691332">
      <w:marLeft w:val="0"/>
      <w:marRight w:val="0"/>
      <w:marTop w:val="0"/>
      <w:marBottom w:val="0"/>
      <w:divBdr>
        <w:top w:val="none" w:sz="0" w:space="0" w:color="auto"/>
        <w:left w:val="none" w:sz="0" w:space="0" w:color="auto"/>
        <w:bottom w:val="none" w:sz="0" w:space="0" w:color="auto"/>
        <w:right w:val="none" w:sz="0" w:space="0" w:color="auto"/>
      </w:divBdr>
    </w:div>
    <w:div w:id="1498691338">
      <w:marLeft w:val="0"/>
      <w:marRight w:val="0"/>
      <w:marTop w:val="0"/>
      <w:marBottom w:val="0"/>
      <w:divBdr>
        <w:top w:val="none" w:sz="0" w:space="0" w:color="auto"/>
        <w:left w:val="none" w:sz="0" w:space="0" w:color="auto"/>
        <w:bottom w:val="none" w:sz="0" w:space="0" w:color="auto"/>
        <w:right w:val="none" w:sz="0" w:space="0" w:color="auto"/>
      </w:divBdr>
      <w:divsChild>
        <w:div w:id="1498691298">
          <w:marLeft w:val="0"/>
          <w:marRight w:val="0"/>
          <w:marTop w:val="0"/>
          <w:marBottom w:val="0"/>
          <w:divBdr>
            <w:top w:val="none" w:sz="0" w:space="0" w:color="auto"/>
            <w:left w:val="none" w:sz="0" w:space="0" w:color="auto"/>
            <w:bottom w:val="none" w:sz="0" w:space="0" w:color="auto"/>
            <w:right w:val="none" w:sz="0" w:space="0" w:color="auto"/>
          </w:divBdr>
          <w:divsChild>
            <w:div w:id="1498691301">
              <w:marLeft w:val="0"/>
              <w:marRight w:val="0"/>
              <w:marTop w:val="0"/>
              <w:marBottom w:val="0"/>
              <w:divBdr>
                <w:top w:val="none" w:sz="0" w:space="0" w:color="auto"/>
                <w:left w:val="none" w:sz="0" w:space="0" w:color="auto"/>
                <w:bottom w:val="none" w:sz="0" w:space="0" w:color="auto"/>
                <w:right w:val="none" w:sz="0" w:space="0" w:color="auto"/>
              </w:divBdr>
              <w:divsChild>
                <w:div w:id="1498691311">
                  <w:marLeft w:val="0"/>
                  <w:marRight w:val="0"/>
                  <w:marTop w:val="0"/>
                  <w:marBottom w:val="0"/>
                  <w:divBdr>
                    <w:top w:val="none" w:sz="0" w:space="0" w:color="auto"/>
                    <w:left w:val="none" w:sz="0" w:space="0" w:color="auto"/>
                    <w:bottom w:val="none" w:sz="0" w:space="0" w:color="auto"/>
                    <w:right w:val="none" w:sz="0" w:space="0" w:color="auto"/>
                  </w:divBdr>
                  <w:divsChild>
                    <w:div w:id="1498691322">
                      <w:marLeft w:val="0"/>
                      <w:marRight w:val="0"/>
                      <w:marTop w:val="0"/>
                      <w:marBottom w:val="0"/>
                      <w:divBdr>
                        <w:top w:val="none" w:sz="0" w:space="0" w:color="auto"/>
                        <w:left w:val="none" w:sz="0" w:space="0" w:color="auto"/>
                        <w:bottom w:val="none" w:sz="0" w:space="0" w:color="auto"/>
                        <w:right w:val="none" w:sz="0" w:space="0" w:color="auto"/>
                      </w:divBdr>
                      <w:divsChild>
                        <w:div w:id="149869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691380">
      <w:marLeft w:val="0"/>
      <w:marRight w:val="0"/>
      <w:marTop w:val="0"/>
      <w:marBottom w:val="0"/>
      <w:divBdr>
        <w:top w:val="none" w:sz="0" w:space="0" w:color="auto"/>
        <w:left w:val="none" w:sz="0" w:space="0" w:color="auto"/>
        <w:bottom w:val="none" w:sz="0" w:space="0" w:color="auto"/>
        <w:right w:val="none" w:sz="0" w:space="0" w:color="auto"/>
      </w:divBdr>
      <w:divsChild>
        <w:div w:id="1498691258">
          <w:marLeft w:val="0"/>
          <w:marRight w:val="0"/>
          <w:marTop w:val="0"/>
          <w:marBottom w:val="0"/>
          <w:divBdr>
            <w:top w:val="none" w:sz="0" w:space="0" w:color="auto"/>
            <w:left w:val="none" w:sz="0" w:space="0" w:color="auto"/>
            <w:bottom w:val="none" w:sz="0" w:space="0" w:color="auto"/>
            <w:right w:val="none" w:sz="0" w:space="0" w:color="auto"/>
          </w:divBdr>
        </w:div>
        <w:div w:id="1498691260">
          <w:marLeft w:val="0"/>
          <w:marRight w:val="0"/>
          <w:marTop w:val="0"/>
          <w:marBottom w:val="0"/>
          <w:divBdr>
            <w:top w:val="none" w:sz="0" w:space="0" w:color="auto"/>
            <w:left w:val="none" w:sz="0" w:space="0" w:color="auto"/>
            <w:bottom w:val="none" w:sz="0" w:space="0" w:color="auto"/>
            <w:right w:val="none" w:sz="0" w:space="0" w:color="auto"/>
          </w:divBdr>
        </w:div>
        <w:div w:id="1498691262">
          <w:marLeft w:val="0"/>
          <w:marRight w:val="0"/>
          <w:marTop w:val="0"/>
          <w:marBottom w:val="0"/>
          <w:divBdr>
            <w:top w:val="none" w:sz="0" w:space="0" w:color="auto"/>
            <w:left w:val="none" w:sz="0" w:space="0" w:color="auto"/>
            <w:bottom w:val="none" w:sz="0" w:space="0" w:color="auto"/>
            <w:right w:val="none" w:sz="0" w:space="0" w:color="auto"/>
          </w:divBdr>
        </w:div>
        <w:div w:id="1498691263">
          <w:marLeft w:val="0"/>
          <w:marRight w:val="0"/>
          <w:marTop w:val="0"/>
          <w:marBottom w:val="0"/>
          <w:divBdr>
            <w:top w:val="none" w:sz="0" w:space="0" w:color="auto"/>
            <w:left w:val="none" w:sz="0" w:space="0" w:color="auto"/>
            <w:bottom w:val="none" w:sz="0" w:space="0" w:color="auto"/>
            <w:right w:val="none" w:sz="0" w:space="0" w:color="auto"/>
          </w:divBdr>
        </w:div>
        <w:div w:id="1498691265">
          <w:marLeft w:val="0"/>
          <w:marRight w:val="0"/>
          <w:marTop w:val="0"/>
          <w:marBottom w:val="0"/>
          <w:divBdr>
            <w:top w:val="none" w:sz="0" w:space="0" w:color="auto"/>
            <w:left w:val="none" w:sz="0" w:space="0" w:color="auto"/>
            <w:bottom w:val="none" w:sz="0" w:space="0" w:color="auto"/>
            <w:right w:val="none" w:sz="0" w:space="0" w:color="auto"/>
          </w:divBdr>
        </w:div>
        <w:div w:id="1498691350">
          <w:marLeft w:val="0"/>
          <w:marRight w:val="0"/>
          <w:marTop w:val="0"/>
          <w:marBottom w:val="0"/>
          <w:divBdr>
            <w:top w:val="none" w:sz="0" w:space="0" w:color="auto"/>
            <w:left w:val="none" w:sz="0" w:space="0" w:color="auto"/>
            <w:bottom w:val="none" w:sz="0" w:space="0" w:color="auto"/>
            <w:right w:val="none" w:sz="0" w:space="0" w:color="auto"/>
          </w:divBdr>
        </w:div>
        <w:div w:id="1498691353">
          <w:marLeft w:val="0"/>
          <w:marRight w:val="0"/>
          <w:marTop w:val="0"/>
          <w:marBottom w:val="0"/>
          <w:divBdr>
            <w:top w:val="none" w:sz="0" w:space="0" w:color="auto"/>
            <w:left w:val="none" w:sz="0" w:space="0" w:color="auto"/>
            <w:bottom w:val="none" w:sz="0" w:space="0" w:color="auto"/>
            <w:right w:val="none" w:sz="0" w:space="0" w:color="auto"/>
          </w:divBdr>
        </w:div>
        <w:div w:id="1498691354">
          <w:marLeft w:val="0"/>
          <w:marRight w:val="0"/>
          <w:marTop w:val="0"/>
          <w:marBottom w:val="0"/>
          <w:divBdr>
            <w:top w:val="none" w:sz="0" w:space="0" w:color="auto"/>
            <w:left w:val="none" w:sz="0" w:space="0" w:color="auto"/>
            <w:bottom w:val="none" w:sz="0" w:space="0" w:color="auto"/>
            <w:right w:val="none" w:sz="0" w:space="0" w:color="auto"/>
          </w:divBdr>
        </w:div>
        <w:div w:id="1498691357">
          <w:marLeft w:val="0"/>
          <w:marRight w:val="0"/>
          <w:marTop w:val="0"/>
          <w:marBottom w:val="0"/>
          <w:divBdr>
            <w:top w:val="none" w:sz="0" w:space="0" w:color="auto"/>
            <w:left w:val="none" w:sz="0" w:space="0" w:color="auto"/>
            <w:bottom w:val="none" w:sz="0" w:space="0" w:color="auto"/>
            <w:right w:val="none" w:sz="0" w:space="0" w:color="auto"/>
          </w:divBdr>
        </w:div>
        <w:div w:id="1498691361">
          <w:marLeft w:val="0"/>
          <w:marRight w:val="0"/>
          <w:marTop w:val="0"/>
          <w:marBottom w:val="0"/>
          <w:divBdr>
            <w:top w:val="none" w:sz="0" w:space="0" w:color="auto"/>
            <w:left w:val="none" w:sz="0" w:space="0" w:color="auto"/>
            <w:bottom w:val="none" w:sz="0" w:space="0" w:color="auto"/>
            <w:right w:val="none" w:sz="0" w:space="0" w:color="auto"/>
          </w:divBdr>
        </w:div>
        <w:div w:id="1498691362">
          <w:marLeft w:val="0"/>
          <w:marRight w:val="0"/>
          <w:marTop w:val="0"/>
          <w:marBottom w:val="0"/>
          <w:divBdr>
            <w:top w:val="none" w:sz="0" w:space="0" w:color="auto"/>
            <w:left w:val="none" w:sz="0" w:space="0" w:color="auto"/>
            <w:bottom w:val="none" w:sz="0" w:space="0" w:color="auto"/>
            <w:right w:val="none" w:sz="0" w:space="0" w:color="auto"/>
          </w:divBdr>
        </w:div>
        <w:div w:id="1498691366">
          <w:marLeft w:val="0"/>
          <w:marRight w:val="0"/>
          <w:marTop w:val="0"/>
          <w:marBottom w:val="0"/>
          <w:divBdr>
            <w:top w:val="none" w:sz="0" w:space="0" w:color="auto"/>
            <w:left w:val="none" w:sz="0" w:space="0" w:color="auto"/>
            <w:bottom w:val="none" w:sz="0" w:space="0" w:color="auto"/>
            <w:right w:val="none" w:sz="0" w:space="0" w:color="auto"/>
          </w:divBdr>
        </w:div>
        <w:div w:id="1498691369">
          <w:marLeft w:val="0"/>
          <w:marRight w:val="0"/>
          <w:marTop w:val="0"/>
          <w:marBottom w:val="0"/>
          <w:divBdr>
            <w:top w:val="none" w:sz="0" w:space="0" w:color="auto"/>
            <w:left w:val="none" w:sz="0" w:space="0" w:color="auto"/>
            <w:bottom w:val="none" w:sz="0" w:space="0" w:color="auto"/>
            <w:right w:val="none" w:sz="0" w:space="0" w:color="auto"/>
          </w:divBdr>
        </w:div>
        <w:div w:id="1498691370">
          <w:marLeft w:val="0"/>
          <w:marRight w:val="0"/>
          <w:marTop w:val="0"/>
          <w:marBottom w:val="0"/>
          <w:divBdr>
            <w:top w:val="none" w:sz="0" w:space="0" w:color="auto"/>
            <w:left w:val="none" w:sz="0" w:space="0" w:color="auto"/>
            <w:bottom w:val="none" w:sz="0" w:space="0" w:color="auto"/>
            <w:right w:val="none" w:sz="0" w:space="0" w:color="auto"/>
          </w:divBdr>
        </w:div>
        <w:div w:id="1498691373">
          <w:marLeft w:val="0"/>
          <w:marRight w:val="0"/>
          <w:marTop w:val="0"/>
          <w:marBottom w:val="0"/>
          <w:divBdr>
            <w:top w:val="none" w:sz="0" w:space="0" w:color="auto"/>
            <w:left w:val="none" w:sz="0" w:space="0" w:color="auto"/>
            <w:bottom w:val="none" w:sz="0" w:space="0" w:color="auto"/>
            <w:right w:val="none" w:sz="0" w:space="0" w:color="auto"/>
          </w:divBdr>
        </w:div>
        <w:div w:id="1498691374">
          <w:marLeft w:val="0"/>
          <w:marRight w:val="0"/>
          <w:marTop w:val="0"/>
          <w:marBottom w:val="0"/>
          <w:divBdr>
            <w:top w:val="none" w:sz="0" w:space="0" w:color="auto"/>
            <w:left w:val="none" w:sz="0" w:space="0" w:color="auto"/>
            <w:bottom w:val="none" w:sz="0" w:space="0" w:color="auto"/>
            <w:right w:val="none" w:sz="0" w:space="0" w:color="auto"/>
          </w:divBdr>
        </w:div>
        <w:div w:id="1498691378">
          <w:marLeft w:val="0"/>
          <w:marRight w:val="0"/>
          <w:marTop w:val="0"/>
          <w:marBottom w:val="0"/>
          <w:divBdr>
            <w:top w:val="none" w:sz="0" w:space="0" w:color="auto"/>
            <w:left w:val="none" w:sz="0" w:space="0" w:color="auto"/>
            <w:bottom w:val="none" w:sz="0" w:space="0" w:color="auto"/>
            <w:right w:val="none" w:sz="0" w:space="0" w:color="auto"/>
          </w:divBdr>
        </w:div>
        <w:div w:id="1498691379">
          <w:marLeft w:val="0"/>
          <w:marRight w:val="0"/>
          <w:marTop w:val="0"/>
          <w:marBottom w:val="0"/>
          <w:divBdr>
            <w:top w:val="none" w:sz="0" w:space="0" w:color="auto"/>
            <w:left w:val="none" w:sz="0" w:space="0" w:color="auto"/>
            <w:bottom w:val="none" w:sz="0" w:space="0" w:color="auto"/>
            <w:right w:val="none" w:sz="0" w:space="0" w:color="auto"/>
          </w:divBdr>
        </w:div>
        <w:div w:id="1498691391">
          <w:marLeft w:val="0"/>
          <w:marRight w:val="0"/>
          <w:marTop w:val="0"/>
          <w:marBottom w:val="0"/>
          <w:divBdr>
            <w:top w:val="none" w:sz="0" w:space="0" w:color="auto"/>
            <w:left w:val="none" w:sz="0" w:space="0" w:color="auto"/>
            <w:bottom w:val="none" w:sz="0" w:space="0" w:color="auto"/>
            <w:right w:val="none" w:sz="0" w:space="0" w:color="auto"/>
          </w:divBdr>
        </w:div>
        <w:div w:id="1498691399">
          <w:marLeft w:val="0"/>
          <w:marRight w:val="0"/>
          <w:marTop w:val="0"/>
          <w:marBottom w:val="0"/>
          <w:divBdr>
            <w:top w:val="none" w:sz="0" w:space="0" w:color="auto"/>
            <w:left w:val="none" w:sz="0" w:space="0" w:color="auto"/>
            <w:bottom w:val="none" w:sz="0" w:space="0" w:color="auto"/>
            <w:right w:val="none" w:sz="0" w:space="0" w:color="auto"/>
          </w:divBdr>
        </w:div>
        <w:div w:id="1498691402">
          <w:marLeft w:val="0"/>
          <w:marRight w:val="0"/>
          <w:marTop w:val="0"/>
          <w:marBottom w:val="0"/>
          <w:divBdr>
            <w:top w:val="none" w:sz="0" w:space="0" w:color="auto"/>
            <w:left w:val="none" w:sz="0" w:space="0" w:color="auto"/>
            <w:bottom w:val="none" w:sz="0" w:space="0" w:color="auto"/>
            <w:right w:val="none" w:sz="0" w:space="0" w:color="auto"/>
          </w:divBdr>
        </w:div>
        <w:div w:id="1498691407">
          <w:marLeft w:val="0"/>
          <w:marRight w:val="0"/>
          <w:marTop w:val="0"/>
          <w:marBottom w:val="0"/>
          <w:divBdr>
            <w:top w:val="none" w:sz="0" w:space="0" w:color="auto"/>
            <w:left w:val="none" w:sz="0" w:space="0" w:color="auto"/>
            <w:bottom w:val="none" w:sz="0" w:space="0" w:color="auto"/>
            <w:right w:val="none" w:sz="0" w:space="0" w:color="auto"/>
          </w:divBdr>
        </w:div>
        <w:div w:id="1498691409">
          <w:marLeft w:val="0"/>
          <w:marRight w:val="0"/>
          <w:marTop w:val="0"/>
          <w:marBottom w:val="0"/>
          <w:divBdr>
            <w:top w:val="none" w:sz="0" w:space="0" w:color="auto"/>
            <w:left w:val="none" w:sz="0" w:space="0" w:color="auto"/>
            <w:bottom w:val="none" w:sz="0" w:space="0" w:color="auto"/>
            <w:right w:val="none" w:sz="0" w:space="0" w:color="auto"/>
          </w:divBdr>
        </w:div>
        <w:div w:id="1498691410">
          <w:marLeft w:val="0"/>
          <w:marRight w:val="0"/>
          <w:marTop w:val="0"/>
          <w:marBottom w:val="0"/>
          <w:divBdr>
            <w:top w:val="none" w:sz="0" w:space="0" w:color="auto"/>
            <w:left w:val="none" w:sz="0" w:space="0" w:color="auto"/>
            <w:bottom w:val="none" w:sz="0" w:space="0" w:color="auto"/>
            <w:right w:val="none" w:sz="0" w:space="0" w:color="auto"/>
          </w:divBdr>
        </w:div>
        <w:div w:id="1498691414">
          <w:marLeft w:val="0"/>
          <w:marRight w:val="0"/>
          <w:marTop w:val="0"/>
          <w:marBottom w:val="0"/>
          <w:divBdr>
            <w:top w:val="none" w:sz="0" w:space="0" w:color="auto"/>
            <w:left w:val="none" w:sz="0" w:space="0" w:color="auto"/>
            <w:bottom w:val="none" w:sz="0" w:space="0" w:color="auto"/>
            <w:right w:val="none" w:sz="0" w:space="0" w:color="auto"/>
          </w:divBdr>
        </w:div>
        <w:div w:id="1498691419">
          <w:marLeft w:val="0"/>
          <w:marRight w:val="0"/>
          <w:marTop w:val="0"/>
          <w:marBottom w:val="0"/>
          <w:divBdr>
            <w:top w:val="none" w:sz="0" w:space="0" w:color="auto"/>
            <w:left w:val="none" w:sz="0" w:space="0" w:color="auto"/>
            <w:bottom w:val="none" w:sz="0" w:space="0" w:color="auto"/>
            <w:right w:val="none" w:sz="0" w:space="0" w:color="auto"/>
          </w:divBdr>
        </w:div>
        <w:div w:id="1498691420">
          <w:marLeft w:val="0"/>
          <w:marRight w:val="0"/>
          <w:marTop w:val="0"/>
          <w:marBottom w:val="0"/>
          <w:divBdr>
            <w:top w:val="none" w:sz="0" w:space="0" w:color="auto"/>
            <w:left w:val="none" w:sz="0" w:space="0" w:color="auto"/>
            <w:bottom w:val="none" w:sz="0" w:space="0" w:color="auto"/>
            <w:right w:val="none" w:sz="0" w:space="0" w:color="auto"/>
          </w:divBdr>
        </w:div>
        <w:div w:id="1498691423">
          <w:marLeft w:val="0"/>
          <w:marRight w:val="0"/>
          <w:marTop w:val="0"/>
          <w:marBottom w:val="0"/>
          <w:divBdr>
            <w:top w:val="none" w:sz="0" w:space="0" w:color="auto"/>
            <w:left w:val="none" w:sz="0" w:space="0" w:color="auto"/>
            <w:bottom w:val="none" w:sz="0" w:space="0" w:color="auto"/>
            <w:right w:val="none" w:sz="0" w:space="0" w:color="auto"/>
          </w:divBdr>
        </w:div>
        <w:div w:id="1498691424">
          <w:marLeft w:val="0"/>
          <w:marRight w:val="0"/>
          <w:marTop w:val="0"/>
          <w:marBottom w:val="0"/>
          <w:divBdr>
            <w:top w:val="none" w:sz="0" w:space="0" w:color="auto"/>
            <w:left w:val="none" w:sz="0" w:space="0" w:color="auto"/>
            <w:bottom w:val="none" w:sz="0" w:space="0" w:color="auto"/>
            <w:right w:val="none" w:sz="0" w:space="0" w:color="auto"/>
          </w:divBdr>
        </w:div>
      </w:divsChild>
    </w:div>
    <w:div w:id="1498691429">
      <w:marLeft w:val="0"/>
      <w:marRight w:val="0"/>
      <w:marTop w:val="0"/>
      <w:marBottom w:val="0"/>
      <w:divBdr>
        <w:top w:val="none" w:sz="0" w:space="0" w:color="auto"/>
        <w:left w:val="none" w:sz="0" w:space="0" w:color="auto"/>
        <w:bottom w:val="none" w:sz="0" w:space="0" w:color="auto"/>
        <w:right w:val="none" w:sz="0" w:space="0" w:color="auto"/>
      </w:divBdr>
      <w:divsChild>
        <w:div w:id="1498691256">
          <w:marLeft w:val="0"/>
          <w:marRight w:val="0"/>
          <w:marTop w:val="0"/>
          <w:marBottom w:val="0"/>
          <w:divBdr>
            <w:top w:val="none" w:sz="0" w:space="0" w:color="auto"/>
            <w:left w:val="none" w:sz="0" w:space="0" w:color="auto"/>
            <w:bottom w:val="none" w:sz="0" w:space="0" w:color="auto"/>
            <w:right w:val="none" w:sz="0" w:space="0" w:color="auto"/>
          </w:divBdr>
        </w:div>
        <w:div w:id="1498691257">
          <w:marLeft w:val="0"/>
          <w:marRight w:val="0"/>
          <w:marTop w:val="0"/>
          <w:marBottom w:val="0"/>
          <w:divBdr>
            <w:top w:val="none" w:sz="0" w:space="0" w:color="auto"/>
            <w:left w:val="none" w:sz="0" w:space="0" w:color="auto"/>
            <w:bottom w:val="none" w:sz="0" w:space="0" w:color="auto"/>
            <w:right w:val="none" w:sz="0" w:space="0" w:color="auto"/>
          </w:divBdr>
        </w:div>
        <w:div w:id="1498691259">
          <w:marLeft w:val="0"/>
          <w:marRight w:val="0"/>
          <w:marTop w:val="0"/>
          <w:marBottom w:val="0"/>
          <w:divBdr>
            <w:top w:val="none" w:sz="0" w:space="0" w:color="auto"/>
            <w:left w:val="none" w:sz="0" w:space="0" w:color="auto"/>
            <w:bottom w:val="none" w:sz="0" w:space="0" w:color="auto"/>
            <w:right w:val="none" w:sz="0" w:space="0" w:color="auto"/>
          </w:divBdr>
        </w:div>
        <w:div w:id="1498691261">
          <w:marLeft w:val="0"/>
          <w:marRight w:val="0"/>
          <w:marTop w:val="0"/>
          <w:marBottom w:val="0"/>
          <w:divBdr>
            <w:top w:val="none" w:sz="0" w:space="0" w:color="auto"/>
            <w:left w:val="none" w:sz="0" w:space="0" w:color="auto"/>
            <w:bottom w:val="none" w:sz="0" w:space="0" w:color="auto"/>
            <w:right w:val="none" w:sz="0" w:space="0" w:color="auto"/>
          </w:divBdr>
        </w:div>
        <w:div w:id="1498691264">
          <w:marLeft w:val="0"/>
          <w:marRight w:val="0"/>
          <w:marTop w:val="0"/>
          <w:marBottom w:val="0"/>
          <w:divBdr>
            <w:top w:val="none" w:sz="0" w:space="0" w:color="auto"/>
            <w:left w:val="none" w:sz="0" w:space="0" w:color="auto"/>
            <w:bottom w:val="none" w:sz="0" w:space="0" w:color="auto"/>
            <w:right w:val="none" w:sz="0" w:space="0" w:color="auto"/>
          </w:divBdr>
        </w:div>
        <w:div w:id="1498691347">
          <w:marLeft w:val="0"/>
          <w:marRight w:val="0"/>
          <w:marTop w:val="0"/>
          <w:marBottom w:val="0"/>
          <w:divBdr>
            <w:top w:val="none" w:sz="0" w:space="0" w:color="auto"/>
            <w:left w:val="none" w:sz="0" w:space="0" w:color="auto"/>
            <w:bottom w:val="none" w:sz="0" w:space="0" w:color="auto"/>
            <w:right w:val="none" w:sz="0" w:space="0" w:color="auto"/>
          </w:divBdr>
        </w:div>
        <w:div w:id="1498691348">
          <w:marLeft w:val="0"/>
          <w:marRight w:val="0"/>
          <w:marTop w:val="0"/>
          <w:marBottom w:val="0"/>
          <w:divBdr>
            <w:top w:val="none" w:sz="0" w:space="0" w:color="auto"/>
            <w:left w:val="none" w:sz="0" w:space="0" w:color="auto"/>
            <w:bottom w:val="none" w:sz="0" w:space="0" w:color="auto"/>
            <w:right w:val="none" w:sz="0" w:space="0" w:color="auto"/>
          </w:divBdr>
        </w:div>
        <w:div w:id="1498691349">
          <w:marLeft w:val="0"/>
          <w:marRight w:val="0"/>
          <w:marTop w:val="0"/>
          <w:marBottom w:val="0"/>
          <w:divBdr>
            <w:top w:val="none" w:sz="0" w:space="0" w:color="auto"/>
            <w:left w:val="none" w:sz="0" w:space="0" w:color="auto"/>
            <w:bottom w:val="none" w:sz="0" w:space="0" w:color="auto"/>
            <w:right w:val="none" w:sz="0" w:space="0" w:color="auto"/>
          </w:divBdr>
        </w:div>
        <w:div w:id="1498691351">
          <w:marLeft w:val="0"/>
          <w:marRight w:val="0"/>
          <w:marTop w:val="0"/>
          <w:marBottom w:val="0"/>
          <w:divBdr>
            <w:top w:val="none" w:sz="0" w:space="0" w:color="auto"/>
            <w:left w:val="none" w:sz="0" w:space="0" w:color="auto"/>
            <w:bottom w:val="none" w:sz="0" w:space="0" w:color="auto"/>
            <w:right w:val="none" w:sz="0" w:space="0" w:color="auto"/>
          </w:divBdr>
        </w:div>
        <w:div w:id="1498691352">
          <w:marLeft w:val="0"/>
          <w:marRight w:val="0"/>
          <w:marTop w:val="0"/>
          <w:marBottom w:val="0"/>
          <w:divBdr>
            <w:top w:val="none" w:sz="0" w:space="0" w:color="auto"/>
            <w:left w:val="none" w:sz="0" w:space="0" w:color="auto"/>
            <w:bottom w:val="none" w:sz="0" w:space="0" w:color="auto"/>
            <w:right w:val="none" w:sz="0" w:space="0" w:color="auto"/>
          </w:divBdr>
        </w:div>
        <w:div w:id="1498691355">
          <w:marLeft w:val="0"/>
          <w:marRight w:val="0"/>
          <w:marTop w:val="0"/>
          <w:marBottom w:val="0"/>
          <w:divBdr>
            <w:top w:val="none" w:sz="0" w:space="0" w:color="auto"/>
            <w:left w:val="none" w:sz="0" w:space="0" w:color="auto"/>
            <w:bottom w:val="none" w:sz="0" w:space="0" w:color="auto"/>
            <w:right w:val="none" w:sz="0" w:space="0" w:color="auto"/>
          </w:divBdr>
        </w:div>
        <w:div w:id="1498691356">
          <w:marLeft w:val="0"/>
          <w:marRight w:val="0"/>
          <w:marTop w:val="0"/>
          <w:marBottom w:val="0"/>
          <w:divBdr>
            <w:top w:val="none" w:sz="0" w:space="0" w:color="auto"/>
            <w:left w:val="none" w:sz="0" w:space="0" w:color="auto"/>
            <w:bottom w:val="none" w:sz="0" w:space="0" w:color="auto"/>
            <w:right w:val="none" w:sz="0" w:space="0" w:color="auto"/>
          </w:divBdr>
        </w:div>
        <w:div w:id="1498691358">
          <w:marLeft w:val="0"/>
          <w:marRight w:val="0"/>
          <w:marTop w:val="0"/>
          <w:marBottom w:val="0"/>
          <w:divBdr>
            <w:top w:val="none" w:sz="0" w:space="0" w:color="auto"/>
            <w:left w:val="none" w:sz="0" w:space="0" w:color="auto"/>
            <w:bottom w:val="none" w:sz="0" w:space="0" w:color="auto"/>
            <w:right w:val="none" w:sz="0" w:space="0" w:color="auto"/>
          </w:divBdr>
        </w:div>
        <w:div w:id="1498691359">
          <w:marLeft w:val="0"/>
          <w:marRight w:val="0"/>
          <w:marTop w:val="0"/>
          <w:marBottom w:val="0"/>
          <w:divBdr>
            <w:top w:val="none" w:sz="0" w:space="0" w:color="auto"/>
            <w:left w:val="none" w:sz="0" w:space="0" w:color="auto"/>
            <w:bottom w:val="none" w:sz="0" w:space="0" w:color="auto"/>
            <w:right w:val="none" w:sz="0" w:space="0" w:color="auto"/>
          </w:divBdr>
        </w:div>
        <w:div w:id="1498691360">
          <w:marLeft w:val="0"/>
          <w:marRight w:val="0"/>
          <w:marTop w:val="0"/>
          <w:marBottom w:val="0"/>
          <w:divBdr>
            <w:top w:val="none" w:sz="0" w:space="0" w:color="auto"/>
            <w:left w:val="none" w:sz="0" w:space="0" w:color="auto"/>
            <w:bottom w:val="none" w:sz="0" w:space="0" w:color="auto"/>
            <w:right w:val="none" w:sz="0" w:space="0" w:color="auto"/>
          </w:divBdr>
        </w:div>
        <w:div w:id="1498691363">
          <w:marLeft w:val="0"/>
          <w:marRight w:val="0"/>
          <w:marTop w:val="0"/>
          <w:marBottom w:val="0"/>
          <w:divBdr>
            <w:top w:val="none" w:sz="0" w:space="0" w:color="auto"/>
            <w:left w:val="none" w:sz="0" w:space="0" w:color="auto"/>
            <w:bottom w:val="none" w:sz="0" w:space="0" w:color="auto"/>
            <w:right w:val="none" w:sz="0" w:space="0" w:color="auto"/>
          </w:divBdr>
        </w:div>
        <w:div w:id="1498691364">
          <w:marLeft w:val="0"/>
          <w:marRight w:val="0"/>
          <w:marTop w:val="0"/>
          <w:marBottom w:val="0"/>
          <w:divBdr>
            <w:top w:val="none" w:sz="0" w:space="0" w:color="auto"/>
            <w:left w:val="none" w:sz="0" w:space="0" w:color="auto"/>
            <w:bottom w:val="none" w:sz="0" w:space="0" w:color="auto"/>
            <w:right w:val="none" w:sz="0" w:space="0" w:color="auto"/>
          </w:divBdr>
        </w:div>
        <w:div w:id="1498691365">
          <w:marLeft w:val="0"/>
          <w:marRight w:val="0"/>
          <w:marTop w:val="0"/>
          <w:marBottom w:val="0"/>
          <w:divBdr>
            <w:top w:val="none" w:sz="0" w:space="0" w:color="auto"/>
            <w:left w:val="none" w:sz="0" w:space="0" w:color="auto"/>
            <w:bottom w:val="none" w:sz="0" w:space="0" w:color="auto"/>
            <w:right w:val="none" w:sz="0" w:space="0" w:color="auto"/>
          </w:divBdr>
        </w:div>
        <w:div w:id="1498691367">
          <w:marLeft w:val="0"/>
          <w:marRight w:val="0"/>
          <w:marTop w:val="0"/>
          <w:marBottom w:val="0"/>
          <w:divBdr>
            <w:top w:val="none" w:sz="0" w:space="0" w:color="auto"/>
            <w:left w:val="none" w:sz="0" w:space="0" w:color="auto"/>
            <w:bottom w:val="none" w:sz="0" w:space="0" w:color="auto"/>
            <w:right w:val="none" w:sz="0" w:space="0" w:color="auto"/>
          </w:divBdr>
        </w:div>
        <w:div w:id="1498691368">
          <w:marLeft w:val="0"/>
          <w:marRight w:val="0"/>
          <w:marTop w:val="0"/>
          <w:marBottom w:val="0"/>
          <w:divBdr>
            <w:top w:val="none" w:sz="0" w:space="0" w:color="auto"/>
            <w:left w:val="none" w:sz="0" w:space="0" w:color="auto"/>
            <w:bottom w:val="none" w:sz="0" w:space="0" w:color="auto"/>
            <w:right w:val="none" w:sz="0" w:space="0" w:color="auto"/>
          </w:divBdr>
        </w:div>
        <w:div w:id="1498691371">
          <w:marLeft w:val="0"/>
          <w:marRight w:val="0"/>
          <w:marTop w:val="0"/>
          <w:marBottom w:val="0"/>
          <w:divBdr>
            <w:top w:val="none" w:sz="0" w:space="0" w:color="auto"/>
            <w:left w:val="none" w:sz="0" w:space="0" w:color="auto"/>
            <w:bottom w:val="none" w:sz="0" w:space="0" w:color="auto"/>
            <w:right w:val="none" w:sz="0" w:space="0" w:color="auto"/>
          </w:divBdr>
        </w:div>
        <w:div w:id="1498691372">
          <w:marLeft w:val="0"/>
          <w:marRight w:val="0"/>
          <w:marTop w:val="0"/>
          <w:marBottom w:val="0"/>
          <w:divBdr>
            <w:top w:val="none" w:sz="0" w:space="0" w:color="auto"/>
            <w:left w:val="none" w:sz="0" w:space="0" w:color="auto"/>
            <w:bottom w:val="none" w:sz="0" w:space="0" w:color="auto"/>
            <w:right w:val="none" w:sz="0" w:space="0" w:color="auto"/>
          </w:divBdr>
        </w:div>
        <w:div w:id="1498691375">
          <w:marLeft w:val="0"/>
          <w:marRight w:val="0"/>
          <w:marTop w:val="0"/>
          <w:marBottom w:val="0"/>
          <w:divBdr>
            <w:top w:val="none" w:sz="0" w:space="0" w:color="auto"/>
            <w:left w:val="none" w:sz="0" w:space="0" w:color="auto"/>
            <w:bottom w:val="none" w:sz="0" w:space="0" w:color="auto"/>
            <w:right w:val="none" w:sz="0" w:space="0" w:color="auto"/>
          </w:divBdr>
        </w:div>
        <w:div w:id="1498691376">
          <w:marLeft w:val="0"/>
          <w:marRight w:val="0"/>
          <w:marTop w:val="0"/>
          <w:marBottom w:val="0"/>
          <w:divBdr>
            <w:top w:val="none" w:sz="0" w:space="0" w:color="auto"/>
            <w:left w:val="none" w:sz="0" w:space="0" w:color="auto"/>
            <w:bottom w:val="none" w:sz="0" w:space="0" w:color="auto"/>
            <w:right w:val="none" w:sz="0" w:space="0" w:color="auto"/>
          </w:divBdr>
        </w:div>
        <w:div w:id="1498691377">
          <w:marLeft w:val="0"/>
          <w:marRight w:val="0"/>
          <w:marTop w:val="0"/>
          <w:marBottom w:val="0"/>
          <w:divBdr>
            <w:top w:val="none" w:sz="0" w:space="0" w:color="auto"/>
            <w:left w:val="none" w:sz="0" w:space="0" w:color="auto"/>
            <w:bottom w:val="none" w:sz="0" w:space="0" w:color="auto"/>
            <w:right w:val="none" w:sz="0" w:space="0" w:color="auto"/>
          </w:divBdr>
        </w:div>
        <w:div w:id="1498691381">
          <w:marLeft w:val="0"/>
          <w:marRight w:val="0"/>
          <w:marTop w:val="0"/>
          <w:marBottom w:val="0"/>
          <w:divBdr>
            <w:top w:val="none" w:sz="0" w:space="0" w:color="auto"/>
            <w:left w:val="none" w:sz="0" w:space="0" w:color="auto"/>
            <w:bottom w:val="none" w:sz="0" w:space="0" w:color="auto"/>
            <w:right w:val="none" w:sz="0" w:space="0" w:color="auto"/>
          </w:divBdr>
        </w:div>
        <w:div w:id="1498691382">
          <w:marLeft w:val="0"/>
          <w:marRight w:val="0"/>
          <w:marTop w:val="0"/>
          <w:marBottom w:val="0"/>
          <w:divBdr>
            <w:top w:val="none" w:sz="0" w:space="0" w:color="auto"/>
            <w:left w:val="none" w:sz="0" w:space="0" w:color="auto"/>
            <w:bottom w:val="none" w:sz="0" w:space="0" w:color="auto"/>
            <w:right w:val="none" w:sz="0" w:space="0" w:color="auto"/>
          </w:divBdr>
        </w:div>
        <w:div w:id="1498691383">
          <w:marLeft w:val="0"/>
          <w:marRight w:val="0"/>
          <w:marTop w:val="0"/>
          <w:marBottom w:val="0"/>
          <w:divBdr>
            <w:top w:val="none" w:sz="0" w:space="0" w:color="auto"/>
            <w:left w:val="none" w:sz="0" w:space="0" w:color="auto"/>
            <w:bottom w:val="none" w:sz="0" w:space="0" w:color="auto"/>
            <w:right w:val="none" w:sz="0" w:space="0" w:color="auto"/>
          </w:divBdr>
        </w:div>
        <w:div w:id="1498691384">
          <w:marLeft w:val="0"/>
          <w:marRight w:val="0"/>
          <w:marTop w:val="0"/>
          <w:marBottom w:val="0"/>
          <w:divBdr>
            <w:top w:val="none" w:sz="0" w:space="0" w:color="auto"/>
            <w:left w:val="none" w:sz="0" w:space="0" w:color="auto"/>
            <w:bottom w:val="none" w:sz="0" w:space="0" w:color="auto"/>
            <w:right w:val="none" w:sz="0" w:space="0" w:color="auto"/>
          </w:divBdr>
        </w:div>
        <w:div w:id="1498691385">
          <w:marLeft w:val="0"/>
          <w:marRight w:val="0"/>
          <w:marTop w:val="0"/>
          <w:marBottom w:val="0"/>
          <w:divBdr>
            <w:top w:val="none" w:sz="0" w:space="0" w:color="auto"/>
            <w:left w:val="none" w:sz="0" w:space="0" w:color="auto"/>
            <w:bottom w:val="none" w:sz="0" w:space="0" w:color="auto"/>
            <w:right w:val="none" w:sz="0" w:space="0" w:color="auto"/>
          </w:divBdr>
        </w:div>
        <w:div w:id="1498691386">
          <w:marLeft w:val="0"/>
          <w:marRight w:val="0"/>
          <w:marTop w:val="0"/>
          <w:marBottom w:val="0"/>
          <w:divBdr>
            <w:top w:val="none" w:sz="0" w:space="0" w:color="auto"/>
            <w:left w:val="none" w:sz="0" w:space="0" w:color="auto"/>
            <w:bottom w:val="none" w:sz="0" w:space="0" w:color="auto"/>
            <w:right w:val="none" w:sz="0" w:space="0" w:color="auto"/>
          </w:divBdr>
        </w:div>
        <w:div w:id="1498691387">
          <w:marLeft w:val="0"/>
          <w:marRight w:val="0"/>
          <w:marTop w:val="0"/>
          <w:marBottom w:val="0"/>
          <w:divBdr>
            <w:top w:val="none" w:sz="0" w:space="0" w:color="auto"/>
            <w:left w:val="none" w:sz="0" w:space="0" w:color="auto"/>
            <w:bottom w:val="none" w:sz="0" w:space="0" w:color="auto"/>
            <w:right w:val="none" w:sz="0" w:space="0" w:color="auto"/>
          </w:divBdr>
        </w:div>
        <w:div w:id="1498691388">
          <w:marLeft w:val="0"/>
          <w:marRight w:val="0"/>
          <w:marTop w:val="0"/>
          <w:marBottom w:val="0"/>
          <w:divBdr>
            <w:top w:val="none" w:sz="0" w:space="0" w:color="auto"/>
            <w:left w:val="none" w:sz="0" w:space="0" w:color="auto"/>
            <w:bottom w:val="none" w:sz="0" w:space="0" w:color="auto"/>
            <w:right w:val="none" w:sz="0" w:space="0" w:color="auto"/>
          </w:divBdr>
        </w:div>
        <w:div w:id="1498691389">
          <w:marLeft w:val="0"/>
          <w:marRight w:val="0"/>
          <w:marTop w:val="0"/>
          <w:marBottom w:val="0"/>
          <w:divBdr>
            <w:top w:val="none" w:sz="0" w:space="0" w:color="auto"/>
            <w:left w:val="none" w:sz="0" w:space="0" w:color="auto"/>
            <w:bottom w:val="none" w:sz="0" w:space="0" w:color="auto"/>
            <w:right w:val="none" w:sz="0" w:space="0" w:color="auto"/>
          </w:divBdr>
        </w:div>
        <w:div w:id="1498691390">
          <w:marLeft w:val="0"/>
          <w:marRight w:val="0"/>
          <w:marTop w:val="0"/>
          <w:marBottom w:val="0"/>
          <w:divBdr>
            <w:top w:val="none" w:sz="0" w:space="0" w:color="auto"/>
            <w:left w:val="none" w:sz="0" w:space="0" w:color="auto"/>
            <w:bottom w:val="none" w:sz="0" w:space="0" w:color="auto"/>
            <w:right w:val="none" w:sz="0" w:space="0" w:color="auto"/>
          </w:divBdr>
        </w:div>
        <w:div w:id="1498691392">
          <w:marLeft w:val="0"/>
          <w:marRight w:val="0"/>
          <w:marTop w:val="0"/>
          <w:marBottom w:val="0"/>
          <w:divBdr>
            <w:top w:val="none" w:sz="0" w:space="0" w:color="auto"/>
            <w:left w:val="none" w:sz="0" w:space="0" w:color="auto"/>
            <w:bottom w:val="none" w:sz="0" w:space="0" w:color="auto"/>
            <w:right w:val="none" w:sz="0" w:space="0" w:color="auto"/>
          </w:divBdr>
        </w:div>
        <w:div w:id="1498691393">
          <w:marLeft w:val="0"/>
          <w:marRight w:val="0"/>
          <w:marTop w:val="0"/>
          <w:marBottom w:val="0"/>
          <w:divBdr>
            <w:top w:val="none" w:sz="0" w:space="0" w:color="auto"/>
            <w:left w:val="none" w:sz="0" w:space="0" w:color="auto"/>
            <w:bottom w:val="none" w:sz="0" w:space="0" w:color="auto"/>
            <w:right w:val="none" w:sz="0" w:space="0" w:color="auto"/>
          </w:divBdr>
        </w:div>
        <w:div w:id="1498691394">
          <w:marLeft w:val="0"/>
          <w:marRight w:val="0"/>
          <w:marTop w:val="0"/>
          <w:marBottom w:val="0"/>
          <w:divBdr>
            <w:top w:val="none" w:sz="0" w:space="0" w:color="auto"/>
            <w:left w:val="none" w:sz="0" w:space="0" w:color="auto"/>
            <w:bottom w:val="none" w:sz="0" w:space="0" w:color="auto"/>
            <w:right w:val="none" w:sz="0" w:space="0" w:color="auto"/>
          </w:divBdr>
        </w:div>
        <w:div w:id="1498691395">
          <w:marLeft w:val="0"/>
          <w:marRight w:val="0"/>
          <w:marTop w:val="0"/>
          <w:marBottom w:val="0"/>
          <w:divBdr>
            <w:top w:val="none" w:sz="0" w:space="0" w:color="auto"/>
            <w:left w:val="none" w:sz="0" w:space="0" w:color="auto"/>
            <w:bottom w:val="none" w:sz="0" w:space="0" w:color="auto"/>
            <w:right w:val="none" w:sz="0" w:space="0" w:color="auto"/>
          </w:divBdr>
        </w:div>
        <w:div w:id="1498691396">
          <w:marLeft w:val="0"/>
          <w:marRight w:val="0"/>
          <w:marTop w:val="0"/>
          <w:marBottom w:val="0"/>
          <w:divBdr>
            <w:top w:val="none" w:sz="0" w:space="0" w:color="auto"/>
            <w:left w:val="none" w:sz="0" w:space="0" w:color="auto"/>
            <w:bottom w:val="none" w:sz="0" w:space="0" w:color="auto"/>
            <w:right w:val="none" w:sz="0" w:space="0" w:color="auto"/>
          </w:divBdr>
        </w:div>
        <w:div w:id="1498691397">
          <w:marLeft w:val="0"/>
          <w:marRight w:val="0"/>
          <w:marTop w:val="0"/>
          <w:marBottom w:val="0"/>
          <w:divBdr>
            <w:top w:val="none" w:sz="0" w:space="0" w:color="auto"/>
            <w:left w:val="none" w:sz="0" w:space="0" w:color="auto"/>
            <w:bottom w:val="none" w:sz="0" w:space="0" w:color="auto"/>
            <w:right w:val="none" w:sz="0" w:space="0" w:color="auto"/>
          </w:divBdr>
        </w:div>
        <w:div w:id="1498691398">
          <w:marLeft w:val="0"/>
          <w:marRight w:val="0"/>
          <w:marTop w:val="0"/>
          <w:marBottom w:val="0"/>
          <w:divBdr>
            <w:top w:val="none" w:sz="0" w:space="0" w:color="auto"/>
            <w:left w:val="none" w:sz="0" w:space="0" w:color="auto"/>
            <w:bottom w:val="none" w:sz="0" w:space="0" w:color="auto"/>
            <w:right w:val="none" w:sz="0" w:space="0" w:color="auto"/>
          </w:divBdr>
        </w:div>
        <w:div w:id="1498691400">
          <w:marLeft w:val="0"/>
          <w:marRight w:val="0"/>
          <w:marTop w:val="0"/>
          <w:marBottom w:val="0"/>
          <w:divBdr>
            <w:top w:val="none" w:sz="0" w:space="0" w:color="auto"/>
            <w:left w:val="none" w:sz="0" w:space="0" w:color="auto"/>
            <w:bottom w:val="none" w:sz="0" w:space="0" w:color="auto"/>
            <w:right w:val="none" w:sz="0" w:space="0" w:color="auto"/>
          </w:divBdr>
        </w:div>
        <w:div w:id="1498691401">
          <w:marLeft w:val="0"/>
          <w:marRight w:val="0"/>
          <w:marTop w:val="0"/>
          <w:marBottom w:val="0"/>
          <w:divBdr>
            <w:top w:val="none" w:sz="0" w:space="0" w:color="auto"/>
            <w:left w:val="none" w:sz="0" w:space="0" w:color="auto"/>
            <w:bottom w:val="none" w:sz="0" w:space="0" w:color="auto"/>
            <w:right w:val="none" w:sz="0" w:space="0" w:color="auto"/>
          </w:divBdr>
        </w:div>
        <w:div w:id="1498691403">
          <w:marLeft w:val="0"/>
          <w:marRight w:val="0"/>
          <w:marTop w:val="0"/>
          <w:marBottom w:val="0"/>
          <w:divBdr>
            <w:top w:val="none" w:sz="0" w:space="0" w:color="auto"/>
            <w:left w:val="none" w:sz="0" w:space="0" w:color="auto"/>
            <w:bottom w:val="none" w:sz="0" w:space="0" w:color="auto"/>
            <w:right w:val="none" w:sz="0" w:space="0" w:color="auto"/>
          </w:divBdr>
        </w:div>
        <w:div w:id="1498691404">
          <w:marLeft w:val="0"/>
          <w:marRight w:val="0"/>
          <w:marTop w:val="0"/>
          <w:marBottom w:val="0"/>
          <w:divBdr>
            <w:top w:val="none" w:sz="0" w:space="0" w:color="auto"/>
            <w:left w:val="none" w:sz="0" w:space="0" w:color="auto"/>
            <w:bottom w:val="none" w:sz="0" w:space="0" w:color="auto"/>
            <w:right w:val="none" w:sz="0" w:space="0" w:color="auto"/>
          </w:divBdr>
        </w:div>
        <w:div w:id="1498691405">
          <w:marLeft w:val="0"/>
          <w:marRight w:val="0"/>
          <w:marTop w:val="0"/>
          <w:marBottom w:val="0"/>
          <w:divBdr>
            <w:top w:val="none" w:sz="0" w:space="0" w:color="auto"/>
            <w:left w:val="none" w:sz="0" w:space="0" w:color="auto"/>
            <w:bottom w:val="none" w:sz="0" w:space="0" w:color="auto"/>
            <w:right w:val="none" w:sz="0" w:space="0" w:color="auto"/>
          </w:divBdr>
        </w:div>
        <w:div w:id="1498691406">
          <w:marLeft w:val="0"/>
          <w:marRight w:val="0"/>
          <w:marTop w:val="0"/>
          <w:marBottom w:val="0"/>
          <w:divBdr>
            <w:top w:val="none" w:sz="0" w:space="0" w:color="auto"/>
            <w:left w:val="none" w:sz="0" w:space="0" w:color="auto"/>
            <w:bottom w:val="none" w:sz="0" w:space="0" w:color="auto"/>
            <w:right w:val="none" w:sz="0" w:space="0" w:color="auto"/>
          </w:divBdr>
        </w:div>
        <w:div w:id="1498691408">
          <w:marLeft w:val="0"/>
          <w:marRight w:val="0"/>
          <w:marTop w:val="0"/>
          <w:marBottom w:val="0"/>
          <w:divBdr>
            <w:top w:val="none" w:sz="0" w:space="0" w:color="auto"/>
            <w:left w:val="none" w:sz="0" w:space="0" w:color="auto"/>
            <w:bottom w:val="none" w:sz="0" w:space="0" w:color="auto"/>
            <w:right w:val="none" w:sz="0" w:space="0" w:color="auto"/>
          </w:divBdr>
        </w:div>
        <w:div w:id="1498691411">
          <w:marLeft w:val="0"/>
          <w:marRight w:val="0"/>
          <w:marTop w:val="0"/>
          <w:marBottom w:val="0"/>
          <w:divBdr>
            <w:top w:val="none" w:sz="0" w:space="0" w:color="auto"/>
            <w:left w:val="none" w:sz="0" w:space="0" w:color="auto"/>
            <w:bottom w:val="none" w:sz="0" w:space="0" w:color="auto"/>
            <w:right w:val="none" w:sz="0" w:space="0" w:color="auto"/>
          </w:divBdr>
        </w:div>
        <w:div w:id="1498691412">
          <w:marLeft w:val="0"/>
          <w:marRight w:val="0"/>
          <w:marTop w:val="0"/>
          <w:marBottom w:val="0"/>
          <w:divBdr>
            <w:top w:val="none" w:sz="0" w:space="0" w:color="auto"/>
            <w:left w:val="none" w:sz="0" w:space="0" w:color="auto"/>
            <w:bottom w:val="none" w:sz="0" w:space="0" w:color="auto"/>
            <w:right w:val="none" w:sz="0" w:space="0" w:color="auto"/>
          </w:divBdr>
        </w:div>
        <w:div w:id="1498691413">
          <w:marLeft w:val="0"/>
          <w:marRight w:val="0"/>
          <w:marTop w:val="0"/>
          <w:marBottom w:val="0"/>
          <w:divBdr>
            <w:top w:val="none" w:sz="0" w:space="0" w:color="auto"/>
            <w:left w:val="none" w:sz="0" w:space="0" w:color="auto"/>
            <w:bottom w:val="none" w:sz="0" w:space="0" w:color="auto"/>
            <w:right w:val="none" w:sz="0" w:space="0" w:color="auto"/>
          </w:divBdr>
        </w:div>
        <w:div w:id="1498691415">
          <w:marLeft w:val="0"/>
          <w:marRight w:val="0"/>
          <w:marTop w:val="0"/>
          <w:marBottom w:val="0"/>
          <w:divBdr>
            <w:top w:val="none" w:sz="0" w:space="0" w:color="auto"/>
            <w:left w:val="none" w:sz="0" w:space="0" w:color="auto"/>
            <w:bottom w:val="none" w:sz="0" w:space="0" w:color="auto"/>
            <w:right w:val="none" w:sz="0" w:space="0" w:color="auto"/>
          </w:divBdr>
        </w:div>
        <w:div w:id="1498691416">
          <w:marLeft w:val="0"/>
          <w:marRight w:val="0"/>
          <w:marTop w:val="0"/>
          <w:marBottom w:val="0"/>
          <w:divBdr>
            <w:top w:val="none" w:sz="0" w:space="0" w:color="auto"/>
            <w:left w:val="none" w:sz="0" w:space="0" w:color="auto"/>
            <w:bottom w:val="none" w:sz="0" w:space="0" w:color="auto"/>
            <w:right w:val="none" w:sz="0" w:space="0" w:color="auto"/>
          </w:divBdr>
        </w:div>
        <w:div w:id="1498691417">
          <w:marLeft w:val="0"/>
          <w:marRight w:val="0"/>
          <w:marTop w:val="0"/>
          <w:marBottom w:val="0"/>
          <w:divBdr>
            <w:top w:val="none" w:sz="0" w:space="0" w:color="auto"/>
            <w:left w:val="none" w:sz="0" w:space="0" w:color="auto"/>
            <w:bottom w:val="none" w:sz="0" w:space="0" w:color="auto"/>
            <w:right w:val="none" w:sz="0" w:space="0" w:color="auto"/>
          </w:divBdr>
        </w:div>
        <w:div w:id="1498691418">
          <w:marLeft w:val="0"/>
          <w:marRight w:val="0"/>
          <w:marTop w:val="0"/>
          <w:marBottom w:val="0"/>
          <w:divBdr>
            <w:top w:val="none" w:sz="0" w:space="0" w:color="auto"/>
            <w:left w:val="none" w:sz="0" w:space="0" w:color="auto"/>
            <w:bottom w:val="none" w:sz="0" w:space="0" w:color="auto"/>
            <w:right w:val="none" w:sz="0" w:space="0" w:color="auto"/>
          </w:divBdr>
        </w:div>
        <w:div w:id="1498691421">
          <w:marLeft w:val="0"/>
          <w:marRight w:val="0"/>
          <w:marTop w:val="0"/>
          <w:marBottom w:val="0"/>
          <w:divBdr>
            <w:top w:val="none" w:sz="0" w:space="0" w:color="auto"/>
            <w:left w:val="none" w:sz="0" w:space="0" w:color="auto"/>
            <w:bottom w:val="none" w:sz="0" w:space="0" w:color="auto"/>
            <w:right w:val="none" w:sz="0" w:space="0" w:color="auto"/>
          </w:divBdr>
        </w:div>
        <w:div w:id="1498691422">
          <w:marLeft w:val="0"/>
          <w:marRight w:val="0"/>
          <w:marTop w:val="0"/>
          <w:marBottom w:val="0"/>
          <w:divBdr>
            <w:top w:val="none" w:sz="0" w:space="0" w:color="auto"/>
            <w:left w:val="none" w:sz="0" w:space="0" w:color="auto"/>
            <w:bottom w:val="none" w:sz="0" w:space="0" w:color="auto"/>
            <w:right w:val="none" w:sz="0" w:space="0" w:color="auto"/>
          </w:divBdr>
        </w:div>
        <w:div w:id="1498691425">
          <w:marLeft w:val="0"/>
          <w:marRight w:val="0"/>
          <w:marTop w:val="0"/>
          <w:marBottom w:val="0"/>
          <w:divBdr>
            <w:top w:val="none" w:sz="0" w:space="0" w:color="auto"/>
            <w:left w:val="none" w:sz="0" w:space="0" w:color="auto"/>
            <w:bottom w:val="none" w:sz="0" w:space="0" w:color="auto"/>
            <w:right w:val="none" w:sz="0" w:space="0" w:color="auto"/>
          </w:divBdr>
        </w:div>
        <w:div w:id="1498691426">
          <w:marLeft w:val="0"/>
          <w:marRight w:val="0"/>
          <w:marTop w:val="0"/>
          <w:marBottom w:val="0"/>
          <w:divBdr>
            <w:top w:val="none" w:sz="0" w:space="0" w:color="auto"/>
            <w:left w:val="none" w:sz="0" w:space="0" w:color="auto"/>
            <w:bottom w:val="none" w:sz="0" w:space="0" w:color="auto"/>
            <w:right w:val="none" w:sz="0" w:space="0" w:color="auto"/>
          </w:divBdr>
        </w:div>
        <w:div w:id="1498691427">
          <w:marLeft w:val="0"/>
          <w:marRight w:val="0"/>
          <w:marTop w:val="0"/>
          <w:marBottom w:val="0"/>
          <w:divBdr>
            <w:top w:val="none" w:sz="0" w:space="0" w:color="auto"/>
            <w:left w:val="none" w:sz="0" w:space="0" w:color="auto"/>
            <w:bottom w:val="none" w:sz="0" w:space="0" w:color="auto"/>
            <w:right w:val="none" w:sz="0" w:space="0" w:color="auto"/>
          </w:divBdr>
        </w:div>
        <w:div w:id="1498691428">
          <w:marLeft w:val="0"/>
          <w:marRight w:val="0"/>
          <w:marTop w:val="0"/>
          <w:marBottom w:val="0"/>
          <w:divBdr>
            <w:top w:val="none" w:sz="0" w:space="0" w:color="auto"/>
            <w:left w:val="none" w:sz="0" w:space="0" w:color="auto"/>
            <w:bottom w:val="none" w:sz="0" w:space="0" w:color="auto"/>
            <w:right w:val="none" w:sz="0" w:space="0" w:color="auto"/>
          </w:divBdr>
        </w:div>
        <w:div w:id="1498691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aph.gov.au/Parliamentary_Business/Committees/Senate/Political_Influence_of_Dona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austlii.edu.au/au/cases/cth/HCA/2004/39.html" TargetMode="External"/><Relationship Id="rId2" Type="http://schemas.openxmlformats.org/officeDocument/2006/relationships/hyperlink" Target="http://www.austlii.edu.au/au/cases/cth/HCA/2004/39.html" TargetMode="External"/><Relationship Id="rId1" Type="http://schemas.openxmlformats.org/officeDocument/2006/relationships/hyperlink" Target="http://www.austlii.edu.au/au/cases/cth/HCA/1997/25.html" TargetMode="External"/><Relationship Id="rId5" Type="http://schemas.openxmlformats.org/officeDocument/2006/relationships/hyperlink" Target="http://www.austlii.edu.au/au/cases/cth/HCA/1997/25.html" TargetMode="External"/><Relationship Id="rId4" Type="http://schemas.openxmlformats.org/officeDocument/2006/relationships/hyperlink" Target="http://www.austlii.edu.au/au/cases/cth/HCA/201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1865c0a7-d648-4a74-80fe-fa9dc7fe13cc">
  <element uid="7c13fe2d-c7c1-4f6c-bb3a-8f72249e7201"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5043E3-5257-42EC-8142-07C1E2380BD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DE15B90-8AF5-4881-9715-F46C0D8BC043}">
  <ds:schemaRefs>
    <ds:schemaRef ds:uri="http://schemas.openxmlformats.org/officeDocument/2006/bibliography"/>
  </ds:schemaRefs>
</ds:datastoreItem>
</file>

<file path=customXml/itemProps3.xml><?xml version="1.0" encoding="utf-8"?>
<ds:datastoreItem xmlns:ds="http://schemas.openxmlformats.org/officeDocument/2006/customXml" ds:itemID="{FE212CD6-F79E-4B34-A062-7A427D325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8389</Words>
  <Characters>44437</Characters>
  <Application>Microsoft Office Word</Application>
  <DocSecurity>0</DocSecurity>
  <Lines>792</Lines>
  <Paragraphs>227</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52703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5</cp:revision>
  <cp:lastPrinted>2017-10-16T03:52:00Z</cp:lastPrinted>
  <dcterms:created xsi:type="dcterms:W3CDTF">2018-11-29T00:19:00Z</dcterms:created>
  <dcterms:modified xsi:type="dcterms:W3CDTF">2018-11-29T00:19:00Z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3c2eda53-b745-4192-b092-cfaabd48d528</vt:lpwstr>
  </property>
  <property fmtid="{D5CDD505-2E9C-101B-9397-08002B2CF9AE}" pid="3" name="bjSaver">
    <vt:lpwstr>AxSDVvY5CbQJRlngXc5k+TVXc7J/CH+s</vt:lpwstr>
  </property>
  <property fmtid="{D5CDD505-2E9C-101B-9397-08002B2CF9AE}" pid="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5" name="bjDocumentLabelXML-0">
    <vt:lpwstr>nternal/label"&gt;&lt;element uid="7c13fe2d-c7c1-4f6c-bb3a-8f72249e7201" value="" /&gt;&lt;/sisl&gt;</vt:lpwstr>
  </property>
  <property fmtid="{D5CDD505-2E9C-101B-9397-08002B2CF9AE}" pid="6" name="bjDocumentSecurityLabel">
    <vt:lpwstr>UNCLASSIFIED</vt:lpwstr>
  </property>
  <property fmtid="{D5CDD505-2E9C-101B-9397-08002B2CF9AE}" pid="7" name="bjDocumentLabelFieldCode">
    <vt:lpwstr>UNCLASSIFIED</vt:lpwstr>
  </property>
  <property fmtid="{D5CDD505-2E9C-101B-9397-08002B2CF9AE}" pid="8" name="bjDocumentLabelFieldCodeHeaderFooter">
    <vt:lpwstr>UNCLASSIFIED</vt:lpwstr>
  </property>
  <property fmtid="{D5CDD505-2E9C-101B-9397-08002B2CF9AE}" pid="9" name="bjHeaderBothDocProperty">
    <vt:lpwstr>UNCLASSIFIED_x000d_
  </vt:lpwstr>
  </property>
  <property fmtid="{D5CDD505-2E9C-101B-9397-08002B2CF9AE}" pid="10" name="bjHeaderFirstPageDocProperty">
    <vt:lpwstr>UNCLASSIFIED_x000d_
  </vt:lpwstr>
  </property>
  <property fmtid="{D5CDD505-2E9C-101B-9397-08002B2CF9AE}" pid="11" name="bjHeaderEvenPageDocProperty">
    <vt:lpwstr>UNCLASSIFIED_x000d_
  </vt:lpwstr>
  </property>
  <property fmtid="{D5CDD505-2E9C-101B-9397-08002B2CF9AE}" pid="12" name="bjFooterBothDocProperty">
    <vt:lpwstr>_x000d_
UNCLASSIFIED </vt:lpwstr>
  </property>
  <property fmtid="{D5CDD505-2E9C-101B-9397-08002B2CF9AE}" pid="13" name="bjFooterFirstPageDocProperty">
    <vt:lpwstr>_x000d_
UNCLASSIFIED </vt:lpwstr>
  </property>
  <property fmtid="{D5CDD505-2E9C-101B-9397-08002B2CF9AE}" pid="14" name="bjFooterEvenPageDocProperty">
    <vt:lpwstr>_x000d_
UNCLASSIFIED </vt:lpwstr>
  </property>
</Properties>
</file>