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CD" w:rsidRPr="007320C4" w:rsidRDefault="008409CD" w:rsidP="008409CD">
      <w:pPr>
        <w:jc w:val="center"/>
        <w:rPr>
          <w:rFonts w:ascii="Calibri" w:hAnsi="Calibri" w:cs="Arial"/>
          <w:b/>
          <w:bCs/>
          <w:sz w:val="28"/>
          <w:szCs w:val="28"/>
        </w:rPr>
      </w:pPr>
      <w:bookmarkStart w:id="0" w:name="_Toc44738651"/>
      <w:bookmarkStart w:id="1" w:name="_GoBack"/>
      <w:bookmarkEnd w:id="1"/>
      <w:r w:rsidRPr="007320C4">
        <w:rPr>
          <w:rFonts w:ascii="Calibri" w:hAnsi="Calibri" w:cs="Arial"/>
          <w:b/>
          <w:bCs/>
          <w:sz w:val="28"/>
          <w:szCs w:val="28"/>
        </w:rPr>
        <w:t>201</w:t>
      </w:r>
      <w:r w:rsidR="00E34A45">
        <w:rPr>
          <w:rFonts w:ascii="Calibri" w:hAnsi="Calibri" w:cs="Arial"/>
          <w:b/>
          <w:bCs/>
          <w:sz w:val="28"/>
          <w:szCs w:val="28"/>
        </w:rPr>
        <w:t>8</w:t>
      </w: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r w:rsidRPr="007320C4">
        <w:rPr>
          <w:rFonts w:ascii="Calibri" w:hAnsi="Calibri" w:cs="Arial"/>
          <w:b/>
          <w:bCs/>
          <w:sz w:val="28"/>
          <w:szCs w:val="28"/>
        </w:rPr>
        <w:t xml:space="preserve">THE LEGISLATIVE ASSEMBLY FOR THE </w:t>
      </w:r>
    </w:p>
    <w:p w:rsidR="008409CD" w:rsidRPr="007320C4" w:rsidRDefault="008409CD" w:rsidP="008409CD">
      <w:pPr>
        <w:jc w:val="center"/>
        <w:rPr>
          <w:rFonts w:ascii="Calibri" w:hAnsi="Calibri" w:cs="Arial"/>
          <w:b/>
          <w:bCs/>
          <w:sz w:val="28"/>
          <w:szCs w:val="28"/>
        </w:rPr>
      </w:pPr>
      <w:r w:rsidRPr="007320C4">
        <w:rPr>
          <w:rFonts w:ascii="Calibri" w:hAnsi="Calibri" w:cs="Arial"/>
          <w:b/>
          <w:bCs/>
          <w:sz w:val="28"/>
          <w:szCs w:val="28"/>
        </w:rPr>
        <w:t>AUSTRALIAN CAPITAL TERRITORY</w:t>
      </w: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22591" w:rsidRDefault="00722591" w:rsidP="008409CD">
      <w:pPr>
        <w:jc w:val="center"/>
        <w:rPr>
          <w:rFonts w:ascii="Calibri" w:hAnsi="Calibri" w:cs="Arial"/>
          <w:b/>
          <w:bCs/>
          <w:sz w:val="28"/>
          <w:szCs w:val="28"/>
        </w:rPr>
      </w:pPr>
      <w:r w:rsidRPr="00722591">
        <w:rPr>
          <w:rFonts w:ascii="Calibri" w:hAnsi="Calibri"/>
          <w:b/>
          <w:sz w:val="28"/>
          <w:szCs w:val="28"/>
        </w:rPr>
        <w:t xml:space="preserve">CANBERRA INSTITUTE OF TECHNOLOGY AMENDMENT </w:t>
      </w:r>
      <w:r w:rsidR="00E34A45">
        <w:rPr>
          <w:rFonts w:ascii="Calibri" w:hAnsi="Calibri"/>
          <w:b/>
          <w:sz w:val="28"/>
          <w:szCs w:val="28"/>
        </w:rPr>
        <w:t>BILL 2018</w:t>
      </w:r>
    </w:p>
    <w:p w:rsidR="008409CD" w:rsidRPr="008409CD" w:rsidRDefault="008409CD" w:rsidP="008409CD">
      <w:pPr>
        <w:jc w:val="center"/>
        <w:rPr>
          <w:rFonts w:ascii="Calibri" w:hAnsi="Calibri" w:cs="Arial"/>
          <w:b/>
          <w:bCs/>
          <w:sz w:val="28"/>
          <w:szCs w:val="28"/>
        </w:rPr>
      </w:pPr>
    </w:p>
    <w:p w:rsidR="008409CD" w:rsidRPr="007320C4" w:rsidRDefault="008409CD" w:rsidP="008409CD">
      <w:pPr>
        <w:pStyle w:val="BodyText3"/>
        <w:jc w:val="center"/>
        <w:rPr>
          <w:rFonts w:ascii="Calibri" w:hAnsi="Calibri"/>
          <w:sz w:val="28"/>
          <w:szCs w:val="28"/>
        </w:rPr>
      </w:pPr>
      <w:r w:rsidRPr="008409CD">
        <w:rPr>
          <w:rFonts w:ascii="Calibri" w:hAnsi="Calibri"/>
          <w:b/>
          <w:sz w:val="28"/>
          <w:szCs w:val="28"/>
        </w:rPr>
        <w:t>EXPLANATORY STATEMENT</w:t>
      </w: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jc w:val="center"/>
        <w:rPr>
          <w:rFonts w:ascii="Calibri" w:hAnsi="Calibri" w:cs="Arial"/>
          <w:b/>
          <w:bCs/>
          <w:sz w:val="28"/>
          <w:szCs w:val="28"/>
        </w:rPr>
      </w:pPr>
    </w:p>
    <w:p w:rsidR="008409CD" w:rsidRPr="007320C4" w:rsidRDefault="008409CD" w:rsidP="008409CD">
      <w:pPr>
        <w:ind w:left="4320" w:firstLine="720"/>
        <w:jc w:val="center"/>
        <w:rPr>
          <w:rFonts w:ascii="Calibri" w:hAnsi="Calibri" w:cs="Arial"/>
          <w:sz w:val="28"/>
          <w:szCs w:val="28"/>
        </w:rPr>
      </w:pPr>
    </w:p>
    <w:p w:rsidR="008409CD" w:rsidRPr="007320C4" w:rsidRDefault="008409CD" w:rsidP="008409CD">
      <w:pPr>
        <w:ind w:left="4320" w:firstLine="720"/>
        <w:jc w:val="right"/>
        <w:rPr>
          <w:rFonts w:ascii="Calibri" w:hAnsi="Calibri" w:cs="Arial"/>
          <w:sz w:val="28"/>
          <w:szCs w:val="28"/>
        </w:rPr>
      </w:pPr>
    </w:p>
    <w:p w:rsidR="008409CD" w:rsidRPr="007320C4" w:rsidRDefault="008409CD" w:rsidP="008409CD">
      <w:pPr>
        <w:ind w:left="4320" w:firstLine="720"/>
        <w:jc w:val="right"/>
        <w:rPr>
          <w:rFonts w:ascii="Calibri" w:hAnsi="Calibri" w:cs="Arial"/>
          <w:sz w:val="28"/>
          <w:szCs w:val="28"/>
        </w:rPr>
      </w:pPr>
    </w:p>
    <w:p w:rsidR="008409CD" w:rsidRPr="007320C4" w:rsidRDefault="008409CD" w:rsidP="008409CD">
      <w:pPr>
        <w:ind w:left="4320" w:firstLine="720"/>
        <w:jc w:val="right"/>
        <w:rPr>
          <w:rFonts w:ascii="Calibri" w:hAnsi="Calibri" w:cs="Arial"/>
          <w:sz w:val="28"/>
          <w:szCs w:val="28"/>
        </w:rPr>
      </w:pPr>
    </w:p>
    <w:p w:rsidR="008409CD" w:rsidRPr="007320C4" w:rsidRDefault="008409CD" w:rsidP="008409CD">
      <w:pPr>
        <w:ind w:left="4320" w:firstLine="720"/>
        <w:jc w:val="right"/>
        <w:rPr>
          <w:rFonts w:ascii="Calibri" w:hAnsi="Calibri" w:cs="Arial"/>
          <w:sz w:val="28"/>
          <w:szCs w:val="28"/>
        </w:rPr>
      </w:pPr>
    </w:p>
    <w:p w:rsidR="008409CD" w:rsidRPr="007320C4" w:rsidRDefault="008409CD" w:rsidP="008409CD">
      <w:pPr>
        <w:ind w:left="4320" w:firstLine="720"/>
        <w:jc w:val="right"/>
        <w:rPr>
          <w:rFonts w:ascii="Calibri" w:hAnsi="Calibri" w:cs="Arial"/>
          <w:sz w:val="28"/>
          <w:szCs w:val="28"/>
        </w:rPr>
      </w:pPr>
    </w:p>
    <w:p w:rsidR="008409CD" w:rsidRPr="007320C4" w:rsidRDefault="008409CD" w:rsidP="008409CD">
      <w:pPr>
        <w:ind w:left="4320" w:firstLine="720"/>
        <w:jc w:val="right"/>
        <w:rPr>
          <w:rFonts w:ascii="Calibri" w:hAnsi="Calibri" w:cs="Arial"/>
          <w:sz w:val="28"/>
          <w:szCs w:val="28"/>
        </w:rPr>
      </w:pPr>
    </w:p>
    <w:p w:rsidR="008409CD" w:rsidRPr="007320C4" w:rsidRDefault="008409CD" w:rsidP="008409CD">
      <w:pPr>
        <w:ind w:left="4320" w:firstLine="720"/>
        <w:jc w:val="right"/>
        <w:rPr>
          <w:rFonts w:ascii="Calibri" w:hAnsi="Calibri" w:cs="Arial"/>
          <w:b/>
          <w:sz w:val="28"/>
          <w:szCs w:val="28"/>
        </w:rPr>
      </w:pPr>
    </w:p>
    <w:p w:rsidR="008409CD" w:rsidRPr="007320C4" w:rsidRDefault="008409CD" w:rsidP="008409CD">
      <w:pPr>
        <w:ind w:left="4320" w:firstLine="720"/>
        <w:jc w:val="right"/>
        <w:rPr>
          <w:rFonts w:ascii="Calibri" w:hAnsi="Calibri" w:cs="Arial"/>
          <w:b/>
          <w:sz w:val="28"/>
          <w:szCs w:val="28"/>
        </w:rPr>
      </w:pPr>
    </w:p>
    <w:p w:rsidR="008409CD" w:rsidRPr="007320C4" w:rsidRDefault="008409CD" w:rsidP="008409CD">
      <w:pPr>
        <w:ind w:left="4320" w:firstLine="720"/>
        <w:jc w:val="right"/>
        <w:rPr>
          <w:rFonts w:ascii="Calibri" w:hAnsi="Calibri" w:cs="Arial"/>
          <w:b/>
          <w:sz w:val="28"/>
          <w:szCs w:val="28"/>
        </w:rPr>
      </w:pPr>
      <w:r w:rsidRPr="007320C4">
        <w:rPr>
          <w:rFonts w:ascii="Calibri" w:hAnsi="Calibri" w:cs="Arial"/>
          <w:b/>
          <w:sz w:val="28"/>
          <w:szCs w:val="28"/>
        </w:rPr>
        <w:t>Presented by</w:t>
      </w:r>
    </w:p>
    <w:p w:rsidR="008409CD" w:rsidRPr="007320C4" w:rsidRDefault="00E34A45" w:rsidP="008409CD">
      <w:pPr>
        <w:jc w:val="right"/>
        <w:rPr>
          <w:rFonts w:ascii="Calibri" w:hAnsi="Calibri" w:cs="Arial"/>
          <w:b/>
          <w:sz w:val="28"/>
          <w:szCs w:val="28"/>
        </w:rPr>
      </w:pPr>
      <w:r>
        <w:rPr>
          <w:rFonts w:ascii="Calibri" w:hAnsi="Calibri" w:cs="Arial"/>
          <w:b/>
          <w:sz w:val="28"/>
          <w:szCs w:val="28"/>
        </w:rPr>
        <w:t>Meegan Fitzharris</w:t>
      </w:r>
    </w:p>
    <w:p w:rsidR="008409CD" w:rsidRPr="007320C4" w:rsidRDefault="008409CD" w:rsidP="008409CD">
      <w:pPr>
        <w:jc w:val="right"/>
        <w:rPr>
          <w:rFonts w:ascii="Calibri" w:hAnsi="Calibri" w:cs="Arial"/>
          <w:b/>
          <w:sz w:val="28"/>
          <w:szCs w:val="28"/>
        </w:rPr>
      </w:pPr>
      <w:r w:rsidRPr="007320C4">
        <w:rPr>
          <w:rFonts w:ascii="Calibri" w:hAnsi="Calibri" w:cs="Arial"/>
          <w:b/>
          <w:sz w:val="28"/>
          <w:szCs w:val="28"/>
        </w:rPr>
        <w:t>Minister</w:t>
      </w:r>
      <w:r w:rsidR="00722591">
        <w:rPr>
          <w:rFonts w:ascii="Calibri" w:hAnsi="Calibri" w:cs="Arial"/>
          <w:b/>
          <w:sz w:val="28"/>
          <w:szCs w:val="28"/>
        </w:rPr>
        <w:t xml:space="preserve"> for </w:t>
      </w:r>
      <w:r w:rsidR="00423D46">
        <w:rPr>
          <w:rFonts w:ascii="Calibri" w:hAnsi="Calibri" w:cs="Arial"/>
          <w:b/>
          <w:sz w:val="28"/>
          <w:szCs w:val="28"/>
        </w:rPr>
        <w:t>Vocational Education and Skills</w:t>
      </w:r>
    </w:p>
    <w:p w:rsidR="005D70F1" w:rsidRPr="004D2E37" w:rsidRDefault="005D70F1">
      <w:pPr>
        <w:pStyle w:val="N-line3"/>
        <w:pBdr>
          <w:bottom w:val="none" w:sz="0" w:space="0" w:color="auto"/>
        </w:pBdr>
      </w:pPr>
    </w:p>
    <w:p w:rsidR="005D70F1" w:rsidRDefault="005D70F1">
      <w:pPr>
        <w:pStyle w:val="N-line3"/>
        <w:pBdr>
          <w:top w:val="single" w:sz="12" w:space="1" w:color="auto"/>
          <w:bottom w:val="none" w:sz="0" w:space="0" w:color="auto"/>
        </w:pBdr>
        <w:rPr>
          <w:szCs w:val="24"/>
        </w:rPr>
      </w:pPr>
    </w:p>
    <w:p w:rsidR="00C41404" w:rsidRPr="00C41404" w:rsidRDefault="00C41404">
      <w:pPr>
        <w:pStyle w:val="TOCHeading"/>
        <w:rPr>
          <w:rFonts w:ascii="Arial" w:hAnsi="Arial" w:cs="Arial"/>
          <w:color w:val="auto"/>
        </w:rPr>
      </w:pPr>
      <w:r w:rsidRPr="00C41404">
        <w:rPr>
          <w:rFonts w:ascii="Arial" w:hAnsi="Arial" w:cs="Arial"/>
          <w:color w:val="auto"/>
        </w:rPr>
        <w:lastRenderedPageBreak/>
        <w:t>Contents</w:t>
      </w:r>
    </w:p>
    <w:p w:rsidR="0085513D" w:rsidRDefault="006B2A11">
      <w:pPr>
        <w:pStyle w:val="TOC1"/>
        <w:tabs>
          <w:tab w:val="right" w:leader="dot" w:pos="8297"/>
        </w:tabs>
        <w:rPr>
          <w:rFonts w:asciiTheme="minorHAnsi" w:eastAsiaTheme="minorEastAsia" w:hAnsiTheme="minorHAnsi" w:cstheme="minorBidi"/>
          <w:noProof/>
          <w:sz w:val="22"/>
          <w:szCs w:val="22"/>
          <w:lang w:eastAsia="en-AU"/>
        </w:rPr>
      </w:pPr>
      <w:r>
        <w:fldChar w:fldCharType="begin"/>
      </w:r>
      <w:r w:rsidR="00C41404">
        <w:instrText xml:space="preserve"> TOC \o "1-3" \h \z \u </w:instrText>
      </w:r>
      <w:r>
        <w:fldChar w:fldCharType="separate"/>
      </w:r>
      <w:hyperlink w:anchor="_Toc530995289" w:history="1">
        <w:r w:rsidR="0085513D" w:rsidRPr="007D59C1">
          <w:rPr>
            <w:rStyle w:val="Hyperlink"/>
            <w:noProof/>
          </w:rPr>
          <w:t>Introduction</w:t>
        </w:r>
        <w:r w:rsidR="0085513D">
          <w:rPr>
            <w:noProof/>
            <w:webHidden/>
          </w:rPr>
          <w:tab/>
        </w:r>
        <w:r w:rsidR="0085513D">
          <w:rPr>
            <w:noProof/>
            <w:webHidden/>
          </w:rPr>
          <w:fldChar w:fldCharType="begin"/>
        </w:r>
        <w:r w:rsidR="0085513D">
          <w:rPr>
            <w:noProof/>
            <w:webHidden/>
          </w:rPr>
          <w:instrText xml:space="preserve"> PAGEREF _Toc530995289 \h </w:instrText>
        </w:r>
        <w:r w:rsidR="0085513D">
          <w:rPr>
            <w:noProof/>
            <w:webHidden/>
          </w:rPr>
        </w:r>
        <w:r w:rsidR="0085513D">
          <w:rPr>
            <w:noProof/>
            <w:webHidden/>
          </w:rPr>
          <w:fldChar w:fldCharType="separate"/>
        </w:r>
        <w:r w:rsidR="0085513D">
          <w:rPr>
            <w:noProof/>
            <w:webHidden/>
          </w:rPr>
          <w:t>3</w:t>
        </w:r>
        <w:r w:rsidR="0085513D">
          <w:rPr>
            <w:noProof/>
            <w:webHidden/>
          </w:rPr>
          <w:fldChar w:fldCharType="end"/>
        </w:r>
      </w:hyperlink>
    </w:p>
    <w:p w:rsidR="0085513D" w:rsidRDefault="00122498">
      <w:pPr>
        <w:pStyle w:val="TOC1"/>
        <w:tabs>
          <w:tab w:val="right" w:leader="dot" w:pos="8297"/>
        </w:tabs>
        <w:rPr>
          <w:rFonts w:asciiTheme="minorHAnsi" w:eastAsiaTheme="minorEastAsia" w:hAnsiTheme="minorHAnsi" w:cstheme="minorBidi"/>
          <w:noProof/>
          <w:sz w:val="22"/>
          <w:szCs w:val="22"/>
          <w:lang w:eastAsia="en-AU"/>
        </w:rPr>
      </w:pPr>
      <w:hyperlink w:anchor="_Toc530995290" w:history="1">
        <w:r w:rsidR="0085513D" w:rsidRPr="007D59C1">
          <w:rPr>
            <w:rStyle w:val="Hyperlink"/>
            <w:noProof/>
          </w:rPr>
          <w:t>Overview</w:t>
        </w:r>
        <w:r w:rsidR="0085513D">
          <w:rPr>
            <w:noProof/>
            <w:webHidden/>
          </w:rPr>
          <w:tab/>
        </w:r>
        <w:r w:rsidR="0085513D">
          <w:rPr>
            <w:noProof/>
            <w:webHidden/>
          </w:rPr>
          <w:fldChar w:fldCharType="begin"/>
        </w:r>
        <w:r w:rsidR="0085513D">
          <w:rPr>
            <w:noProof/>
            <w:webHidden/>
          </w:rPr>
          <w:instrText xml:space="preserve"> PAGEREF _Toc530995290 \h </w:instrText>
        </w:r>
        <w:r w:rsidR="0085513D">
          <w:rPr>
            <w:noProof/>
            <w:webHidden/>
          </w:rPr>
        </w:r>
        <w:r w:rsidR="0085513D">
          <w:rPr>
            <w:noProof/>
            <w:webHidden/>
          </w:rPr>
          <w:fldChar w:fldCharType="separate"/>
        </w:r>
        <w:r w:rsidR="0085513D">
          <w:rPr>
            <w:noProof/>
            <w:webHidden/>
          </w:rPr>
          <w:t>3</w:t>
        </w:r>
        <w:r w:rsidR="0085513D">
          <w:rPr>
            <w:noProof/>
            <w:webHidden/>
          </w:rPr>
          <w:fldChar w:fldCharType="end"/>
        </w:r>
      </w:hyperlink>
    </w:p>
    <w:p w:rsidR="0085513D" w:rsidRDefault="00122498">
      <w:pPr>
        <w:pStyle w:val="TOC1"/>
        <w:tabs>
          <w:tab w:val="right" w:leader="dot" w:pos="8297"/>
        </w:tabs>
        <w:rPr>
          <w:rFonts w:asciiTheme="minorHAnsi" w:eastAsiaTheme="minorEastAsia" w:hAnsiTheme="minorHAnsi" w:cstheme="minorBidi"/>
          <w:noProof/>
          <w:sz w:val="22"/>
          <w:szCs w:val="22"/>
          <w:lang w:eastAsia="en-AU"/>
        </w:rPr>
      </w:pPr>
      <w:hyperlink w:anchor="_Toc530995291" w:history="1">
        <w:r w:rsidR="0085513D" w:rsidRPr="007D59C1">
          <w:rPr>
            <w:rStyle w:val="Hyperlink"/>
            <w:noProof/>
          </w:rPr>
          <w:t>Notes on Clauses</w:t>
        </w:r>
        <w:r w:rsidR="0085513D">
          <w:rPr>
            <w:noProof/>
            <w:webHidden/>
          </w:rPr>
          <w:tab/>
        </w:r>
        <w:r w:rsidR="0085513D">
          <w:rPr>
            <w:noProof/>
            <w:webHidden/>
          </w:rPr>
          <w:fldChar w:fldCharType="begin"/>
        </w:r>
        <w:r w:rsidR="0085513D">
          <w:rPr>
            <w:noProof/>
            <w:webHidden/>
          </w:rPr>
          <w:instrText xml:space="preserve"> PAGEREF _Toc530995291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292" w:history="1">
        <w:r w:rsidR="0085513D" w:rsidRPr="007D59C1">
          <w:rPr>
            <w:rStyle w:val="Hyperlink"/>
            <w:noProof/>
          </w:rPr>
          <w:t>Clause 1.</w:t>
        </w:r>
        <w:r w:rsidR="0085513D">
          <w:rPr>
            <w:rFonts w:asciiTheme="minorHAnsi" w:eastAsiaTheme="minorEastAsia" w:hAnsiTheme="minorHAnsi" w:cstheme="minorBidi"/>
            <w:noProof/>
            <w:sz w:val="22"/>
            <w:szCs w:val="22"/>
            <w:lang w:eastAsia="en-AU"/>
          </w:rPr>
          <w:tab/>
        </w:r>
        <w:r w:rsidR="0085513D" w:rsidRPr="007D59C1">
          <w:rPr>
            <w:rStyle w:val="Hyperlink"/>
            <w:noProof/>
          </w:rPr>
          <w:t>Name of Act</w:t>
        </w:r>
        <w:r w:rsidR="0085513D">
          <w:rPr>
            <w:noProof/>
            <w:webHidden/>
          </w:rPr>
          <w:tab/>
        </w:r>
        <w:r w:rsidR="0085513D">
          <w:rPr>
            <w:noProof/>
            <w:webHidden/>
          </w:rPr>
          <w:fldChar w:fldCharType="begin"/>
        </w:r>
        <w:r w:rsidR="0085513D">
          <w:rPr>
            <w:noProof/>
            <w:webHidden/>
          </w:rPr>
          <w:instrText xml:space="preserve"> PAGEREF _Toc530995292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293" w:history="1">
        <w:r w:rsidR="0085513D" w:rsidRPr="007D59C1">
          <w:rPr>
            <w:rStyle w:val="Hyperlink"/>
            <w:noProof/>
          </w:rPr>
          <w:t>Clause 2.</w:t>
        </w:r>
        <w:r w:rsidR="0085513D">
          <w:rPr>
            <w:rFonts w:asciiTheme="minorHAnsi" w:eastAsiaTheme="minorEastAsia" w:hAnsiTheme="minorHAnsi" w:cstheme="minorBidi"/>
            <w:noProof/>
            <w:sz w:val="22"/>
            <w:szCs w:val="22"/>
            <w:lang w:eastAsia="en-AU"/>
          </w:rPr>
          <w:tab/>
        </w:r>
        <w:r w:rsidR="0085513D" w:rsidRPr="007D59C1">
          <w:rPr>
            <w:rStyle w:val="Hyperlink"/>
            <w:noProof/>
          </w:rPr>
          <w:t>Commencement</w:t>
        </w:r>
        <w:r w:rsidR="0085513D">
          <w:rPr>
            <w:noProof/>
            <w:webHidden/>
          </w:rPr>
          <w:tab/>
        </w:r>
        <w:r w:rsidR="0085513D">
          <w:rPr>
            <w:noProof/>
            <w:webHidden/>
          </w:rPr>
          <w:fldChar w:fldCharType="begin"/>
        </w:r>
        <w:r w:rsidR="0085513D">
          <w:rPr>
            <w:noProof/>
            <w:webHidden/>
          </w:rPr>
          <w:instrText xml:space="preserve"> PAGEREF _Toc530995293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294" w:history="1">
        <w:r w:rsidR="0085513D" w:rsidRPr="007D59C1">
          <w:rPr>
            <w:rStyle w:val="Hyperlink"/>
            <w:noProof/>
          </w:rPr>
          <w:t>Clause 3.</w:t>
        </w:r>
        <w:r w:rsidR="0085513D">
          <w:rPr>
            <w:rFonts w:asciiTheme="minorHAnsi" w:eastAsiaTheme="minorEastAsia" w:hAnsiTheme="minorHAnsi" w:cstheme="minorBidi"/>
            <w:noProof/>
            <w:sz w:val="22"/>
            <w:szCs w:val="22"/>
            <w:lang w:eastAsia="en-AU"/>
          </w:rPr>
          <w:tab/>
        </w:r>
        <w:r w:rsidR="0085513D" w:rsidRPr="007D59C1">
          <w:rPr>
            <w:rStyle w:val="Hyperlink"/>
            <w:noProof/>
          </w:rPr>
          <w:t>Legislation Amended</w:t>
        </w:r>
        <w:r w:rsidR="0085513D">
          <w:rPr>
            <w:noProof/>
            <w:webHidden/>
          </w:rPr>
          <w:tab/>
        </w:r>
        <w:r w:rsidR="0085513D">
          <w:rPr>
            <w:noProof/>
            <w:webHidden/>
          </w:rPr>
          <w:fldChar w:fldCharType="begin"/>
        </w:r>
        <w:r w:rsidR="0085513D">
          <w:rPr>
            <w:noProof/>
            <w:webHidden/>
          </w:rPr>
          <w:instrText xml:space="preserve"> PAGEREF _Toc530995294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530995295" w:history="1">
        <w:r w:rsidR="0085513D" w:rsidRPr="007D59C1">
          <w:rPr>
            <w:rStyle w:val="Hyperlink"/>
            <w:noProof/>
          </w:rPr>
          <w:t xml:space="preserve">Part 2 </w:t>
        </w:r>
        <w:r w:rsidR="0085513D">
          <w:rPr>
            <w:rFonts w:asciiTheme="minorHAnsi" w:eastAsiaTheme="minorEastAsia" w:hAnsiTheme="minorHAnsi" w:cstheme="minorBidi"/>
            <w:noProof/>
            <w:sz w:val="22"/>
            <w:szCs w:val="22"/>
            <w:lang w:eastAsia="en-AU"/>
          </w:rPr>
          <w:tab/>
        </w:r>
        <w:r w:rsidR="0085513D" w:rsidRPr="007D59C1">
          <w:rPr>
            <w:rStyle w:val="Hyperlink"/>
            <w:noProof/>
          </w:rPr>
          <w:t>Canberra Institute of Technology</w:t>
        </w:r>
        <w:r w:rsidR="0085513D">
          <w:rPr>
            <w:noProof/>
            <w:webHidden/>
          </w:rPr>
          <w:tab/>
        </w:r>
        <w:r w:rsidR="0085513D">
          <w:rPr>
            <w:noProof/>
            <w:webHidden/>
          </w:rPr>
          <w:fldChar w:fldCharType="begin"/>
        </w:r>
        <w:r w:rsidR="0085513D">
          <w:rPr>
            <w:noProof/>
            <w:webHidden/>
          </w:rPr>
          <w:instrText xml:space="preserve"> PAGEREF _Toc530995295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296" w:history="1">
        <w:r w:rsidR="0085513D" w:rsidRPr="007D59C1">
          <w:rPr>
            <w:rStyle w:val="Hyperlink"/>
            <w:noProof/>
          </w:rPr>
          <w:t xml:space="preserve">Division 2.1 </w:t>
        </w:r>
        <w:r w:rsidR="0085513D">
          <w:rPr>
            <w:rFonts w:asciiTheme="minorHAnsi" w:eastAsiaTheme="minorEastAsia" w:hAnsiTheme="minorHAnsi" w:cstheme="minorBidi"/>
            <w:noProof/>
            <w:sz w:val="22"/>
            <w:szCs w:val="22"/>
            <w:lang w:eastAsia="en-AU"/>
          </w:rPr>
          <w:tab/>
        </w:r>
        <w:r w:rsidR="0085513D" w:rsidRPr="007D59C1">
          <w:rPr>
            <w:rStyle w:val="Hyperlink"/>
            <w:noProof/>
          </w:rPr>
          <w:t>Establishment and functions of the Institute</w:t>
        </w:r>
        <w:r w:rsidR="0085513D">
          <w:rPr>
            <w:noProof/>
            <w:webHidden/>
          </w:rPr>
          <w:tab/>
        </w:r>
        <w:r w:rsidR="0085513D">
          <w:rPr>
            <w:noProof/>
            <w:webHidden/>
          </w:rPr>
          <w:fldChar w:fldCharType="begin"/>
        </w:r>
        <w:r w:rsidR="0085513D">
          <w:rPr>
            <w:noProof/>
            <w:webHidden/>
          </w:rPr>
          <w:instrText xml:space="preserve"> PAGEREF _Toc530995296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297" w:history="1">
        <w:r w:rsidR="0085513D" w:rsidRPr="007D59C1">
          <w:rPr>
            <w:rStyle w:val="Hyperlink"/>
            <w:noProof/>
          </w:rPr>
          <w:t>Clause 4.</w:t>
        </w:r>
        <w:r w:rsidR="0085513D">
          <w:rPr>
            <w:rFonts w:asciiTheme="minorHAnsi" w:eastAsiaTheme="minorEastAsia" w:hAnsiTheme="minorHAnsi" w:cstheme="minorBidi"/>
            <w:noProof/>
            <w:sz w:val="22"/>
            <w:szCs w:val="22"/>
            <w:lang w:eastAsia="en-AU"/>
          </w:rPr>
          <w:tab/>
        </w:r>
        <w:r w:rsidR="0085513D" w:rsidRPr="007D59C1">
          <w:rPr>
            <w:rStyle w:val="Hyperlink"/>
            <w:noProof/>
          </w:rPr>
          <w:t>Section 5 Establishment of CIT</w:t>
        </w:r>
        <w:r w:rsidR="0085513D">
          <w:rPr>
            <w:noProof/>
            <w:webHidden/>
          </w:rPr>
          <w:tab/>
        </w:r>
        <w:r w:rsidR="0085513D">
          <w:rPr>
            <w:noProof/>
            <w:webHidden/>
          </w:rPr>
          <w:fldChar w:fldCharType="begin"/>
        </w:r>
        <w:r w:rsidR="0085513D">
          <w:rPr>
            <w:noProof/>
            <w:webHidden/>
          </w:rPr>
          <w:instrText xml:space="preserve"> PAGEREF _Toc530995297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298" w:history="1">
        <w:r w:rsidR="0085513D" w:rsidRPr="007D59C1">
          <w:rPr>
            <w:rStyle w:val="Hyperlink"/>
            <w:noProof/>
          </w:rPr>
          <w:t xml:space="preserve">Division 2.2 </w:t>
        </w:r>
        <w:r w:rsidR="0085513D">
          <w:rPr>
            <w:rFonts w:asciiTheme="minorHAnsi" w:eastAsiaTheme="minorEastAsia" w:hAnsiTheme="minorHAnsi" w:cstheme="minorBidi"/>
            <w:noProof/>
            <w:sz w:val="22"/>
            <w:szCs w:val="22"/>
            <w:lang w:eastAsia="en-AU"/>
          </w:rPr>
          <w:tab/>
        </w:r>
        <w:r w:rsidR="0085513D" w:rsidRPr="007D59C1">
          <w:rPr>
            <w:rStyle w:val="Hyperlink"/>
            <w:noProof/>
          </w:rPr>
          <w:t>Institute Board</w:t>
        </w:r>
        <w:r w:rsidR="0085513D">
          <w:rPr>
            <w:noProof/>
            <w:webHidden/>
          </w:rPr>
          <w:tab/>
        </w:r>
        <w:r w:rsidR="0085513D">
          <w:rPr>
            <w:noProof/>
            <w:webHidden/>
          </w:rPr>
          <w:fldChar w:fldCharType="begin"/>
        </w:r>
        <w:r w:rsidR="0085513D">
          <w:rPr>
            <w:noProof/>
            <w:webHidden/>
          </w:rPr>
          <w:instrText xml:space="preserve"> PAGEREF _Toc530995298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299" w:history="1">
        <w:r w:rsidR="0085513D" w:rsidRPr="007D59C1">
          <w:rPr>
            <w:rStyle w:val="Hyperlink"/>
            <w:noProof/>
          </w:rPr>
          <w:t>Clause 5.</w:t>
        </w:r>
        <w:r w:rsidR="0085513D">
          <w:rPr>
            <w:rFonts w:asciiTheme="minorHAnsi" w:eastAsiaTheme="minorEastAsia" w:hAnsiTheme="minorHAnsi" w:cstheme="minorBidi"/>
            <w:noProof/>
            <w:sz w:val="22"/>
            <w:szCs w:val="22"/>
            <w:lang w:eastAsia="en-AU"/>
          </w:rPr>
          <w:tab/>
        </w:r>
        <w:r w:rsidR="0085513D" w:rsidRPr="007D59C1">
          <w:rPr>
            <w:rStyle w:val="Hyperlink"/>
            <w:noProof/>
          </w:rPr>
          <w:t>Section 9 Establishment of CIT Board</w:t>
        </w:r>
        <w:r w:rsidR="0085513D">
          <w:rPr>
            <w:noProof/>
            <w:webHidden/>
          </w:rPr>
          <w:tab/>
        </w:r>
        <w:r w:rsidR="0085513D">
          <w:rPr>
            <w:noProof/>
            <w:webHidden/>
          </w:rPr>
          <w:fldChar w:fldCharType="begin"/>
        </w:r>
        <w:r w:rsidR="0085513D">
          <w:rPr>
            <w:noProof/>
            <w:webHidden/>
          </w:rPr>
          <w:instrText xml:space="preserve"> PAGEREF _Toc530995299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00" w:history="1">
        <w:r w:rsidR="0085513D" w:rsidRPr="007D59C1">
          <w:rPr>
            <w:rStyle w:val="Hyperlink"/>
            <w:noProof/>
          </w:rPr>
          <w:t>Clause 5.</w:t>
        </w:r>
        <w:r w:rsidR="0085513D">
          <w:rPr>
            <w:rFonts w:asciiTheme="minorHAnsi" w:eastAsiaTheme="minorEastAsia" w:hAnsiTheme="minorHAnsi" w:cstheme="minorBidi"/>
            <w:noProof/>
            <w:sz w:val="22"/>
            <w:szCs w:val="22"/>
            <w:lang w:eastAsia="en-AU"/>
          </w:rPr>
          <w:tab/>
        </w:r>
        <w:r w:rsidR="0085513D" w:rsidRPr="007D59C1">
          <w:rPr>
            <w:rStyle w:val="Hyperlink"/>
            <w:noProof/>
          </w:rPr>
          <w:t>Section 10 CIT Board Members</w:t>
        </w:r>
        <w:r w:rsidR="0085513D">
          <w:rPr>
            <w:noProof/>
            <w:webHidden/>
          </w:rPr>
          <w:tab/>
        </w:r>
        <w:r w:rsidR="0085513D">
          <w:rPr>
            <w:noProof/>
            <w:webHidden/>
          </w:rPr>
          <w:fldChar w:fldCharType="begin"/>
        </w:r>
        <w:r w:rsidR="0085513D">
          <w:rPr>
            <w:noProof/>
            <w:webHidden/>
          </w:rPr>
          <w:instrText xml:space="preserve"> PAGEREF _Toc530995300 \h </w:instrText>
        </w:r>
        <w:r w:rsidR="0085513D">
          <w:rPr>
            <w:noProof/>
            <w:webHidden/>
          </w:rPr>
        </w:r>
        <w:r w:rsidR="0085513D">
          <w:rPr>
            <w:noProof/>
            <w:webHidden/>
          </w:rPr>
          <w:fldChar w:fldCharType="separate"/>
        </w:r>
        <w:r w:rsidR="0085513D">
          <w:rPr>
            <w:noProof/>
            <w:webHidden/>
          </w:rPr>
          <w:t>5</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01" w:history="1">
        <w:r w:rsidR="0085513D" w:rsidRPr="007D59C1">
          <w:rPr>
            <w:rStyle w:val="Hyperlink"/>
            <w:noProof/>
          </w:rPr>
          <w:t>Clause 5.</w:t>
        </w:r>
        <w:r w:rsidR="0085513D">
          <w:rPr>
            <w:rFonts w:asciiTheme="minorHAnsi" w:eastAsiaTheme="minorEastAsia" w:hAnsiTheme="minorHAnsi" w:cstheme="minorBidi"/>
            <w:noProof/>
            <w:sz w:val="22"/>
            <w:szCs w:val="22"/>
            <w:lang w:eastAsia="en-AU"/>
          </w:rPr>
          <w:tab/>
        </w:r>
        <w:r w:rsidR="0085513D" w:rsidRPr="007D59C1">
          <w:rPr>
            <w:rStyle w:val="Hyperlink"/>
            <w:noProof/>
          </w:rPr>
          <w:t>Section 11 CIT Board Members – eligibility for appointment</w:t>
        </w:r>
        <w:r w:rsidR="0085513D">
          <w:rPr>
            <w:noProof/>
            <w:webHidden/>
          </w:rPr>
          <w:tab/>
        </w:r>
        <w:r w:rsidR="0085513D">
          <w:rPr>
            <w:noProof/>
            <w:webHidden/>
          </w:rPr>
          <w:fldChar w:fldCharType="begin"/>
        </w:r>
        <w:r w:rsidR="0085513D">
          <w:rPr>
            <w:noProof/>
            <w:webHidden/>
          </w:rPr>
          <w:instrText xml:space="preserve"> PAGEREF _Toc530995301 \h </w:instrText>
        </w:r>
        <w:r w:rsidR="0085513D">
          <w:rPr>
            <w:noProof/>
            <w:webHidden/>
          </w:rPr>
        </w:r>
        <w:r w:rsidR="0085513D">
          <w:rPr>
            <w:noProof/>
            <w:webHidden/>
          </w:rPr>
          <w:fldChar w:fldCharType="separate"/>
        </w:r>
        <w:r w:rsidR="0085513D">
          <w:rPr>
            <w:noProof/>
            <w:webHidden/>
          </w:rPr>
          <w:t>6</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02" w:history="1">
        <w:r w:rsidR="0085513D" w:rsidRPr="007D59C1">
          <w:rPr>
            <w:rStyle w:val="Hyperlink"/>
            <w:noProof/>
          </w:rPr>
          <w:t>Clause 6.</w:t>
        </w:r>
        <w:r w:rsidR="0085513D">
          <w:rPr>
            <w:rFonts w:asciiTheme="minorHAnsi" w:eastAsiaTheme="minorEastAsia" w:hAnsiTheme="minorHAnsi" w:cstheme="minorBidi"/>
            <w:noProof/>
            <w:sz w:val="22"/>
            <w:szCs w:val="22"/>
            <w:lang w:eastAsia="en-AU"/>
          </w:rPr>
          <w:tab/>
        </w:r>
        <w:r w:rsidR="0085513D" w:rsidRPr="007D59C1">
          <w:rPr>
            <w:rStyle w:val="Hyperlink"/>
            <w:noProof/>
          </w:rPr>
          <w:t>Section 12 Chair and deputy chair– eligibility for appointment</w:t>
        </w:r>
        <w:r w:rsidR="0085513D">
          <w:rPr>
            <w:noProof/>
            <w:webHidden/>
          </w:rPr>
          <w:tab/>
        </w:r>
        <w:r w:rsidR="0085513D">
          <w:rPr>
            <w:noProof/>
            <w:webHidden/>
          </w:rPr>
          <w:fldChar w:fldCharType="begin"/>
        </w:r>
        <w:r w:rsidR="0085513D">
          <w:rPr>
            <w:noProof/>
            <w:webHidden/>
          </w:rPr>
          <w:instrText xml:space="preserve"> PAGEREF _Toc530995302 \h </w:instrText>
        </w:r>
        <w:r w:rsidR="0085513D">
          <w:rPr>
            <w:noProof/>
            <w:webHidden/>
          </w:rPr>
        </w:r>
        <w:r w:rsidR="0085513D">
          <w:rPr>
            <w:noProof/>
            <w:webHidden/>
          </w:rPr>
          <w:fldChar w:fldCharType="separate"/>
        </w:r>
        <w:r w:rsidR="0085513D">
          <w:rPr>
            <w:noProof/>
            <w:webHidden/>
          </w:rPr>
          <w:t>7</w:t>
        </w:r>
        <w:r w:rsidR="0085513D">
          <w:rPr>
            <w:noProof/>
            <w:webHidden/>
          </w:rPr>
          <w:fldChar w:fldCharType="end"/>
        </w:r>
      </w:hyperlink>
    </w:p>
    <w:p w:rsidR="0085513D" w:rsidRDefault="00122498">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530995303" w:history="1">
        <w:r w:rsidR="0085513D" w:rsidRPr="007D59C1">
          <w:rPr>
            <w:rStyle w:val="Hyperlink"/>
            <w:noProof/>
          </w:rPr>
          <w:t xml:space="preserve">Part 3 </w:t>
        </w:r>
        <w:r w:rsidR="0085513D">
          <w:rPr>
            <w:rFonts w:asciiTheme="minorHAnsi" w:eastAsiaTheme="minorEastAsia" w:hAnsiTheme="minorHAnsi" w:cstheme="minorBidi"/>
            <w:noProof/>
            <w:sz w:val="22"/>
            <w:szCs w:val="22"/>
            <w:lang w:eastAsia="en-AU"/>
          </w:rPr>
          <w:tab/>
        </w:r>
        <w:r w:rsidR="0085513D" w:rsidRPr="007D59C1">
          <w:rPr>
            <w:rStyle w:val="Hyperlink"/>
            <w:noProof/>
          </w:rPr>
          <w:t>Admission to courses and issuing awards</w:t>
        </w:r>
        <w:r w:rsidR="0085513D">
          <w:rPr>
            <w:noProof/>
            <w:webHidden/>
          </w:rPr>
          <w:tab/>
        </w:r>
        <w:r w:rsidR="0085513D">
          <w:rPr>
            <w:noProof/>
            <w:webHidden/>
          </w:rPr>
          <w:fldChar w:fldCharType="begin"/>
        </w:r>
        <w:r w:rsidR="0085513D">
          <w:rPr>
            <w:noProof/>
            <w:webHidden/>
          </w:rPr>
          <w:instrText xml:space="preserve"> PAGEREF _Toc530995303 \h </w:instrText>
        </w:r>
        <w:r w:rsidR="0085513D">
          <w:rPr>
            <w:noProof/>
            <w:webHidden/>
          </w:rPr>
        </w:r>
        <w:r w:rsidR="0085513D">
          <w:rPr>
            <w:noProof/>
            <w:webHidden/>
          </w:rPr>
          <w:fldChar w:fldCharType="separate"/>
        </w:r>
        <w:r w:rsidR="0085513D">
          <w:rPr>
            <w:noProof/>
            <w:webHidden/>
          </w:rPr>
          <w:t>7</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04" w:history="1">
        <w:r w:rsidR="0085513D" w:rsidRPr="007D59C1">
          <w:rPr>
            <w:rStyle w:val="Hyperlink"/>
            <w:noProof/>
          </w:rPr>
          <w:t>Clause 7.</w:t>
        </w:r>
        <w:r w:rsidR="0085513D">
          <w:rPr>
            <w:rFonts w:asciiTheme="minorHAnsi" w:eastAsiaTheme="minorEastAsia" w:hAnsiTheme="minorHAnsi" w:cstheme="minorBidi"/>
            <w:noProof/>
            <w:sz w:val="22"/>
            <w:szCs w:val="22"/>
            <w:lang w:eastAsia="en-AU"/>
          </w:rPr>
          <w:tab/>
        </w:r>
        <w:r w:rsidR="0085513D" w:rsidRPr="007D59C1">
          <w:rPr>
            <w:rStyle w:val="Hyperlink"/>
            <w:noProof/>
          </w:rPr>
          <w:t>Section 13 Decisions on admission to the institute</w:t>
        </w:r>
        <w:r w:rsidR="0085513D">
          <w:rPr>
            <w:noProof/>
            <w:webHidden/>
          </w:rPr>
          <w:tab/>
        </w:r>
        <w:r w:rsidR="0085513D">
          <w:rPr>
            <w:noProof/>
            <w:webHidden/>
          </w:rPr>
          <w:fldChar w:fldCharType="begin"/>
        </w:r>
        <w:r w:rsidR="0085513D">
          <w:rPr>
            <w:noProof/>
            <w:webHidden/>
          </w:rPr>
          <w:instrText xml:space="preserve"> PAGEREF _Toc530995304 \h </w:instrText>
        </w:r>
        <w:r w:rsidR="0085513D">
          <w:rPr>
            <w:noProof/>
            <w:webHidden/>
          </w:rPr>
        </w:r>
        <w:r w:rsidR="0085513D">
          <w:rPr>
            <w:noProof/>
            <w:webHidden/>
          </w:rPr>
          <w:fldChar w:fldCharType="separate"/>
        </w:r>
        <w:r w:rsidR="0085513D">
          <w:rPr>
            <w:noProof/>
            <w:webHidden/>
          </w:rPr>
          <w:t>7</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05" w:history="1">
        <w:r w:rsidR="0085513D" w:rsidRPr="007D59C1">
          <w:rPr>
            <w:rStyle w:val="Hyperlink"/>
            <w:noProof/>
          </w:rPr>
          <w:t xml:space="preserve">Clause </w:t>
        </w:r>
        <w:r w:rsidR="00D4664A">
          <w:rPr>
            <w:rStyle w:val="Hyperlink"/>
            <w:noProof/>
          </w:rPr>
          <w:t>7</w:t>
        </w:r>
        <w:r w:rsidR="0085513D" w:rsidRPr="007D59C1">
          <w:rPr>
            <w:rStyle w:val="Hyperlink"/>
            <w:noProof/>
          </w:rPr>
          <w:t>.</w:t>
        </w:r>
        <w:r w:rsidR="0085513D">
          <w:rPr>
            <w:rFonts w:asciiTheme="minorHAnsi" w:eastAsiaTheme="minorEastAsia" w:hAnsiTheme="minorHAnsi" w:cstheme="minorBidi"/>
            <w:noProof/>
            <w:sz w:val="22"/>
            <w:szCs w:val="22"/>
            <w:lang w:eastAsia="en-AU"/>
          </w:rPr>
          <w:tab/>
        </w:r>
        <w:r w:rsidR="0085513D" w:rsidRPr="007D59C1">
          <w:rPr>
            <w:rStyle w:val="Hyperlink"/>
            <w:noProof/>
          </w:rPr>
          <w:t>Section 14 Decisions on issuing awards</w:t>
        </w:r>
        <w:r w:rsidR="0085513D">
          <w:rPr>
            <w:noProof/>
            <w:webHidden/>
          </w:rPr>
          <w:tab/>
        </w:r>
        <w:r w:rsidR="0085513D">
          <w:rPr>
            <w:noProof/>
            <w:webHidden/>
          </w:rPr>
          <w:fldChar w:fldCharType="begin"/>
        </w:r>
        <w:r w:rsidR="0085513D">
          <w:rPr>
            <w:noProof/>
            <w:webHidden/>
          </w:rPr>
          <w:instrText xml:space="preserve"> PAGEREF _Toc530995305 \h </w:instrText>
        </w:r>
        <w:r w:rsidR="0085513D">
          <w:rPr>
            <w:noProof/>
            <w:webHidden/>
          </w:rPr>
        </w:r>
        <w:r w:rsidR="0085513D">
          <w:rPr>
            <w:noProof/>
            <w:webHidden/>
          </w:rPr>
          <w:fldChar w:fldCharType="separate"/>
        </w:r>
        <w:r w:rsidR="0085513D">
          <w:rPr>
            <w:noProof/>
            <w:webHidden/>
          </w:rPr>
          <w:t>7</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06" w:history="1">
        <w:r w:rsidR="0085513D" w:rsidRPr="007D59C1">
          <w:rPr>
            <w:rStyle w:val="Hyperlink"/>
            <w:noProof/>
          </w:rPr>
          <w:t>Clause 8.</w:t>
        </w:r>
        <w:r w:rsidR="0085513D">
          <w:rPr>
            <w:rFonts w:asciiTheme="minorHAnsi" w:eastAsiaTheme="minorEastAsia" w:hAnsiTheme="minorHAnsi" w:cstheme="minorBidi"/>
            <w:noProof/>
            <w:sz w:val="22"/>
            <w:szCs w:val="22"/>
            <w:lang w:eastAsia="en-AU"/>
          </w:rPr>
          <w:tab/>
        </w:r>
        <w:r w:rsidR="0085513D" w:rsidRPr="007D59C1">
          <w:rPr>
            <w:rStyle w:val="Hyperlink"/>
            <w:noProof/>
          </w:rPr>
          <w:t>New Section 14A</w:t>
        </w:r>
        <w:r w:rsidR="0085513D">
          <w:rPr>
            <w:noProof/>
            <w:webHidden/>
          </w:rPr>
          <w:tab/>
        </w:r>
        <w:r w:rsidR="0085513D">
          <w:rPr>
            <w:noProof/>
            <w:webHidden/>
          </w:rPr>
          <w:fldChar w:fldCharType="begin"/>
        </w:r>
        <w:r w:rsidR="0085513D">
          <w:rPr>
            <w:noProof/>
            <w:webHidden/>
          </w:rPr>
          <w:instrText xml:space="preserve"> PAGEREF _Toc530995306 \h </w:instrText>
        </w:r>
        <w:r w:rsidR="0085513D">
          <w:rPr>
            <w:noProof/>
            <w:webHidden/>
          </w:rPr>
        </w:r>
        <w:r w:rsidR="0085513D">
          <w:rPr>
            <w:noProof/>
            <w:webHidden/>
          </w:rPr>
          <w:fldChar w:fldCharType="separate"/>
        </w:r>
        <w:r w:rsidR="0085513D">
          <w:rPr>
            <w:noProof/>
            <w:webHidden/>
          </w:rPr>
          <w:t>7</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07" w:history="1">
        <w:r w:rsidR="0085513D" w:rsidRPr="007D59C1">
          <w:rPr>
            <w:rStyle w:val="Hyperlink"/>
            <w:noProof/>
          </w:rPr>
          <w:t>Clause 9.</w:t>
        </w:r>
        <w:r w:rsidR="0085513D">
          <w:rPr>
            <w:rFonts w:asciiTheme="minorHAnsi" w:eastAsiaTheme="minorEastAsia" w:hAnsiTheme="minorHAnsi" w:cstheme="minorBidi"/>
            <w:noProof/>
            <w:sz w:val="22"/>
            <w:szCs w:val="22"/>
            <w:lang w:eastAsia="en-AU"/>
          </w:rPr>
          <w:tab/>
        </w:r>
        <w:r w:rsidR="0085513D" w:rsidRPr="007D59C1">
          <w:rPr>
            <w:rStyle w:val="Hyperlink"/>
            <w:noProof/>
          </w:rPr>
          <w:t>Section 15 (2) note Institute’s staff</w:t>
        </w:r>
        <w:r w:rsidR="0085513D">
          <w:rPr>
            <w:noProof/>
            <w:webHidden/>
          </w:rPr>
          <w:tab/>
        </w:r>
        <w:r w:rsidR="0085513D">
          <w:rPr>
            <w:noProof/>
            <w:webHidden/>
          </w:rPr>
          <w:fldChar w:fldCharType="begin"/>
        </w:r>
        <w:r w:rsidR="0085513D">
          <w:rPr>
            <w:noProof/>
            <w:webHidden/>
          </w:rPr>
          <w:instrText xml:space="preserve"> PAGEREF _Toc530995307 \h </w:instrText>
        </w:r>
        <w:r w:rsidR="0085513D">
          <w:rPr>
            <w:noProof/>
            <w:webHidden/>
          </w:rPr>
        </w:r>
        <w:r w:rsidR="0085513D">
          <w:rPr>
            <w:noProof/>
            <w:webHidden/>
          </w:rPr>
          <w:fldChar w:fldCharType="separate"/>
        </w:r>
        <w:r w:rsidR="0085513D">
          <w:rPr>
            <w:noProof/>
            <w:webHidden/>
          </w:rPr>
          <w:t>7</w:t>
        </w:r>
        <w:r w:rsidR="0085513D">
          <w:rPr>
            <w:noProof/>
            <w:webHidden/>
          </w:rPr>
          <w:fldChar w:fldCharType="end"/>
        </w:r>
      </w:hyperlink>
    </w:p>
    <w:p w:rsidR="0085513D" w:rsidRDefault="00122498">
      <w:pPr>
        <w:pStyle w:val="TOC2"/>
        <w:tabs>
          <w:tab w:val="left" w:pos="1200"/>
          <w:tab w:val="right" w:leader="dot" w:pos="8297"/>
        </w:tabs>
        <w:rPr>
          <w:rFonts w:asciiTheme="minorHAnsi" w:eastAsiaTheme="minorEastAsia" w:hAnsiTheme="minorHAnsi" w:cstheme="minorBidi"/>
          <w:noProof/>
          <w:sz w:val="22"/>
          <w:szCs w:val="22"/>
          <w:lang w:eastAsia="en-AU"/>
        </w:rPr>
      </w:pPr>
      <w:hyperlink w:anchor="_Toc530995308" w:history="1">
        <w:r w:rsidR="0085513D" w:rsidRPr="007D59C1">
          <w:rPr>
            <w:rStyle w:val="Hyperlink"/>
            <w:noProof/>
          </w:rPr>
          <w:t xml:space="preserve">Part 7 </w:t>
        </w:r>
        <w:r w:rsidR="0085513D">
          <w:rPr>
            <w:rFonts w:asciiTheme="minorHAnsi" w:eastAsiaTheme="minorEastAsia" w:hAnsiTheme="minorHAnsi" w:cstheme="minorBidi"/>
            <w:noProof/>
            <w:sz w:val="22"/>
            <w:szCs w:val="22"/>
            <w:lang w:eastAsia="en-AU"/>
          </w:rPr>
          <w:tab/>
        </w:r>
        <w:r w:rsidR="0085513D" w:rsidRPr="007D59C1">
          <w:rPr>
            <w:rStyle w:val="Hyperlink"/>
            <w:noProof/>
          </w:rPr>
          <w:t>Miscellaneous</w:t>
        </w:r>
        <w:r w:rsidR="0085513D">
          <w:rPr>
            <w:noProof/>
            <w:webHidden/>
          </w:rPr>
          <w:tab/>
        </w:r>
        <w:r w:rsidR="0085513D">
          <w:rPr>
            <w:noProof/>
            <w:webHidden/>
          </w:rPr>
          <w:fldChar w:fldCharType="begin"/>
        </w:r>
        <w:r w:rsidR="0085513D">
          <w:rPr>
            <w:noProof/>
            <w:webHidden/>
          </w:rPr>
          <w:instrText xml:space="preserve"> PAGEREF _Toc530995308 \h </w:instrText>
        </w:r>
        <w:r w:rsidR="0085513D">
          <w:rPr>
            <w:noProof/>
            <w:webHidden/>
          </w:rPr>
        </w:r>
        <w:r w:rsidR="0085513D">
          <w:rPr>
            <w:noProof/>
            <w:webHidden/>
          </w:rPr>
          <w:fldChar w:fldCharType="separate"/>
        </w:r>
        <w:r w:rsidR="0085513D">
          <w:rPr>
            <w:noProof/>
            <w:webHidden/>
          </w:rPr>
          <w:t>8</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09" w:history="1">
        <w:r w:rsidR="0085513D" w:rsidRPr="007D59C1">
          <w:rPr>
            <w:rStyle w:val="Hyperlink"/>
            <w:noProof/>
          </w:rPr>
          <w:t>Clause 10.</w:t>
        </w:r>
        <w:r w:rsidR="0085513D">
          <w:rPr>
            <w:rFonts w:asciiTheme="minorHAnsi" w:eastAsiaTheme="minorEastAsia" w:hAnsiTheme="minorHAnsi" w:cstheme="minorBidi"/>
            <w:noProof/>
            <w:sz w:val="22"/>
            <w:szCs w:val="22"/>
            <w:lang w:eastAsia="en-AU"/>
          </w:rPr>
          <w:tab/>
        </w:r>
        <w:r w:rsidR="0085513D" w:rsidRPr="007D59C1">
          <w:rPr>
            <w:rStyle w:val="Hyperlink"/>
            <w:noProof/>
          </w:rPr>
          <w:t>Section 25</w:t>
        </w:r>
        <w:r w:rsidR="0085513D">
          <w:rPr>
            <w:noProof/>
            <w:webHidden/>
          </w:rPr>
          <w:tab/>
        </w:r>
        <w:r w:rsidR="0085513D">
          <w:rPr>
            <w:noProof/>
            <w:webHidden/>
          </w:rPr>
          <w:fldChar w:fldCharType="begin"/>
        </w:r>
        <w:r w:rsidR="0085513D">
          <w:rPr>
            <w:noProof/>
            <w:webHidden/>
          </w:rPr>
          <w:instrText xml:space="preserve"> PAGEREF _Toc530995309 \h </w:instrText>
        </w:r>
        <w:r w:rsidR="0085513D">
          <w:rPr>
            <w:noProof/>
            <w:webHidden/>
          </w:rPr>
        </w:r>
        <w:r w:rsidR="0085513D">
          <w:rPr>
            <w:noProof/>
            <w:webHidden/>
          </w:rPr>
          <w:fldChar w:fldCharType="separate"/>
        </w:r>
        <w:r w:rsidR="0085513D">
          <w:rPr>
            <w:noProof/>
            <w:webHidden/>
          </w:rPr>
          <w:t>8</w:t>
        </w:r>
        <w:r w:rsidR="0085513D">
          <w:rPr>
            <w:noProof/>
            <w:webHidden/>
          </w:rPr>
          <w:fldChar w:fldCharType="end"/>
        </w:r>
      </w:hyperlink>
    </w:p>
    <w:p w:rsidR="0085513D" w:rsidRDefault="00122498">
      <w:pPr>
        <w:pStyle w:val="TOC2"/>
        <w:tabs>
          <w:tab w:val="right" w:leader="dot" w:pos="8297"/>
        </w:tabs>
        <w:rPr>
          <w:rFonts w:asciiTheme="minorHAnsi" w:eastAsiaTheme="minorEastAsia" w:hAnsiTheme="minorHAnsi" w:cstheme="minorBidi"/>
          <w:noProof/>
          <w:sz w:val="22"/>
          <w:szCs w:val="22"/>
          <w:lang w:eastAsia="en-AU"/>
        </w:rPr>
      </w:pPr>
      <w:hyperlink w:anchor="_Toc530995310" w:history="1">
        <w:r w:rsidR="0085513D" w:rsidRPr="007D59C1">
          <w:rPr>
            <w:rStyle w:val="Hyperlink"/>
            <w:noProof/>
          </w:rPr>
          <w:t>Dictionary</w:t>
        </w:r>
        <w:r w:rsidR="0085513D">
          <w:rPr>
            <w:noProof/>
            <w:webHidden/>
          </w:rPr>
          <w:tab/>
        </w:r>
        <w:r w:rsidR="0085513D">
          <w:rPr>
            <w:noProof/>
            <w:webHidden/>
          </w:rPr>
          <w:fldChar w:fldCharType="begin"/>
        </w:r>
        <w:r w:rsidR="0085513D">
          <w:rPr>
            <w:noProof/>
            <w:webHidden/>
          </w:rPr>
          <w:instrText xml:space="preserve"> PAGEREF _Toc530995310 \h </w:instrText>
        </w:r>
        <w:r w:rsidR="0085513D">
          <w:rPr>
            <w:noProof/>
            <w:webHidden/>
          </w:rPr>
        </w:r>
        <w:r w:rsidR="0085513D">
          <w:rPr>
            <w:noProof/>
            <w:webHidden/>
          </w:rPr>
          <w:fldChar w:fldCharType="separate"/>
        </w:r>
        <w:r w:rsidR="0085513D">
          <w:rPr>
            <w:noProof/>
            <w:webHidden/>
          </w:rPr>
          <w:t>8</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11" w:history="1">
        <w:r w:rsidR="0085513D" w:rsidRPr="007D59C1">
          <w:rPr>
            <w:rStyle w:val="Hyperlink"/>
            <w:noProof/>
            <w:lang w:eastAsia="en-AU"/>
          </w:rPr>
          <w:t>Clause 11.</w:t>
        </w:r>
        <w:r w:rsidR="0085513D">
          <w:rPr>
            <w:rFonts w:asciiTheme="minorHAnsi" w:eastAsiaTheme="minorEastAsia" w:hAnsiTheme="minorHAnsi" w:cstheme="minorBidi"/>
            <w:noProof/>
            <w:sz w:val="22"/>
            <w:szCs w:val="22"/>
            <w:lang w:eastAsia="en-AU"/>
          </w:rPr>
          <w:tab/>
        </w:r>
        <w:r w:rsidR="0085513D" w:rsidRPr="007D59C1">
          <w:rPr>
            <w:rStyle w:val="Hyperlink"/>
            <w:noProof/>
          </w:rPr>
          <w:t>Dictionary, new definition of CIT and CIT board</w:t>
        </w:r>
        <w:r w:rsidR="0085513D">
          <w:rPr>
            <w:noProof/>
            <w:webHidden/>
          </w:rPr>
          <w:tab/>
        </w:r>
        <w:r w:rsidR="0085513D">
          <w:rPr>
            <w:noProof/>
            <w:webHidden/>
          </w:rPr>
          <w:fldChar w:fldCharType="begin"/>
        </w:r>
        <w:r w:rsidR="0085513D">
          <w:rPr>
            <w:noProof/>
            <w:webHidden/>
          </w:rPr>
          <w:instrText xml:space="preserve"> PAGEREF _Toc530995311 \h </w:instrText>
        </w:r>
        <w:r w:rsidR="0085513D">
          <w:rPr>
            <w:noProof/>
            <w:webHidden/>
          </w:rPr>
        </w:r>
        <w:r w:rsidR="0085513D">
          <w:rPr>
            <w:noProof/>
            <w:webHidden/>
          </w:rPr>
          <w:fldChar w:fldCharType="separate"/>
        </w:r>
        <w:r w:rsidR="0085513D">
          <w:rPr>
            <w:noProof/>
            <w:webHidden/>
          </w:rPr>
          <w:t>8</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12" w:history="1">
        <w:r w:rsidR="0085513D" w:rsidRPr="007D59C1">
          <w:rPr>
            <w:rStyle w:val="Hyperlink"/>
            <w:noProof/>
            <w:lang w:eastAsia="en-AU"/>
          </w:rPr>
          <w:t>Clause 12.</w:t>
        </w:r>
        <w:r w:rsidR="0085513D">
          <w:rPr>
            <w:rFonts w:asciiTheme="minorHAnsi" w:eastAsiaTheme="minorEastAsia" w:hAnsiTheme="minorHAnsi" w:cstheme="minorBidi"/>
            <w:noProof/>
            <w:sz w:val="22"/>
            <w:szCs w:val="22"/>
            <w:lang w:eastAsia="en-AU"/>
          </w:rPr>
          <w:tab/>
        </w:r>
        <w:r w:rsidR="0085513D" w:rsidRPr="007D59C1">
          <w:rPr>
            <w:rStyle w:val="Hyperlink"/>
            <w:noProof/>
          </w:rPr>
          <w:t>Dictionary, definitions</w:t>
        </w:r>
        <w:r w:rsidR="0085513D">
          <w:rPr>
            <w:noProof/>
            <w:webHidden/>
          </w:rPr>
          <w:tab/>
        </w:r>
        <w:r w:rsidR="0085513D">
          <w:rPr>
            <w:noProof/>
            <w:webHidden/>
          </w:rPr>
          <w:fldChar w:fldCharType="begin"/>
        </w:r>
        <w:r w:rsidR="0085513D">
          <w:rPr>
            <w:noProof/>
            <w:webHidden/>
          </w:rPr>
          <w:instrText xml:space="preserve"> PAGEREF _Toc530995312 \h </w:instrText>
        </w:r>
        <w:r w:rsidR="0085513D">
          <w:rPr>
            <w:noProof/>
            <w:webHidden/>
          </w:rPr>
        </w:r>
        <w:r w:rsidR="0085513D">
          <w:rPr>
            <w:noProof/>
            <w:webHidden/>
          </w:rPr>
          <w:fldChar w:fldCharType="separate"/>
        </w:r>
        <w:r w:rsidR="0085513D">
          <w:rPr>
            <w:noProof/>
            <w:webHidden/>
          </w:rPr>
          <w:t>8</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13" w:history="1">
        <w:r w:rsidR="0085513D" w:rsidRPr="007D59C1">
          <w:rPr>
            <w:rStyle w:val="Hyperlink"/>
            <w:noProof/>
          </w:rPr>
          <w:t>Clause 13.</w:t>
        </w:r>
        <w:r w:rsidR="0085513D">
          <w:rPr>
            <w:rFonts w:asciiTheme="minorHAnsi" w:eastAsiaTheme="minorEastAsia" w:hAnsiTheme="minorHAnsi" w:cstheme="minorBidi"/>
            <w:noProof/>
            <w:sz w:val="22"/>
            <w:szCs w:val="22"/>
            <w:lang w:eastAsia="en-AU"/>
          </w:rPr>
          <w:tab/>
        </w:r>
        <w:r w:rsidR="0085513D" w:rsidRPr="007D59C1">
          <w:rPr>
            <w:rStyle w:val="Hyperlink"/>
            <w:noProof/>
          </w:rPr>
          <w:t>Dictionary, definitions of staff member and student member</w:t>
        </w:r>
        <w:r w:rsidR="0085513D">
          <w:rPr>
            <w:noProof/>
            <w:webHidden/>
          </w:rPr>
          <w:tab/>
        </w:r>
        <w:r w:rsidR="0085513D">
          <w:rPr>
            <w:noProof/>
            <w:webHidden/>
          </w:rPr>
          <w:fldChar w:fldCharType="begin"/>
        </w:r>
        <w:r w:rsidR="0085513D">
          <w:rPr>
            <w:noProof/>
            <w:webHidden/>
          </w:rPr>
          <w:instrText xml:space="preserve"> PAGEREF _Toc530995313 \h </w:instrText>
        </w:r>
        <w:r w:rsidR="0085513D">
          <w:rPr>
            <w:noProof/>
            <w:webHidden/>
          </w:rPr>
        </w:r>
        <w:r w:rsidR="0085513D">
          <w:rPr>
            <w:noProof/>
            <w:webHidden/>
          </w:rPr>
          <w:fldChar w:fldCharType="separate"/>
        </w:r>
        <w:r w:rsidR="0085513D">
          <w:rPr>
            <w:noProof/>
            <w:webHidden/>
          </w:rPr>
          <w:t>8</w:t>
        </w:r>
        <w:r w:rsidR="0085513D">
          <w:rPr>
            <w:noProof/>
            <w:webHidden/>
          </w:rPr>
          <w:fldChar w:fldCharType="end"/>
        </w:r>
      </w:hyperlink>
    </w:p>
    <w:p w:rsidR="0085513D" w:rsidRDefault="00122498">
      <w:pPr>
        <w:pStyle w:val="TOC2"/>
        <w:tabs>
          <w:tab w:val="right" w:leader="dot" w:pos="8297"/>
        </w:tabs>
        <w:rPr>
          <w:rFonts w:asciiTheme="minorHAnsi" w:eastAsiaTheme="minorEastAsia" w:hAnsiTheme="minorHAnsi" w:cstheme="minorBidi"/>
          <w:noProof/>
          <w:sz w:val="22"/>
          <w:szCs w:val="22"/>
          <w:lang w:eastAsia="en-AU"/>
        </w:rPr>
      </w:pPr>
      <w:hyperlink w:anchor="_Toc530995314" w:history="1">
        <w:r w:rsidR="0085513D" w:rsidRPr="007D59C1">
          <w:rPr>
            <w:rStyle w:val="Hyperlink"/>
            <w:noProof/>
          </w:rPr>
          <w:t>Other provisions</w:t>
        </w:r>
        <w:r w:rsidR="0085513D">
          <w:rPr>
            <w:noProof/>
            <w:webHidden/>
          </w:rPr>
          <w:tab/>
        </w:r>
        <w:r w:rsidR="0085513D">
          <w:rPr>
            <w:noProof/>
            <w:webHidden/>
          </w:rPr>
          <w:fldChar w:fldCharType="begin"/>
        </w:r>
        <w:r w:rsidR="0085513D">
          <w:rPr>
            <w:noProof/>
            <w:webHidden/>
          </w:rPr>
          <w:instrText xml:space="preserve"> PAGEREF _Toc530995314 \h </w:instrText>
        </w:r>
        <w:r w:rsidR="0085513D">
          <w:rPr>
            <w:noProof/>
            <w:webHidden/>
          </w:rPr>
        </w:r>
        <w:r w:rsidR="0085513D">
          <w:rPr>
            <w:noProof/>
            <w:webHidden/>
          </w:rPr>
          <w:fldChar w:fldCharType="separate"/>
        </w:r>
        <w:r w:rsidR="0085513D">
          <w:rPr>
            <w:noProof/>
            <w:webHidden/>
          </w:rPr>
          <w:t>8</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15" w:history="1">
        <w:r w:rsidR="0085513D" w:rsidRPr="007D59C1">
          <w:rPr>
            <w:rStyle w:val="Hyperlink"/>
            <w:noProof/>
          </w:rPr>
          <w:t>Clause 14.</w:t>
        </w:r>
        <w:r w:rsidR="0085513D">
          <w:rPr>
            <w:rFonts w:asciiTheme="minorHAnsi" w:eastAsiaTheme="minorEastAsia" w:hAnsiTheme="minorHAnsi" w:cstheme="minorBidi"/>
            <w:noProof/>
            <w:sz w:val="22"/>
            <w:szCs w:val="22"/>
            <w:lang w:eastAsia="en-AU"/>
          </w:rPr>
          <w:tab/>
        </w:r>
        <w:r w:rsidR="0085513D" w:rsidRPr="007D59C1">
          <w:rPr>
            <w:rStyle w:val="Hyperlink"/>
            <w:noProof/>
          </w:rPr>
          <w:t>Further amendments, mentions of institute</w:t>
        </w:r>
        <w:r w:rsidR="0085513D">
          <w:rPr>
            <w:noProof/>
            <w:webHidden/>
          </w:rPr>
          <w:tab/>
        </w:r>
        <w:r w:rsidR="0085513D">
          <w:rPr>
            <w:noProof/>
            <w:webHidden/>
          </w:rPr>
          <w:fldChar w:fldCharType="begin"/>
        </w:r>
        <w:r w:rsidR="0085513D">
          <w:rPr>
            <w:noProof/>
            <w:webHidden/>
          </w:rPr>
          <w:instrText xml:space="preserve"> PAGEREF _Toc530995315 \h </w:instrText>
        </w:r>
        <w:r w:rsidR="0085513D">
          <w:rPr>
            <w:noProof/>
            <w:webHidden/>
          </w:rPr>
        </w:r>
        <w:r w:rsidR="0085513D">
          <w:rPr>
            <w:noProof/>
            <w:webHidden/>
          </w:rPr>
          <w:fldChar w:fldCharType="separate"/>
        </w:r>
        <w:r w:rsidR="0085513D">
          <w:rPr>
            <w:noProof/>
            <w:webHidden/>
          </w:rPr>
          <w:t>8</w:t>
        </w:r>
        <w:r w:rsidR="0085513D">
          <w:rPr>
            <w:noProof/>
            <w:webHidden/>
          </w:rPr>
          <w:fldChar w:fldCharType="end"/>
        </w:r>
      </w:hyperlink>
    </w:p>
    <w:p w:rsidR="0085513D" w:rsidRDefault="00122498">
      <w:pPr>
        <w:pStyle w:val="TOC3"/>
        <w:rPr>
          <w:rFonts w:asciiTheme="minorHAnsi" w:eastAsiaTheme="minorEastAsia" w:hAnsiTheme="minorHAnsi" w:cstheme="minorBidi"/>
          <w:noProof/>
          <w:sz w:val="22"/>
          <w:szCs w:val="22"/>
          <w:lang w:eastAsia="en-AU"/>
        </w:rPr>
      </w:pPr>
      <w:hyperlink w:anchor="_Toc530995316" w:history="1">
        <w:r w:rsidR="0085513D" w:rsidRPr="007D59C1">
          <w:rPr>
            <w:rStyle w:val="Hyperlink"/>
            <w:noProof/>
          </w:rPr>
          <w:t>Clause 15.</w:t>
        </w:r>
        <w:r w:rsidR="0085513D">
          <w:rPr>
            <w:rFonts w:asciiTheme="minorHAnsi" w:eastAsiaTheme="minorEastAsia" w:hAnsiTheme="minorHAnsi" w:cstheme="minorBidi"/>
            <w:noProof/>
            <w:sz w:val="22"/>
            <w:szCs w:val="22"/>
            <w:lang w:eastAsia="en-AU"/>
          </w:rPr>
          <w:tab/>
        </w:r>
        <w:r w:rsidR="0085513D" w:rsidRPr="007D59C1">
          <w:rPr>
            <w:rStyle w:val="Hyperlink"/>
            <w:noProof/>
          </w:rPr>
          <w:t>Further amendments, mentions of institute</w:t>
        </w:r>
        <w:r w:rsidR="0085513D">
          <w:rPr>
            <w:noProof/>
            <w:webHidden/>
          </w:rPr>
          <w:tab/>
        </w:r>
        <w:r w:rsidR="0085513D">
          <w:rPr>
            <w:noProof/>
            <w:webHidden/>
          </w:rPr>
          <w:fldChar w:fldCharType="begin"/>
        </w:r>
        <w:r w:rsidR="0085513D">
          <w:rPr>
            <w:noProof/>
            <w:webHidden/>
          </w:rPr>
          <w:instrText xml:space="preserve"> PAGEREF _Toc530995316 \h </w:instrText>
        </w:r>
        <w:r w:rsidR="0085513D">
          <w:rPr>
            <w:noProof/>
            <w:webHidden/>
          </w:rPr>
        </w:r>
        <w:r w:rsidR="0085513D">
          <w:rPr>
            <w:noProof/>
            <w:webHidden/>
          </w:rPr>
          <w:fldChar w:fldCharType="separate"/>
        </w:r>
        <w:r w:rsidR="0085513D">
          <w:rPr>
            <w:noProof/>
            <w:webHidden/>
          </w:rPr>
          <w:t>8</w:t>
        </w:r>
        <w:r w:rsidR="0085513D">
          <w:rPr>
            <w:noProof/>
            <w:webHidden/>
          </w:rPr>
          <w:fldChar w:fldCharType="end"/>
        </w:r>
      </w:hyperlink>
    </w:p>
    <w:p w:rsidR="00251B1B" w:rsidRDefault="006B2A11">
      <w:r>
        <w:fldChar w:fldCharType="end"/>
      </w:r>
    </w:p>
    <w:p w:rsidR="00C41404" w:rsidRDefault="00251B1B">
      <w:r>
        <w:br w:type="page"/>
      </w:r>
    </w:p>
    <w:p w:rsidR="002A1ABC" w:rsidRPr="00C05056" w:rsidRDefault="002A1ABC" w:rsidP="0050431C">
      <w:pPr>
        <w:pStyle w:val="Heading1"/>
        <w:shd w:val="clear" w:color="auto" w:fill="D9D9D9" w:themeFill="background1" w:themeFillShade="D9"/>
        <w:rPr>
          <w:rFonts w:asciiTheme="minorHAnsi" w:hAnsiTheme="minorHAnsi"/>
        </w:rPr>
      </w:pPr>
      <w:bookmarkStart w:id="2" w:name="_Toc530995289"/>
      <w:bookmarkEnd w:id="0"/>
      <w:r w:rsidRPr="00C05056">
        <w:rPr>
          <w:rFonts w:asciiTheme="minorHAnsi" w:hAnsiTheme="minorHAnsi"/>
        </w:rPr>
        <w:lastRenderedPageBreak/>
        <w:t>Introduction</w:t>
      </w:r>
      <w:bookmarkEnd w:id="2"/>
      <w:r w:rsidRPr="00C05056">
        <w:rPr>
          <w:rFonts w:asciiTheme="minorHAnsi" w:hAnsiTheme="minorHAnsi"/>
        </w:rPr>
        <w:t xml:space="preserve"> </w:t>
      </w:r>
    </w:p>
    <w:p w:rsidR="002A1ABC" w:rsidRDefault="002A1ABC" w:rsidP="002A1ABC">
      <w:r w:rsidRPr="002A1ABC">
        <w:t xml:space="preserve">This explanatory statement relates to the </w:t>
      </w:r>
      <w:r>
        <w:rPr>
          <w:i/>
          <w:iCs/>
        </w:rPr>
        <w:t>Canberra Institute of Technology Amendment Bill</w:t>
      </w:r>
      <w:r w:rsidRPr="002A1ABC">
        <w:t xml:space="preserve"> </w:t>
      </w:r>
      <w:r w:rsidRPr="002A1ABC">
        <w:rPr>
          <w:i/>
        </w:rPr>
        <w:t>2018</w:t>
      </w:r>
      <w:r>
        <w:t xml:space="preserve"> </w:t>
      </w:r>
      <w:r w:rsidRPr="002A1ABC">
        <w:t>as presented to the Legislative Assembly. It has been prepared to assist the reader of the bill and to help inform debate on it. It does not form part of the bill and has not been endorsed by the Assembly.</w:t>
      </w:r>
    </w:p>
    <w:p w:rsidR="002A1ABC" w:rsidRPr="00A37F49" w:rsidRDefault="002A1ABC" w:rsidP="002A1ABC">
      <w:pPr>
        <w:rPr>
          <w:sz w:val="28"/>
        </w:rPr>
      </w:pPr>
    </w:p>
    <w:p w:rsidR="002A1ABC" w:rsidRPr="00A37F49" w:rsidRDefault="002A1ABC" w:rsidP="002A1ABC">
      <w:pPr>
        <w:rPr>
          <w:sz w:val="28"/>
        </w:rPr>
      </w:pPr>
      <w:r w:rsidRPr="00A37F49">
        <w:rPr>
          <w:szCs w:val="23"/>
        </w:rPr>
        <w:t>The Statement must to be read in conjunction with the bill. It is not, and is not meant to be, a comprehensive description of the bill. What is said about a provision is not to be taken as an authoritative guide to the meaning of a provision, this being a task for the courts.</w:t>
      </w:r>
    </w:p>
    <w:p w:rsidR="0088062E" w:rsidRPr="00C05056" w:rsidRDefault="00251B1B" w:rsidP="0050431C">
      <w:pPr>
        <w:pStyle w:val="Heading1"/>
        <w:shd w:val="clear" w:color="auto" w:fill="D9D9D9" w:themeFill="background1" w:themeFillShade="D9"/>
        <w:rPr>
          <w:rFonts w:asciiTheme="minorHAnsi" w:hAnsiTheme="minorHAnsi"/>
        </w:rPr>
      </w:pPr>
      <w:bookmarkStart w:id="3" w:name="_Toc530995290"/>
      <w:r w:rsidRPr="00C05056">
        <w:rPr>
          <w:rFonts w:asciiTheme="minorHAnsi" w:hAnsiTheme="minorHAnsi"/>
        </w:rPr>
        <w:t>O</w:t>
      </w:r>
      <w:r w:rsidR="000A5516" w:rsidRPr="00C05056">
        <w:rPr>
          <w:rFonts w:asciiTheme="minorHAnsi" w:hAnsiTheme="minorHAnsi"/>
        </w:rPr>
        <w:t>verview</w:t>
      </w:r>
      <w:bookmarkEnd w:id="3"/>
    </w:p>
    <w:p w:rsidR="000A5516" w:rsidRDefault="000A5516" w:rsidP="00574782">
      <w:pPr>
        <w:rPr>
          <w:rFonts w:eastAsia="Calibri"/>
          <w:szCs w:val="24"/>
          <w:lang w:eastAsia="en-AU"/>
        </w:rPr>
      </w:pPr>
      <w:r w:rsidRPr="0042274C">
        <w:rPr>
          <w:rFonts w:eastAsia="Calibri"/>
          <w:szCs w:val="24"/>
          <w:lang w:eastAsia="en-AU"/>
        </w:rPr>
        <w:t xml:space="preserve">The Bill will </w:t>
      </w:r>
      <w:r>
        <w:rPr>
          <w:rFonts w:eastAsia="Calibri"/>
          <w:szCs w:val="24"/>
          <w:lang w:eastAsia="en-AU"/>
        </w:rPr>
        <w:t>amend</w:t>
      </w:r>
      <w:r w:rsidRPr="0042274C">
        <w:rPr>
          <w:rFonts w:eastAsia="Calibri"/>
          <w:szCs w:val="24"/>
          <w:lang w:eastAsia="en-AU"/>
        </w:rPr>
        <w:t xml:space="preserve"> the </w:t>
      </w:r>
      <w:r>
        <w:rPr>
          <w:i/>
          <w:iCs/>
        </w:rPr>
        <w:t>Canberra Institute of Technology Act 1987</w:t>
      </w:r>
      <w:r w:rsidRPr="0042274C">
        <w:rPr>
          <w:rFonts w:eastAsia="Calibri"/>
          <w:szCs w:val="24"/>
          <w:lang w:eastAsia="en-AU"/>
        </w:rPr>
        <w:t xml:space="preserve"> (</w:t>
      </w:r>
      <w:r>
        <w:rPr>
          <w:rFonts w:eastAsia="Calibri"/>
          <w:szCs w:val="24"/>
          <w:lang w:eastAsia="en-AU"/>
        </w:rPr>
        <w:t>the CIT</w:t>
      </w:r>
      <w:r w:rsidRPr="0042274C">
        <w:rPr>
          <w:rFonts w:eastAsia="Calibri"/>
          <w:szCs w:val="24"/>
          <w:lang w:eastAsia="en-AU"/>
        </w:rPr>
        <w:t xml:space="preserve"> Act)</w:t>
      </w:r>
      <w:r>
        <w:rPr>
          <w:rFonts w:eastAsia="Calibri"/>
          <w:szCs w:val="24"/>
          <w:lang w:eastAsia="en-AU"/>
        </w:rPr>
        <w:t xml:space="preserve">. </w:t>
      </w:r>
    </w:p>
    <w:p w:rsidR="000A5516" w:rsidRDefault="000A5516" w:rsidP="00574782"/>
    <w:p w:rsidR="006C1069" w:rsidRDefault="006C1069" w:rsidP="006C1069">
      <w:r>
        <w:t xml:space="preserve">The </w:t>
      </w:r>
      <w:r>
        <w:rPr>
          <w:i/>
          <w:iCs/>
        </w:rPr>
        <w:t xml:space="preserve">ACT Implementation Plan for the National Partnership Agreement on Skills Reform 2012-17 </w:t>
      </w:r>
      <w:r>
        <w:t xml:space="preserve">(NP) included a commitment to support the public training provider to strengthen its capacity to deliver training effectively (a commitment under the ‘efficiency’ pillar). One of the strategies used to support this work was the implementation of revised governance arrangements for CIT, including replacing the previous CIT Advisory Council with a governing board from 2015, which required </w:t>
      </w:r>
      <w:r w:rsidR="00A51796">
        <w:t xml:space="preserve">substantial </w:t>
      </w:r>
      <w:r>
        <w:t xml:space="preserve">changes to CIT’s governing legislation, the </w:t>
      </w:r>
      <w:r>
        <w:rPr>
          <w:i/>
          <w:iCs/>
        </w:rPr>
        <w:t xml:space="preserve">Canberra Institute of Technology Act 1987, </w:t>
      </w:r>
      <w:r>
        <w:t xml:space="preserve">via the </w:t>
      </w:r>
      <w:r>
        <w:rPr>
          <w:i/>
          <w:iCs/>
        </w:rPr>
        <w:t xml:space="preserve">Canberra Institute of Technology Amendment </w:t>
      </w:r>
      <w:r w:rsidR="00013778">
        <w:rPr>
          <w:i/>
          <w:iCs/>
        </w:rPr>
        <w:t xml:space="preserve">Act </w:t>
      </w:r>
      <w:r>
        <w:rPr>
          <w:i/>
          <w:iCs/>
        </w:rPr>
        <w:t>2014</w:t>
      </w:r>
      <w:r>
        <w:t xml:space="preserve">. </w:t>
      </w:r>
    </w:p>
    <w:p w:rsidR="006C1069" w:rsidRDefault="006C1069" w:rsidP="000A5516"/>
    <w:p w:rsidR="000A5516" w:rsidRDefault="006C1069" w:rsidP="000A5516">
      <w:r>
        <w:t xml:space="preserve">This bill does not propose further comprehensive amendments to the CIT Act. The purpose of these amendments is to implement changes identified in a review of the </w:t>
      </w:r>
      <w:r w:rsidR="00436684">
        <w:t xml:space="preserve">governance arrangements </w:t>
      </w:r>
      <w:r>
        <w:t>undertaken in 2016</w:t>
      </w:r>
      <w:r w:rsidR="00436684">
        <w:t xml:space="preserve">-17, </w:t>
      </w:r>
      <w:r w:rsidR="0070181F">
        <w:t>as well as take the opportunity to update some of the outdated conventions within the CIT Act</w:t>
      </w:r>
      <w:r>
        <w:t xml:space="preserve">. </w:t>
      </w:r>
    </w:p>
    <w:p w:rsidR="000A5516" w:rsidRDefault="000A5516" w:rsidP="000A5516"/>
    <w:p w:rsidR="000A5516" w:rsidRDefault="000A5516" w:rsidP="002A1ABC">
      <w:pPr>
        <w:spacing w:after="120"/>
      </w:pPr>
      <w:r>
        <w:t>In summary, the amendments propose:</w:t>
      </w:r>
    </w:p>
    <w:p w:rsidR="00416E53" w:rsidRDefault="00416E53" w:rsidP="002A3736">
      <w:pPr>
        <w:pStyle w:val="ListParagraph"/>
        <w:widowControl w:val="0"/>
        <w:numPr>
          <w:ilvl w:val="0"/>
          <w:numId w:val="4"/>
        </w:numPr>
        <w:spacing w:after="120"/>
        <w:ind w:left="567" w:hanging="567"/>
        <w:contextualSpacing w:val="0"/>
        <w:rPr>
          <w:szCs w:val="20"/>
        </w:rPr>
      </w:pPr>
      <w:r>
        <w:rPr>
          <w:szCs w:val="20"/>
        </w:rPr>
        <w:t>Substituting references to ‘institute’ with ‘CIT’</w:t>
      </w:r>
      <w:r w:rsidR="00A37F49">
        <w:rPr>
          <w:szCs w:val="20"/>
        </w:rPr>
        <w:t>;</w:t>
      </w:r>
    </w:p>
    <w:p w:rsidR="00416E53" w:rsidRDefault="0070181F" w:rsidP="002A3736">
      <w:pPr>
        <w:pStyle w:val="ListParagraph"/>
        <w:widowControl w:val="0"/>
        <w:numPr>
          <w:ilvl w:val="0"/>
          <w:numId w:val="4"/>
        </w:numPr>
        <w:spacing w:after="120"/>
        <w:ind w:left="567" w:hanging="567"/>
        <w:contextualSpacing w:val="0"/>
        <w:rPr>
          <w:szCs w:val="20"/>
        </w:rPr>
      </w:pPr>
      <w:r>
        <w:rPr>
          <w:szCs w:val="20"/>
        </w:rPr>
        <w:t xml:space="preserve">Aligning language in the legislation to </w:t>
      </w:r>
      <w:r>
        <w:t>better reflect CIT’s established policies</w:t>
      </w:r>
      <w:r w:rsidR="00A37F49">
        <w:t>;</w:t>
      </w:r>
    </w:p>
    <w:p w:rsidR="00436684" w:rsidRPr="00436684" w:rsidRDefault="00957130" w:rsidP="002A3736">
      <w:pPr>
        <w:pStyle w:val="ListParagraph"/>
        <w:widowControl w:val="0"/>
        <w:numPr>
          <w:ilvl w:val="0"/>
          <w:numId w:val="4"/>
        </w:numPr>
        <w:spacing w:after="120"/>
        <w:ind w:left="567" w:hanging="567"/>
        <w:contextualSpacing w:val="0"/>
        <w:rPr>
          <w:szCs w:val="20"/>
        </w:rPr>
      </w:pPr>
      <w:r>
        <w:rPr>
          <w:szCs w:val="20"/>
        </w:rPr>
        <w:t xml:space="preserve">Reducing </w:t>
      </w:r>
      <w:r w:rsidR="0013394D">
        <w:rPr>
          <w:szCs w:val="20"/>
        </w:rPr>
        <w:t xml:space="preserve">the minimum number of </w:t>
      </w:r>
      <w:r w:rsidR="00416E53">
        <w:rPr>
          <w:szCs w:val="20"/>
        </w:rPr>
        <w:t>b</w:t>
      </w:r>
      <w:r w:rsidR="00436684" w:rsidRPr="00436684">
        <w:rPr>
          <w:szCs w:val="20"/>
        </w:rPr>
        <w:t>oard</w:t>
      </w:r>
      <w:r w:rsidR="00736C02">
        <w:rPr>
          <w:szCs w:val="20"/>
        </w:rPr>
        <w:t xml:space="preserve"> member</w:t>
      </w:r>
      <w:r>
        <w:rPr>
          <w:szCs w:val="20"/>
        </w:rPr>
        <w:t>s</w:t>
      </w:r>
      <w:r w:rsidR="00A37F49">
        <w:rPr>
          <w:szCs w:val="20"/>
        </w:rPr>
        <w:t>;</w:t>
      </w:r>
      <w:r w:rsidR="00436684" w:rsidRPr="00436684">
        <w:rPr>
          <w:szCs w:val="20"/>
        </w:rPr>
        <w:t xml:space="preserve"> </w:t>
      </w:r>
    </w:p>
    <w:p w:rsidR="00436684" w:rsidRPr="00436684" w:rsidRDefault="0070181F" w:rsidP="002A3736">
      <w:pPr>
        <w:pStyle w:val="ListParagraph"/>
        <w:widowControl w:val="0"/>
        <w:numPr>
          <w:ilvl w:val="0"/>
          <w:numId w:val="4"/>
        </w:numPr>
        <w:spacing w:after="120"/>
        <w:ind w:left="567" w:hanging="567"/>
        <w:contextualSpacing w:val="0"/>
        <w:rPr>
          <w:szCs w:val="20"/>
        </w:rPr>
      </w:pPr>
      <w:r>
        <w:rPr>
          <w:szCs w:val="20"/>
        </w:rPr>
        <w:t>Discontinuing</w:t>
      </w:r>
      <w:r w:rsidRPr="00436684">
        <w:rPr>
          <w:szCs w:val="20"/>
        </w:rPr>
        <w:t xml:space="preserve"> </w:t>
      </w:r>
      <w:r w:rsidR="00436684" w:rsidRPr="00436684">
        <w:rPr>
          <w:szCs w:val="20"/>
        </w:rPr>
        <w:t xml:space="preserve">ACT Government </w:t>
      </w:r>
      <w:r>
        <w:rPr>
          <w:szCs w:val="20"/>
        </w:rPr>
        <w:t>board member appointments</w:t>
      </w:r>
      <w:r w:rsidR="00A37F49">
        <w:rPr>
          <w:szCs w:val="20"/>
        </w:rPr>
        <w:t>;</w:t>
      </w:r>
      <w:r w:rsidR="00620A3F">
        <w:rPr>
          <w:szCs w:val="20"/>
        </w:rPr>
        <w:t xml:space="preserve"> and</w:t>
      </w:r>
    </w:p>
    <w:p w:rsidR="00436684" w:rsidRDefault="00A51796" w:rsidP="002A3736">
      <w:pPr>
        <w:pStyle w:val="ListParagraph"/>
        <w:widowControl w:val="0"/>
        <w:numPr>
          <w:ilvl w:val="0"/>
          <w:numId w:val="4"/>
        </w:numPr>
        <w:spacing w:after="120"/>
        <w:ind w:left="567" w:hanging="567"/>
        <w:contextualSpacing w:val="0"/>
        <w:rPr>
          <w:szCs w:val="20"/>
        </w:rPr>
      </w:pPr>
      <w:r>
        <w:rPr>
          <w:szCs w:val="20"/>
        </w:rPr>
        <w:t>Revis</w:t>
      </w:r>
      <w:r w:rsidR="0070181F">
        <w:rPr>
          <w:szCs w:val="20"/>
        </w:rPr>
        <w:t>ing</w:t>
      </w:r>
      <w:r>
        <w:rPr>
          <w:szCs w:val="20"/>
        </w:rPr>
        <w:t xml:space="preserve"> membership eligibility criteria</w:t>
      </w:r>
      <w:r w:rsidR="00620A3F">
        <w:rPr>
          <w:szCs w:val="20"/>
        </w:rPr>
        <w:t>.</w:t>
      </w:r>
    </w:p>
    <w:p w:rsidR="001F6461" w:rsidRPr="00620A3F" w:rsidRDefault="005F46E3" w:rsidP="00620A3F">
      <w:pPr>
        <w:pStyle w:val="Default"/>
        <w:rPr>
          <w:rFonts w:eastAsia="Times New Roman"/>
        </w:rPr>
      </w:pPr>
      <w:r>
        <w:t>The e</w:t>
      </w:r>
      <w:r w:rsidR="00712535">
        <w:t>ffect of the amendments is</w:t>
      </w:r>
      <w:r>
        <w:t xml:space="preserve"> to create a more agile CIT,</w:t>
      </w:r>
      <w:r w:rsidR="00620A3F">
        <w:t xml:space="preserve"> able to effectively respond to </w:t>
      </w:r>
      <w:r w:rsidR="00620A3F" w:rsidRPr="00620A3F">
        <w:t xml:space="preserve">increasingly competitive </w:t>
      </w:r>
      <w:r w:rsidR="00620A3F">
        <w:t xml:space="preserve">and </w:t>
      </w:r>
      <w:r>
        <w:t>rapidly changing circumstances in the vocational education and training and higher education market.</w:t>
      </w:r>
      <w:r w:rsidR="00D42C22">
        <w:t xml:space="preserve"> </w:t>
      </w:r>
      <w:r w:rsidR="0070181F" w:rsidRPr="00436684">
        <w:rPr>
          <w:color w:val="auto"/>
          <w:szCs w:val="20"/>
        </w:rPr>
        <w:t xml:space="preserve">Amending the </w:t>
      </w:r>
      <w:r w:rsidR="0070181F">
        <w:t xml:space="preserve">CIT </w:t>
      </w:r>
      <w:r w:rsidR="0070181F" w:rsidRPr="00436684">
        <w:t>Act</w:t>
      </w:r>
      <w:r w:rsidR="0070181F" w:rsidRPr="00436684">
        <w:rPr>
          <w:color w:val="auto"/>
          <w:szCs w:val="20"/>
        </w:rPr>
        <w:t xml:space="preserve"> will </w:t>
      </w:r>
      <w:r w:rsidR="0070181F">
        <w:t xml:space="preserve">also </w:t>
      </w:r>
      <w:r w:rsidR="0070181F" w:rsidRPr="00436684">
        <w:rPr>
          <w:color w:val="auto"/>
          <w:szCs w:val="20"/>
        </w:rPr>
        <w:t xml:space="preserve">further clarify the intent of the CIT Board Membership and ensure </w:t>
      </w:r>
      <w:r w:rsidR="00620A3F">
        <w:rPr>
          <w:color w:val="auto"/>
          <w:szCs w:val="20"/>
        </w:rPr>
        <w:t xml:space="preserve">appointment of industry experts with </w:t>
      </w:r>
      <w:r w:rsidR="0070181F" w:rsidRPr="00436684">
        <w:rPr>
          <w:color w:val="auto"/>
          <w:szCs w:val="20"/>
        </w:rPr>
        <w:t xml:space="preserve">the relevant skills to oversee </w:t>
      </w:r>
      <w:r w:rsidR="00620A3F">
        <w:rPr>
          <w:color w:val="auto"/>
          <w:szCs w:val="20"/>
        </w:rPr>
        <w:t>and</w:t>
      </w:r>
      <w:r w:rsidR="0070181F" w:rsidRPr="00436684">
        <w:rPr>
          <w:color w:val="auto"/>
          <w:szCs w:val="20"/>
        </w:rPr>
        <w:t xml:space="preserve"> </w:t>
      </w:r>
      <w:r w:rsidR="00620A3F">
        <w:rPr>
          <w:color w:val="auto"/>
          <w:szCs w:val="20"/>
        </w:rPr>
        <w:t xml:space="preserve">implement the strategic vision and plan as outlined in </w:t>
      </w:r>
      <w:r w:rsidR="0070181F" w:rsidRPr="00436684">
        <w:rPr>
          <w:color w:val="auto"/>
          <w:szCs w:val="20"/>
        </w:rPr>
        <w:t xml:space="preserve">CIT’s </w:t>
      </w:r>
      <w:r w:rsidR="0070181F" w:rsidRPr="00C05056">
        <w:rPr>
          <w:i/>
          <w:color w:val="auto"/>
          <w:szCs w:val="20"/>
        </w:rPr>
        <w:t>Strategic Compass 2020</w:t>
      </w:r>
      <w:r w:rsidR="0075090C">
        <w:rPr>
          <w:i/>
          <w:color w:val="auto"/>
          <w:szCs w:val="20"/>
        </w:rPr>
        <w:t xml:space="preserve">, </w:t>
      </w:r>
      <w:r w:rsidR="0075090C" w:rsidRPr="0075090C">
        <w:rPr>
          <w:color w:val="auto"/>
          <w:szCs w:val="20"/>
        </w:rPr>
        <w:t xml:space="preserve">whilst </w:t>
      </w:r>
      <w:r w:rsidR="0075090C">
        <w:rPr>
          <w:color w:val="auto"/>
          <w:szCs w:val="20"/>
        </w:rPr>
        <w:t>also recognising the importance of specific knowledge and expertise in education pedagogy to the quality of the education experience delivered by CIT</w:t>
      </w:r>
      <w:r w:rsidR="00620A3F">
        <w:rPr>
          <w:color w:val="auto"/>
          <w:szCs w:val="20"/>
        </w:rPr>
        <w:t>.</w:t>
      </w:r>
    </w:p>
    <w:p w:rsidR="0070181F" w:rsidRDefault="0070181F" w:rsidP="004601E3"/>
    <w:p w:rsidR="0070181F" w:rsidRPr="00436684" w:rsidRDefault="0070181F" w:rsidP="0070181F">
      <w:pPr>
        <w:rPr>
          <w:iCs/>
        </w:rPr>
      </w:pPr>
      <w:r w:rsidRPr="00436684">
        <w:rPr>
          <w:iCs/>
        </w:rPr>
        <w:t xml:space="preserve">CIT services our community as the ACT’s largest public training provider, training around 20,000 students each year. The provision of vocational education and training through CIT is an important element in the ACT Government’s commitment to assist people of the ACT to be part of a well-trained and highly skilled workforce. </w:t>
      </w:r>
    </w:p>
    <w:p w:rsidR="0070181F" w:rsidRDefault="0070181F" w:rsidP="004601E3"/>
    <w:p w:rsidR="009932A6" w:rsidRPr="009461EB" w:rsidRDefault="009932A6" w:rsidP="009932A6">
      <w:pPr>
        <w:spacing w:after="120"/>
        <w:rPr>
          <w:b/>
          <w:szCs w:val="24"/>
          <w:u w:val="single"/>
        </w:rPr>
      </w:pPr>
      <w:r w:rsidRPr="0042274C">
        <w:rPr>
          <w:b/>
          <w:szCs w:val="24"/>
          <w:u w:val="single"/>
        </w:rPr>
        <w:t>Human Rights Considerations</w:t>
      </w:r>
    </w:p>
    <w:p w:rsidR="009932A6" w:rsidRPr="009461EB" w:rsidRDefault="009932A6" w:rsidP="009932A6">
      <w:pPr>
        <w:autoSpaceDE w:val="0"/>
        <w:autoSpaceDN w:val="0"/>
        <w:adjustRightInd w:val="0"/>
        <w:spacing w:after="120"/>
        <w:rPr>
          <w:i/>
        </w:rPr>
      </w:pPr>
      <w:r w:rsidRPr="005C3BC4">
        <w:t xml:space="preserve">No provisions in this </w:t>
      </w:r>
      <w:r>
        <w:t>B</w:t>
      </w:r>
      <w:r w:rsidRPr="005C3BC4">
        <w:t xml:space="preserve">ill engage rights under the </w:t>
      </w:r>
      <w:r w:rsidRPr="005C3BC4">
        <w:rPr>
          <w:i/>
        </w:rPr>
        <w:t>Human Rights Act 2004</w:t>
      </w:r>
      <w:r>
        <w:rPr>
          <w:i/>
        </w:rPr>
        <w:t>.</w:t>
      </w:r>
    </w:p>
    <w:p w:rsidR="009932A6" w:rsidRDefault="009932A6" w:rsidP="004601E3"/>
    <w:p w:rsidR="0070181F" w:rsidRDefault="0070181F">
      <w:pPr>
        <w:rPr>
          <w:b/>
          <w:kern w:val="28"/>
          <w:sz w:val="32"/>
        </w:rPr>
      </w:pPr>
      <w:r>
        <w:br w:type="page"/>
      </w:r>
    </w:p>
    <w:p w:rsidR="00550AE5" w:rsidRPr="00C05056" w:rsidRDefault="002A1ABC" w:rsidP="00C05056">
      <w:pPr>
        <w:pStyle w:val="Heading1"/>
        <w:shd w:val="clear" w:color="auto" w:fill="auto"/>
        <w:jc w:val="center"/>
        <w:rPr>
          <w:rFonts w:asciiTheme="minorHAnsi" w:hAnsiTheme="minorHAnsi"/>
        </w:rPr>
      </w:pPr>
      <w:bookmarkStart w:id="4" w:name="_Toc530995291"/>
      <w:r w:rsidRPr="00C05056">
        <w:rPr>
          <w:rFonts w:asciiTheme="minorHAnsi" w:hAnsiTheme="minorHAnsi"/>
        </w:rPr>
        <w:t xml:space="preserve">Notes on </w:t>
      </w:r>
      <w:r w:rsidR="001A2BD7" w:rsidRPr="00C05056">
        <w:rPr>
          <w:rFonts w:asciiTheme="minorHAnsi" w:hAnsiTheme="minorHAnsi"/>
        </w:rPr>
        <w:t>C</w:t>
      </w:r>
      <w:r w:rsidRPr="00C05056">
        <w:rPr>
          <w:rFonts w:asciiTheme="minorHAnsi" w:hAnsiTheme="minorHAnsi"/>
        </w:rPr>
        <w:t>lauses</w:t>
      </w:r>
      <w:bookmarkEnd w:id="4"/>
    </w:p>
    <w:p w:rsidR="005E46A5" w:rsidRPr="0097757B" w:rsidRDefault="005E46A5" w:rsidP="00280CFD">
      <w:pPr>
        <w:pStyle w:val="Heading3"/>
        <w:numPr>
          <w:ilvl w:val="0"/>
          <w:numId w:val="5"/>
        </w:numPr>
        <w:shd w:val="clear" w:color="auto" w:fill="D9D9D9" w:themeFill="background1" w:themeFillShade="D9"/>
        <w:ind w:left="0" w:firstLine="0"/>
        <w:rPr>
          <w:rFonts w:asciiTheme="minorHAnsi" w:hAnsiTheme="minorHAnsi"/>
          <w:i w:val="0"/>
          <w:sz w:val="24"/>
        </w:rPr>
      </w:pPr>
      <w:bookmarkStart w:id="5" w:name="_Toc530995292"/>
      <w:r w:rsidRPr="0097757B">
        <w:rPr>
          <w:rFonts w:asciiTheme="minorHAnsi" w:hAnsiTheme="minorHAnsi"/>
          <w:i w:val="0"/>
          <w:sz w:val="24"/>
        </w:rPr>
        <w:t>Name of Act</w:t>
      </w:r>
      <w:bookmarkEnd w:id="5"/>
      <w:r w:rsidRPr="0097757B">
        <w:rPr>
          <w:rFonts w:asciiTheme="minorHAnsi" w:hAnsiTheme="minorHAnsi"/>
          <w:i w:val="0"/>
          <w:sz w:val="24"/>
        </w:rPr>
        <w:t xml:space="preserve"> </w:t>
      </w:r>
    </w:p>
    <w:p w:rsidR="005E46A5" w:rsidRDefault="00550AE5" w:rsidP="00280CFD">
      <w:pPr>
        <w:spacing w:before="120"/>
      </w:pPr>
      <w:r w:rsidRPr="0042274C">
        <w:rPr>
          <w:szCs w:val="24"/>
        </w:rPr>
        <w:t xml:space="preserve">This </w:t>
      </w:r>
      <w:r>
        <w:rPr>
          <w:szCs w:val="24"/>
        </w:rPr>
        <w:t>clause is a formal provision that sets out the name of the proposed legislation</w:t>
      </w:r>
      <w:r w:rsidR="00FD44AA">
        <w:t>, which is</w:t>
      </w:r>
      <w:r w:rsidR="00CA3366">
        <w:t xml:space="preserve"> the </w:t>
      </w:r>
      <w:r w:rsidR="005F46E3">
        <w:rPr>
          <w:i/>
        </w:rPr>
        <w:t>Canberra Institute of Technology Amendment Act 201</w:t>
      </w:r>
      <w:r>
        <w:rPr>
          <w:i/>
        </w:rPr>
        <w:t>8</w:t>
      </w:r>
      <w:r w:rsidR="005F46E3">
        <w:rPr>
          <w:i/>
        </w:rPr>
        <w:t>.</w:t>
      </w:r>
    </w:p>
    <w:p w:rsidR="00CA3366" w:rsidRDefault="00CA3366" w:rsidP="00280CFD"/>
    <w:p w:rsidR="005E46A5" w:rsidRPr="0097757B" w:rsidRDefault="005E46A5" w:rsidP="00280CFD">
      <w:pPr>
        <w:pStyle w:val="Heading3"/>
        <w:numPr>
          <w:ilvl w:val="0"/>
          <w:numId w:val="5"/>
        </w:numPr>
        <w:shd w:val="clear" w:color="auto" w:fill="D9D9D9" w:themeFill="background1" w:themeFillShade="D9"/>
        <w:ind w:left="0" w:firstLine="0"/>
        <w:rPr>
          <w:rFonts w:asciiTheme="minorHAnsi" w:hAnsiTheme="minorHAnsi"/>
          <w:i w:val="0"/>
          <w:sz w:val="24"/>
        </w:rPr>
      </w:pPr>
      <w:bookmarkStart w:id="6" w:name="_Toc530995293"/>
      <w:r w:rsidRPr="0097757B">
        <w:rPr>
          <w:rFonts w:asciiTheme="minorHAnsi" w:hAnsiTheme="minorHAnsi"/>
          <w:i w:val="0"/>
          <w:sz w:val="24"/>
        </w:rPr>
        <w:t>Commencement</w:t>
      </w:r>
      <w:bookmarkEnd w:id="6"/>
      <w:r w:rsidRPr="0097757B">
        <w:rPr>
          <w:rFonts w:asciiTheme="minorHAnsi" w:hAnsiTheme="minorHAnsi"/>
          <w:i w:val="0"/>
          <w:sz w:val="24"/>
        </w:rPr>
        <w:t xml:space="preserve"> </w:t>
      </w:r>
    </w:p>
    <w:p w:rsidR="005E46A5" w:rsidRDefault="00550AE5" w:rsidP="00280CFD">
      <w:pPr>
        <w:spacing w:before="120"/>
      </w:pPr>
      <w:r w:rsidRPr="00ED2072">
        <w:rPr>
          <w:szCs w:val="24"/>
        </w:rPr>
        <w:t xml:space="preserve">This clause explains that the Bill will take effect </w:t>
      </w:r>
      <w:r>
        <w:rPr>
          <w:szCs w:val="24"/>
        </w:rPr>
        <w:t xml:space="preserve">on </w:t>
      </w:r>
      <w:r w:rsidR="002A045E">
        <w:rPr>
          <w:szCs w:val="24"/>
        </w:rPr>
        <w:t>a date notified by the Minister once the legislation amendment has been passed</w:t>
      </w:r>
      <w:r w:rsidR="00CA3366">
        <w:t>.</w:t>
      </w:r>
    </w:p>
    <w:p w:rsidR="005A474D" w:rsidRDefault="005A474D" w:rsidP="00280CFD"/>
    <w:p w:rsidR="005E46A5" w:rsidRPr="0097757B" w:rsidRDefault="0023273E" w:rsidP="00280CFD">
      <w:pPr>
        <w:pStyle w:val="Heading3"/>
        <w:numPr>
          <w:ilvl w:val="0"/>
          <w:numId w:val="5"/>
        </w:numPr>
        <w:shd w:val="clear" w:color="auto" w:fill="D9D9D9" w:themeFill="background1" w:themeFillShade="D9"/>
        <w:ind w:left="0" w:firstLine="0"/>
        <w:rPr>
          <w:rFonts w:asciiTheme="minorHAnsi" w:hAnsiTheme="minorHAnsi"/>
          <w:i w:val="0"/>
          <w:sz w:val="24"/>
        </w:rPr>
      </w:pPr>
      <w:bookmarkStart w:id="7" w:name="_Toc530995294"/>
      <w:r w:rsidRPr="0097757B">
        <w:rPr>
          <w:rFonts w:asciiTheme="minorHAnsi" w:hAnsiTheme="minorHAnsi"/>
          <w:i w:val="0"/>
          <w:sz w:val="24"/>
        </w:rPr>
        <w:t>Legislation Amended</w:t>
      </w:r>
      <w:bookmarkEnd w:id="7"/>
      <w:r w:rsidRPr="0097757B">
        <w:rPr>
          <w:rFonts w:asciiTheme="minorHAnsi" w:hAnsiTheme="minorHAnsi"/>
          <w:i w:val="0"/>
          <w:sz w:val="24"/>
        </w:rPr>
        <w:t xml:space="preserve"> </w:t>
      </w:r>
    </w:p>
    <w:p w:rsidR="00FD44AA" w:rsidRDefault="005F46E3" w:rsidP="00AC13A8">
      <w:pPr>
        <w:spacing w:before="120"/>
      </w:pPr>
      <w:r>
        <w:t xml:space="preserve">This is a technical provision identifying that it is the </w:t>
      </w:r>
      <w:r w:rsidRPr="00E249AC">
        <w:rPr>
          <w:i/>
        </w:rPr>
        <w:t>Canberra Institute of Technology Act 1987</w:t>
      </w:r>
      <w:r>
        <w:t xml:space="preserve"> (CIT Act) that is being amended.</w:t>
      </w:r>
    </w:p>
    <w:p w:rsidR="00CC124A" w:rsidRDefault="00CC124A" w:rsidP="00FD44AA"/>
    <w:p w:rsidR="002E77DF" w:rsidRPr="002E77DF" w:rsidRDefault="002E77DF" w:rsidP="002E77DF">
      <w:pPr>
        <w:pStyle w:val="Heading2"/>
        <w:rPr>
          <w:rFonts w:asciiTheme="minorHAnsi" w:hAnsiTheme="minorHAnsi"/>
        </w:rPr>
      </w:pPr>
      <w:bookmarkStart w:id="8" w:name="_Toc530995295"/>
      <w:r w:rsidRPr="002E77DF">
        <w:rPr>
          <w:rFonts w:asciiTheme="minorHAnsi" w:hAnsiTheme="minorHAnsi"/>
        </w:rPr>
        <w:t xml:space="preserve">Part 2 </w:t>
      </w:r>
      <w:r>
        <w:rPr>
          <w:rFonts w:asciiTheme="minorHAnsi" w:hAnsiTheme="minorHAnsi"/>
        </w:rPr>
        <w:tab/>
      </w:r>
      <w:r w:rsidRPr="002E77DF">
        <w:rPr>
          <w:rFonts w:asciiTheme="minorHAnsi" w:hAnsiTheme="minorHAnsi"/>
        </w:rPr>
        <w:t>Canberra Institute of Technology</w:t>
      </w:r>
      <w:bookmarkEnd w:id="8"/>
      <w:r w:rsidRPr="002E77DF">
        <w:rPr>
          <w:rFonts w:asciiTheme="minorHAnsi" w:hAnsiTheme="minorHAnsi"/>
        </w:rPr>
        <w:t xml:space="preserve"> </w:t>
      </w:r>
    </w:p>
    <w:p w:rsidR="002E77DF" w:rsidRPr="00CC71EA" w:rsidRDefault="002E77DF" w:rsidP="00CC71EA">
      <w:pPr>
        <w:pStyle w:val="Heading3"/>
        <w:spacing w:after="120"/>
        <w:rPr>
          <w:rFonts w:asciiTheme="minorHAnsi" w:hAnsiTheme="minorHAnsi"/>
          <w:i w:val="0"/>
          <w:sz w:val="26"/>
          <w:szCs w:val="26"/>
        </w:rPr>
      </w:pPr>
      <w:bookmarkStart w:id="9" w:name="_Toc530995296"/>
      <w:r w:rsidRPr="00CC71EA">
        <w:rPr>
          <w:rFonts w:asciiTheme="minorHAnsi" w:hAnsiTheme="minorHAnsi"/>
          <w:i w:val="0"/>
          <w:sz w:val="26"/>
          <w:szCs w:val="26"/>
        </w:rPr>
        <w:t xml:space="preserve">Division 2.1 </w:t>
      </w:r>
      <w:r w:rsidRPr="00CC71EA">
        <w:rPr>
          <w:rFonts w:asciiTheme="minorHAnsi" w:hAnsiTheme="minorHAnsi"/>
          <w:i w:val="0"/>
          <w:sz w:val="26"/>
          <w:szCs w:val="26"/>
        </w:rPr>
        <w:tab/>
        <w:t>Establishment and functions of the Institute</w:t>
      </w:r>
      <w:bookmarkEnd w:id="9"/>
      <w:r w:rsidRPr="00CC71EA">
        <w:rPr>
          <w:rFonts w:asciiTheme="minorHAnsi" w:hAnsiTheme="minorHAnsi"/>
          <w:i w:val="0"/>
          <w:sz w:val="26"/>
          <w:szCs w:val="26"/>
        </w:rPr>
        <w:t xml:space="preserve"> </w:t>
      </w:r>
    </w:p>
    <w:p w:rsidR="005E46A5" w:rsidRPr="009525E8" w:rsidRDefault="0023273E" w:rsidP="0085513D">
      <w:pPr>
        <w:pStyle w:val="Heading3"/>
        <w:numPr>
          <w:ilvl w:val="0"/>
          <w:numId w:val="5"/>
        </w:numPr>
        <w:shd w:val="clear" w:color="auto" w:fill="D9D9D9" w:themeFill="background1" w:themeFillShade="D9"/>
        <w:ind w:left="426" w:hanging="426"/>
        <w:rPr>
          <w:rFonts w:asciiTheme="minorHAnsi" w:hAnsiTheme="minorHAnsi"/>
          <w:i w:val="0"/>
          <w:sz w:val="24"/>
        </w:rPr>
      </w:pPr>
      <w:bookmarkStart w:id="10" w:name="_Toc530995297"/>
      <w:r w:rsidRPr="009525E8">
        <w:rPr>
          <w:rFonts w:asciiTheme="minorHAnsi" w:hAnsiTheme="minorHAnsi"/>
          <w:i w:val="0"/>
          <w:sz w:val="24"/>
        </w:rPr>
        <w:t>Section</w:t>
      </w:r>
      <w:r w:rsidR="00736C02" w:rsidRPr="009525E8">
        <w:rPr>
          <w:rFonts w:asciiTheme="minorHAnsi" w:hAnsiTheme="minorHAnsi"/>
          <w:i w:val="0"/>
          <w:sz w:val="24"/>
        </w:rPr>
        <w:t xml:space="preserve"> 5</w:t>
      </w:r>
      <w:r w:rsidR="0050431C" w:rsidRPr="009525E8">
        <w:rPr>
          <w:rFonts w:asciiTheme="minorHAnsi" w:hAnsiTheme="minorHAnsi"/>
          <w:i w:val="0"/>
          <w:sz w:val="24"/>
        </w:rPr>
        <w:tab/>
      </w:r>
      <w:r w:rsidR="00C05056" w:rsidRPr="009525E8">
        <w:rPr>
          <w:rFonts w:asciiTheme="minorHAnsi" w:hAnsiTheme="minorHAnsi"/>
          <w:i w:val="0"/>
          <w:sz w:val="24"/>
        </w:rPr>
        <w:t>Establishment of CIT</w:t>
      </w:r>
      <w:bookmarkEnd w:id="10"/>
    </w:p>
    <w:p w:rsidR="00736C02" w:rsidRDefault="00736C02" w:rsidP="00AC13A8">
      <w:pPr>
        <w:spacing w:before="120"/>
      </w:pPr>
      <w:bookmarkStart w:id="11" w:name="_Toc386613584"/>
      <w:r>
        <w:t xml:space="preserve">This provision is a technical amendment to replace the term ‘institute’ with ‘CIT’. </w:t>
      </w:r>
    </w:p>
    <w:p w:rsidR="00CC124A" w:rsidRDefault="00CC124A" w:rsidP="00BE0F09"/>
    <w:p w:rsidR="00CC124A" w:rsidRDefault="00CC124A" w:rsidP="00CC124A">
      <w:r>
        <w:t xml:space="preserve">Although the Act is titled </w:t>
      </w:r>
      <w:r w:rsidRPr="00CC124A">
        <w:rPr>
          <w:i/>
        </w:rPr>
        <w:t>Canberra Institute of Technology Act 1987</w:t>
      </w:r>
      <w:r w:rsidRPr="00CC124A">
        <w:t>,</w:t>
      </w:r>
      <w:r>
        <w:t xml:space="preserve"> references in the Act are solely to the ‘Institute’. There is a clear preference for replacing this with ‘CIT’ to reflect the modern </w:t>
      </w:r>
      <w:r w:rsidR="00C05056">
        <w:t xml:space="preserve">branding and strategic directions outlined in the </w:t>
      </w:r>
      <w:r w:rsidR="00C05056" w:rsidRPr="00C05056">
        <w:rPr>
          <w:i/>
        </w:rPr>
        <w:t>Strategic Compass 2020</w:t>
      </w:r>
      <w:r w:rsidR="00C05056">
        <w:t>.</w:t>
      </w:r>
    </w:p>
    <w:p w:rsidR="00CC124A" w:rsidRDefault="00CC124A" w:rsidP="00BE0F09"/>
    <w:p w:rsidR="00CA32AC" w:rsidRDefault="00CA32AC" w:rsidP="00280CFD">
      <w:pPr>
        <w:pStyle w:val="Heading3"/>
        <w:spacing w:after="120"/>
        <w:rPr>
          <w:rFonts w:asciiTheme="minorHAnsi" w:hAnsiTheme="minorHAnsi"/>
          <w:i w:val="0"/>
          <w:sz w:val="26"/>
          <w:szCs w:val="26"/>
        </w:rPr>
      </w:pPr>
      <w:bookmarkStart w:id="12" w:name="_Toc530995298"/>
      <w:r w:rsidRPr="00CC71EA">
        <w:rPr>
          <w:rFonts w:asciiTheme="minorHAnsi" w:hAnsiTheme="minorHAnsi"/>
          <w:i w:val="0"/>
          <w:sz w:val="26"/>
          <w:szCs w:val="26"/>
        </w:rPr>
        <w:t xml:space="preserve">Division 2.2 </w:t>
      </w:r>
      <w:r w:rsidRPr="00CC71EA">
        <w:rPr>
          <w:rFonts w:asciiTheme="minorHAnsi" w:hAnsiTheme="minorHAnsi"/>
          <w:i w:val="0"/>
          <w:sz w:val="26"/>
          <w:szCs w:val="26"/>
        </w:rPr>
        <w:tab/>
        <w:t>Institute Board</w:t>
      </w:r>
      <w:bookmarkEnd w:id="12"/>
    </w:p>
    <w:p w:rsidR="0014349F" w:rsidRPr="0097757B" w:rsidRDefault="0014349F" w:rsidP="0085513D">
      <w:pPr>
        <w:pStyle w:val="Heading3"/>
        <w:numPr>
          <w:ilvl w:val="0"/>
          <w:numId w:val="16"/>
        </w:numPr>
        <w:shd w:val="clear" w:color="auto" w:fill="D9D9D9" w:themeFill="background1" w:themeFillShade="D9"/>
        <w:ind w:hanging="1637"/>
        <w:rPr>
          <w:rFonts w:asciiTheme="minorHAnsi" w:hAnsiTheme="minorHAnsi"/>
          <w:i w:val="0"/>
          <w:sz w:val="24"/>
        </w:rPr>
      </w:pPr>
      <w:bookmarkStart w:id="13" w:name="_Toc530995299"/>
      <w:r w:rsidRPr="0097757B">
        <w:rPr>
          <w:rFonts w:asciiTheme="minorHAnsi" w:hAnsiTheme="minorHAnsi"/>
          <w:i w:val="0"/>
          <w:sz w:val="24"/>
        </w:rPr>
        <w:t xml:space="preserve">Section </w:t>
      </w:r>
      <w:r>
        <w:rPr>
          <w:rFonts w:asciiTheme="minorHAnsi" w:hAnsiTheme="minorHAnsi"/>
          <w:i w:val="0"/>
          <w:sz w:val="24"/>
        </w:rPr>
        <w:t>9</w:t>
      </w:r>
      <w:r w:rsidRPr="0097757B">
        <w:rPr>
          <w:rFonts w:asciiTheme="minorHAnsi" w:hAnsiTheme="minorHAnsi"/>
          <w:i w:val="0"/>
          <w:sz w:val="24"/>
        </w:rPr>
        <w:tab/>
      </w:r>
      <w:r>
        <w:rPr>
          <w:rFonts w:asciiTheme="minorHAnsi" w:hAnsiTheme="minorHAnsi"/>
          <w:i w:val="0"/>
          <w:sz w:val="24"/>
        </w:rPr>
        <w:t>Establishment of CIT Board</w:t>
      </w:r>
      <w:bookmarkEnd w:id="13"/>
    </w:p>
    <w:p w:rsidR="0014349F" w:rsidRDefault="0014349F" w:rsidP="003F48D7">
      <w:pPr>
        <w:spacing w:before="120"/>
      </w:pPr>
      <w:r>
        <w:t xml:space="preserve">This provision is a technical amendment to replace the term ‘the </w:t>
      </w:r>
      <w:r w:rsidRPr="003F48D7">
        <w:rPr>
          <w:i/>
        </w:rPr>
        <w:t>institute board</w:t>
      </w:r>
      <w:r>
        <w:t xml:space="preserve">’ with ‘the </w:t>
      </w:r>
      <w:r w:rsidRPr="003F48D7">
        <w:rPr>
          <w:i/>
        </w:rPr>
        <w:t>CIT Board</w:t>
      </w:r>
      <w:r>
        <w:t>’.</w:t>
      </w:r>
    </w:p>
    <w:p w:rsidR="0014349F" w:rsidRDefault="0014349F" w:rsidP="003F48D7">
      <w:pPr>
        <w:spacing w:before="120"/>
      </w:pPr>
      <w:r>
        <w:t>Subsequently, the term ‘an institute board member’ has been replaced with ‘a CIT board member’ in the Note.</w:t>
      </w:r>
    </w:p>
    <w:p w:rsidR="0014349F" w:rsidRPr="003F48D7" w:rsidRDefault="0014349F" w:rsidP="003F48D7"/>
    <w:p w:rsidR="00022999" w:rsidRPr="0097757B" w:rsidRDefault="00736C02" w:rsidP="0085513D">
      <w:pPr>
        <w:pStyle w:val="Heading3"/>
        <w:numPr>
          <w:ilvl w:val="0"/>
          <w:numId w:val="13"/>
        </w:numPr>
        <w:shd w:val="clear" w:color="auto" w:fill="D9D9D9" w:themeFill="background1" w:themeFillShade="D9"/>
        <w:ind w:hanging="1637"/>
        <w:rPr>
          <w:rFonts w:asciiTheme="minorHAnsi" w:hAnsiTheme="minorHAnsi"/>
          <w:i w:val="0"/>
          <w:sz w:val="24"/>
        </w:rPr>
      </w:pPr>
      <w:bookmarkStart w:id="14" w:name="_Toc530995300"/>
      <w:bookmarkEnd w:id="11"/>
      <w:r w:rsidRPr="0097757B">
        <w:rPr>
          <w:rFonts w:asciiTheme="minorHAnsi" w:hAnsiTheme="minorHAnsi"/>
          <w:i w:val="0"/>
          <w:sz w:val="24"/>
        </w:rPr>
        <w:t>Section 10</w:t>
      </w:r>
      <w:r w:rsidR="0050431C" w:rsidRPr="0097757B">
        <w:rPr>
          <w:rFonts w:asciiTheme="minorHAnsi" w:hAnsiTheme="minorHAnsi"/>
          <w:i w:val="0"/>
          <w:sz w:val="24"/>
        </w:rPr>
        <w:tab/>
        <w:t>CIT Board Members</w:t>
      </w:r>
      <w:bookmarkEnd w:id="14"/>
    </w:p>
    <w:p w:rsidR="00280CFD" w:rsidRPr="00280CFD" w:rsidRDefault="00A83EC0" w:rsidP="00C429AD">
      <w:pPr>
        <w:pStyle w:val="NormalWeb"/>
        <w:spacing w:before="120" w:beforeAutospacing="0" w:after="120" w:afterAutospacing="0"/>
        <w:rPr>
          <w:lang w:val="en"/>
        </w:rPr>
      </w:pPr>
      <w:r>
        <w:t xml:space="preserve">The role of the Governing Board is established under the </w:t>
      </w:r>
      <w:r w:rsidRPr="00A83EC0">
        <w:rPr>
          <w:i/>
        </w:rPr>
        <w:t>Financial Management Act 1996</w:t>
      </w:r>
      <w:r w:rsidR="004C1F4F">
        <w:rPr>
          <w:i/>
        </w:rPr>
        <w:t xml:space="preserve"> </w:t>
      </w:r>
      <w:r w:rsidR="004C1F4F" w:rsidRPr="004C1F4F">
        <w:t>(FMA).</w:t>
      </w:r>
      <w:r w:rsidR="004C1F4F">
        <w:rPr>
          <w:i/>
        </w:rPr>
        <w:t xml:space="preserve"> </w:t>
      </w:r>
      <w:r w:rsidR="00C429AD">
        <w:t>T</w:t>
      </w:r>
      <w:r w:rsidR="00280CFD" w:rsidRPr="00280CFD">
        <w:rPr>
          <w:lang w:val="en"/>
        </w:rPr>
        <w:t>he functions of the CIT Board a</w:t>
      </w:r>
      <w:r w:rsidR="00C429AD">
        <w:rPr>
          <w:lang w:val="en"/>
        </w:rPr>
        <w:t>s</w:t>
      </w:r>
      <w:r w:rsidR="00280CFD" w:rsidRPr="00280CFD">
        <w:rPr>
          <w:lang w:val="en"/>
        </w:rPr>
        <w:t xml:space="preserve"> prescribed in section 77 of the FMA </w:t>
      </w:r>
      <w:r w:rsidR="00C429AD">
        <w:rPr>
          <w:lang w:val="en"/>
        </w:rPr>
        <w:t>include</w:t>
      </w:r>
      <w:r w:rsidR="00280CFD" w:rsidRPr="00280CFD">
        <w:rPr>
          <w:lang w:val="en"/>
        </w:rPr>
        <w:t>:</w:t>
      </w:r>
    </w:p>
    <w:p w:rsidR="00280CFD" w:rsidRPr="00280CFD" w:rsidRDefault="00280CFD" w:rsidP="00C429AD">
      <w:pPr>
        <w:numPr>
          <w:ilvl w:val="0"/>
          <w:numId w:val="8"/>
        </w:numPr>
        <w:ind w:hanging="357"/>
        <w:rPr>
          <w:szCs w:val="24"/>
          <w:lang w:val="en" w:eastAsia="en-AU"/>
        </w:rPr>
      </w:pPr>
      <w:r w:rsidRPr="00280CFD">
        <w:rPr>
          <w:szCs w:val="24"/>
          <w:lang w:val="en" w:eastAsia="en-AU"/>
        </w:rPr>
        <w:t>setting CIT policies and strategies;</w:t>
      </w:r>
    </w:p>
    <w:p w:rsidR="00280CFD" w:rsidRPr="00280CFD" w:rsidRDefault="00280CFD" w:rsidP="00280CFD">
      <w:pPr>
        <w:numPr>
          <w:ilvl w:val="0"/>
          <w:numId w:val="8"/>
        </w:numPr>
        <w:spacing w:before="100" w:beforeAutospacing="1" w:after="100" w:afterAutospacing="1"/>
        <w:rPr>
          <w:szCs w:val="24"/>
          <w:lang w:val="en" w:eastAsia="en-AU"/>
        </w:rPr>
      </w:pPr>
      <w:r w:rsidRPr="00280CFD">
        <w:rPr>
          <w:szCs w:val="24"/>
          <w:lang w:val="en" w:eastAsia="en-AU"/>
        </w:rPr>
        <w:t>governing CIT consistently with the authority's establishing Act and other relevant legislation;</w:t>
      </w:r>
    </w:p>
    <w:p w:rsidR="00280CFD" w:rsidRPr="00280CFD" w:rsidRDefault="00280CFD" w:rsidP="00280CFD">
      <w:pPr>
        <w:numPr>
          <w:ilvl w:val="0"/>
          <w:numId w:val="8"/>
        </w:numPr>
        <w:spacing w:before="100" w:beforeAutospacing="1" w:after="100" w:afterAutospacing="1"/>
        <w:rPr>
          <w:szCs w:val="24"/>
          <w:lang w:val="en" w:eastAsia="en-AU"/>
        </w:rPr>
      </w:pPr>
      <w:r w:rsidRPr="00280CFD">
        <w:rPr>
          <w:szCs w:val="24"/>
          <w:lang w:val="en" w:eastAsia="en-AU"/>
        </w:rPr>
        <w:t>ensuring, as far as practicable, that CIT operates in a proper, effective and efficient way; and</w:t>
      </w:r>
    </w:p>
    <w:p w:rsidR="00280CFD" w:rsidRPr="00280CFD" w:rsidRDefault="00280CFD" w:rsidP="00C429AD">
      <w:pPr>
        <w:numPr>
          <w:ilvl w:val="0"/>
          <w:numId w:val="8"/>
        </w:numPr>
        <w:ind w:hanging="357"/>
        <w:rPr>
          <w:szCs w:val="24"/>
          <w:lang w:val="en" w:eastAsia="en-AU"/>
        </w:rPr>
      </w:pPr>
      <w:r w:rsidRPr="00280CFD">
        <w:rPr>
          <w:szCs w:val="24"/>
          <w:lang w:val="en" w:eastAsia="en-AU"/>
        </w:rPr>
        <w:t>ensuring, as far as practicable, that CIT complies with applicable governmental policies (if any).</w:t>
      </w:r>
    </w:p>
    <w:p w:rsidR="002E77DF" w:rsidRDefault="002E77DF" w:rsidP="00AC13A8">
      <w:pPr>
        <w:spacing w:before="120"/>
      </w:pPr>
      <w:r>
        <w:t xml:space="preserve">This </w:t>
      </w:r>
      <w:r w:rsidR="00AC13A8">
        <w:t>clause</w:t>
      </w:r>
      <w:r>
        <w:t xml:space="preserve"> </w:t>
      </w:r>
      <w:r w:rsidRPr="0070686E">
        <w:t xml:space="preserve">replaces </w:t>
      </w:r>
      <w:r w:rsidR="00AC13A8">
        <w:t xml:space="preserve">section 10 of the Act, which specifies </w:t>
      </w:r>
      <w:r w:rsidRPr="0070686E">
        <w:t>the composition of the governing board</w:t>
      </w:r>
      <w:r>
        <w:t xml:space="preserve">. </w:t>
      </w:r>
      <w:r w:rsidR="0013394D">
        <w:t xml:space="preserve">This amendment removes the appointment of specified ACT Government members, and also consequently </w:t>
      </w:r>
      <w:r>
        <w:t>reduc</w:t>
      </w:r>
      <w:r w:rsidR="0013394D">
        <w:t>es</w:t>
      </w:r>
      <w:r>
        <w:t xml:space="preserve"> </w:t>
      </w:r>
      <w:r w:rsidR="0013394D">
        <w:t xml:space="preserve">the minimum </w:t>
      </w:r>
      <w:r>
        <w:t>number</w:t>
      </w:r>
      <w:r w:rsidR="0013394D">
        <w:t xml:space="preserve"> of members from nine to </w:t>
      </w:r>
      <w:r w:rsidRPr="00436684">
        <w:t>seven, inclusive of the Chair</w:t>
      </w:r>
      <w:r>
        <w:t xml:space="preserve">, </w:t>
      </w:r>
      <w:r w:rsidRPr="00436684">
        <w:t>Deputy Chair</w:t>
      </w:r>
      <w:r>
        <w:t xml:space="preserve"> and chief executive officer. </w:t>
      </w:r>
      <w:r w:rsidR="004D4483">
        <w:t>The maximum number of members has been retained at eleven to ensure flexibility to provide additional expertise and knowledge</w:t>
      </w:r>
      <w:r w:rsidR="00E77A31">
        <w:t>.</w:t>
      </w:r>
      <w:r w:rsidR="00E54D8D">
        <w:t xml:space="preserve"> </w:t>
      </w:r>
    </w:p>
    <w:p w:rsidR="00A37F49" w:rsidRDefault="00A37F49" w:rsidP="002E77DF">
      <w:pPr>
        <w:tabs>
          <w:tab w:val="left" w:pos="0"/>
        </w:tabs>
        <w:autoSpaceDE w:val="0"/>
        <w:autoSpaceDN w:val="0"/>
        <w:adjustRightInd w:val="0"/>
        <w:ind w:right="-45"/>
      </w:pPr>
    </w:p>
    <w:p w:rsidR="00F94C88" w:rsidRDefault="001B0297" w:rsidP="002E77DF">
      <w:pPr>
        <w:tabs>
          <w:tab w:val="left" w:pos="0"/>
        </w:tabs>
        <w:autoSpaceDE w:val="0"/>
        <w:autoSpaceDN w:val="0"/>
        <w:adjustRightInd w:val="0"/>
        <w:ind w:right="-45"/>
      </w:pPr>
      <w:r>
        <w:t>The effect of the amendment to the board membership does not detract from its functions under the Act</w:t>
      </w:r>
      <w:r w:rsidR="009417DD">
        <w:t xml:space="preserve"> and the board will still be suitably qualified to</w:t>
      </w:r>
      <w:r w:rsidR="00F94C88">
        <w:t xml:space="preserve"> </w:t>
      </w:r>
      <w:r>
        <w:t xml:space="preserve">enable CIT to meet the functions </w:t>
      </w:r>
      <w:r w:rsidR="00F94C88">
        <w:t>prescribed in section 6, in particular:</w:t>
      </w:r>
    </w:p>
    <w:p w:rsidR="00890238" w:rsidRPr="00F94C88" w:rsidRDefault="00F94C88" w:rsidP="00F94C88">
      <w:pPr>
        <w:pStyle w:val="ListParagraph"/>
        <w:numPr>
          <w:ilvl w:val="0"/>
          <w:numId w:val="7"/>
        </w:numPr>
        <w:tabs>
          <w:tab w:val="left" w:pos="0"/>
        </w:tabs>
        <w:autoSpaceDE w:val="0"/>
        <w:autoSpaceDN w:val="0"/>
        <w:adjustRightInd w:val="0"/>
        <w:ind w:right="-45"/>
      </w:pPr>
      <w:r>
        <w:t xml:space="preserve">6(1)(c): </w:t>
      </w:r>
      <w:r w:rsidRPr="00F94C88">
        <w:rPr>
          <w:i/>
        </w:rPr>
        <w:t>to support ACT industry and business in pursuing economic growth and sustainability for the community</w:t>
      </w:r>
    </w:p>
    <w:p w:rsidR="00F94C88" w:rsidRPr="00F94C88" w:rsidRDefault="00F94C88" w:rsidP="00F94C88">
      <w:pPr>
        <w:pStyle w:val="ListParagraph"/>
        <w:numPr>
          <w:ilvl w:val="0"/>
          <w:numId w:val="7"/>
        </w:numPr>
        <w:tabs>
          <w:tab w:val="left" w:pos="0"/>
        </w:tabs>
        <w:autoSpaceDE w:val="0"/>
        <w:autoSpaceDN w:val="0"/>
        <w:adjustRightInd w:val="0"/>
        <w:ind w:right="-45"/>
        <w:rPr>
          <w:i/>
        </w:rPr>
      </w:pPr>
      <w:r>
        <w:t xml:space="preserve">6(1)(g): </w:t>
      </w:r>
      <w:r w:rsidRPr="00F94C88">
        <w:rPr>
          <w:i/>
        </w:rPr>
        <w:t xml:space="preserve">to consult and cooperate with other entities and </w:t>
      </w:r>
      <w:r>
        <w:rPr>
          <w:i/>
        </w:rPr>
        <w:t>businesses to promote education and training and employment pathways for learners</w:t>
      </w:r>
    </w:p>
    <w:p w:rsidR="00F94C88" w:rsidRPr="0085513D" w:rsidRDefault="00F94C88" w:rsidP="00F94C88">
      <w:pPr>
        <w:pStyle w:val="ListParagraph"/>
        <w:numPr>
          <w:ilvl w:val="0"/>
          <w:numId w:val="7"/>
        </w:numPr>
        <w:tabs>
          <w:tab w:val="left" w:pos="0"/>
        </w:tabs>
        <w:autoSpaceDE w:val="0"/>
        <w:autoSpaceDN w:val="0"/>
        <w:adjustRightInd w:val="0"/>
        <w:ind w:right="-45"/>
      </w:pPr>
      <w:r>
        <w:t xml:space="preserve">6(1)(h): </w:t>
      </w:r>
      <w:r w:rsidRPr="00F94C88">
        <w:rPr>
          <w:i/>
        </w:rPr>
        <w:t>to make suitable financial arrangements with industry and business for the purp</w:t>
      </w:r>
      <w:r w:rsidR="00C429AD">
        <w:rPr>
          <w:i/>
        </w:rPr>
        <w:t>ose of the institute’s functions.</w:t>
      </w:r>
    </w:p>
    <w:p w:rsidR="009525E8" w:rsidRDefault="009525E8" w:rsidP="0085513D">
      <w:pPr>
        <w:tabs>
          <w:tab w:val="left" w:pos="0"/>
        </w:tabs>
        <w:autoSpaceDE w:val="0"/>
        <w:autoSpaceDN w:val="0"/>
        <w:adjustRightInd w:val="0"/>
        <w:ind w:right="-45"/>
      </w:pPr>
    </w:p>
    <w:p w:rsidR="009525E8" w:rsidRPr="0097757B" w:rsidRDefault="009525E8" w:rsidP="0085513D">
      <w:pPr>
        <w:pStyle w:val="Heading3"/>
        <w:numPr>
          <w:ilvl w:val="0"/>
          <w:numId w:val="17"/>
        </w:numPr>
        <w:shd w:val="clear" w:color="auto" w:fill="D9D9D9" w:themeFill="background1" w:themeFillShade="D9"/>
        <w:ind w:hanging="1637"/>
        <w:rPr>
          <w:rFonts w:asciiTheme="minorHAnsi" w:hAnsiTheme="minorHAnsi"/>
          <w:i w:val="0"/>
          <w:sz w:val="24"/>
        </w:rPr>
      </w:pPr>
      <w:bookmarkStart w:id="15" w:name="_Toc530995301"/>
      <w:r>
        <w:rPr>
          <w:rFonts w:asciiTheme="minorHAnsi" w:hAnsiTheme="minorHAnsi"/>
          <w:i w:val="0"/>
          <w:sz w:val="24"/>
        </w:rPr>
        <w:t>Section 11</w:t>
      </w:r>
      <w:r w:rsidRPr="0097757B">
        <w:rPr>
          <w:rFonts w:asciiTheme="minorHAnsi" w:hAnsiTheme="minorHAnsi"/>
          <w:i w:val="0"/>
          <w:sz w:val="24"/>
        </w:rPr>
        <w:tab/>
        <w:t>CIT Board Members</w:t>
      </w:r>
      <w:r>
        <w:rPr>
          <w:rFonts w:asciiTheme="minorHAnsi" w:hAnsiTheme="minorHAnsi"/>
          <w:i w:val="0"/>
          <w:sz w:val="24"/>
        </w:rPr>
        <w:t xml:space="preserve"> – eligibility for appointment</w:t>
      </w:r>
      <w:bookmarkEnd w:id="15"/>
    </w:p>
    <w:p w:rsidR="00CE301A" w:rsidRDefault="00AC13A8" w:rsidP="00AC13A8">
      <w:pPr>
        <w:spacing w:before="120"/>
      </w:pPr>
      <w:r w:rsidRPr="007B48A9">
        <w:t>This</w:t>
      </w:r>
      <w:r>
        <w:t xml:space="preserve"> clause amends </w:t>
      </w:r>
      <w:r w:rsidR="00CE301A">
        <w:t>section 11(</w:t>
      </w:r>
      <w:r w:rsidR="000C1538">
        <w:t>1</w:t>
      </w:r>
      <w:r w:rsidR="00CE301A">
        <w:t>)</w:t>
      </w:r>
      <w:r w:rsidR="000C1538">
        <w:t xml:space="preserve"> and 11(2)</w:t>
      </w:r>
      <w:r w:rsidR="00CE301A">
        <w:t xml:space="preserve"> of the Act, which specifies the </w:t>
      </w:r>
      <w:r w:rsidR="000C1538">
        <w:t xml:space="preserve">staff and </w:t>
      </w:r>
      <w:r w:rsidR="00CE301A">
        <w:t>student member eligibility requirement.</w:t>
      </w:r>
      <w:r w:rsidR="000C1538">
        <w:t xml:space="preserve"> </w:t>
      </w:r>
    </w:p>
    <w:p w:rsidR="003729DD" w:rsidRPr="003729DD" w:rsidRDefault="00B36C64" w:rsidP="003729DD">
      <w:pPr>
        <w:spacing w:before="120"/>
      </w:pPr>
      <w:r>
        <w:t xml:space="preserve">Section 78 of the </w:t>
      </w:r>
      <w:r w:rsidR="003729DD" w:rsidRPr="003729DD">
        <w:rPr>
          <w:i/>
        </w:rPr>
        <w:t>Financial Management Act 1996</w:t>
      </w:r>
      <w:r w:rsidR="003729DD">
        <w:t xml:space="preserve"> (FMA) specifies the conditions for appointment of governing board members generally, and under FMA 78(5) states that </w:t>
      </w:r>
      <w:r w:rsidR="003729DD">
        <w:rPr>
          <w:rFonts w:ascii="TimesNewRomanPSMT" w:hAnsi="TimesNewRomanPSMT" w:cs="TimesNewRomanPSMT"/>
          <w:szCs w:val="24"/>
          <w:lang w:eastAsia="en-AU"/>
        </w:rPr>
        <w:t>unless the establishing Act otherwise provides, a person must</w:t>
      </w:r>
      <w:r w:rsidR="003729DD">
        <w:t xml:space="preserve"> </w:t>
      </w:r>
      <w:r w:rsidR="003729DD">
        <w:rPr>
          <w:rFonts w:ascii="TimesNewRomanPSMT" w:hAnsi="TimesNewRomanPSMT" w:cs="TimesNewRomanPSMT"/>
          <w:szCs w:val="24"/>
          <w:lang w:eastAsia="en-AU"/>
        </w:rPr>
        <w:t>not be appointed as a member if—</w:t>
      </w:r>
    </w:p>
    <w:p w:rsidR="003729DD" w:rsidRPr="003729DD" w:rsidRDefault="003729DD" w:rsidP="003729DD">
      <w:pPr>
        <w:pStyle w:val="ListParagraph"/>
        <w:numPr>
          <w:ilvl w:val="0"/>
          <w:numId w:val="9"/>
        </w:numPr>
        <w:autoSpaceDE w:val="0"/>
        <w:autoSpaceDN w:val="0"/>
        <w:adjustRightInd w:val="0"/>
        <w:rPr>
          <w:rFonts w:ascii="TimesNewRomanPSMT" w:hAnsi="TimesNewRomanPSMT" w:cs="TimesNewRomanPSMT"/>
          <w:lang w:eastAsia="en-AU"/>
        </w:rPr>
      </w:pPr>
      <w:r w:rsidRPr="003729DD">
        <w:rPr>
          <w:rFonts w:ascii="TimesNewRomanPSMT" w:hAnsi="TimesNewRomanPSMT" w:cs="TimesNewRomanPSMT"/>
          <w:lang w:eastAsia="en-AU"/>
        </w:rPr>
        <w:t>the person is a public servant; and</w:t>
      </w:r>
    </w:p>
    <w:p w:rsidR="00C87A9F" w:rsidRPr="003729DD" w:rsidRDefault="003729DD" w:rsidP="003729DD">
      <w:pPr>
        <w:pStyle w:val="ListParagraph"/>
        <w:numPr>
          <w:ilvl w:val="0"/>
          <w:numId w:val="11"/>
        </w:numPr>
        <w:autoSpaceDE w:val="0"/>
        <w:autoSpaceDN w:val="0"/>
        <w:adjustRightInd w:val="0"/>
        <w:rPr>
          <w:rFonts w:ascii="TimesNewRomanPSMT" w:hAnsi="TimesNewRomanPSMT" w:cs="TimesNewRomanPSMT"/>
          <w:lang w:eastAsia="en-AU"/>
        </w:rPr>
      </w:pPr>
      <w:r w:rsidRPr="003729DD">
        <w:rPr>
          <w:rFonts w:ascii="TimesNewRomanPSMT" w:hAnsi="TimesNewRomanPSMT" w:cs="TimesNewRomanPSMT"/>
          <w:lang w:eastAsia="en-AU"/>
        </w:rPr>
        <w:t>if the governing board has a maximum of more than</w:t>
      </w:r>
      <w:r>
        <w:rPr>
          <w:rFonts w:ascii="TimesNewRomanPSMT" w:hAnsi="TimesNewRomanPSMT" w:cs="TimesNewRomanPSMT"/>
          <w:lang w:eastAsia="en-AU"/>
        </w:rPr>
        <w:t xml:space="preserve"> </w:t>
      </w:r>
      <w:r w:rsidRPr="003729DD">
        <w:rPr>
          <w:rFonts w:ascii="TimesNewRomanPSMT" w:hAnsi="TimesNewRomanPSMT" w:cs="TimesNewRomanPSMT"/>
          <w:lang w:eastAsia="en-AU"/>
        </w:rPr>
        <w:t>6 members—the appointment would result in more than 2 public servants being members of the board.</w:t>
      </w:r>
      <w:r>
        <w:t xml:space="preserve"> </w:t>
      </w:r>
    </w:p>
    <w:p w:rsidR="003729DD" w:rsidRDefault="003729DD" w:rsidP="00AC13A8">
      <w:pPr>
        <w:spacing w:before="120"/>
      </w:pPr>
      <w:r>
        <w:t>Whilst section FMA 78(6) contains provision for this clause to not apply if</w:t>
      </w:r>
      <w:r w:rsidR="00A55784">
        <w:t>:</w:t>
      </w:r>
      <w:r>
        <w:t xml:space="preserve"> </w:t>
      </w:r>
    </w:p>
    <w:p w:rsidR="003729DD" w:rsidRPr="003729DD" w:rsidRDefault="003729DD" w:rsidP="003729DD">
      <w:pPr>
        <w:pStyle w:val="ListParagraph"/>
        <w:numPr>
          <w:ilvl w:val="0"/>
          <w:numId w:val="12"/>
        </w:numPr>
        <w:autoSpaceDE w:val="0"/>
        <w:autoSpaceDN w:val="0"/>
        <w:adjustRightInd w:val="0"/>
        <w:rPr>
          <w:rFonts w:ascii="TimesNewRomanPSMT" w:hAnsi="TimesNewRomanPSMT" w:cs="TimesNewRomanPSMT"/>
          <w:lang w:eastAsia="en-AU"/>
        </w:rPr>
      </w:pPr>
      <w:r w:rsidRPr="003729DD">
        <w:rPr>
          <w:rFonts w:ascii="TimesNewRomanPSMT" w:hAnsi="TimesNewRomanPSMT" w:cs="TimesNewRomanPSMT"/>
          <w:lang w:eastAsia="en-AU"/>
        </w:rPr>
        <w:t>the Minister is satisfied that there are special circumstances</w:t>
      </w:r>
      <w:r>
        <w:rPr>
          <w:rFonts w:ascii="TimesNewRomanPSMT" w:hAnsi="TimesNewRomanPSMT" w:cs="TimesNewRomanPSMT"/>
          <w:lang w:eastAsia="en-AU"/>
        </w:rPr>
        <w:t xml:space="preserve"> </w:t>
      </w:r>
      <w:r w:rsidRPr="003729DD">
        <w:rPr>
          <w:rFonts w:ascii="TimesNewRomanPSMT" w:hAnsi="TimesNewRomanPSMT" w:cs="TimesNewRomanPSMT"/>
          <w:lang w:eastAsia="en-AU"/>
        </w:rPr>
        <w:t>justifying the appointment; and</w:t>
      </w:r>
    </w:p>
    <w:p w:rsidR="003729DD" w:rsidRPr="003729DD" w:rsidRDefault="003729DD" w:rsidP="003729DD">
      <w:pPr>
        <w:pStyle w:val="ListParagraph"/>
        <w:numPr>
          <w:ilvl w:val="0"/>
          <w:numId w:val="12"/>
        </w:numPr>
        <w:autoSpaceDE w:val="0"/>
        <w:autoSpaceDN w:val="0"/>
        <w:adjustRightInd w:val="0"/>
        <w:rPr>
          <w:rFonts w:ascii="TimesNewRomanPSMT" w:hAnsi="TimesNewRomanPSMT" w:cs="TimesNewRomanPSMT"/>
          <w:lang w:eastAsia="en-AU"/>
        </w:rPr>
      </w:pPr>
      <w:r w:rsidRPr="003729DD">
        <w:rPr>
          <w:rFonts w:ascii="TimesNewRomanPSMT" w:hAnsi="TimesNewRomanPSMT" w:cs="TimesNewRomanPSMT"/>
          <w:lang w:eastAsia="en-AU"/>
        </w:rPr>
        <w:t>the Legislative Assembly approves, by resolution, the</w:t>
      </w:r>
      <w:r>
        <w:rPr>
          <w:rFonts w:ascii="TimesNewRomanPSMT" w:hAnsi="TimesNewRomanPSMT" w:cs="TimesNewRomanPSMT"/>
          <w:lang w:eastAsia="en-AU"/>
        </w:rPr>
        <w:t xml:space="preserve"> </w:t>
      </w:r>
      <w:r w:rsidRPr="003729DD">
        <w:rPr>
          <w:rFonts w:ascii="TimesNewRomanPSMT" w:hAnsi="TimesNewRomanPSMT" w:cs="TimesNewRomanPSMT"/>
          <w:lang w:eastAsia="en-AU"/>
        </w:rPr>
        <w:t>appointment</w:t>
      </w:r>
    </w:p>
    <w:p w:rsidR="003729DD" w:rsidRDefault="00A55784" w:rsidP="00AC13A8">
      <w:pPr>
        <w:spacing w:before="120"/>
      </w:pPr>
      <w:r>
        <w:t>f</w:t>
      </w:r>
      <w:r w:rsidR="003729DD">
        <w:t xml:space="preserve">or the avoidance of any </w:t>
      </w:r>
      <w:r>
        <w:t xml:space="preserve">concern regarding the eligibility for appointment of a student representative, section 11(2)(c) has been added to specify that the student member </w:t>
      </w:r>
      <w:r w:rsidR="00D71805">
        <w:t>must not</w:t>
      </w:r>
      <w:r>
        <w:t xml:space="preserve"> </w:t>
      </w:r>
      <w:r w:rsidR="00D71805">
        <w:t xml:space="preserve">be </w:t>
      </w:r>
      <w:r>
        <w:t xml:space="preserve">a public servant. </w:t>
      </w:r>
    </w:p>
    <w:p w:rsidR="00516A4A" w:rsidRDefault="00516A4A" w:rsidP="00AC13A8">
      <w:pPr>
        <w:spacing w:before="120"/>
      </w:pPr>
      <w:r>
        <w:t>The amendment also clarifies the role of the student and staff member positions on the Board.</w:t>
      </w:r>
    </w:p>
    <w:p w:rsidR="00AC13A8" w:rsidRDefault="00A55784" w:rsidP="00AC13A8">
      <w:pPr>
        <w:spacing w:before="120"/>
      </w:pPr>
      <w:r>
        <w:t>C</w:t>
      </w:r>
      <w:r w:rsidR="00CE301A">
        <w:t xml:space="preserve">lause </w:t>
      </w:r>
      <w:r w:rsidR="00F966AD">
        <w:t>5</w:t>
      </w:r>
      <w:r>
        <w:t xml:space="preserve"> further </w:t>
      </w:r>
      <w:r w:rsidR="00CE301A">
        <w:t xml:space="preserve">amends </w:t>
      </w:r>
      <w:r w:rsidR="008D4479">
        <w:t xml:space="preserve">the current eligibility requirements in </w:t>
      </w:r>
      <w:r w:rsidR="00AC13A8">
        <w:t>section 11</w:t>
      </w:r>
      <w:r w:rsidR="006C097D">
        <w:t>(5)(b)</w:t>
      </w:r>
      <w:r w:rsidR="00AC13A8">
        <w:t xml:space="preserve"> of the Act, </w:t>
      </w:r>
      <w:r w:rsidR="008D4479">
        <w:t xml:space="preserve">replacing them with those in the bill’s s 11(3).  s 11(3) </w:t>
      </w:r>
      <w:r w:rsidR="00AC13A8">
        <w:t xml:space="preserve">identifies the expertise and knowledge required by board members. </w:t>
      </w:r>
    </w:p>
    <w:p w:rsidR="00280CFD" w:rsidRDefault="00280CFD" w:rsidP="00640CF6">
      <w:pPr>
        <w:rPr>
          <w:rFonts w:eastAsia="Calibri"/>
          <w:color w:val="000000"/>
          <w:szCs w:val="24"/>
          <w:lang w:eastAsia="en-AU"/>
        </w:rPr>
      </w:pPr>
    </w:p>
    <w:p w:rsidR="0026314D" w:rsidRDefault="00640CF6" w:rsidP="00640CF6">
      <w:r>
        <w:rPr>
          <w:rFonts w:eastAsia="Calibri"/>
          <w:color w:val="000000"/>
          <w:szCs w:val="24"/>
          <w:lang w:eastAsia="en-AU"/>
        </w:rPr>
        <w:t>The review report</w:t>
      </w:r>
      <w:r w:rsidR="0050431C">
        <w:t xml:space="preserve"> identified that </w:t>
      </w:r>
      <w:r w:rsidR="0050431C" w:rsidRPr="005A37D6">
        <w:t xml:space="preserve">better subject-matter expertise </w:t>
      </w:r>
      <w:r w:rsidR="007B48A9">
        <w:t xml:space="preserve">was required </w:t>
      </w:r>
      <w:r w:rsidR="0050431C" w:rsidRPr="005A37D6">
        <w:t>amongst Board Members</w:t>
      </w:r>
      <w:r w:rsidR="007B48A9">
        <w:t xml:space="preserve"> to capture </w:t>
      </w:r>
      <w:r w:rsidR="0050431C" w:rsidRPr="005A37D6">
        <w:t xml:space="preserve">a wider industry network and </w:t>
      </w:r>
      <w:r w:rsidR="007B48A9">
        <w:t xml:space="preserve">more engagement opportunities </w:t>
      </w:r>
      <w:r w:rsidR="007B48A9" w:rsidRPr="005A37D6">
        <w:t xml:space="preserve">for CIT </w:t>
      </w:r>
      <w:r w:rsidR="007B48A9">
        <w:t>and to bring</w:t>
      </w:r>
      <w:r w:rsidR="0050431C" w:rsidRPr="005A37D6">
        <w:t xml:space="preserve"> a more commercial </w:t>
      </w:r>
      <w:r w:rsidR="003F3DF7">
        <w:t>focus</w:t>
      </w:r>
      <w:r w:rsidR="0050431C" w:rsidRPr="005A37D6">
        <w:t xml:space="preserve"> to the implement</w:t>
      </w:r>
      <w:r w:rsidR="007B48A9">
        <w:t xml:space="preserve">ation of the </w:t>
      </w:r>
      <w:r w:rsidR="007B48A9" w:rsidRPr="007B48A9">
        <w:rPr>
          <w:i/>
        </w:rPr>
        <w:t xml:space="preserve">Strategic </w:t>
      </w:r>
      <w:r w:rsidR="0050431C" w:rsidRPr="007B48A9">
        <w:rPr>
          <w:i/>
        </w:rPr>
        <w:t>Compass 2020</w:t>
      </w:r>
      <w:r w:rsidR="007B48A9">
        <w:t xml:space="preserve">. The </w:t>
      </w:r>
      <w:r w:rsidR="006C097D">
        <w:t xml:space="preserve">existing provision is replaced with a redrafted provision that </w:t>
      </w:r>
      <w:r w:rsidR="00ED67CC">
        <w:t xml:space="preserve">refocuses the </w:t>
      </w:r>
      <w:r w:rsidR="003F5221">
        <w:t xml:space="preserve">desired </w:t>
      </w:r>
      <w:r w:rsidR="00235C53">
        <w:t xml:space="preserve">board member expertise. Whilst the changes to this section are as the whole minimal, </w:t>
      </w:r>
      <w:r w:rsidR="003F5221">
        <w:t xml:space="preserve">in particular the </w:t>
      </w:r>
      <w:r w:rsidR="00235C53">
        <w:t xml:space="preserve">removal of some of the specificity and </w:t>
      </w:r>
      <w:r w:rsidR="003F5221">
        <w:t xml:space="preserve">addition of ‘infrastructure’ will ensure the board is equipped to better </w:t>
      </w:r>
      <w:r w:rsidR="00EA0A7D">
        <w:t xml:space="preserve">respond to challenges </w:t>
      </w:r>
      <w:r w:rsidR="003F3DF7">
        <w:t>in areas such as resource allocation, asset management and financial management.</w:t>
      </w:r>
      <w:r w:rsidR="00235C53">
        <w:t xml:space="preserve"> </w:t>
      </w:r>
    </w:p>
    <w:p w:rsidR="0026314D" w:rsidRDefault="0026314D" w:rsidP="00640CF6"/>
    <w:p w:rsidR="0050431C" w:rsidRDefault="00B947C2" w:rsidP="00640CF6">
      <w:r>
        <w:t xml:space="preserve">In addition to the </w:t>
      </w:r>
      <w:r w:rsidR="0026314D">
        <w:t>board member expertise identified through the review report, a further skill set has been included to reflect the importance of education pedagogy in ensuring the CIT Board continues to make decisions in the interest of best teaching practice and access for all students.</w:t>
      </w:r>
    </w:p>
    <w:p w:rsidR="00235C53" w:rsidRPr="005A37D6" w:rsidRDefault="00235C53" w:rsidP="00640CF6"/>
    <w:p w:rsidR="005A37D6" w:rsidRDefault="00235C53" w:rsidP="0050431C">
      <w:r>
        <w:t xml:space="preserve">A set of detailed selection documentation </w:t>
      </w:r>
      <w:r w:rsidR="009417DD">
        <w:t>has been</w:t>
      </w:r>
      <w:r>
        <w:t xml:space="preserve"> developed by CIT which </w:t>
      </w:r>
      <w:r w:rsidR="009417DD">
        <w:t xml:space="preserve">identifies </w:t>
      </w:r>
      <w:r>
        <w:t xml:space="preserve">the specific skill set and desired experience and expertise to be met </w:t>
      </w:r>
      <w:r w:rsidR="009417DD">
        <w:t>by</w:t>
      </w:r>
      <w:r>
        <w:t xml:space="preserve"> future board membership</w:t>
      </w:r>
      <w:r w:rsidR="009417DD">
        <w:t xml:space="preserve"> appointments</w:t>
      </w:r>
      <w:r>
        <w:t>.</w:t>
      </w:r>
    </w:p>
    <w:p w:rsidR="00235C53" w:rsidRDefault="00235C53" w:rsidP="0050431C"/>
    <w:p w:rsidR="002E77DF" w:rsidRPr="009525E8" w:rsidRDefault="002E77DF" w:rsidP="0085513D">
      <w:pPr>
        <w:pStyle w:val="Heading3"/>
        <w:numPr>
          <w:ilvl w:val="0"/>
          <w:numId w:val="17"/>
        </w:numPr>
        <w:shd w:val="clear" w:color="auto" w:fill="D9D9D9" w:themeFill="background1" w:themeFillShade="D9"/>
        <w:tabs>
          <w:tab w:val="left" w:pos="1560"/>
        </w:tabs>
        <w:ind w:hanging="1637"/>
        <w:rPr>
          <w:rFonts w:asciiTheme="minorHAnsi" w:hAnsiTheme="minorHAnsi"/>
          <w:i w:val="0"/>
          <w:sz w:val="24"/>
        </w:rPr>
      </w:pPr>
      <w:bookmarkStart w:id="16" w:name="_Toc530995302"/>
      <w:r w:rsidRPr="009525E8">
        <w:rPr>
          <w:rFonts w:asciiTheme="minorHAnsi" w:hAnsiTheme="minorHAnsi"/>
          <w:i w:val="0"/>
          <w:sz w:val="24"/>
        </w:rPr>
        <w:t>Section 12</w:t>
      </w:r>
      <w:r w:rsidRPr="009525E8">
        <w:rPr>
          <w:rFonts w:asciiTheme="minorHAnsi" w:hAnsiTheme="minorHAnsi"/>
          <w:i w:val="0"/>
          <w:sz w:val="24"/>
        </w:rPr>
        <w:tab/>
        <w:t>Chair and deputy chair– eligibility for appointment</w:t>
      </w:r>
      <w:bookmarkEnd w:id="16"/>
    </w:p>
    <w:p w:rsidR="00640CF6" w:rsidRDefault="00AC13A8" w:rsidP="00AC13A8">
      <w:pPr>
        <w:spacing w:before="120"/>
      </w:pPr>
      <w:r>
        <w:t xml:space="preserve">This </w:t>
      </w:r>
      <w:r w:rsidR="0097757B">
        <w:t xml:space="preserve">amendment omits section 12 of the Act, </w:t>
      </w:r>
      <w:r w:rsidR="00D71805">
        <w:t xml:space="preserve">as the Chair and Deputy Chair appointments are governed by Section 79 of the </w:t>
      </w:r>
      <w:r w:rsidR="00D71805" w:rsidRPr="003729DD">
        <w:rPr>
          <w:i/>
        </w:rPr>
        <w:t>Financial Management Act 1996</w:t>
      </w:r>
      <w:r w:rsidR="00E54D8D">
        <w:t>.</w:t>
      </w:r>
      <w:r w:rsidR="00E13C2F">
        <w:t xml:space="preserve"> </w:t>
      </w:r>
    </w:p>
    <w:p w:rsidR="0023273E" w:rsidRDefault="0023273E" w:rsidP="0023273E">
      <w:pPr>
        <w:rPr>
          <w:rFonts w:ascii="Arial" w:hAnsi="Arial" w:cs="Arial"/>
          <w:color w:val="000000"/>
          <w:sz w:val="20"/>
          <w:lang w:eastAsia="en-AU"/>
        </w:rPr>
      </w:pPr>
    </w:p>
    <w:p w:rsidR="00CC71EA" w:rsidRPr="002E77DF" w:rsidRDefault="00CC71EA" w:rsidP="00CC71EA">
      <w:pPr>
        <w:pStyle w:val="Heading2"/>
        <w:spacing w:after="120"/>
        <w:rPr>
          <w:rFonts w:asciiTheme="minorHAnsi" w:hAnsiTheme="minorHAnsi"/>
        </w:rPr>
      </w:pPr>
      <w:bookmarkStart w:id="17" w:name="_Toc530995303"/>
      <w:r w:rsidRPr="002E77DF">
        <w:rPr>
          <w:rFonts w:asciiTheme="minorHAnsi" w:hAnsiTheme="minorHAnsi"/>
        </w:rPr>
        <w:t xml:space="preserve">Part </w:t>
      </w:r>
      <w:r>
        <w:rPr>
          <w:rFonts w:asciiTheme="minorHAnsi" w:hAnsiTheme="minorHAnsi"/>
        </w:rPr>
        <w:t>3</w:t>
      </w:r>
      <w:r w:rsidRPr="002E77DF">
        <w:rPr>
          <w:rFonts w:asciiTheme="minorHAnsi" w:hAnsiTheme="minorHAnsi"/>
        </w:rPr>
        <w:t xml:space="preserve"> </w:t>
      </w:r>
      <w:r>
        <w:rPr>
          <w:rFonts w:asciiTheme="minorHAnsi" w:hAnsiTheme="minorHAnsi"/>
        </w:rPr>
        <w:tab/>
        <w:t>Admission to courses and issuing awards</w:t>
      </w:r>
      <w:bookmarkEnd w:id="17"/>
      <w:r w:rsidRPr="002E77DF">
        <w:rPr>
          <w:rFonts w:asciiTheme="minorHAnsi" w:hAnsiTheme="minorHAnsi"/>
        </w:rPr>
        <w:t xml:space="preserve"> </w:t>
      </w:r>
    </w:p>
    <w:p w:rsidR="00411E53" w:rsidRPr="0097757B" w:rsidRDefault="00411E53" w:rsidP="0085513D">
      <w:pPr>
        <w:pStyle w:val="Heading3"/>
        <w:numPr>
          <w:ilvl w:val="0"/>
          <w:numId w:val="17"/>
        </w:numPr>
        <w:shd w:val="clear" w:color="auto" w:fill="D9D9D9" w:themeFill="background1" w:themeFillShade="D9"/>
        <w:tabs>
          <w:tab w:val="left" w:pos="1560"/>
        </w:tabs>
        <w:ind w:hanging="1637"/>
        <w:rPr>
          <w:rFonts w:asciiTheme="minorHAnsi" w:hAnsiTheme="minorHAnsi"/>
          <w:i w:val="0"/>
          <w:sz w:val="24"/>
        </w:rPr>
      </w:pPr>
      <w:bookmarkStart w:id="18" w:name="_Toc530995304"/>
      <w:r w:rsidRPr="0097757B">
        <w:rPr>
          <w:rFonts w:asciiTheme="minorHAnsi" w:hAnsiTheme="minorHAnsi"/>
          <w:i w:val="0"/>
          <w:sz w:val="24"/>
        </w:rPr>
        <w:t>Section 1</w:t>
      </w:r>
      <w:r>
        <w:rPr>
          <w:rFonts w:asciiTheme="minorHAnsi" w:hAnsiTheme="minorHAnsi"/>
          <w:i w:val="0"/>
          <w:sz w:val="24"/>
        </w:rPr>
        <w:t>3</w:t>
      </w:r>
      <w:r w:rsidRPr="0097757B">
        <w:rPr>
          <w:rFonts w:asciiTheme="minorHAnsi" w:hAnsiTheme="minorHAnsi"/>
          <w:i w:val="0"/>
          <w:sz w:val="24"/>
        </w:rPr>
        <w:tab/>
      </w:r>
      <w:r>
        <w:rPr>
          <w:rFonts w:asciiTheme="minorHAnsi" w:hAnsiTheme="minorHAnsi"/>
          <w:i w:val="0"/>
          <w:sz w:val="24"/>
        </w:rPr>
        <w:t>Decisions on admission to the institute</w:t>
      </w:r>
      <w:bookmarkEnd w:id="18"/>
    </w:p>
    <w:p w:rsidR="00B7335D" w:rsidRDefault="00411E53" w:rsidP="00411E53">
      <w:pPr>
        <w:spacing w:before="120"/>
      </w:pPr>
      <w:r w:rsidRPr="007B48A9">
        <w:t>This</w:t>
      </w:r>
      <w:r>
        <w:t xml:space="preserve"> clause </w:t>
      </w:r>
      <w:r w:rsidR="00B7335D">
        <w:t xml:space="preserve">makes a technical </w:t>
      </w:r>
      <w:r>
        <w:t>amend</w:t>
      </w:r>
      <w:r w:rsidR="00B7335D">
        <w:t>ment to</w:t>
      </w:r>
      <w:r>
        <w:t xml:space="preserve"> section 13(2) of the Act</w:t>
      </w:r>
      <w:r w:rsidR="002F41BF">
        <w:t xml:space="preserve">, which relates to the decisions about admission or assessment. This amendment is made for the reason specified in the notes for </w:t>
      </w:r>
      <w:r w:rsidR="006C04DB">
        <w:t>section</w:t>
      </w:r>
      <w:r w:rsidR="002F41BF">
        <w:t xml:space="preserve"> 25</w:t>
      </w:r>
      <w:r w:rsidR="00B7335D">
        <w:t xml:space="preserve"> and is consequential to the new section 14A</w:t>
      </w:r>
      <w:r w:rsidR="002F41BF">
        <w:t xml:space="preserve">. </w:t>
      </w:r>
    </w:p>
    <w:p w:rsidR="002F41BF" w:rsidRDefault="002F41BF" w:rsidP="00411E53">
      <w:pPr>
        <w:spacing w:before="120"/>
        <w:rPr>
          <w:rFonts w:ascii="Arial" w:hAnsi="Arial" w:cs="Arial"/>
          <w:color w:val="000000"/>
          <w:sz w:val="20"/>
          <w:lang w:eastAsia="en-AU"/>
        </w:rPr>
      </w:pPr>
      <w:r>
        <w:t xml:space="preserve">The effect of the amendment </w:t>
      </w:r>
      <w:r w:rsidR="00B7335D">
        <w:t xml:space="preserve">is that CIT has established published polices which are used to inform decisions about these matters. </w:t>
      </w:r>
    </w:p>
    <w:p w:rsidR="00411E53" w:rsidRDefault="00411E53" w:rsidP="0023273E">
      <w:pPr>
        <w:rPr>
          <w:rFonts w:ascii="Arial" w:hAnsi="Arial" w:cs="Arial"/>
          <w:color w:val="000000"/>
          <w:sz w:val="20"/>
          <w:lang w:eastAsia="en-AU"/>
        </w:rPr>
      </w:pPr>
    </w:p>
    <w:p w:rsidR="00411E53" w:rsidRPr="0097757B" w:rsidRDefault="00411E53" w:rsidP="00B136B9">
      <w:pPr>
        <w:pStyle w:val="Heading3"/>
        <w:numPr>
          <w:ilvl w:val="0"/>
          <w:numId w:val="20"/>
        </w:numPr>
        <w:shd w:val="clear" w:color="auto" w:fill="D9D9D9" w:themeFill="background1" w:themeFillShade="D9"/>
        <w:tabs>
          <w:tab w:val="left" w:pos="1560"/>
        </w:tabs>
        <w:ind w:hanging="1637"/>
        <w:rPr>
          <w:rFonts w:asciiTheme="minorHAnsi" w:hAnsiTheme="minorHAnsi"/>
          <w:i w:val="0"/>
          <w:sz w:val="24"/>
        </w:rPr>
      </w:pPr>
      <w:bookmarkStart w:id="19" w:name="_Toc530995305"/>
      <w:r w:rsidRPr="0097757B">
        <w:rPr>
          <w:rFonts w:asciiTheme="minorHAnsi" w:hAnsiTheme="minorHAnsi"/>
          <w:i w:val="0"/>
          <w:sz w:val="24"/>
        </w:rPr>
        <w:t>Section 1</w:t>
      </w:r>
      <w:r>
        <w:rPr>
          <w:rFonts w:asciiTheme="minorHAnsi" w:hAnsiTheme="minorHAnsi"/>
          <w:i w:val="0"/>
          <w:sz w:val="24"/>
        </w:rPr>
        <w:t>4</w:t>
      </w:r>
      <w:r w:rsidRPr="0097757B">
        <w:rPr>
          <w:rFonts w:asciiTheme="minorHAnsi" w:hAnsiTheme="minorHAnsi"/>
          <w:i w:val="0"/>
          <w:sz w:val="24"/>
        </w:rPr>
        <w:tab/>
      </w:r>
      <w:r>
        <w:rPr>
          <w:rFonts w:asciiTheme="minorHAnsi" w:hAnsiTheme="minorHAnsi"/>
          <w:i w:val="0"/>
          <w:sz w:val="24"/>
        </w:rPr>
        <w:t>Decisions on issuing awards</w:t>
      </w:r>
      <w:bookmarkEnd w:id="19"/>
    </w:p>
    <w:p w:rsidR="00B7335D" w:rsidRDefault="00B7335D" w:rsidP="00B7335D">
      <w:pPr>
        <w:spacing w:before="120"/>
      </w:pPr>
      <w:r w:rsidRPr="007B48A9">
        <w:t>This</w:t>
      </w:r>
      <w:r>
        <w:t xml:space="preserve"> clause makes a technical amendment to section 14(2) of the Act, which relates to the decisions about issuing awards. This amendment is made for the reason specified in the notes for clause 25 and is consequential to the new section 14A. </w:t>
      </w:r>
    </w:p>
    <w:p w:rsidR="00B7335D" w:rsidRDefault="00B7335D" w:rsidP="00B7335D">
      <w:pPr>
        <w:spacing w:before="120"/>
      </w:pPr>
      <w:r>
        <w:t xml:space="preserve">The effect of the amendment is that CIT has established published polices which are used to inform decisions about these matters. </w:t>
      </w:r>
    </w:p>
    <w:p w:rsidR="00F966AD" w:rsidRPr="00B7335D" w:rsidRDefault="00F966AD" w:rsidP="00B7335D">
      <w:pPr>
        <w:spacing w:before="120"/>
        <w:rPr>
          <w:rFonts w:ascii="Arial" w:hAnsi="Arial" w:cs="Arial"/>
          <w:color w:val="000000"/>
          <w:sz w:val="20"/>
          <w:lang w:eastAsia="en-AU"/>
        </w:rPr>
      </w:pPr>
    </w:p>
    <w:p w:rsidR="00411E53" w:rsidRPr="00411E53" w:rsidRDefault="00D67868" w:rsidP="0085513D">
      <w:pPr>
        <w:pStyle w:val="Heading3"/>
        <w:numPr>
          <w:ilvl w:val="0"/>
          <w:numId w:val="19"/>
        </w:numPr>
        <w:shd w:val="clear" w:color="auto" w:fill="D9D9D9" w:themeFill="background1" w:themeFillShade="D9"/>
        <w:tabs>
          <w:tab w:val="left" w:pos="1560"/>
        </w:tabs>
        <w:ind w:hanging="1637"/>
        <w:rPr>
          <w:rFonts w:asciiTheme="minorHAnsi" w:hAnsiTheme="minorHAnsi"/>
          <w:i w:val="0"/>
          <w:sz w:val="24"/>
        </w:rPr>
      </w:pPr>
      <w:bookmarkStart w:id="20" w:name="_Toc530995306"/>
      <w:r>
        <w:rPr>
          <w:rFonts w:asciiTheme="minorHAnsi" w:hAnsiTheme="minorHAnsi"/>
          <w:i w:val="0"/>
          <w:sz w:val="24"/>
        </w:rPr>
        <w:t xml:space="preserve">New Section </w:t>
      </w:r>
      <w:r w:rsidR="00411E53" w:rsidRPr="0097757B">
        <w:rPr>
          <w:rFonts w:asciiTheme="minorHAnsi" w:hAnsiTheme="minorHAnsi"/>
          <w:i w:val="0"/>
          <w:sz w:val="24"/>
        </w:rPr>
        <w:t>1</w:t>
      </w:r>
      <w:r w:rsidR="00411E53">
        <w:rPr>
          <w:rFonts w:asciiTheme="minorHAnsi" w:hAnsiTheme="minorHAnsi"/>
          <w:i w:val="0"/>
          <w:sz w:val="24"/>
        </w:rPr>
        <w:t>4</w:t>
      </w:r>
      <w:r w:rsidR="008E77A0">
        <w:rPr>
          <w:rFonts w:asciiTheme="minorHAnsi" w:hAnsiTheme="minorHAnsi"/>
          <w:i w:val="0"/>
          <w:sz w:val="24"/>
        </w:rPr>
        <w:t>A</w:t>
      </w:r>
      <w:bookmarkEnd w:id="20"/>
    </w:p>
    <w:p w:rsidR="003F5221" w:rsidRDefault="00D67868" w:rsidP="00D67868">
      <w:pPr>
        <w:autoSpaceDE w:val="0"/>
        <w:autoSpaceDN w:val="0"/>
        <w:adjustRightInd w:val="0"/>
        <w:spacing w:before="120"/>
      </w:pPr>
      <w:r>
        <w:t xml:space="preserve">This clause inserts a new section, which provides for the CIT board to establish policies on admissions and awards. This provision is related to </w:t>
      </w:r>
      <w:r w:rsidR="007D6157">
        <w:t>s</w:t>
      </w:r>
      <w:r w:rsidR="005D05BB">
        <w:t xml:space="preserve">ection 13(2) and 14(2) and replaces </w:t>
      </w:r>
      <w:r w:rsidR="007D6157">
        <w:t>s</w:t>
      </w:r>
      <w:r w:rsidR="005D05BB">
        <w:t>ection 25</w:t>
      </w:r>
      <w:r w:rsidR="007D6157">
        <w:t xml:space="preserve">. </w:t>
      </w:r>
    </w:p>
    <w:p w:rsidR="008E77A0" w:rsidRDefault="00D67868" w:rsidP="00D67868">
      <w:pPr>
        <w:autoSpaceDE w:val="0"/>
        <w:autoSpaceDN w:val="0"/>
        <w:adjustRightInd w:val="0"/>
        <w:spacing w:before="120"/>
      </w:pPr>
      <w:r>
        <w:t>The intended effect of this clause is to reflect that CIT has already published policies on admission and conferring of awards</w:t>
      </w:r>
      <w:r w:rsidR="00B7335D">
        <w:t xml:space="preserve"> on its website. </w:t>
      </w:r>
      <w:r w:rsidR="00D34725">
        <w:t xml:space="preserve">This clause </w:t>
      </w:r>
      <w:r w:rsidR="00A37F49">
        <w:t>ensures</w:t>
      </w:r>
      <w:r w:rsidR="00D34725">
        <w:t xml:space="preserve"> that a person has access to this information where a review of any decision is sought.</w:t>
      </w:r>
    </w:p>
    <w:p w:rsidR="004C1F4F" w:rsidRDefault="004C1F4F" w:rsidP="00D67868">
      <w:pPr>
        <w:autoSpaceDE w:val="0"/>
        <w:autoSpaceDN w:val="0"/>
        <w:adjustRightInd w:val="0"/>
        <w:spacing w:before="120"/>
      </w:pPr>
    </w:p>
    <w:p w:rsidR="00280CFD" w:rsidRPr="00280CFD" w:rsidRDefault="004C1F4F" w:rsidP="0085513D">
      <w:pPr>
        <w:pStyle w:val="Heading3"/>
        <w:numPr>
          <w:ilvl w:val="0"/>
          <w:numId w:val="19"/>
        </w:numPr>
        <w:shd w:val="clear" w:color="auto" w:fill="D9D9D9" w:themeFill="background1" w:themeFillShade="D9"/>
        <w:tabs>
          <w:tab w:val="left" w:pos="1560"/>
        </w:tabs>
        <w:ind w:hanging="1637"/>
        <w:rPr>
          <w:rFonts w:asciiTheme="minorHAnsi" w:hAnsiTheme="minorHAnsi"/>
          <w:i w:val="0"/>
          <w:sz w:val="24"/>
        </w:rPr>
      </w:pPr>
      <w:bookmarkStart w:id="21" w:name="_Toc530995307"/>
      <w:r>
        <w:rPr>
          <w:rFonts w:asciiTheme="minorHAnsi" w:hAnsiTheme="minorHAnsi"/>
          <w:i w:val="0"/>
          <w:sz w:val="24"/>
        </w:rPr>
        <w:t xml:space="preserve">Section </w:t>
      </w:r>
      <w:r w:rsidRPr="0097757B">
        <w:rPr>
          <w:rFonts w:asciiTheme="minorHAnsi" w:hAnsiTheme="minorHAnsi"/>
          <w:i w:val="0"/>
          <w:sz w:val="24"/>
        </w:rPr>
        <w:t>1</w:t>
      </w:r>
      <w:r>
        <w:rPr>
          <w:rFonts w:asciiTheme="minorHAnsi" w:hAnsiTheme="minorHAnsi"/>
          <w:i w:val="0"/>
          <w:sz w:val="24"/>
        </w:rPr>
        <w:t>5 (2)</w:t>
      </w:r>
      <w:r w:rsidR="00280CFD">
        <w:rPr>
          <w:rFonts w:asciiTheme="minorHAnsi" w:hAnsiTheme="minorHAnsi"/>
          <w:i w:val="0"/>
          <w:sz w:val="24"/>
        </w:rPr>
        <w:t xml:space="preserve"> note</w:t>
      </w:r>
      <w:r w:rsidR="00280CFD">
        <w:rPr>
          <w:rFonts w:asciiTheme="minorHAnsi" w:hAnsiTheme="minorHAnsi"/>
          <w:i w:val="0"/>
          <w:sz w:val="24"/>
        </w:rPr>
        <w:tab/>
        <w:t>Institute’s staff</w:t>
      </w:r>
      <w:bookmarkEnd w:id="21"/>
    </w:p>
    <w:p w:rsidR="004C1F4F" w:rsidRDefault="00280CFD" w:rsidP="004C1F4F">
      <w:pPr>
        <w:autoSpaceDE w:val="0"/>
        <w:autoSpaceDN w:val="0"/>
        <w:adjustRightInd w:val="0"/>
        <w:spacing w:before="120"/>
      </w:pPr>
      <w:r>
        <w:t>This provision is a technical amendment to replace the term ‘director’ with ‘chief executive officer’</w:t>
      </w:r>
      <w:r w:rsidR="004C1F4F">
        <w:t xml:space="preserve">. </w:t>
      </w:r>
    </w:p>
    <w:p w:rsidR="00D67868" w:rsidRDefault="00D67868" w:rsidP="00D67868">
      <w:pPr>
        <w:autoSpaceDE w:val="0"/>
        <w:autoSpaceDN w:val="0"/>
        <w:adjustRightInd w:val="0"/>
      </w:pPr>
    </w:p>
    <w:p w:rsidR="00CC71EA" w:rsidRPr="002E77DF" w:rsidRDefault="00CC71EA" w:rsidP="00CC71EA">
      <w:pPr>
        <w:pStyle w:val="Heading2"/>
        <w:spacing w:after="120"/>
        <w:rPr>
          <w:rFonts w:asciiTheme="minorHAnsi" w:hAnsiTheme="minorHAnsi"/>
        </w:rPr>
      </w:pPr>
      <w:bookmarkStart w:id="22" w:name="_Toc530995308"/>
      <w:r w:rsidRPr="002E77DF">
        <w:rPr>
          <w:rFonts w:asciiTheme="minorHAnsi" w:hAnsiTheme="minorHAnsi"/>
        </w:rPr>
        <w:t xml:space="preserve">Part </w:t>
      </w:r>
      <w:r>
        <w:rPr>
          <w:rFonts w:asciiTheme="minorHAnsi" w:hAnsiTheme="minorHAnsi"/>
        </w:rPr>
        <w:t>7</w:t>
      </w:r>
      <w:r w:rsidRPr="002E77DF">
        <w:rPr>
          <w:rFonts w:asciiTheme="minorHAnsi" w:hAnsiTheme="minorHAnsi"/>
        </w:rPr>
        <w:t xml:space="preserve"> </w:t>
      </w:r>
      <w:r>
        <w:rPr>
          <w:rFonts w:asciiTheme="minorHAnsi" w:hAnsiTheme="minorHAnsi"/>
        </w:rPr>
        <w:tab/>
        <w:t>Miscellaneous</w:t>
      </w:r>
      <w:bookmarkEnd w:id="22"/>
      <w:r w:rsidRPr="002E77DF">
        <w:rPr>
          <w:rFonts w:asciiTheme="minorHAnsi" w:hAnsiTheme="minorHAnsi"/>
        </w:rPr>
        <w:t xml:space="preserve"> </w:t>
      </w:r>
    </w:p>
    <w:p w:rsidR="008E77A0" w:rsidRPr="00411E53" w:rsidRDefault="008E77A0" w:rsidP="0085513D">
      <w:pPr>
        <w:pStyle w:val="Heading3"/>
        <w:numPr>
          <w:ilvl w:val="0"/>
          <w:numId w:val="19"/>
        </w:numPr>
        <w:shd w:val="clear" w:color="auto" w:fill="D9D9D9" w:themeFill="background1" w:themeFillShade="D9"/>
        <w:tabs>
          <w:tab w:val="left" w:pos="1560"/>
        </w:tabs>
        <w:ind w:hanging="1637"/>
        <w:rPr>
          <w:rFonts w:asciiTheme="minorHAnsi" w:hAnsiTheme="minorHAnsi"/>
          <w:i w:val="0"/>
          <w:sz w:val="24"/>
        </w:rPr>
      </w:pPr>
      <w:bookmarkStart w:id="23" w:name="_Toc530995309"/>
      <w:r w:rsidRPr="0097757B">
        <w:rPr>
          <w:rFonts w:asciiTheme="minorHAnsi" w:hAnsiTheme="minorHAnsi"/>
          <w:i w:val="0"/>
          <w:sz w:val="24"/>
        </w:rPr>
        <w:t xml:space="preserve">Section </w:t>
      </w:r>
      <w:r>
        <w:rPr>
          <w:rFonts w:asciiTheme="minorHAnsi" w:hAnsiTheme="minorHAnsi"/>
          <w:i w:val="0"/>
          <w:sz w:val="24"/>
        </w:rPr>
        <w:t>25</w:t>
      </w:r>
      <w:bookmarkEnd w:id="23"/>
      <w:r w:rsidRPr="0097757B">
        <w:rPr>
          <w:rFonts w:asciiTheme="minorHAnsi" w:hAnsiTheme="minorHAnsi"/>
          <w:i w:val="0"/>
          <w:sz w:val="24"/>
        </w:rPr>
        <w:tab/>
      </w:r>
    </w:p>
    <w:p w:rsidR="00411E53" w:rsidRDefault="00411E53" w:rsidP="008E77A0">
      <w:pPr>
        <w:autoSpaceDE w:val="0"/>
        <w:autoSpaceDN w:val="0"/>
        <w:adjustRightInd w:val="0"/>
        <w:spacing w:before="120" w:after="120"/>
      </w:pPr>
      <w:r>
        <w:t xml:space="preserve">This clause is a consequential amendment. Section </w:t>
      </w:r>
      <w:r w:rsidR="008E77A0">
        <w:t>25</w:t>
      </w:r>
      <w:r>
        <w:t xml:space="preserve"> will be made redundant by the amendments under </w:t>
      </w:r>
      <w:r w:rsidR="008E77A0">
        <w:t>sections</w:t>
      </w:r>
      <w:r>
        <w:t xml:space="preserve"> </w:t>
      </w:r>
      <w:r w:rsidR="008E77A0">
        <w:t xml:space="preserve">13(2) and 14(2) and the addition of </w:t>
      </w:r>
      <w:r w:rsidR="004C26E0">
        <w:t xml:space="preserve">new </w:t>
      </w:r>
      <w:r w:rsidR="008E77A0">
        <w:t>section 14A.</w:t>
      </w:r>
    </w:p>
    <w:p w:rsidR="00CF2DC1" w:rsidRDefault="007D6157" w:rsidP="003F5221">
      <w:pPr>
        <w:autoSpaceDE w:val="0"/>
        <w:autoSpaceDN w:val="0"/>
        <w:adjustRightInd w:val="0"/>
        <w:spacing w:before="120"/>
      </w:pPr>
      <w:r>
        <w:t xml:space="preserve">While it was not a requirement for the CIT Board to make any rules and procedures under section 25, the totality of the legislative provisions (as specified in </w:t>
      </w:r>
      <w:r w:rsidR="003F5221">
        <w:t xml:space="preserve">the former </w:t>
      </w:r>
      <w:r>
        <w:t>s</w:t>
      </w:r>
      <w:r w:rsidR="003F5221">
        <w:t xml:space="preserve">ections </w:t>
      </w:r>
      <w:r>
        <w:t>13(2)</w:t>
      </w:r>
      <w:r w:rsidR="003F5221">
        <w:t xml:space="preserve"> and</w:t>
      </w:r>
      <w:r>
        <w:t xml:space="preserve"> 14(2), </w:t>
      </w:r>
      <w:r w:rsidR="003F5221">
        <w:t xml:space="preserve">and referred to in sections </w:t>
      </w:r>
      <w:r>
        <w:t xml:space="preserve">20, 21 and 25) may have </w:t>
      </w:r>
      <w:r w:rsidR="003F5221">
        <w:t>led</w:t>
      </w:r>
      <w:r>
        <w:t xml:space="preserve"> to the view that it should have done so. </w:t>
      </w:r>
    </w:p>
    <w:p w:rsidR="007D6157" w:rsidRDefault="00CF2DC1" w:rsidP="003F5221">
      <w:pPr>
        <w:autoSpaceDE w:val="0"/>
        <w:autoSpaceDN w:val="0"/>
        <w:adjustRightInd w:val="0"/>
        <w:spacing w:before="120"/>
      </w:pPr>
      <w:r>
        <w:t xml:space="preserve">In meeting its obligation under the Act with regard to admission and conferring of awards, CIT relies on its policies published on its website to provide a regime for determining </w:t>
      </w:r>
      <w:r w:rsidR="004C26E0">
        <w:t xml:space="preserve">decisions. </w:t>
      </w:r>
      <w:r w:rsidR="00EA0A7D">
        <w:t>There is no perceived benefit for this regulatory requirement and i</w:t>
      </w:r>
      <w:r w:rsidR="007D6157">
        <w:t xml:space="preserve">n removing this provision there is considered to be no impact on a person’s right to </w:t>
      </w:r>
      <w:r w:rsidR="003F5221">
        <w:t xml:space="preserve">a review of any decisions made under section 13(2) and 14(2). </w:t>
      </w:r>
    </w:p>
    <w:p w:rsidR="00411E53" w:rsidRDefault="00411E53" w:rsidP="0023273E">
      <w:pPr>
        <w:rPr>
          <w:rFonts w:ascii="Arial" w:hAnsi="Arial" w:cs="Arial"/>
          <w:color w:val="000000"/>
          <w:sz w:val="20"/>
          <w:lang w:eastAsia="en-AU"/>
        </w:rPr>
      </w:pPr>
    </w:p>
    <w:p w:rsidR="00CC71EA" w:rsidRPr="002E77DF" w:rsidRDefault="00CC71EA" w:rsidP="00CC71EA">
      <w:pPr>
        <w:pStyle w:val="Heading2"/>
        <w:spacing w:after="120"/>
        <w:rPr>
          <w:rFonts w:asciiTheme="minorHAnsi" w:hAnsiTheme="minorHAnsi"/>
        </w:rPr>
      </w:pPr>
      <w:bookmarkStart w:id="24" w:name="_Toc530995310"/>
      <w:r>
        <w:rPr>
          <w:rFonts w:asciiTheme="minorHAnsi" w:hAnsiTheme="minorHAnsi"/>
        </w:rPr>
        <w:t>Dictionary</w:t>
      </w:r>
      <w:bookmarkEnd w:id="24"/>
    </w:p>
    <w:p w:rsidR="00FB357B" w:rsidRPr="008E77A0" w:rsidRDefault="00FB357B" w:rsidP="0085513D">
      <w:pPr>
        <w:pStyle w:val="Heading3"/>
        <w:numPr>
          <w:ilvl w:val="0"/>
          <w:numId w:val="19"/>
        </w:numPr>
        <w:shd w:val="clear" w:color="auto" w:fill="D9D9D9" w:themeFill="background1" w:themeFillShade="D9"/>
        <w:tabs>
          <w:tab w:val="left" w:pos="1560"/>
        </w:tabs>
        <w:ind w:hanging="1637"/>
        <w:rPr>
          <w:rFonts w:asciiTheme="minorHAnsi" w:hAnsiTheme="minorHAnsi"/>
          <w:i w:val="0"/>
          <w:sz w:val="24"/>
          <w:szCs w:val="24"/>
          <w:lang w:eastAsia="en-AU"/>
        </w:rPr>
      </w:pPr>
      <w:bookmarkStart w:id="25" w:name="_Toc530995311"/>
      <w:r w:rsidRPr="008E77A0">
        <w:rPr>
          <w:rFonts w:asciiTheme="minorHAnsi" w:hAnsiTheme="minorHAnsi"/>
          <w:i w:val="0"/>
          <w:sz w:val="24"/>
          <w:szCs w:val="24"/>
        </w:rPr>
        <w:t xml:space="preserve">Dictionary, new definition of </w:t>
      </w:r>
      <w:r w:rsidR="008E77A0">
        <w:rPr>
          <w:rFonts w:asciiTheme="minorHAnsi" w:hAnsiTheme="minorHAnsi"/>
          <w:i w:val="0"/>
          <w:sz w:val="24"/>
          <w:szCs w:val="24"/>
        </w:rPr>
        <w:t>CIT and CIT board</w:t>
      </w:r>
      <w:bookmarkEnd w:id="25"/>
    </w:p>
    <w:p w:rsidR="00FB357B" w:rsidRDefault="004C26E0" w:rsidP="002A3736">
      <w:pPr>
        <w:spacing w:before="120"/>
        <w:rPr>
          <w:szCs w:val="24"/>
        </w:rPr>
      </w:pPr>
      <w:r w:rsidRPr="00E62BB3">
        <w:rPr>
          <w:szCs w:val="24"/>
        </w:rPr>
        <w:t>This is a technical amendment</w:t>
      </w:r>
      <w:r>
        <w:rPr>
          <w:szCs w:val="24"/>
        </w:rPr>
        <w:t xml:space="preserve">. It replaces the term ‘institute’ with CIT and is consequential on the change to clause 5. </w:t>
      </w:r>
    </w:p>
    <w:p w:rsidR="004C26E0" w:rsidRDefault="004C26E0" w:rsidP="004C26E0"/>
    <w:p w:rsidR="00FB357B" w:rsidRDefault="008E77A0" w:rsidP="0085513D">
      <w:pPr>
        <w:pStyle w:val="Heading3"/>
        <w:numPr>
          <w:ilvl w:val="0"/>
          <w:numId w:val="19"/>
        </w:numPr>
        <w:shd w:val="clear" w:color="auto" w:fill="D9D9D9" w:themeFill="background1" w:themeFillShade="D9"/>
        <w:tabs>
          <w:tab w:val="left" w:pos="1560"/>
        </w:tabs>
        <w:ind w:hanging="1637"/>
        <w:rPr>
          <w:lang w:eastAsia="en-AU"/>
        </w:rPr>
      </w:pPr>
      <w:bookmarkStart w:id="26" w:name="_Toc530995312"/>
      <w:r w:rsidRPr="008E77A0">
        <w:rPr>
          <w:rFonts w:asciiTheme="minorHAnsi" w:hAnsiTheme="minorHAnsi"/>
          <w:i w:val="0"/>
          <w:sz w:val="24"/>
          <w:szCs w:val="24"/>
        </w:rPr>
        <w:t>Dictionary,</w:t>
      </w:r>
      <w:r>
        <w:rPr>
          <w:rFonts w:asciiTheme="minorHAnsi" w:hAnsiTheme="minorHAnsi"/>
          <w:i w:val="0"/>
          <w:sz w:val="24"/>
          <w:szCs w:val="24"/>
        </w:rPr>
        <w:t xml:space="preserve"> definitions</w:t>
      </w:r>
      <w:bookmarkEnd w:id="26"/>
    </w:p>
    <w:p w:rsidR="008E77A0" w:rsidRDefault="004C26E0" w:rsidP="008E77A0">
      <w:pPr>
        <w:spacing w:before="120"/>
      </w:pPr>
      <w:r>
        <w:t>This clause is a consequential amendment. Amendments to the main Act will make these definitions redundant.</w:t>
      </w:r>
    </w:p>
    <w:p w:rsidR="0040578E" w:rsidRDefault="0040578E" w:rsidP="0040578E"/>
    <w:p w:rsidR="004C26E0" w:rsidRPr="0040578E" w:rsidRDefault="0040578E" w:rsidP="0085513D">
      <w:pPr>
        <w:pStyle w:val="Heading3"/>
        <w:numPr>
          <w:ilvl w:val="0"/>
          <w:numId w:val="19"/>
        </w:numPr>
        <w:shd w:val="clear" w:color="auto" w:fill="D9D9D9" w:themeFill="background1" w:themeFillShade="D9"/>
        <w:tabs>
          <w:tab w:val="left" w:pos="1560"/>
        </w:tabs>
        <w:ind w:hanging="1637"/>
        <w:rPr>
          <w:rFonts w:asciiTheme="minorHAnsi" w:hAnsiTheme="minorHAnsi"/>
          <w:i w:val="0"/>
          <w:sz w:val="24"/>
          <w:szCs w:val="24"/>
        </w:rPr>
      </w:pPr>
      <w:bookmarkStart w:id="27" w:name="_Toc530995313"/>
      <w:r w:rsidRPr="008E77A0">
        <w:rPr>
          <w:rFonts w:asciiTheme="minorHAnsi" w:hAnsiTheme="minorHAnsi"/>
          <w:i w:val="0"/>
          <w:sz w:val="24"/>
          <w:szCs w:val="24"/>
        </w:rPr>
        <w:t>Dictionary,</w:t>
      </w:r>
      <w:r>
        <w:rPr>
          <w:rFonts w:asciiTheme="minorHAnsi" w:hAnsiTheme="minorHAnsi"/>
          <w:i w:val="0"/>
          <w:sz w:val="24"/>
          <w:szCs w:val="24"/>
        </w:rPr>
        <w:t xml:space="preserve"> definitions of </w:t>
      </w:r>
      <w:r w:rsidRPr="0040578E">
        <w:rPr>
          <w:rFonts w:asciiTheme="minorHAnsi" w:hAnsiTheme="minorHAnsi"/>
          <w:sz w:val="24"/>
          <w:szCs w:val="24"/>
        </w:rPr>
        <w:t>staff member</w:t>
      </w:r>
      <w:r>
        <w:rPr>
          <w:rFonts w:asciiTheme="minorHAnsi" w:hAnsiTheme="minorHAnsi"/>
          <w:i w:val="0"/>
          <w:sz w:val="24"/>
          <w:szCs w:val="24"/>
        </w:rPr>
        <w:t xml:space="preserve"> and </w:t>
      </w:r>
      <w:r w:rsidRPr="0040578E">
        <w:rPr>
          <w:rFonts w:asciiTheme="minorHAnsi" w:hAnsiTheme="minorHAnsi"/>
          <w:sz w:val="24"/>
          <w:szCs w:val="24"/>
        </w:rPr>
        <w:t>student member</w:t>
      </w:r>
      <w:bookmarkEnd w:id="27"/>
    </w:p>
    <w:p w:rsidR="0040578E" w:rsidRDefault="0040578E" w:rsidP="0040578E">
      <w:pPr>
        <w:spacing w:before="120"/>
      </w:pPr>
      <w:r>
        <w:t xml:space="preserve">This clause </w:t>
      </w:r>
      <w:r w:rsidR="005754BC">
        <w:t xml:space="preserve">is </w:t>
      </w:r>
      <w:r w:rsidRPr="00E62BB3">
        <w:rPr>
          <w:szCs w:val="24"/>
        </w:rPr>
        <w:t>a technical amendment</w:t>
      </w:r>
      <w:r w:rsidR="005754BC">
        <w:t xml:space="preserve"> and defines the student and staff member positions.</w:t>
      </w:r>
    </w:p>
    <w:p w:rsidR="0040578E" w:rsidRDefault="0040578E" w:rsidP="004C26E0"/>
    <w:p w:rsidR="00CC71EA" w:rsidRPr="002E77DF" w:rsidRDefault="00CC71EA" w:rsidP="00CC71EA">
      <w:pPr>
        <w:pStyle w:val="Heading2"/>
        <w:spacing w:after="120"/>
        <w:rPr>
          <w:rFonts w:asciiTheme="minorHAnsi" w:hAnsiTheme="minorHAnsi"/>
        </w:rPr>
      </w:pPr>
      <w:bookmarkStart w:id="28" w:name="_Toc530995314"/>
      <w:r>
        <w:rPr>
          <w:rFonts w:asciiTheme="minorHAnsi" w:hAnsiTheme="minorHAnsi"/>
        </w:rPr>
        <w:t xml:space="preserve">Other </w:t>
      </w:r>
      <w:r w:rsidR="004C26E0">
        <w:rPr>
          <w:rFonts w:asciiTheme="minorHAnsi" w:hAnsiTheme="minorHAnsi"/>
        </w:rPr>
        <w:t>provisions</w:t>
      </w:r>
      <w:bookmarkEnd w:id="28"/>
    </w:p>
    <w:p w:rsidR="002A3736" w:rsidRDefault="002A3736" w:rsidP="0085513D">
      <w:pPr>
        <w:pStyle w:val="Heading3"/>
        <w:numPr>
          <w:ilvl w:val="0"/>
          <w:numId w:val="19"/>
        </w:numPr>
        <w:shd w:val="clear" w:color="auto" w:fill="D9D9D9" w:themeFill="background1" w:themeFillShade="D9"/>
        <w:tabs>
          <w:tab w:val="left" w:pos="1560"/>
        </w:tabs>
        <w:ind w:hanging="1637"/>
        <w:rPr>
          <w:rFonts w:asciiTheme="minorHAnsi" w:hAnsiTheme="minorHAnsi"/>
          <w:i w:val="0"/>
          <w:sz w:val="24"/>
          <w:szCs w:val="24"/>
        </w:rPr>
      </w:pPr>
      <w:bookmarkStart w:id="29" w:name="_Toc530995315"/>
      <w:r w:rsidRPr="002A3736">
        <w:rPr>
          <w:rFonts w:asciiTheme="minorHAnsi" w:hAnsiTheme="minorHAnsi"/>
          <w:i w:val="0"/>
          <w:sz w:val="24"/>
          <w:szCs w:val="24"/>
        </w:rPr>
        <w:t>Further amendments, mentions of institute</w:t>
      </w:r>
      <w:bookmarkEnd w:id="29"/>
    </w:p>
    <w:p w:rsidR="005A474D" w:rsidRDefault="002A3736" w:rsidP="002A3736">
      <w:pPr>
        <w:spacing w:before="120"/>
      </w:pPr>
      <w:r>
        <w:t>This provision is to replace any instances of the term ‘institute’ with ‘CIT’ as referred under clause 4.</w:t>
      </w:r>
    </w:p>
    <w:p w:rsidR="002A3736" w:rsidRDefault="002A3736" w:rsidP="002A3736"/>
    <w:p w:rsidR="002A3736" w:rsidRDefault="002A3736" w:rsidP="0085513D">
      <w:pPr>
        <w:pStyle w:val="Heading3"/>
        <w:numPr>
          <w:ilvl w:val="0"/>
          <w:numId w:val="19"/>
        </w:numPr>
        <w:shd w:val="clear" w:color="auto" w:fill="D9D9D9" w:themeFill="background1" w:themeFillShade="D9"/>
        <w:tabs>
          <w:tab w:val="left" w:pos="1560"/>
        </w:tabs>
        <w:ind w:hanging="1637"/>
        <w:rPr>
          <w:rFonts w:asciiTheme="minorHAnsi" w:hAnsiTheme="minorHAnsi"/>
          <w:i w:val="0"/>
          <w:sz w:val="24"/>
          <w:szCs w:val="24"/>
        </w:rPr>
      </w:pPr>
      <w:bookmarkStart w:id="30" w:name="_Toc530995316"/>
      <w:r w:rsidRPr="002A3736">
        <w:rPr>
          <w:rFonts w:asciiTheme="minorHAnsi" w:hAnsiTheme="minorHAnsi"/>
          <w:i w:val="0"/>
          <w:sz w:val="24"/>
          <w:szCs w:val="24"/>
        </w:rPr>
        <w:t>Further amendments, mentions of institute</w:t>
      </w:r>
      <w:bookmarkEnd w:id="30"/>
    </w:p>
    <w:p w:rsidR="002A3736" w:rsidRPr="002A3736" w:rsidRDefault="002A3736" w:rsidP="002A3736">
      <w:pPr>
        <w:spacing w:before="120"/>
      </w:pPr>
      <w:r>
        <w:t>This provision is to replace any instances of the term ‘institute’s’ with ‘CIT’s’ as referred under clause 4</w:t>
      </w:r>
      <w:r w:rsidR="00EA0A7D">
        <w:t>.</w:t>
      </w:r>
    </w:p>
    <w:sectPr w:rsidR="002A3736" w:rsidRPr="002A3736" w:rsidSect="00CC761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C2" w:rsidRDefault="00A11AC2">
      <w:r>
        <w:separator/>
      </w:r>
    </w:p>
  </w:endnote>
  <w:endnote w:type="continuationSeparator" w:id="0">
    <w:p w:rsidR="00A11AC2" w:rsidRDefault="00A1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19" w:rsidRDefault="0079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5D" w:rsidRDefault="00B7335D">
    <w:pPr>
      <w:pStyle w:val="Footer"/>
      <w:jc w:val="center"/>
      <w:rPr>
        <w:noProof/>
      </w:rPr>
    </w:pPr>
    <w:r>
      <w:fldChar w:fldCharType="begin"/>
    </w:r>
    <w:r>
      <w:instrText xml:space="preserve"> PAGE   \* MERGEFORMAT </w:instrText>
    </w:r>
    <w:r>
      <w:fldChar w:fldCharType="separate"/>
    </w:r>
    <w:r w:rsidR="00794219">
      <w:rPr>
        <w:noProof/>
      </w:rPr>
      <w:t>2</w:t>
    </w:r>
    <w:r>
      <w:rPr>
        <w:noProof/>
      </w:rPr>
      <w:fldChar w:fldCharType="end"/>
    </w:r>
  </w:p>
  <w:p w:rsidR="00794219" w:rsidRPr="00794219" w:rsidRDefault="00794219" w:rsidP="00794219">
    <w:pPr>
      <w:pStyle w:val="Footer"/>
      <w:jc w:val="center"/>
      <w:rPr>
        <w:rFonts w:cs="Arial"/>
        <w:sz w:val="14"/>
      </w:rPr>
    </w:pPr>
    <w:r w:rsidRPr="0079421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19" w:rsidRPr="00794219" w:rsidRDefault="00794219" w:rsidP="00794219">
    <w:pPr>
      <w:pStyle w:val="Footer"/>
      <w:jc w:val="center"/>
      <w:rPr>
        <w:rFonts w:cs="Arial"/>
        <w:sz w:val="14"/>
      </w:rPr>
    </w:pPr>
    <w:r w:rsidRPr="00794219">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C2" w:rsidRDefault="00A11AC2">
      <w:r>
        <w:separator/>
      </w:r>
    </w:p>
  </w:footnote>
  <w:footnote w:type="continuationSeparator" w:id="0">
    <w:p w:rsidR="00A11AC2" w:rsidRDefault="00A11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19" w:rsidRDefault="0079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19" w:rsidRDefault="0079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19" w:rsidRDefault="0079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4A5"/>
    <w:multiLevelType w:val="hybridMultilevel"/>
    <w:tmpl w:val="9A8443A8"/>
    <w:lvl w:ilvl="0" w:tplc="CDA48E20">
      <w:start w:val="8"/>
      <w:numFmt w:val="decimal"/>
      <w:lvlText w:val="Clause %1."/>
      <w:lvlJc w:val="left"/>
      <w:pPr>
        <w:ind w:left="1637" w:hanging="360"/>
      </w:pPr>
      <w:rPr>
        <w:rFonts w:asciiTheme="minorHAnsi" w:hAnsiTheme="minorHAnsi"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53C9D"/>
    <w:multiLevelType w:val="hybridMultilevel"/>
    <w:tmpl w:val="E3421600"/>
    <w:lvl w:ilvl="0" w:tplc="47B08E28">
      <w:start w:val="1"/>
      <w:numFmt w:val="decimal"/>
      <w:lvlText w:val="Clause %1."/>
      <w:lvlJc w:val="left"/>
      <w:pPr>
        <w:ind w:left="1637" w:hanging="360"/>
      </w:pPr>
      <w:rPr>
        <w:rFonts w:asciiTheme="minorHAnsi" w:hAnsiTheme="minorHAnsi" w:hint="default"/>
        <w:i w:val="0"/>
        <w:sz w:val="24"/>
      </w:rPr>
    </w:lvl>
    <w:lvl w:ilvl="1" w:tplc="0C090019">
      <w:start w:val="1"/>
      <w:numFmt w:val="lowerLetter"/>
      <w:lvlText w:val="%2."/>
      <w:lvlJc w:val="left"/>
      <w:pPr>
        <w:ind w:left="-1757" w:hanging="360"/>
      </w:pPr>
    </w:lvl>
    <w:lvl w:ilvl="2" w:tplc="0C09001B">
      <w:start w:val="1"/>
      <w:numFmt w:val="lowerRoman"/>
      <w:lvlText w:val="%3."/>
      <w:lvlJc w:val="right"/>
      <w:pPr>
        <w:ind w:left="-1037" w:hanging="180"/>
      </w:pPr>
    </w:lvl>
    <w:lvl w:ilvl="3" w:tplc="0C09000F" w:tentative="1">
      <w:start w:val="1"/>
      <w:numFmt w:val="decimal"/>
      <w:lvlText w:val="%4."/>
      <w:lvlJc w:val="left"/>
      <w:pPr>
        <w:ind w:left="-317" w:hanging="360"/>
      </w:pPr>
    </w:lvl>
    <w:lvl w:ilvl="4" w:tplc="0C090019" w:tentative="1">
      <w:start w:val="1"/>
      <w:numFmt w:val="lowerLetter"/>
      <w:lvlText w:val="%5."/>
      <w:lvlJc w:val="left"/>
      <w:pPr>
        <w:ind w:left="403" w:hanging="360"/>
      </w:pPr>
    </w:lvl>
    <w:lvl w:ilvl="5" w:tplc="0C09001B" w:tentative="1">
      <w:start w:val="1"/>
      <w:numFmt w:val="lowerRoman"/>
      <w:lvlText w:val="%6."/>
      <w:lvlJc w:val="right"/>
      <w:pPr>
        <w:ind w:left="1123" w:hanging="180"/>
      </w:pPr>
    </w:lvl>
    <w:lvl w:ilvl="6" w:tplc="0C09000F" w:tentative="1">
      <w:start w:val="1"/>
      <w:numFmt w:val="decimal"/>
      <w:lvlText w:val="%7."/>
      <w:lvlJc w:val="left"/>
      <w:pPr>
        <w:ind w:left="1843" w:hanging="360"/>
      </w:pPr>
    </w:lvl>
    <w:lvl w:ilvl="7" w:tplc="0C090019" w:tentative="1">
      <w:start w:val="1"/>
      <w:numFmt w:val="lowerLetter"/>
      <w:lvlText w:val="%8."/>
      <w:lvlJc w:val="left"/>
      <w:pPr>
        <w:ind w:left="2563" w:hanging="360"/>
      </w:pPr>
    </w:lvl>
    <w:lvl w:ilvl="8" w:tplc="0C09001B" w:tentative="1">
      <w:start w:val="1"/>
      <w:numFmt w:val="lowerRoman"/>
      <w:lvlText w:val="%9."/>
      <w:lvlJc w:val="right"/>
      <w:pPr>
        <w:ind w:left="3283" w:hanging="180"/>
      </w:pPr>
    </w:lvl>
  </w:abstractNum>
  <w:abstractNum w:abstractNumId="2" w15:restartNumberingAfterBreak="0">
    <w:nsid w:val="08BF4395"/>
    <w:multiLevelType w:val="hybridMultilevel"/>
    <w:tmpl w:val="E4F051D6"/>
    <w:lvl w:ilvl="0" w:tplc="88964A98">
      <w:start w:val="5"/>
      <w:numFmt w:val="decimal"/>
      <w:lvlText w:val="Clause %1."/>
      <w:lvlJc w:val="left"/>
      <w:pPr>
        <w:ind w:left="1637" w:hanging="360"/>
      </w:pPr>
      <w:rPr>
        <w:rFonts w:asciiTheme="minorHAnsi" w:hAnsiTheme="minorHAnsi"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11686339"/>
    <w:multiLevelType w:val="hybridMultilevel"/>
    <w:tmpl w:val="0610FA7C"/>
    <w:lvl w:ilvl="0" w:tplc="BAC82B20">
      <w:start w:val="5"/>
      <w:numFmt w:val="decimal"/>
      <w:lvlText w:val="Clause %1."/>
      <w:lvlJc w:val="left"/>
      <w:pPr>
        <w:ind w:left="1637" w:hanging="360"/>
      </w:pPr>
      <w:rPr>
        <w:rFonts w:asciiTheme="minorHAnsi" w:hAnsiTheme="minorHAnsi"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705CC"/>
    <w:multiLevelType w:val="hybridMultilevel"/>
    <w:tmpl w:val="EDE4F8EE"/>
    <w:lvl w:ilvl="0" w:tplc="0422F448">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2062C"/>
    <w:multiLevelType w:val="multilevel"/>
    <w:tmpl w:val="CC1E5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256C4ABB"/>
    <w:multiLevelType w:val="hybridMultilevel"/>
    <w:tmpl w:val="7586F060"/>
    <w:lvl w:ilvl="0" w:tplc="4ED6C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FF3A76"/>
    <w:multiLevelType w:val="hybridMultilevel"/>
    <w:tmpl w:val="8E606DF0"/>
    <w:lvl w:ilvl="0" w:tplc="0C090001">
      <w:start w:val="1"/>
      <w:numFmt w:val="bullet"/>
      <w:lvlText w:val=""/>
      <w:lvlJc w:val="left"/>
      <w:pPr>
        <w:ind w:left="819" w:hanging="360"/>
      </w:pPr>
      <w:rPr>
        <w:rFonts w:ascii="Symbol" w:hAnsi="Symbol" w:hint="default"/>
        <w:i w:val="0"/>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9" w15:restartNumberingAfterBreak="0">
    <w:nsid w:val="30877931"/>
    <w:multiLevelType w:val="hybridMultilevel"/>
    <w:tmpl w:val="C75A4F1A"/>
    <w:lvl w:ilvl="0" w:tplc="DB4CAC6A">
      <w:start w:val="5"/>
      <w:numFmt w:val="decimal"/>
      <w:lvlText w:val="Clause %1."/>
      <w:lvlJc w:val="left"/>
      <w:pPr>
        <w:ind w:left="1637" w:hanging="360"/>
      </w:pPr>
      <w:rPr>
        <w:rFonts w:asciiTheme="minorHAnsi" w:hAnsiTheme="minorHAnsi"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A6D321B"/>
    <w:multiLevelType w:val="hybridMultilevel"/>
    <w:tmpl w:val="CA721D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E203E7"/>
    <w:multiLevelType w:val="hybridMultilevel"/>
    <w:tmpl w:val="E9527C14"/>
    <w:lvl w:ilvl="0" w:tplc="43521B32">
      <w:start w:val="7"/>
      <w:numFmt w:val="decimal"/>
      <w:lvlText w:val="Clause %1."/>
      <w:lvlJc w:val="left"/>
      <w:pPr>
        <w:ind w:left="1637" w:hanging="360"/>
      </w:pPr>
      <w:rPr>
        <w:rFonts w:asciiTheme="minorHAnsi" w:hAnsiTheme="minorHAnsi"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BB287D"/>
    <w:multiLevelType w:val="hybridMultilevel"/>
    <w:tmpl w:val="E8D82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362E85"/>
    <w:multiLevelType w:val="hybridMultilevel"/>
    <w:tmpl w:val="8B1E8BB6"/>
    <w:lvl w:ilvl="0" w:tplc="D9F644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18359A"/>
    <w:multiLevelType w:val="hybridMultilevel"/>
    <w:tmpl w:val="0610FA7C"/>
    <w:lvl w:ilvl="0" w:tplc="BAC82B20">
      <w:start w:val="5"/>
      <w:numFmt w:val="decimal"/>
      <w:lvlText w:val="Clause %1."/>
      <w:lvlJc w:val="left"/>
      <w:pPr>
        <w:ind w:left="1637" w:hanging="360"/>
      </w:pPr>
      <w:rPr>
        <w:rFonts w:asciiTheme="minorHAnsi" w:hAnsiTheme="minorHAnsi"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86609F"/>
    <w:multiLevelType w:val="multilevel"/>
    <w:tmpl w:val="F83252FA"/>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7" w15:restartNumberingAfterBreak="0">
    <w:nsid w:val="787E496D"/>
    <w:multiLevelType w:val="hybridMultilevel"/>
    <w:tmpl w:val="55528EF4"/>
    <w:lvl w:ilvl="0" w:tplc="EF567772">
      <w:start w:val="5"/>
      <w:numFmt w:val="decimal"/>
      <w:lvlText w:val="Clause %1."/>
      <w:lvlJc w:val="left"/>
      <w:pPr>
        <w:ind w:left="1637" w:hanging="360"/>
      </w:pPr>
      <w:rPr>
        <w:rFonts w:asciiTheme="minorHAnsi" w:hAnsiTheme="minorHAnsi"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F641E3"/>
    <w:multiLevelType w:val="hybridMultilevel"/>
    <w:tmpl w:val="EA96F9D4"/>
    <w:lvl w:ilvl="0" w:tplc="CC3CBF36">
      <w:start w:val="7"/>
      <w:numFmt w:val="decimal"/>
      <w:lvlText w:val="Clause %1."/>
      <w:lvlJc w:val="left"/>
      <w:pPr>
        <w:ind w:left="1637" w:hanging="360"/>
      </w:pPr>
      <w:rPr>
        <w:rFonts w:asciiTheme="minorHAnsi" w:hAnsiTheme="minorHAnsi"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AE04AE"/>
    <w:multiLevelType w:val="hybridMultilevel"/>
    <w:tmpl w:val="AC6060A8"/>
    <w:lvl w:ilvl="0" w:tplc="A372CDA8">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0"/>
  </w:num>
  <w:num w:numId="3">
    <w:abstractNumId w:val="6"/>
  </w:num>
  <w:num w:numId="4">
    <w:abstractNumId w:val="8"/>
  </w:num>
  <w:num w:numId="5">
    <w:abstractNumId w:val="1"/>
  </w:num>
  <w:num w:numId="6">
    <w:abstractNumId w:val="19"/>
  </w:num>
  <w:num w:numId="7">
    <w:abstractNumId w:val="13"/>
  </w:num>
  <w:num w:numId="8">
    <w:abstractNumId w:val="16"/>
  </w:num>
  <w:num w:numId="9">
    <w:abstractNumId w:val="11"/>
  </w:num>
  <w:num w:numId="10">
    <w:abstractNumId w:val="7"/>
  </w:num>
  <w:num w:numId="11">
    <w:abstractNumId w:val="5"/>
  </w:num>
  <w:num w:numId="12">
    <w:abstractNumId w:val="14"/>
  </w:num>
  <w:num w:numId="13">
    <w:abstractNumId w:val="15"/>
  </w:num>
  <w:num w:numId="14">
    <w:abstractNumId w:val="4"/>
  </w:num>
  <w:num w:numId="15">
    <w:abstractNumId w:val="2"/>
  </w:num>
  <w:num w:numId="16">
    <w:abstractNumId w:val="17"/>
  </w:num>
  <w:num w:numId="17">
    <w:abstractNumId w:val="9"/>
  </w:num>
  <w:num w:numId="18">
    <w:abstractNumId w:val="18"/>
  </w:num>
  <w:num w:numId="19">
    <w:abstractNumId w:val="0"/>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2F"/>
    <w:rsid w:val="000017E9"/>
    <w:rsid w:val="00001E96"/>
    <w:rsid w:val="0000371D"/>
    <w:rsid w:val="00013778"/>
    <w:rsid w:val="00022999"/>
    <w:rsid w:val="00023AEF"/>
    <w:rsid w:val="00046CE7"/>
    <w:rsid w:val="000474DC"/>
    <w:rsid w:val="00064BD5"/>
    <w:rsid w:val="00067881"/>
    <w:rsid w:val="00071691"/>
    <w:rsid w:val="00081CA7"/>
    <w:rsid w:val="00082A03"/>
    <w:rsid w:val="00092478"/>
    <w:rsid w:val="00097D1F"/>
    <w:rsid w:val="000A2D77"/>
    <w:rsid w:val="000A5516"/>
    <w:rsid w:val="000B1990"/>
    <w:rsid w:val="000B1EA9"/>
    <w:rsid w:val="000B2EF3"/>
    <w:rsid w:val="000B5610"/>
    <w:rsid w:val="000C1538"/>
    <w:rsid w:val="000D1AF2"/>
    <w:rsid w:val="000D43AD"/>
    <w:rsid w:val="000E0625"/>
    <w:rsid w:val="000E5861"/>
    <w:rsid w:val="000E7F99"/>
    <w:rsid w:val="000F3138"/>
    <w:rsid w:val="000F58B9"/>
    <w:rsid w:val="000F738C"/>
    <w:rsid w:val="000F7870"/>
    <w:rsid w:val="00106A6C"/>
    <w:rsid w:val="001123A9"/>
    <w:rsid w:val="0011286A"/>
    <w:rsid w:val="00121B92"/>
    <w:rsid w:val="00122498"/>
    <w:rsid w:val="00124F2C"/>
    <w:rsid w:val="00130924"/>
    <w:rsid w:val="001314BD"/>
    <w:rsid w:val="0013394D"/>
    <w:rsid w:val="00134696"/>
    <w:rsid w:val="0014027D"/>
    <w:rsid w:val="0014349F"/>
    <w:rsid w:val="00144213"/>
    <w:rsid w:val="00147925"/>
    <w:rsid w:val="00162A9C"/>
    <w:rsid w:val="00166E0F"/>
    <w:rsid w:val="001673E7"/>
    <w:rsid w:val="00176F72"/>
    <w:rsid w:val="00183CAB"/>
    <w:rsid w:val="00183FFB"/>
    <w:rsid w:val="00191138"/>
    <w:rsid w:val="001965B9"/>
    <w:rsid w:val="001A1170"/>
    <w:rsid w:val="001A2BD7"/>
    <w:rsid w:val="001A5F57"/>
    <w:rsid w:val="001A6D1C"/>
    <w:rsid w:val="001B0297"/>
    <w:rsid w:val="001B096B"/>
    <w:rsid w:val="001D1655"/>
    <w:rsid w:val="001D7116"/>
    <w:rsid w:val="001F602F"/>
    <w:rsid w:val="001F6461"/>
    <w:rsid w:val="00206771"/>
    <w:rsid w:val="002134C8"/>
    <w:rsid w:val="00217DAC"/>
    <w:rsid w:val="002203E9"/>
    <w:rsid w:val="0023273E"/>
    <w:rsid w:val="00235C53"/>
    <w:rsid w:val="0024187E"/>
    <w:rsid w:val="00246658"/>
    <w:rsid w:val="00250812"/>
    <w:rsid w:val="00251349"/>
    <w:rsid w:val="00251B1B"/>
    <w:rsid w:val="002547CC"/>
    <w:rsid w:val="002557A0"/>
    <w:rsid w:val="0026314D"/>
    <w:rsid w:val="00267E09"/>
    <w:rsid w:val="00270E1A"/>
    <w:rsid w:val="00272A48"/>
    <w:rsid w:val="00277ED7"/>
    <w:rsid w:val="00280CFD"/>
    <w:rsid w:val="00283BDB"/>
    <w:rsid w:val="002851A9"/>
    <w:rsid w:val="0028713F"/>
    <w:rsid w:val="002A045E"/>
    <w:rsid w:val="002A04C8"/>
    <w:rsid w:val="002A190B"/>
    <w:rsid w:val="002A1ABC"/>
    <w:rsid w:val="002A3736"/>
    <w:rsid w:val="002B4862"/>
    <w:rsid w:val="002C434E"/>
    <w:rsid w:val="002D5640"/>
    <w:rsid w:val="002D7B3C"/>
    <w:rsid w:val="002D7D93"/>
    <w:rsid w:val="002E77DF"/>
    <w:rsid w:val="002F1540"/>
    <w:rsid w:val="002F41BF"/>
    <w:rsid w:val="00305943"/>
    <w:rsid w:val="00306B9D"/>
    <w:rsid w:val="00312528"/>
    <w:rsid w:val="00316027"/>
    <w:rsid w:val="00316BB5"/>
    <w:rsid w:val="00316E18"/>
    <w:rsid w:val="003410B4"/>
    <w:rsid w:val="003530EB"/>
    <w:rsid w:val="00357D84"/>
    <w:rsid w:val="00371C4D"/>
    <w:rsid w:val="003729DD"/>
    <w:rsid w:val="003745D2"/>
    <w:rsid w:val="00385F97"/>
    <w:rsid w:val="00390525"/>
    <w:rsid w:val="0039572D"/>
    <w:rsid w:val="0039614E"/>
    <w:rsid w:val="003975B8"/>
    <w:rsid w:val="00397C38"/>
    <w:rsid w:val="003A0557"/>
    <w:rsid w:val="003B02AC"/>
    <w:rsid w:val="003B1D6B"/>
    <w:rsid w:val="003C1F28"/>
    <w:rsid w:val="003C2384"/>
    <w:rsid w:val="003C46E7"/>
    <w:rsid w:val="003C7C1C"/>
    <w:rsid w:val="003D0F5F"/>
    <w:rsid w:val="003D7D66"/>
    <w:rsid w:val="003E3854"/>
    <w:rsid w:val="003F3DF7"/>
    <w:rsid w:val="003F48D7"/>
    <w:rsid w:val="003F5221"/>
    <w:rsid w:val="00400D9A"/>
    <w:rsid w:val="0040418F"/>
    <w:rsid w:val="0040458F"/>
    <w:rsid w:val="0040578E"/>
    <w:rsid w:val="00411E53"/>
    <w:rsid w:val="004120AE"/>
    <w:rsid w:val="00412861"/>
    <w:rsid w:val="00416E53"/>
    <w:rsid w:val="00423D46"/>
    <w:rsid w:val="00424302"/>
    <w:rsid w:val="00426134"/>
    <w:rsid w:val="00430EF0"/>
    <w:rsid w:val="00431565"/>
    <w:rsid w:val="00436684"/>
    <w:rsid w:val="00451D95"/>
    <w:rsid w:val="004538F5"/>
    <w:rsid w:val="004601E3"/>
    <w:rsid w:val="0046111B"/>
    <w:rsid w:val="00471C05"/>
    <w:rsid w:val="00475C3D"/>
    <w:rsid w:val="0048179C"/>
    <w:rsid w:val="0048494D"/>
    <w:rsid w:val="00495171"/>
    <w:rsid w:val="00497F59"/>
    <w:rsid w:val="004A14C2"/>
    <w:rsid w:val="004A6447"/>
    <w:rsid w:val="004B6A1A"/>
    <w:rsid w:val="004B72BE"/>
    <w:rsid w:val="004B7BED"/>
    <w:rsid w:val="004C1AA4"/>
    <w:rsid w:val="004C1F4F"/>
    <w:rsid w:val="004C26E0"/>
    <w:rsid w:val="004C4A40"/>
    <w:rsid w:val="004C51B6"/>
    <w:rsid w:val="004C7785"/>
    <w:rsid w:val="004D2E37"/>
    <w:rsid w:val="004D4483"/>
    <w:rsid w:val="004E132F"/>
    <w:rsid w:val="004F0CB2"/>
    <w:rsid w:val="004F4BBA"/>
    <w:rsid w:val="004F5DB9"/>
    <w:rsid w:val="005014DD"/>
    <w:rsid w:val="00502760"/>
    <w:rsid w:val="00503172"/>
    <w:rsid w:val="0050431C"/>
    <w:rsid w:val="00504793"/>
    <w:rsid w:val="005120F2"/>
    <w:rsid w:val="00513515"/>
    <w:rsid w:val="00516A4A"/>
    <w:rsid w:val="0051737A"/>
    <w:rsid w:val="00531429"/>
    <w:rsid w:val="005404A3"/>
    <w:rsid w:val="0054092E"/>
    <w:rsid w:val="00545A6D"/>
    <w:rsid w:val="00547CD1"/>
    <w:rsid w:val="00550AE5"/>
    <w:rsid w:val="00550EFE"/>
    <w:rsid w:val="005512F0"/>
    <w:rsid w:val="00555EE4"/>
    <w:rsid w:val="00562E44"/>
    <w:rsid w:val="00565286"/>
    <w:rsid w:val="005668CE"/>
    <w:rsid w:val="005677B3"/>
    <w:rsid w:val="00570400"/>
    <w:rsid w:val="00574782"/>
    <w:rsid w:val="005754BC"/>
    <w:rsid w:val="005759EA"/>
    <w:rsid w:val="005800FE"/>
    <w:rsid w:val="0058056B"/>
    <w:rsid w:val="005865DD"/>
    <w:rsid w:val="005915DD"/>
    <w:rsid w:val="00597760"/>
    <w:rsid w:val="005A373C"/>
    <w:rsid w:val="005A37D6"/>
    <w:rsid w:val="005A474D"/>
    <w:rsid w:val="005B109A"/>
    <w:rsid w:val="005B6461"/>
    <w:rsid w:val="005C5745"/>
    <w:rsid w:val="005D05BB"/>
    <w:rsid w:val="005D5AE7"/>
    <w:rsid w:val="005D6AC1"/>
    <w:rsid w:val="005D70F1"/>
    <w:rsid w:val="005E4669"/>
    <w:rsid w:val="005E46A5"/>
    <w:rsid w:val="005F1AF6"/>
    <w:rsid w:val="005F288F"/>
    <w:rsid w:val="005F410A"/>
    <w:rsid w:val="005F46E3"/>
    <w:rsid w:val="005F49E4"/>
    <w:rsid w:val="005F4B6D"/>
    <w:rsid w:val="005F4CE2"/>
    <w:rsid w:val="00600130"/>
    <w:rsid w:val="0060560A"/>
    <w:rsid w:val="00605E2A"/>
    <w:rsid w:val="00606E3D"/>
    <w:rsid w:val="00615070"/>
    <w:rsid w:val="006160AA"/>
    <w:rsid w:val="006206CF"/>
    <w:rsid w:val="00620A3F"/>
    <w:rsid w:val="00624C90"/>
    <w:rsid w:val="00632E61"/>
    <w:rsid w:val="00640017"/>
    <w:rsid w:val="00640CF6"/>
    <w:rsid w:val="00643DF9"/>
    <w:rsid w:val="006539DF"/>
    <w:rsid w:val="006542F3"/>
    <w:rsid w:val="0065465A"/>
    <w:rsid w:val="00661CFF"/>
    <w:rsid w:val="00664AF7"/>
    <w:rsid w:val="00670704"/>
    <w:rsid w:val="00673792"/>
    <w:rsid w:val="00676460"/>
    <w:rsid w:val="00680D02"/>
    <w:rsid w:val="0068545E"/>
    <w:rsid w:val="00686B6B"/>
    <w:rsid w:val="00687BA9"/>
    <w:rsid w:val="00693987"/>
    <w:rsid w:val="00697F69"/>
    <w:rsid w:val="006A3DD3"/>
    <w:rsid w:val="006B2900"/>
    <w:rsid w:val="006B2A11"/>
    <w:rsid w:val="006C04DB"/>
    <w:rsid w:val="006C097D"/>
    <w:rsid w:val="006C1069"/>
    <w:rsid w:val="006C351D"/>
    <w:rsid w:val="006D41C5"/>
    <w:rsid w:val="006D4422"/>
    <w:rsid w:val="006D5B04"/>
    <w:rsid w:val="006E180B"/>
    <w:rsid w:val="006E198A"/>
    <w:rsid w:val="006E53CC"/>
    <w:rsid w:val="006E74A5"/>
    <w:rsid w:val="006F47F5"/>
    <w:rsid w:val="006F4A02"/>
    <w:rsid w:val="006F5DAF"/>
    <w:rsid w:val="006F63CE"/>
    <w:rsid w:val="006F7E58"/>
    <w:rsid w:val="0070123E"/>
    <w:rsid w:val="0070181F"/>
    <w:rsid w:val="00712535"/>
    <w:rsid w:val="007128C5"/>
    <w:rsid w:val="007133BC"/>
    <w:rsid w:val="00713EEE"/>
    <w:rsid w:val="00714EAF"/>
    <w:rsid w:val="007169A2"/>
    <w:rsid w:val="00722591"/>
    <w:rsid w:val="00725208"/>
    <w:rsid w:val="00725B7B"/>
    <w:rsid w:val="00732021"/>
    <w:rsid w:val="0073238F"/>
    <w:rsid w:val="00734C19"/>
    <w:rsid w:val="00736C02"/>
    <w:rsid w:val="00740A88"/>
    <w:rsid w:val="00745217"/>
    <w:rsid w:val="0075090C"/>
    <w:rsid w:val="00756A32"/>
    <w:rsid w:val="00756F49"/>
    <w:rsid w:val="00761AE9"/>
    <w:rsid w:val="00775C5C"/>
    <w:rsid w:val="007808A4"/>
    <w:rsid w:val="00780E35"/>
    <w:rsid w:val="00786D0C"/>
    <w:rsid w:val="007900BA"/>
    <w:rsid w:val="007918F6"/>
    <w:rsid w:val="00794219"/>
    <w:rsid w:val="007A0CFC"/>
    <w:rsid w:val="007A5784"/>
    <w:rsid w:val="007B0CFA"/>
    <w:rsid w:val="007B1317"/>
    <w:rsid w:val="007B48A9"/>
    <w:rsid w:val="007C2941"/>
    <w:rsid w:val="007C3BAB"/>
    <w:rsid w:val="007C4B9A"/>
    <w:rsid w:val="007D6157"/>
    <w:rsid w:val="007E57E0"/>
    <w:rsid w:val="007E700B"/>
    <w:rsid w:val="007F4922"/>
    <w:rsid w:val="00812852"/>
    <w:rsid w:val="00813A86"/>
    <w:rsid w:val="00815556"/>
    <w:rsid w:val="00825007"/>
    <w:rsid w:val="00827C61"/>
    <w:rsid w:val="00830875"/>
    <w:rsid w:val="0083544C"/>
    <w:rsid w:val="008409CD"/>
    <w:rsid w:val="008462C5"/>
    <w:rsid w:val="00850F78"/>
    <w:rsid w:val="0085478E"/>
    <w:rsid w:val="0085513D"/>
    <w:rsid w:val="00856D15"/>
    <w:rsid w:val="00873501"/>
    <w:rsid w:val="0088062E"/>
    <w:rsid w:val="00890238"/>
    <w:rsid w:val="008915E3"/>
    <w:rsid w:val="00891F70"/>
    <w:rsid w:val="0089207B"/>
    <w:rsid w:val="0089514D"/>
    <w:rsid w:val="008A1C7B"/>
    <w:rsid w:val="008A292F"/>
    <w:rsid w:val="008A795D"/>
    <w:rsid w:val="008B4C8D"/>
    <w:rsid w:val="008C1DA5"/>
    <w:rsid w:val="008C5216"/>
    <w:rsid w:val="008C6093"/>
    <w:rsid w:val="008D1F1A"/>
    <w:rsid w:val="008D43AD"/>
    <w:rsid w:val="008D4479"/>
    <w:rsid w:val="008E13EC"/>
    <w:rsid w:val="008E69B7"/>
    <w:rsid w:val="008E77A0"/>
    <w:rsid w:val="008F09C2"/>
    <w:rsid w:val="008F24B1"/>
    <w:rsid w:val="008F6D1B"/>
    <w:rsid w:val="008F7FFA"/>
    <w:rsid w:val="00902C96"/>
    <w:rsid w:val="00902FD7"/>
    <w:rsid w:val="00904385"/>
    <w:rsid w:val="00905A9D"/>
    <w:rsid w:val="00912844"/>
    <w:rsid w:val="00912972"/>
    <w:rsid w:val="00921525"/>
    <w:rsid w:val="00922E74"/>
    <w:rsid w:val="0092585F"/>
    <w:rsid w:val="00927634"/>
    <w:rsid w:val="0093015A"/>
    <w:rsid w:val="00934B3A"/>
    <w:rsid w:val="009417DD"/>
    <w:rsid w:val="00941F7F"/>
    <w:rsid w:val="009420BF"/>
    <w:rsid w:val="009525E8"/>
    <w:rsid w:val="009526B3"/>
    <w:rsid w:val="00957130"/>
    <w:rsid w:val="00963A90"/>
    <w:rsid w:val="009670BC"/>
    <w:rsid w:val="0097639F"/>
    <w:rsid w:val="00976FB4"/>
    <w:rsid w:val="0097757B"/>
    <w:rsid w:val="00985FBA"/>
    <w:rsid w:val="00986562"/>
    <w:rsid w:val="00991813"/>
    <w:rsid w:val="009932A6"/>
    <w:rsid w:val="0099424D"/>
    <w:rsid w:val="00997118"/>
    <w:rsid w:val="009A48AB"/>
    <w:rsid w:val="009A6590"/>
    <w:rsid w:val="009A7BF1"/>
    <w:rsid w:val="009B4797"/>
    <w:rsid w:val="009B4B2C"/>
    <w:rsid w:val="009B52F9"/>
    <w:rsid w:val="009B6FD3"/>
    <w:rsid w:val="009C36F4"/>
    <w:rsid w:val="009C4A7C"/>
    <w:rsid w:val="009C625D"/>
    <w:rsid w:val="009D1B58"/>
    <w:rsid w:val="009D4F80"/>
    <w:rsid w:val="009D7EC0"/>
    <w:rsid w:val="009E0915"/>
    <w:rsid w:val="009E6E0F"/>
    <w:rsid w:val="009F3D75"/>
    <w:rsid w:val="00A00F55"/>
    <w:rsid w:val="00A02B56"/>
    <w:rsid w:val="00A10FC4"/>
    <w:rsid w:val="00A11AC2"/>
    <w:rsid w:val="00A12788"/>
    <w:rsid w:val="00A166E9"/>
    <w:rsid w:val="00A31F61"/>
    <w:rsid w:val="00A37F49"/>
    <w:rsid w:val="00A430B2"/>
    <w:rsid w:val="00A43D26"/>
    <w:rsid w:val="00A51796"/>
    <w:rsid w:val="00A55784"/>
    <w:rsid w:val="00A57D68"/>
    <w:rsid w:val="00A65908"/>
    <w:rsid w:val="00A66377"/>
    <w:rsid w:val="00A71656"/>
    <w:rsid w:val="00A7725B"/>
    <w:rsid w:val="00A833A8"/>
    <w:rsid w:val="00A83EC0"/>
    <w:rsid w:val="00AA170D"/>
    <w:rsid w:val="00AA30EF"/>
    <w:rsid w:val="00AA7154"/>
    <w:rsid w:val="00AB0502"/>
    <w:rsid w:val="00AB3304"/>
    <w:rsid w:val="00AC13A8"/>
    <w:rsid w:val="00AC3941"/>
    <w:rsid w:val="00AE2C2F"/>
    <w:rsid w:val="00B00F5E"/>
    <w:rsid w:val="00B01C2E"/>
    <w:rsid w:val="00B028FF"/>
    <w:rsid w:val="00B0291A"/>
    <w:rsid w:val="00B06255"/>
    <w:rsid w:val="00B0645B"/>
    <w:rsid w:val="00B07829"/>
    <w:rsid w:val="00B10B1C"/>
    <w:rsid w:val="00B136B9"/>
    <w:rsid w:val="00B144CC"/>
    <w:rsid w:val="00B2249C"/>
    <w:rsid w:val="00B23B17"/>
    <w:rsid w:val="00B26ACD"/>
    <w:rsid w:val="00B26BC2"/>
    <w:rsid w:val="00B27901"/>
    <w:rsid w:val="00B32FDC"/>
    <w:rsid w:val="00B344C7"/>
    <w:rsid w:val="00B36C64"/>
    <w:rsid w:val="00B403B8"/>
    <w:rsid w:val="00B5264A"/>
    <w:rsid w:val="00B52EAC"/>
    <w:rsid w:val="00B543E2"/>
    <w:rsid w:val="00B54842"/>
    <w:rsid w:val="00B567F4"/>
    <w:rsid w:val="00B57EBC"/>
    <w:rsid w:val="00B716A9"/>
    <w:rsid w:val="00B71A5E"/>
    <w:rsid w:val="00B7335D"/>
    <w:rsid w:val="00B772A8"/>
    <w:rsid w:val="00B844F3"/>
    <w:rsid w:val="00B845E9"/>
    <w:rsid w:val="00B927AE"/>
    <w:rsid w:val="00B947C2"/>
    <w:rsid w:val="00B94EEA"/>
    <w:rsid w:val="00B955D3"/>
    <w:rsid w:val="00BA1F72"/>
    <w:rsid w:val="00BA343D"/>
    <w:rsid w:val="00BB2FA7"/>
    <w:rsid w:val="00BB3CA8"/>
    <w:rsid w:val="00BC130D"/>
    <w:rsid w:val="00BC3FA1"/>
    <w:rsid w:val="00BC47D6"/>
    <w:rsid w:val="00BC5FFB"/>
    <w:rsid w:val="00BD1E1C"/>
    <w:rsid w:val="00BD2761"/>
    <w:rsid w:val="00BD76C9"/>
    <w:rsid w:val="00BE0F09"/>
    <w:rsid w:val="00BE7D43"/>
    <w:rsid w:val="00BF1ABE"/>
    <w:rsid w:val="00C0274D"/>
    <w:rsid w:val="00C03ACE"/>
    <w:rsid w:val="00C05056"/>
    <w:rsid w:val="00C10BBB"/>
    <w:rsid w:val="00C1335A"/>
    <w:rsid w:val="00C171AE"/>
    <w:rsid w:val="00C2769D"/>
    <w:rsid w:val="00C276C8"/>
    <w:rsid w:val="00C31678"/>
    <w:rsid w:val="00C41404"/>
    <w:rsid w:val="00C4252F"/>
    <w:rsid w:val="00C429AD"/>
    <w:rsid w:val="00C50334"/>
    <w:rsid w:val="00C531AB"/>
    <w:rsid w:val="00C54560"/>
    <w:rsid w:val="00C560B9"/>
    <w:rsid w:val="00C5794E"/>
    <w:rsid w:val="00C63F24"/>
    <w:rsid w:val="00C651C0"/>
    <w:rsid w:val="00C66F62"/>
    <w:rsid w:val="00C70600"/>
    <w:rsid w:val="00C77A39"/>
    <w:rsid w:val="00C8294A"/>
    <w:rsid w:val="00C85138"/>
    <w:rsid w:val="00C856B2"/>
    <w:rsid w:val="00C86499"/>
    <w:rsid w:val="00C87A9F"/>
    <w:rsid w:val="00C90834"/>
    <w:rsid w:val="00C91734"/>
    <w:rsid w:val="00C972BC"/>
    <w:rsid w:val="00CA3062"/>
    <w:rsid w:val="00CA32AC"/>
    <w:rsid w:val="00CA3366"/>
    <w:rsid w:val="00CA40F6"/>
    <w:rsid w:val="00CB2880"/>
    <w:rsid w:val="00CC124A"/>
    <w:rsid w:val="00CC3754"/>
    <w:rsid w:val="00CC6D87"/>
    <w:rsid w:val="00CC71EA"/>
    <w:rsid w:val="00CC7617"/>
    <w:rsid w:val="00CD1177"/>
    <w:rsid w:val="00CE285C"/>
    <w:rsid w:val="00CE301A"/>
    <w:rsid w:val="00CE3742"/>
    <w:rsid w:val="00CE4CCF"/>
    <w:rsid w:val="00CF0AAD"/>
    <w:rsid w:val="00CF2DC1"/>
    <w:rsid w:val="00CF45F7"/>
    <w:rsid w:val="00CF5D1A"/>
    <w:rsid w:val="00D0498B"/>
    <w:rsid w:val="00D07CD2"/>
    <w:rsid w:val="00D1578F"/>
    <w:rsid w:val="00D20CC5"/>
    <w:rsid w:val="00D226FF"/>
    <w:rsid w:val="00D247CD"/>
    <w:rsid w:val="00D25303"/>
    <w:rsid w:val="00D266EF"/>
    <w:rsid w:val="00D26BBC"/>
    <w:rsid w:val="00D312B6"/>
    <w:rsid w:val="00D3206F"/>
    <w:rsid w:val="00D336FE"/>
    <w:rsid w:val="00D33B3D"/>
    <w:rsid w:val="00D3403D"/>
    <w:rsid w:val="00D34725"/>
    <w:rsid w:val="00D35F8D"/>
    <w:rsid w:val="00D36CD0"/>
    <w:rsid w:val="00D42C22"/>
    <w:rsid w:val="00D4314C"/>
    <w:rsid w:val="00D4664A"/>
    <w:rsid w:val="00D530C5"/>
    <w:rsid w:val="00D54C35"/>
    <w:rsid w:val="00D562CB"/>
    <w:rsid w:val="00D67868"/>
    <w:rsid w:val="00D67E3E"/>
    <w:rsid w:val="00D71805"/>
    <w:rsid w:val="00D73CDA"/>
    <w:rsid w:val="00D74251"/>
    <w:rsid w:val="00D8113E"/>
    <w:rsid w:val="00D82036"/>
    <w:rsid w:val="00D847DD"/>
    <w:rsid w:val="00D8544D"/>
    <w:rsid w:val="00D8726F"/>
    <w:rsid w:val="00D90E8A"/>
    <w:rsid w:val="00DB47DC"/>
    <w:rsid w:val="00DE1F89"/>
    <w:rsid w:val="00DE4598"/>
    <w:rsid w:val="00DE629C"/>
    <w:rsid w:val="00DE7839"/>
    <w:rsid w:val="00DF77ED"/>
    <w:rsid w:val="00E076B5"/>
    <w:rsid w:val="00E13346"/>
    <w:rsid w:val="00E13C2F"/>
    <w:rsid w:val="00E13D1C"/>
    <w:rsid w:val="00E2492D"/>
    <w:rsid w:val="00E24DE9"/>
    <w:rsid w:val="00E337DD"/>
    <w:rsid w:val="00E34A45"/>
    <w:rsid w:val="00E3504F"/>
    <w:rsid w:val="00E40816"/>
    <w:rsid w:val="00E410F2"/>
    <w:rsid w:val="00E50086"/>
    <w:rsid w:val="00E54D8D"/>
    <w:rsid w:val="00E57F7F"/>
    <w:rsid w:val="00E73A0B"/>
    <w:rsid w:val="00E75A78"/>
    <w:rsid w:val="00E77A31"/>
    <w:rsid w:val="00E80FE5"/>
    <w:rsid w:val="00E86CF1"/>
    <w:rsid w:val="00E92B22"/>
    <w:rsid w:val="00E96245"/>
    <w:rsid w:val="00EA0A7D"/>
    <w:rsid w:val="00EA0B54"/>
    <w:rsid w:val="00EA17C1"/>
    <w:rsid w:val="00EA640A"/>
    <w:rsid w:val="00EA76BC"/>
    <w:rsid w:val="00EA7B91"/>
    <w:rsid w:val="00EB697E"/>
    <w:rsid w:val="00EC3976"/>
    <w:rsid w:val="00ED11F3"/>
    <w:rsid w:val="00ED67CC"/>
    <w:rsid w:val="00EE3DDB"/>
    <w:rsid w:val="00EE4E04"/>
    <w:rsid w:val="00EE7EDD"/>
    <w:rsid w:val="00EF4B03"/>
    <w:rsid w:val="00EF5755"/>
    <w:rsid w:val="00EF6BE0"/>
    <w:rsid w:val="00F00AAC"/>
    <w:rsid w:val="00F11482"/>
    <w:rsid w:val="00F12681"/>
    <w:rsid w:val="00F160B1"/>
    <w:rsid w:val="00F21210"/>
    <w:rsid w:val="00F253CB"/>
    <w:rsid w:val="00F25D4C"/>
    <w:rsid w:val="00F40504"/>
    <w:rsid w:val="00F41635"/>
    <w:rsid w:val="00F466B2"/>
    <w:rsid w:val="00F469C3"/>
    <w:rsid w:val="00F469C8"/>
    <w:rsid w:val="00F51EE8"/>
    <w:rsid w:val="00F53C68"/>
    <w:rsid w:val="00F55A46"/>
    <w:rsid w:val="00F63368"/>
    <w:rsid w:val="00F65F92"/>
    <w:rsid w:val="00F67633"/>
    <w:rsid w:val="00F74529"/>
    <w:rsid w:val="00F750A6"/>
    <w:rsid w:val="00F75744"/>
    <w:rsid w:val="00F769CE"/>
    <w:rsid w:val="00F802A0"/>
    <w:rsid w:val="00F90783"/>
    <w:rsid w:val="00F91A84"/>
    <w:rsid w:val="00F94C88"/>
    <w:rsid w:val="00F966AD"/>
    <w:rsid w:val="00FA033F"/>
    <w:rsid w:val="00FA09E5"/>
    <w:rsid w:val="00FA0F20"/>
    <w:rsid w:val="00FA5416"/>
    <w:rsid w:val="00FB18BE"/>
    <w:rsid w:val="00FB357B"/>
    <w:rsid w:val="00FB49D9"/>
    <w:rsid w:val="00FB4D7C"/>
    <w:rsid w:val="00FB639B"/>
    <w:rsid w:val="00FB749D"/>
    <w:rsid w:val="00FD22F4"/>
    <w:rsid w:val="00FD3448"/>
    <w:rsid w:val="00FD44AA"/>
    <w:rsid w:val="00FE28C3"/>
    <w:rsid w:val="00FE3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9E3FA2-B33F-4214-954F-82B327E8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75"/>
    <w:rPr>
      <w:sz w:val="24"/>
      <w:lang w:eastAsia="en-US"/>
    </w:rPr>
  </w:style>
  <w:style w:type="paragraph" w:styleId="Heading1">
    <w:name w:val="heading 1"/>
    <w:basedOn w:val="Normal"/>
    <w:next w:val="Normal"/>
    <w:qFormat/>
    <w:rsid w:val="009C4A7C"/>
    <w:pPr>
      <w:keepNext/>
      <w:keepLines/>
      <w:shd w:val="pct25" w:color="auto" w:fill="auto"/>
      <w:tabs>
        <w:tab w:val="left" w:pos="2880"/>
      </w:tabs>
      <w:spacing w:before="480" w:after="120"/>
      <w:outlineLvl w:val="0"/>
    </w:pPr>
    <w:rPr>
      <w:b/>
      <w:kern w:val="28"/>
      <w:sz w:val="32"/>
    </w:rPr>
  </w:style>
  <w:style w:type="paragraph" w:styleId="Heading2">
    <w:name w:val="heading 2"/>
    <w:basedOn w:val="Normal"/>
    <w:next w:val="Normal"/>
    <w:qFormat/>
    <w:rsid w:val="009C4A7C"/>
    <w:pPr>
      <w:keepNext/>
      <w:widowControl w:val="0"/>
      <w:outlineLvl w:val="1"/>
    </w:pPr>
    <w:rPr>
      <w:rFonts w:cs="Arial"/>
      <w:b/>
      <w:iCs/>
      <w:sz w:val="28"/>
      <w:szCs w:val="16"/>
    </w:rPr>
  </w:style>
  <w:style w:type="paragraph" w:styleId="Heading3">
    <w:name w:val="heading 3"/>
    <w:basedOn w:val="Normal"/>
    <w:next w:val="Normal"/>
    <w:qFormat/>
    <w:rsid w:val="00740A88"/>
    <w:pPr>
      <w:keepNext/>
      <w:outlineLvl w:val="2"/>
    </w:pPr>
    <w:rPr>
      <w:b/>
      <w:i/>
      <w:iCs/>
      <w:sz w:val="28"/>
      <w:szCs w:val="22"/>
    </w:rPr>
  </w:style>
  <w:style w:type="paragraph" w:styleId="Heading4">
    <w:name w:val="heading 4"/>
    <w:basedOn w:val="Normal"/>
    <w:next w:val="Normal"/>
    <w:rsid w:val="00830875"/>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830875"/>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rsid w:val="00830875"/>
    <w:pPr>
      <w:tabs>
        <w:tab w:val="left" w:pos="2880"/>
      </w:tabs>
      <w:spacing w:before="120" w:after="60" w:line="240" w:lineRule="exact"/>
    </w:pPr>
    <w:rPr>
      <w:rFonts w:ascii="Arial" w:hAnsi="Arial"/>
      <w:sz w:val="18"/>
    </w:rPr>
  </w:style>
  <w:style w:type="paragraph" w:customStyle="1" w:styleId="Billname">
    <w:name w:val="Billname"/>
    <w:basedOn w:val="Normal"/>
    <w:rsid w:val="00830875"/>
    <w:pPr>
      <w:tabs>
        <w:tab w:val="left" w:pos="2400"/>
        <w:tab w:val="left" w:pos="2880"/>
      </w:tabs>
      <w:spacing w:before="1220" w:after="100"/>
    </w:pPr>
    <w:rPr>
      <w:rFonts w:ascii="Arial" w:hAnsi="Arial"/>
      <w:b/>
      <w:sz w:val="40"/>
    </w:rPr>
  </w:style>
  <w:style w:type="paragraph" w:customStyle="1" w:styleId="Amain">
    <w:name w:val="A main"/>
    <w:basedOn w:val="Normal"/>
    <w:rsid w:val="00830875"/>
    <w:pPr>
      <w:tabs>
        <w:tab w:val="right" w:pos="500"/>
        <w:tab w:val="left" w:pos="700"/>
      </w:tabs>
      <w:spacing w:before="80" w:after="60"/>
      <w:ind w:left="700" w:hanging="700"/>
      <w:jc w:val="both"/>
      <w:outlineLvl w:val="5"/>
    </w:pPr>
  </w:style>
  <w:style w:type="paragraph" w:customStyle="1" w:styleId="N-line3">
    <w:name w:val="N-line3"/>
    <w:basedOn w:val="Normal"/>
    <w:next w:val="Normal"/>
    <w:rsid w:val="00830875"/>
    <w:pPr>
      <w:pBdr>
        <w:bottom w:val="single" w:sz="12" w:space="1" w:color="auto"/>
      </w:pBdr>
      <w:jc w:val="both"/>
    </w:pPr>
  </w:style>
  <w:style w:type="paragraph" w:customStyle="1" w:styleId="madeunder">
    <w:name w:val="made under"/>
    <w:basedOn w:val="Normal"/>
    <w:rsid w:val="00830875"/>
    <w:pPr>
      <w:spacing w:before="180" w:after="60"/>
      <w:jc w:val="both"/>
    </w:pPr>
  </w:style>
  <w:style w:type="paragraph" w:customStyle="1" w:styleId="CoverActName">
    <w:name w:val="CoverActName"/>
    <w:basedOn w:val="Normal"/>
    <w:rsid w:val="00830875"/>
    <w:pPr>
      <w:tabs>
        <w:tab w:val="left" w:pos="2600"/>
      </w:tabs>
      <w:spacing w:before="200" w:after="60"/>
      <w:jc w:val="both"/>
    </w:pPr>
    <w:rPr>
      <w:rFonts w:ascii="Arial" w:hAnsi="Arial"/>
      <w:b/>
    </w:rPr>
  </w:style>
  <w:style w:type="paragraph" w:customStyle="1" w:styleId="06Copyright">
    <w:name w:val="06Copyright"/>
    <w:basedOn w:val="Normal"/>
    <w:rsid w:val="00830875"/>
    <w:pPr>
      <w:tabs>
        <w:tab w:val="left" w:pos="2880"/>
      </w:tabs>
    </w:pPr>
  </w:style>
  <w:style w:type="paragraph" w:customStyle="1" w:styleId="Apara">
    <w:name w:val="A para"/>
    <w:basedOn w:val="Normal"/>
    <w:rsid w:val="00830875"/>
    <w:pPr>
      <w:numPr>
        <w:ilvl w:val="6"/>
        <w:numId w:val="3"/>
      </w:numPr>
      <w:spacing w:before="80" w:after="60"/>
      <w:jc w:val="both"/>
      <w:outlineLvl w:val="6"/>
    </w:pPr>
  </w:style>
  <w:style w:type="paragraph" w:customStyle="1" w:styleId="Asubpara">
    <w:name w:val="A subpara"/>
    <w:basedOn w:val="Normal"/>
    <w:rsid w:val="00830875"/>
    <w:pPr>
      <w:numPr>
        <w:ilvl w:val="7"/>
        <w:numId w:val="3"/>
      </w:numPr>
      <w:spacing w:before="80" w:after="60"/>
      <w:jc w:val="both"/>
      <w:outlineLvl w:val="7"/>
    </w:pPr>
  </w:style>
  <w:style w:type="paragraph" w:customStyle="1" w:styleId="Asubsubpara">
    <w:name w:val="A subsubpara"/>
    <w:basedOn w:val="Normal"/>
    <w:rsid w:val="00830875"/>
    <w:pPr>
      <w:numPr>
        <w:ilvl w:val="8"/>
        <w:numId w:val="3"/>
      </w:numPr>
      <w:spacing w:before="80" w:after="60"/>
      <w:jc w:val="both"/>
      <w:outlineLvl w:val="8"/>
    </w:pPr>
  </w:style>
  <w:style w:type="paragraph" w:customStyle="1" w:styleId="AH5Sec">
    <w:name w:val="A H5 Sec"/>
    <w:basedOn w:val="Normal"/>
    <w:next w:val="Amain"/>
    <w:rsid w:val="00830875"/>
    <w:pPr>
      <w:keepNext/>
      <w:numPr>
        <w:ilvl w:val="4"/>
        <w:numId w:val="1"/>
      </w:numPr>
      <w:spacing w:before="180" w:after="60"/>
      <w:outlineLvl w:val="4"/>
    </w:pPr>
    <w:rPr>
      <w:rFonts w:ascii="Arial" w:hAnsi="Arial"/>
      <w:b/>
    </w:rPr>
  </w:style>
  <w:style w:type="paragraph" w:styleId="Header">
    <w:name w:val="header"/>
    <w:basedOn w:val="Normal"/>
    <w:link w:val="HeaderChar"/>
    <w:rsid w:val="00830875"/>
    <w:pPr>
      <w:tabs>
        <w:tab w:val="left" w:pos="2880"/>
        <w:tab w:val="center" w:pos="4153"/>
        <w:tab w:val="right" w:pos="8306"/>
      </w:tabs>
    </w:pPr>
  </w:style>
  <w:style w:type="paragraph" w:customStyle="1" w:styleId="ref">
    <w:name w:val="ref"/>
    <w:basedOn w:val="Normal"/>
    <w:next w:val="Normal"/>
    <w:rsid w:val="00830875"/>
    <w:pPr>
      <w:spacing w:after="60"/>
      <w:jc w:val="both"/>
    </w:pPr>
    <w:rPr>
      <w:sz w:val="18"/>
    </w:rPr>
  </w:style>
  <w:style w:type="character" w:customStyle="1" w:styleId="CharDivText">
    <w:name w:val="CharDivText"/>
    <w:basedOn w:val="DefaultParagraphFont"/>
    <w:rsid w:val="00830875"/>
  </w:style>
  <w:style w:type="paragraph" w:customStyle="1" w:styleId="CoverInForce">
    <w:name w:val="CoverInForce"/>
    <w:basedOn w:val="Normal"/>
    <w:rsid w:val="00830875"/>
    <w:pPr>
      <w:tabs>
        <w:tab w:val="left" w:pos="2600"/>
      </w:tabs>
      <w:spacing w:before="200" w:after="60"/>
      <w:jc w:val="both"/>
    </w:pPr>
    <w:rPr>
      <w:rFonts w:ascii="Arial" w:hAnsi="Arial"/>
    </w:rPr>
  </w:style>
  <w:style w:type="paragraph" w:customStyle="1" w:styleId="AFHdg">
    <w:name w:val="AFHdg"/>
    <w:basedOn w:val="Normal"/>
    <w:rsid w:val="00830875"/>
    <w:pPr>
      <w:tabs>
        <w:tab w:val="left" w:pos="2600"/>
      </w:tabs>
      <w:spacing w:before="80" w:after="60"/>
      <w:jc w:val="both"/>
    </w:pPr>
    <w:rPr>
      <w:rFonts w:ascii="Arial" w:hAnsi="Arial"/>
      <w:b/>
      <w:sz w:val="32"/>
    </w:rPr>
  </w:style>
  <w:style w:type="paragraph" w:customStyle="1" w:styleId="ApprFormHd">
    <w:name w:val="ApprFormHd"/>
    <w:basedOn w:val="Normal"/>
    <w:rsid w:val="00830875"/>
    <w:pPr>
      <w:keepNext/>
      <w:tabs>
        <w:tab w:val="left" w:pos="2600"/>
      </w:tabs>
      <w:spacing w:before="320" w:after="60"/>
      <w:outlineLvl w:val="0"/>
    </w:pPr>
    <w:rPr>
      <w:rFonts w:ascii="Arial" w:hAnsi="Arial"/>
      <w:b/>
      <w:sz w:val="34"/>
    </w:rPr>
  </w:style>
  <w:style w:type="character" w:styleId="PageNumber">
    <w:name w:val="page number"/>
    <w:basedOn w:val="DefaultParagraphFont"/>
    <w:rsid w:val="00830875"/>
  </w:style>
  <w:style w:type="paragraph" w:customStyle="1" w:styleId="Aparabullet">
    <w:name w:val="A para bullet"/>
    <w:basedOn w:val="Normal"/>
    <w:rsid w:val="00830875"/>
    <w:pPr>
      <w:numPr>
        <w:numId w:val="2"/>
      </w:numPr>
    </w:pPr>
  </w:style>
  <w:style w:type="paragraph" w:styleId="TOC1">
    <w:name w:val="toc 1"/>
    <w:basedOn w:val="Normal"/>
    <w:next w:val="Normal"/>
    <w:autoRedefine/>
    <w:uiPriority w:val="39"/>
    <w:rsid w:val="00830875"/>
  </w:style>
  <w:style w:type="paragraph" w:styleId="TOC2">
    <w:name w:val="toc 2"/>
    <w:basedOn w:val="Normal"/>
    <w:next w:val="Normal"/>
    <w:autoRedefine/>
    <w:uiPriority w:val="39"/>
    <w:rsid w:val="00830875"/>
    <w:pPr>
      <w:ind w:left="240"/>
    </w:pPr>
  </w:style>
  <w:style w:type="paragraph" w:styleId="TOC3">
    <w:name w:val="toc 3"/>
    <w:basedOn w:val="Normal"/>
    <w:next w:val="Normal"/>
    <w:autoRedefine/>
    <w:uiPriority w:val="39"/>
    <w:rsid w:val="00097D1F"/>
    <w:pPr>
      <w:tabs>
        <w:tab w:val="left" w:pos="1947"/>
        <w:tab w:val="right" w:leader="dot" w:pos="8297"/>
      </w:tabs>
      <w:ind w:left="480"/>
    </w:pPr>
  </w:style>
  <w:style w:type="paragraph" w:styleId="TOC4">
    <w:name w:val="toc 4"/>
    <w:basedOn w:val="Normal"/>
    <w:next w:val="Normal"/>
    <w:autoRedefine/>
    <w:semiHidden/>
    <w:rsid w:val="00830875"/>
    <w:pPr>
      <w:ind w:left="720"/>
    </w:pPr>
  </w:style>
  <w:style w:type="paragraph" w:styleId="TOC5">
    <w:name w:val="toc 5"/>
    <w:basedOn w:val="Normal"/>
    <w:next w:val="Normal"/>
    <w:autoRedefine/>
    <w:semiHidden/>
    <w:rsid w:val="00830875"/>
    <w:pPr>
      <w:ind w:left="960"/>
    </w:pPr>
  </w:style>
  <w:style w:type="paragraph" w:styleId="TOC6">
    <w:name w:val="toc 6"/>
    <w:basedOn w:val="Normal"/>
    <w:next w:val="Normal"/>
    <w:autoRedefine/>
    <w:semiHidden/>
    <w:rsid w:val="00830875"/>
    <w:pPr>
      <w:ind w:left="1200"/>
    </w:pPr>
  </w:style>
  <w:style w:type="paragraph" w:styleId="TOC7">
    <w:name w:val="toc 7"/>
    <w:basedOn w:val="Normal"/>
    <w:next w:val="Normal"/>
    <w:autoRedefine/>
    <w:semiHidden/>
    <w:rsid w:val="00830875"/>
    <w:pPr>
      <w:ind w:left="1440"/>
    </w:pPr>
  </w:style>
  <w:style w:type="paragraph" w:styleId="TOC8">
    <w:name w:val="toc 8"/>
    <w:basedOn w:val="Normal"/>
    <w:next w:val="Normal"/>
    <w:autoRedefine/>
    <w:semiHidden/>
    <w:rsid w:val="00830875"/>
    <w:pPr>
      <w:ind w:left="1680"/>
    </w:pPr>
  </w:style>
  <w:style w:type="paragraph" w:styleId="TOC9">
    <w:name w:val="toc 9"/>
    <w:basedOn w:val="Normal"/>
    <w:next w:val="Normal"/>
    <w:autoRedefine/>
    <w:semiHidden/>
    <w:rsid w:val="00830875"/>
    <w:pPr>
      <w:ind w:left="1920"/>
    </w:pPr>
  </w:style>
  <w:style w:type="character" w:styleId="Hyperlink">
    <w:name w:val="Hyperlink"/>
    <w:basedOn w:val="DefaultParagraphFont"/>
    <w:uiPriority w:val="99"/>
    <w:rsid w:val="00830875"/>
    <w:rPr>
      <w:color w:val="0000FF"/>
      <w:u w:val="single"/>
    </w:rPr>
  </w:style>
  <w:style w:type="paragraph" w:styleId="BodyTextIndent">
    <w:name w:val="Body Text Indent"/>
    <w:basedOn w:val="Normal"/>
    <w:rsid w:val="00830875"/>
    <w:pPr>
      <w:spacing w:before="120" w:after="60"/>
      <w:ind w:left="709"/>
    </w:pPr>
  </w:style>
  <w:style w:type="paragraph" w:customStyle="1" w:styleId="Minister">
    <w:name w:val="Minister"/>
    <w:basedOn w:val="Normal"/>
    <w:rsid w:val="00830875"/>
    <w:pPr>
      <w:spacing w:before="880" w:after="60"/>
      <w:jc w:val="right"/>
    </w:pPr>
    <w:rPr>
      <w:caps/>
      <w:szCs w:val="24"/>
    </w:rPr>
  </w:style>
  <w:style w:type="paragraph" w:customStyle="1" w:styleId="DateLine">
    <w:name w:val="DateLine"/>
    <w:basedOn w:val="Normal"/>
    <w:rsid w:val="00830875"/>
    <w:pPr>
      <w:tabs>
        <w:tab w:val="left" w:pos="4320"/>
      </w:tabs>
      <w:spacing w:before="80" w:after="60"/>
      <w:jc w:val="both"/>
    </w:pPr>
    <w:rPr>
      <w:szCs w:val="24"/>
    </w:rPr>
  </w:style>
  <w:style w:type="paragraph" w:customStyle="1" w:styleId="MinisterWord">
    <w:name w:val="MinisterWord"/>
    <w:basedOn w:val="Normal"/>
    <w:rsid w:val="00830875"/>
    <w:pPr>
      <w:tabs>
        <w:tab w:val="left" w:pos="2880"/>
      </w:tabs>
      <w:jc w:val="right"/>
    </w:pPr>
    <w:rPr>
      <w:szCs w:val="24"/>
    </w:rPr>
  </w:style>
  <w:style w:type="character" w:styleId="FollowedHyperlink">
    <w:name w:val="FollowedHyperlink"/>
    <w:basedOn w:val="DefaultParagraphFont"/>
    <w:rsid w:val="00830875"/>
    <w:rPr>
      <w:color w:val="800080"/>
      <w:u w:val="single"/>
    </w:rPr>
  </w:style>
  <w:style w:type="character" w:styleId="FootnoteReference">
    <w:name w:val="footnote reference"/>
    <w:basedOn w:val="DefaultParagraphFont"/>
    <w:semiHidden/>
    <w:rsid w:val="00830875"/>
    <w:rPr>
      <w:rFonts w:ascii="Times New Roman" w:hAnsi="Times New Roman" w:cs="Times New Roman"/>
      <w:sz w:val="24"/>
      <w:szCs w:val="24"/>
      <w:vertAlign w:val="superscript"/>
    </w:rPr>
  </w:style>
  <w:style w:type="paragraph" w:styleId="FootnoteText">
    <w:name w:val="footnote text"/>
    <w:basedOn w:val="Normal"/>
    <w:semiHidden/>
    <w:rsid w:val="00830875"/>
    <w:pPr>
      <w:spacing w:before="80" w:after="60"/>
      <w:jc w:val="both"/>
    </w:pPr>
    <w:rPr>
      <w:szCs w:val="24"/>
    </w:rPr>
  </w:style>
  <w:style w:type="paragraph" w:customStyle="1" w:styleId="ShadedSchClause">
    <w:name w:val="Shaded Sch Clause"/>
    <w:basedOn w:val="Normal"/>
    <w:next w:val="Normal"/>
    <w:rsid w:val="00830875"/>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830875"/>
  </w:style>
  <w:style w:type="paragraph" w:styleId="ListParagraph">
    <w:name w:val="List Paragraph"/>
    <w:basedOn w:val="Normal"/>
    <w:uiPriority w:val="34"/>
    <w:qFormat/>
    <w:rsid w:val="00725208"/>
    <w:pPr>
      <w:ind w:left="720"/>
      <w:contextualSpacing/>
    </w:pPr>
    <w:rPr>
      <w:szCs w:val="24"/>
    </w:rPr>
  </w:style>
  <w:style w:type="paragraph" w:styleId="NoSpacing">
    <w:name w:val="No Spacing"/>
    <w:uiPriority w:val="1"/>
    <w:qFormat/>
    <w:rsid w:val="00740A88"/>
    <w:rPr>
      <w:sz w:val="24"/>
      <w:lang w:eastAsia="en-US"/>
    </w:rPr>
  </w:style>
  <w:style w:type="character" w:styleId="Emphasis">
    <w:name w:val="Emphasis"/>
    <w:basedOn w:val="DefaultParagraphFont"/>
    <w:qFormat/>
    <w:rsid w:val="00740A88"/>
    <w:rPr>
      <w:i/>
      <w:iCs/>
    </w:rPr>
  </w:style>
  <w:style w:type="character" w:styleId="CommentReference">
    <w:name w:val="annotation reference"/>
    <w:basedOn w:val="DefaultParagraphFont"/>
    <w:rsid w:val="002203E9"/>
    <w:rPr>
      <w:sz w:val="16"/>
      <w:szCs w:val="16"/>
    </w:rPr>
  </w:style>
  <w:style w:type="paragraph" w:styleId="CommentText">
    <w:name w:val="annotation text"/>
    <w:basedOn w:val="Normal"/>
    <w:link w:val="CommentTextChar"/>
    <w:rsid w:val="002203E9"/>
    <w:rPr>
      <w:sz w:val="20"/>
    </w:rPr>
  </w:style>
  <w:style w:type="character" w:customStyle="1" w:styleId="CommentTextChar">
    <w:name w:val="Comment Text Char"/>
    <w:basedOn w:val="DefaultParagraphFont"/>
    <w:link w:val="CommentText"/>
    <w:rsid w:val="002203E9"/>
    <w:rPr>
      <w:lang w:eastAsia="en-US"/>
    </w:rPr>
  </w:style>
  <w:style w:type="paragraph" w:styleId="CommentSubject">
    <w:name w:val="annotation subject"/>
    <w:basedOn w:val="CommentText"/>
    <w:next w:val="CommentText"/>
    <w:link w:val="CommentSubjectChar"/>
    <w:rsid w:val="002203E9"/>
    <w:rPr>
      <w:b/>
      <w:bCs/>
    </w:rPr>
  </w:style>
  <w:style w:type="character" w:customStyle="1" w:styleId="CommentSubjectChar">
    <w:name w:val="Comment Subject Char"/>
    <w:basedOn w:val="CommentTextChar"/>
    <w:link w:val="CommentSubject"/>
    <w:rsid w:val="002203E9"/>
    <w:rPr>
      <w:b/>
      <w:bCs/>
      <w:lang w:eastAsia="en-US"/>
    </w:rPr>
  </w:style>
  <w:style w:type="paragraph" w:styleId="BalloonText">
    <w:name w:val="Balloon Text"/>
    <w:basedOn w:val="Normal"/>
    <w:link w:val="BalloonTextChar"/>
    <w:rsid w:val="002203E9"/>
    <w:rPr>
      <w:rFonts w:ascii="Tahoma" w:hAnsi="Tahoma" w:cs="Tahoma"/>
      <w:sz w:val="16"/>
      <w:szCs w:val="16"/>
    </w:rPr>
  </w:style>
  <w:style w:type="character" w:customStyle="1" w:styleId="BalloonTextChar">
    <w:name w:val="Balloon Text Char"/>
    <w:basedOn w:val="DefaultParagraphFont"/>
    <w:link w:val="BalloonText"/>
    <w:rsid w:val="002203E9"/>
    <w:rPr>
      <w:rFonts w:ascii="Tahoma" w:hAnsi="Tahoma" w:cs="Tahoma"/>
      <w:sz w:val="16"/>
      <w:szCs w:val="16"/>
      <w:lang w:eastAsia="en-US"/>
    </w:rPr>
  </w:style>
  <w:style w:type="paragraph" w:styleId="TOCHeading">
    <w:name w:val="TOC Heading"/>
    <w:basedOn w:val="Heading1"/>
    <w:next w:val="Normal"/>
    <w:uiPriority w:val="39"/>
    <w:semiHidden/>
    <w:unhideWhenUsed/>
    <w:qFormat/>
    <w:rsid w:val="00C41404"/>
    <w:pPr>
      <w:shd w:val="clear" w:color="auto" w:fill="auto"/>
      <w:tabs>
        <w:tab w:val="clear" w:pos="2880"/>
      </w:tabs>
      <w:spacing w:after="0" w:line="276" w:lineRule="auto"/>
      <w:outlineLvl w:val="9"/>
    </w:pPr>
    <w:rPr>
      <w:rFonts w:ascii="Cambria" w:hAnsi="Cambria"/>
      <w:bCs/>
      <w:color w:val="365F91"/>
      <w:kern w:val="0"/>
      <w:sz w:val="28"/>
      <w:szCs w:val="28"/>
      <w:lang w:val="en-US"/>
    </w:rPr>
  </w:style>
  <w:style w:type="paragraph" w:customStyle="1" w:styleId="Default">
    <w:name w:val="Default"/>
    <w:rsid w:val="001F6461"/>
    <w:pPr>
      <w:autoSpaceDE w:val="0"/>
      <w:autoSpaceDN w:val="0"/>
      <w:adjustRightInd w:val="0"/>
    </w:pPr>
    <w:rPr>
      <w:rFonts w:eastAsia="Calibri"/>
      <w:color w:val="000000"/>
      <w:sz w:val="24"/>
      <w:szCs w:val="24"/>
    </w:rPr>
  </w:style>
  <w:style w:type="paragraph" w:styleId="BodyText3">
    <w:name w:val="Body Text 3"/>
    <w:basedOn w:val="Normal"/>
    <w:link w:val="BodyText3Char"/>
    <w:rsid w:val="008409CD"/>
    <w:pPr>
      <w:spacing w:after="120"/>
    </w:pPr>
    <w:rPr>
      <w:sz w:val="16"/>
      <w:szCs w:val="16"/>
    </w:rPr>
  </w:style>
  <w:style w:type="character" w:customStyle="1" w:styleId="BodyText3Char">
    <w:name w:val="Body Text 3 Char"/>
    <w:basedOn w:val="DefaultParagraphFont"/>
    <w:link w:val="BodyText3"/>
    <w:rsid w:val="008409CD"/>
    <w:rPr>
      <w:sz w:val="16"/>
      <w:szCs w:val="16"/>
      <w:lang w:eastAsia="en-US"/>
    </w:rPr>
  </w:style>
  <w:style w:type="character" w:customStyle="1" w:styleId="HeaderChar">
    <w:name w:val="Header Char"/>
    <w:basedOn w:val="DefaultParagraphFont"/>
    <w:link w:val="Header"/>
    <w:rsid w:val="00251B1B"/>
    <w:rPr>
      <w:sz w:val="24"/>
      <w:lang w:eastAsia="en-US"/>
    </w:rPr>
  </w:style>
  <w:style w:type="character" w:customStyle="1" w:styleId="FooterChar">
    <w:name w:val="Footer Char"/>
    <w:basedOn w:val="DefaultParagraphFont"/>
    <w:link w:val="Footer"/>
    <w:uiPriority w:val="99"/>
    <w:rsid w:val="00CC7617"/>
    <w:rPr>
      <w:rFonts w:ascii="Arial" w:hAnsi="Arial"/>
      <w:sz w:val="18"/>
      <w:lang w:eastAsia="en-US"/>
    </w:rPr>
  </w:style>
  <w:style w:type="character" w:styleId="SubtleEmphasis">
    <w:name w:val="Subtle Emphasis"/>
    <w:basedOn w:val="DefaultParagraphFont"/>
    <w:uiPriority w:val="19"/>
    <w:qFormat/>
    <w:rsid w:val="00436684"/>
    <w:rPr>
      <w:i/>
      <w:iCs/>
      <w:color w:val="808080" w:themeColor="text1" w:themeTint="7F"/>
    </w:rPr>
  </w:style>
  <w:style w:type="paragraph" w:styleId="NormalWeb">
    <w:name w:val="Normal (Web)"/>
    <w:basedOn w:val="Normal"/>
    <w:uiPriority w:val="99"/>
    <w:semiHidden/>
    <w:unhideWhenUsed/>
    <w:rsid w:val="00280CFD"/>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5094">
      <w:bodyDiv w:val="1"/>
      <w:marLeft w:val="0"/>
      <w:marRight w:val="0"/>
      <w:marTop w:val="0"/>
      <w:marBottom w:val="0"/>
      <w:divBdr>
        <w:top w:val="none" w:sz="0" w:space="0" w:color="auto"/>
        <w:left w:val="none" w:sz="0" w:space="0" w:color="auto"/>
        <w:bottom w:val="none" w:sz="0" w:space="0" w:color="auto"/>
        <w:right w:val="none" w:sz="0" w:space="0" w:color="auto"/>
      </w:divBdr>
      <w:divsChild>
        <w:div w:id="1028094708">
          <w:marLeft w:val="0"/>
          <w:marRight w:val="0"/>
          <w:marTop w:val="0"/>
          <w:marBottom w:val="0"/>
          <w:divBdr>
            <w:top w:val="none" w:sz="0" w:space="0" w:color="auto"/>
            <w:left w:val="none" w:sz="0" w:space="0" w:color="auto"/>
            <w:bottom w:val="none" w:sz="0" w:space="0" w:color="auto"/>
            <w:right w:val="none" w:sz="0" w:space="0" w:color="auto"/>
          </w:divBdr>
          <w:divsChild>
            <w:div w:id="774908596">
              <w:marLeft w:val="0"/>
              <w:marRight w:val="0"/>
              <w:marTop w:val="0"/>
              <w:marBottom w:val="0"/>
              <w:divBdr>
                <w:top w:val="none" w:sz="0" w:space="0" w:color="auto"/>
                <w:left w:val="none" w:sz="0" w:space="0" w:color="auto"/>
                <w:bottom w:val="none" w:sz="0" w:space="0" w:color="auto"/>
                <w:right w:val="none" w:sz="0" w:space="0" w:color="auto"/>
              </w:divBdr>
              <w:divsChild>
                <w:div w:id="411508095">
                  <w:marLeft w:val="0"/>
                  <w:marRight w:val="0"/>
                  <w:marTop w:val="0"/>
                  <w:marBottom w:val="0"/>
                  <w:divBdr>
                    <w:top w:val="none" w:sz="0" w:space="0" w:color="auto"/>
                    <w:left w:val="none" w:sz="0" w:space="0" w:color="auto"/>
                    <w:bottom w:val="none" w:sz="0" w:space="0" w:color="auto"/>
                    <w:right w:val="none" w:sz="0" w:space="0" w:color="auto"/>
                  </w:divBdr>
                  <w:divsChild>
                    <w:div w:id="909190340">
                      <w:marLeft w:val="0"/>
                      <w:marRight w:val="0"/>
                      <w:marTop w:val="0"/>
                      <w:marBottom w:val="0"/>
                      <w:divBdr>
                        <w:top w:val="none" w:sz="0" w:space="0" w:color="auto"/>
                        <w:left w:val="none" w:sz="0" w:space="0" w:color="auto"/>
                        <w:bottom w:val="none" w:sz="0" w:space="0" w:color="auto"/>
                        <w:right w:val="none" w:sz="0" w:space="0" w:color="auto"/>
                      </w:divBdr>
                      <w:divsChild>
                        <w:div w:id="13957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75150">
      <w:bodyDiv w:val="1"/>
      <w:marLeft w:val="0"/>
      <w:marRight w:val="0"/>
      <w:marTop w:val="0"/>
      <w:marBottom w:val="0"/>
      <w:divBdr>
        <w:top w:val="none" w:sz="0" w:space="0" w:color="auto"/>
        <w:left w:val="none" w:sz="0" w:space="0" w:color="auto"/>
        <w:bottom w:val="none" w:sz="0" w:space="0" w:color="auto"/>
        <w:right w:val="none" w:sz="0" w:space="0" w:color="auto"/>
      </w:divBdr>
    </w:div>
    <w:div w:id="1119757497">
      <w:bodyDiv w:val="1"/>
      <w:marLeft w:val="0"/>
      <w:marRight w:val="0"/>
      <w:marTop w:val="0"/>
      <w:marBottom w:val="0"/>
      <w:divBdr>
        <w:top w:val="none" w:sz="0" w:space="0" w:color="auto"/>
        <w:left w:val="none" w:sz="0" w:space="0" w:color="auto"/>
        <w:bottom w:val="none" w:sz="0" w:space="0" w:color="auto"/>
        <w:right w:val="none" w:sz="0" w:space="0" w:color="auto"/>
      </w:divBdr>
    </w:div>
    <w:div w:id="1122577583">
      <w:bodyDiv w:val="1"/>
      <w:marLeft w:val="0"/>
      <w:marRight w:val="0"/>
      <w:marTop w:val="0"/>
      <w:marBottom w:val="0"/>
      <w:divBdr>
        <w:top w:val="none" w:sz="0" w:space="0" w:color="auto"/>
        <w:left w:val="none" w:sz="0" w:space="0" w:color="auto"/>
        <w:bottom w:val="none" w:sz="0" w:space="0" w:color="auto"/>
        <w:right w:val="none" w:sz="0" w:space="0" w:color="auto"/>
      </w:divBdr>
    </w:div>
    <w:div w:id="20415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ACF9-AC79-4E9F-AB17-39254E06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2125</Words>
  <Characters>11201</Characters>
  <Application>Microsoft Office Word</Application>
  <DocSecurity>0</DocSecurity>
  <Lines>289</Lines>
  <Paragraphs>126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13257</CharactersWithSpaces>
  <SharedDoc>false</SharedDoc>
  <HLinks>
    <vt:vector size="222" baseType="variant">
      <vt:variant>
        <vt:i4>1310768</vt:i4>
      </vt:variant>
      <vt:variant>
        <vt:i4>218</vt:i4>
      </vt:variant>
      <vt:variant>
        <vt:i4>0</vt:i4>
      </vt:variant>
      <vt:variant>
        <vt:i4>5</vt:i4>
      </vt:variant>
      <vt:variant>
        <vt:lpwstr/>
      </vt:variant>
      <vt:variant>
        <vt:lpwstr>_Toc400711552</vt:lpwstr>
      </vt:variant>
      <vt:variant>
        <vt:i4>1310768</vt:i4>
      </vt:variant>
      <vt:variant>
        <vt:i4>212</vt:i4>
      </vt:variant>
      <vt:variant>
        <vt:i4>0</vt:i4>
      </vt:variant>
      <vt:variant>
        <vt:i4>5</vt:i4>
      </vt:variant>
      <vt:variant>
        <vt:lpwstr/>
      </vt:variant>
      <vt:variant>
        <vt:lpwstr>_Toc400711551</vt:lpwstr>
      </vt:variant>
      <vt:variant>
        <vt:i4>1310768</vt:i4>
      </vt:variant>
      <vt:variant>
        <vt:i4>206</vt:i4>
      </vt:variant>
      <vt:variant>
        <vt:i4>0</vt:i4>
      </vt:variant>
      <vt:variant>
        <vt:i4>5</vt:i4>
      </vt:variant>
      <vt:variant>
        <vt:lpwstr/>
      </vt:variant>
      <vt:variant>
        <vt:lpwstr>_Toc400711550</vt:lpwstr>
      </vt:variant>
      <vt:variant>
        <vt:i4>1376304</vt:i4>
      </vt:variant>
      <vt:variant>
        <vt:i4>200</vt:i4>
      </vt:variant>
      <vt:variant>
        <vt:i4>0</vt:i4>
      </vt:variant>
      <vt:variant>
        <vt:i4>5</vt:i4>
      </vt:variant>
      <vt:variant>
        <vt:lpwstr/>
      </vt:variant>
      <vt:variant>
        <vt:lpwstr>_Toc400711549</vt:lpwstr>
      </vt:variant>
      <vt:variant>
        <vt:i4>1376304</vt:i4>
      </vt:variant>
      <vt:variant>
        <vt:i4>194</vt:i4>
      </vt:variant>
      <vt:variant>
        <vt:i4>0</vt:i4>
      </vt:variant>
      <vt:variant>
        <vt:i4>5</vt:i4>
      </vt:variant>
      <vt:variant>
        <vt:lpwstr/>
      </vt:variant>
      <vt:variant>
        <vt:lpwstr>_Toc400711548</vt:lpwstr>
      </vt:variant>
      <vt:variant>
        <vt:i4>1376304</vt:i4>
      </vt:variant>
      <vt:variant>
        <vt:i4>188</vt:i4>
      </vt:variant>
      <vt:variant>
        <vt:i4>0</vt:i4>
      </vt:variant>
      <vt:variant>
        <vt:i4>5</vt:i4>
      </vt:variant>
      <vt:variant>
        <vt:lpwstr/>
      </vt:variant>
      <vt:variant>
        <vt:lpwstr>_Toc400711547</vt:lpwstr>
      </vt:variant>
      <vt:variant>
        <vt:i4>1376304</vt:i4>
      </vt:variant>
      <vt:variant>
        <vt:i4>182</vt:i4>
      </vt:variant>
      <vt:variant>
        <vt:i4>0</vt:i4>
      </vt:variant>
      <vt:variant>
        <vt:i4>5</vt:i4>
      </vt:variant>
      <vt:variant>
        <vt:lpwstr/>
      </vt:variant>
      <vt:variant>
        <vt:lpwstr>_Toc400711546</vt:lpwstr>
      </vt:variant>
      <vt:variant>
        <vt:i4>1376304</vt:i4>
      </vt:variant>
      <vt:variant>
        <vt:i4>176</vt:i4>
      </vt:variant>
      <vt:variant>
        <vt:i4>0</vt:i4>
      </vt:variant>
      <vt:variant>
        <vt:i4>5</vt:i4>
      </vt:variant>
      <vt:variant>
        <vt:lpwstr/>
      </vt:variant>
      <vt:variant>
        <vt:lpwstr>_Toc400711545</vt:lpwstr>
      </vt:variant>
      <vt:variant>
        <vt:i4>1376304</vt:i4>
      </vt:variant>
      <vt:variant>
        <vt:i4>170</vt:i4>
      </vt:variant>
      <vt:variant>
        <vt:i4>0</vt:i4>
      </vt:variant>
      <vt:variant>
        <vt:i4>5</vt:i4>
      </vt:variant>
      <vt:variant>
        <vt:lpwstr/>
      </vt:variant>
      <vt:variant>
        <vt:lpwstr>_Toc400711544</vt:lpwstr>
      </vt:variant>
      <vt:variant>
        <vt:i4>1376304</vt:i4>
      </vt:variant>
      <vt:variant>
        <vt:i4>164</vt:i4>
      </vt:variant>
      <vt:variant>
        <vt:i4>0</vt:i4>
      </vt:variant>
      <vt:variant>
        <vt:i4>5</vt:i4>
      </vt:variant>
      <vt:variant>
        <vt:lpwstr/>
      </vt:variant>
      <vt:variant>
        <vt:lpwstr>_Toc400711543</vt:lpwstr>
      </vt:variant>
      <vt:variant>
        <vt:i4>1376304</vt:i4>
      </vt:variant>
      <vt:variant>
        <vt:i4>158</vt:i4>
      </vt:variant>
      <vt:variant>
        <vt:i4>0</vt:i4>
      </vt:variant>
      <vt:variant>
        <vt:i4>5</vt:i4>
      </vt:variant>
      <vt:variant>
        <vt:lpwstr/>
      </vt:variant>
      <vt:variant>
        <vt:lpwstr>_Toc400711542</vt:lpwstr>
      </vt:variant>
      <vt:variant>
        <vt:i4>1376304</vt:i4>
      </vt:variant>
      <vt:variant>
        <vt:i4>152</vt:i4>
      </vt:variant>
      <vt:variant>
        <vt:i4>0</vt:i4>
      </vt:variant>
      <vt:variant>
        <vt:i4>5</vt:i4>
      </vt:variant>
      <vt:variant>
        <vt:lpwstr/>
      </vt:variant>
      <vt:variant>
        <vt:lpwstr>_Toc400711541</vt:lpwstr>
      </vt:variant>
      <vt:variant>
        <vt:i4>1376304</vt:i4>
      </vt:variant>
      <vt:variant>
        <vt:i4>146</vt:i4>
      </vt:variant>
      <vt:variant>
        <vt:i4>0</vt:i4>
      </vt:variant>
      <vt:variant>
        <vt:i4>5</vt:i4>
      </vt:variant>
      <vt:variant>
        <vt:lpwstr/>
      </vt:variant>
      <vt:variant>
        <vt:lpwstr>_Toc400711540</vt:lpwstr>
      </vt:variant>
      <vt:variant>
        <vt:i4>1179696</vt:i4>
      </vt:variant>
      <vt:variant>
        <vt:i4>140</vt:i4>
      </vt:variant>
      <vt:variant>
        <vt:i4>0</vt:i4>
      </vt:variant>
      <vt:variant>
        <vt:i4>5</vt:i4>
      </vt:variant>
      <vt:variant>
        <vt:lpwstr/>
      </vt:variant>
      <vt:variant>
        <vt:lpwstr>_Toc400711539</vt:lpwstr>
      </vt:variant>
      <vt:variant>
        <vt:i4>1179696</vt:i4>
      </vt:variant>
      <vt:variant>
        <vt:i4>134</vt:i4>
      </vt:variant>
      <vt:variant>
        <vt:i4>0</vt:i4>
      </vt:variant>
      <vt:variant>
        <vt:i4>5</vt:i4>
      </vt:variant>
      <vt:variant>
        <vt:lpwstr/>
      </vt:variant>
      <vt:variant>
        <vt:lpwstr>_Toc400711538</vt:lpwstr>
      </vt:variant>
      <vt:variant>
        <vt:i4>1179696</vt:i4>
      </vt:variant>
      <vt:variant>
        <vt:i4>128</vt:i4>
      </vt:variant>
      <vt:variant>
        <vt:i4>0</vt:i4>
      </vt:variant>
      <vt:variant>
        <vt:i4>5</vt:i4>
      </vt:variant>
      <vt:variant>
        <vt:lpwstr/>
      </vt:variant>
      <vt:variant>
        <vt:lpwstr>_Toc400711537</vt:lpwstr>
      </vt:variant>
      <vt:variant>
        <vt:i4>1179696</vt:i4>
      </vt:variant>
      <vt:variant>
        <vt:i4>122</vt:i4>
      </vt:variant>
      <vt:variant>
        <vt:i4>0</vt:i4>
      </vt:variant>
      <vt:variant>
        <vt:i4>5</vt:i4>
      </vt:variant>
      <vt:variant>
        <vt:lpwstr/>
      </vt:variant>
      <vt:variant>
        <vt:lpwstr>_Toc400711536</vt:lpwstr>
      </vt:variant>
      <vt:variant>
        <vt:i4>1179696</vt:i4>
      </vt:variant>
      <vt:variant>
        <vt:i4>116</vt:i4>
      </vt:variant>
      <vt:variant>
        <vt:i4>0</vt:i4>
      </vt:variant>
      <vt:variant>
        <vt:i4>5</vt:i4>
      </vt:variant>
      <vt:variant>
        <vt:lpwstr/>
      </vt:variant>
      <vt:variant>
        <vt:lpwstr>_Toc400711535</vt:lpwstr>
      </vt:variant>
      <vt:variant>
        <vt:i4>1179696</vt:i4>
      </vt:variant>
      <vt:variant>
        <vt:i4>110</vt:i4>
      </vt:variant>
      <vt:variant>
        <vt:i4>0</vt:i4>
      </vt:variant>
      <vt:variant>
        <vt:i4>5</vt:i4>
      </vt:variant>
      <vt:variant>
        <vt:lpwstr/>
      </vt:variant>
      <vt:variant>
        <vt:lpwstr>_Toc400711534</vt:lpwstr>
      </vt:variant>
      <vt:variant>
        <vt:i4>1179696</vt:i4>
      </vt:variant>
      <vt:variant>
        <vt:i4>104</vt:i4>
      </vt:variant>
      <vt:variant>
        <vt:i4>0</vt:i4>
      </vt:variant>
      <vt:variant>
        <vt:i4>5</vt:i4>
      </vt:variant>
      <vt:variant>
        <vt:lpwstr/>
      </vt:variant>
      <vt:variant>
        <vt:lpwstr>_Toc400711533</vt:lpwstr>
      </vt:variant>
      <vt:variant>
        <vt:i4>1179696</vt:i4>
      </vt:variant>
      <vt:variant>
        <vt:i4>98</vt:i4>
      </vt:variant>
      <vt:variant>
        <vt:i4>0</vt:i4>
      </vt:variant>
      <vt:variant>
        <vt:i4>5</vt:i4>
      </vt:variant>
      <vt:variant>
        <vt:lpwstr/>
      </vt:variant>
      <vt:variant>
        <vt:lpwstr>_Toc400711532</vt:lpwstr>
      </vt:variant>
      <vt:variant>
        <vt:i4>1179696</vt:i4>
      </vt:variant>
      <vt:variant>
        <vt:i4>92</vt:i4>
      </vt:variant>
      <vt:variant>
        <vt:i4>0</vt:i4>
      </vt:variant>
      <vt:variant>
        <vt:i4>5</vt:i4>
      </vt:variant>
      <vt:variant>
        <vt:lpwstr/>
      </vt:variant>
      <vt:variant>
        <vt:lpwstr>_Toc400711531</vt:lpwstr>
      </vt:variant>
      <vt:variant>
        <vt:i4>1179696</vt:i4>
      </vt:variant>
      <vt:variant>
        <vt:i4>86</vt:i4>
      </vt:variant>
      <vt:variant>
        <vt:i4>0</vt:i4>
      </vt:variant>
      <vt:variant>
        <vt:i4>5</vt:i4>
      </vt:variant>
      <vt:variant>
        <vt:lpwstr/>
      </vt:variant>
      <vt:variant>
        <vt:lpwstr>_Toc400711530</vt:lpwstr>
      </vt:variant>
      <vt:variant>
        <vt:i4>1245232</vt:i4>
      </vt:variant>
      <vt:variant>
        <vt:i4>80</vt:i4>
      </vt:variant>
      <vt:variant>
        <vt:i4>0</vt:i4>
      </vt:variant>
      <vt:variant>
        <vt:i4>5</vt:i4>
      </vt:variant>
      <vt:variant>
        <vt:lpwstr/>
      </vt:variant>
      <vt:variant>
        <vt:lpwstr>_Toc400711529</vt:lpwstr>
      </vt:variant>
      <vt:variant>
        <vt:i4>1245232</vt:i4>
      </vt:variant>
      <vt:variant>
        <vt:i4>74</vt:i4>
      </vt:variant>
      <vt:variant>
        <vt:i4>0</vt:i4>
      </vt:variant>
      <vt:variant>
        <vt:i4>5</vt:i4>
      </vt:variant>
      <vt:variant>
        <vt:lpwstr/>
      </vt:variant>
      <vt:variant>
        <vt:lpwstr>_Toc400711528</vt:lpwstr>
      </vt:variant>
      <vt:variant>
        <vt:i4>1245232</vt:i4>
      </vt:variant>
      <vt:variant>
        <vt:i4>68</vt:i4>
      </vt:variant>
      <vt:variant>
        <vt:i4>0</vt:i4>
      </vt:variant>
      <vt:variant>
        <vt:i4>5</vt:i4>
      </vt:variant>
      <vt:variant>
        <vt:lpwstr/>
      </vt:variant>
      <vt:variant>
        <vt:lpwstr>_Toc400711527</vt:lpwstr>
      </vt:variant>
      <vt:variant>
        <vt:i4>1245232</vt:i4>
      </vt:variant>
      <vt:variant>
        <vt:i4>62</vt:i4>
      </vt:variant>
      <vt:variant>
        <vt:i4>0</vt:i4>
      </vt:variant>
      <vt:variant>
        <vt:i4>5</vt:i4>
      </vt:variant>
      <vt:variant>
        <vt:lpwstr/>
      </vt:variant>
      <vt:variant>
        <vt:lpwstr>_Toc400711526</vt:lpwstr>
      </vt:variant>
      <vt:variant>
        <vt:i4>1245232</vt:i4>
      </vt:variant>
      <vt:variant>
        <vt:i4>56</vt:i4>
      </vt:variant>
      <vt:variant>
        <vt:i4>0</vt:i4>
      </vt:variant>
      <vt:variant>
        <vt:i4>5</vt:i4>
      </vt:variant>
      <vt:variant>
        <vt:lpwstr/>
      </vt:variant>
      <vt:variant>
        <vt:lpwstr>_Toc400711525</vt:lpwstr>
      </vt:variant>
      <vt:variant>
        <vt:i4>1245232</vt:i4>
      </vt:variant>
      <vt:variant>
        <vt:i4>50</vt:i4>
      </vt:variant>
      <vt:variant>
        <vt:i4>0</vt:i4>
      </vt:variant>
      <vt:variant>
        <vt:i4>5</vt:i4>
      </vt:variant>
      <vt:variant>
        <vt:lpwstr/>
      </vt:variant>
      <vt:variant>
        <vt:lpwstr>_Toc400711524</vt:lpwstr>
      </vt:variant>
      <vt:variant>
        <vt:i4>1245232</vt:i4>
      </vt:variant>
      <vt:variant>
        <vt:i4>44</vt:i4>
      </vt:variant>
      <vt:variant>
        <vt:i4>0</vt:i4>
      </vt:variant>
      <vt:variant>
        <vt:i4>5</vt:i4>
      </vt:variant>
      <vt:variant>
        <vt:lpwstr/>
      </vt:variant>
      <vt:variant>
        <vt:lpwstr>_Toc400711523</vt:lpwstr>
      </vt:variant>
      <vt:variant>
        <vt:i4>1245232</vt:i4>
      </vt:variant>
      <vt:variant>
        <vt:i4>38</vt:i4>
      </vt:variant>
      <vt:variant>
        <vt:i4>0</vt:i4>
      </vt:variant>
      <vt:variant>
        <vt:i4>5</vt:i4>
      </vt:variant>
      <vt:variant>
        <vt:lpwstr/>
      </vt:variant>
      <vt:variant>
        <vt:lpwstr>_Toc400711522</vt:lpwstr>
      </vt:variant>
      <vt:variant>
        <vt:i4>1245232</vt:i4>
      </vt:variant>
      <vt:variant>
        <vt:i4>32</vt:i4>
      </vt:variant>
      <vt:variant>
        <vt:i4>0</vt:i4>
      </vt:variant>
      <vt:variant>
        <vt:i4>5</vt:i4>
      </vt:variant>
      <vt:variant>
        <vt:lpwstr/>
      </vt:variant>
      <vt:variant>
        <vt:lpwstr>_Toc400711521</vt:lpwstr>
      </vt:variant>
      <vt:variant>
        <vt:i4>1245232</vt:i4>
      </vt:variant>
      <vt:variant>
        <vt:i4>26</vt:i4>
      </vt:variant>
      <vt:variant>
        <vt:i4>0</vt:i4>
      </vt:variant>
      <vt:variant>
        <vt:i4>5</vt:i4>
      </vt:variant>
      <vt:variant>
        <vt:lpwstr/>
      </vt:variant>
      <vt:variant>
        <vt:lpwstr>_Toc400711520</vt:lpwstr>
      </vt:variant>
      <vt:variant>
        <vt:i4>1048624</vt:i4>
      </vt:variant>
      <vt:variant>
        <vt:i4>20</vt:i4>
      </vt:variant>
      <vt:variant>
        <vt:i4>0</vt:i4>
      </vt:variant>
      <vt:variant>
        <vt:i4>5</vt:i4>
      </vt:variant>
      <vt:variant>
        <vt:lpwstr/>
      </vt:variant>
      <vt:variant>
        <vt:lpwstr>_Toc400711519</vt:lpwstr>
      </vt:variant>
      <vt:variant>
        <vt:i4>1048624</vt:i4>
      </vt:variant>
      <vt:variant>
        <vt:i4>14</vt:i4>
      </vt:variant>
      <vt:variant>
        <vt:i4>0</vt:i4>
      </vt:variant>
      <vt:variant>
        <vt:i4>5</vt:i4>
      </vt:variant>
      <vt:variant>
        <vt:lpwstr/>
      </vt:variant>
      <vt:variant>
        <vt:lpwstr>_Toc400711518</vt:lpwstr>
      </vt:variant>
      <vt:variant>
        <vt:i4>1048624</vt:i4>
      </vt:variant>
      <vt:variant>
        <vt:i4>8</vt:i4>
      </vt:variant>
      <vt:variant>
        <vt:i4>0</vt:i4>
      </vt:variant>
      <vt:variant>
        <vt:i4>5</vt:i4>
      </vt:variant>
      <vt:variant>
        <vt:lpwstr/>
      </vt:variant>
      <vt:variant>
        <vt:lpwstr>_Toc400711517</vt:lpwstr>
      </vt:variant>
      <vt:variant>
        <vt:i4>1048624</vt:i4>
      </vt:variant>
      <vt:variant>
        <vt:i4>2</vt:i4>
      </vt:variant>
      <vt:variant>
        <vt:i4>0</vt:i4>
      </vt:variant>
      <vt:variant>
        <vt:i4>5</vt:i4>
      </vt:variant>
      <vt:variant>
        <vt:lpwstr/>
      </vt:variant>
      <vt:variant>
        <vt:lpwstr>_Toc400711516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2014-10-28T01:03:00Z</cp:lastPrinted>
  <dcterms:created xsi:type="dcterms:W3CDTF">2018-11-27T23:32:00Z</dcterms:created>
  <dcterms:modified xsi:type="dcterms:W3CDTF">2018-11-27T23:32:00Z</dcterms:modified>
</cp:coreProperties>
</file>