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FAB" w:rsidRDefault="00C17FAB">
      <w:pPr>
        <w:spacing w:before="120"/>
        <w:rPr>
          <w:rFonts w:ascii="Arial" w:hAnsi="Arial" w:cs="Arial"/>
        </w:rPr>
      </w:pPr>
      <w:bookmarkStart w:id="0" w:name="_Toc44738651"/>
      <w:bookmarkStart w:id="1" w:name="_GoBack"/>
      <w:bookmarkEnd w:id="1"/>
      <w:r>
        <w:rPr>
          <w:rFonts w:ascii="Arial" w:hAnsi="Arial" w:cs="Arial"/>
        </w:rPr>
        <w:t>Australian Capital Territory</w:t>
      </w:r>
    </w:p>
    <w:p w:rsidR="00C17FAB" w:rsidRDefault="00CF0188">
      <w:pPr>
        <w:pStyle w:val="Billname"/>
        <w:spacing w:before="700"/>
      </w:pPr>
      <w:r>
        <w:t>Domestic Animals</w:t>
      </w:r>
      <w:r w:rsidR="00FD75CE">
        <w:t xml:space="preserve"> (</w:t>
      </w:r>
      <w:r>
        <w:t>Fees</w:t>
      </w:r>
      <w:r w:rsidR="00FD75CE">
        <w:t xml:space="preserve">) </w:t>
      </w:r>
      <w:r>
        <w:t>Determination</w:t>
      </w:r>
      <w:r w:rsidR="00FD75CE">
        <w:t xml:space="preserve"> </w:t>
      </w:r>
      <w:r>
        <w:t>2018</w:t>
      </w:r>
      <w:r w:rsidR="00FD75CE">
        <w:t xml:space="preserve"> (No </w:t>
      </w:r>
      <w:r w:rsidR="00706A2B">
        <w:t>3</w:t>
      </w:r>
      <w:r w:rsidR="00FD75CE">
        <w:t>)</w:t>
      </w:r>
    </w:p>
    <w:p w:rsidR="00C17FAB" w:rsidRDefault="002D7C60" w:rsidP="00DA3B00">
      <w:pPr>
        <w:spacing w:before="340"/>
        <w:rPr>
          <w:rFonts w:ascii="Arial" w:hAnsi="Arial" w:cs="Arial"/>
          <w:b/>
          <w:bCs/>
        </w:rPr>
      </w:pPr>
      <w:r>
        <w:rPr>
          <w:rFonts w:ascii="Arial" w:hAnsi="Arial" w:cs="Arial"/>
          <w:b/>
          <w:bCs/>
        </w:rPr>
        <w:t>Disallowable instrument DI</w:t>
      </w:r>
      <w:r w:rsidR="00CF0188">
        <w:rPr>
          <w:rFonts w:ascii="Arial" w:hAnsi="Arial" w:cs="Arial"/>
          <w:b/>
          <w:bCs/>
        </w:rPr>
        <w:t>2018</w:t>
      </w:r>
      <w:r w:rsidR="00C17FAB">
        <w:rPr>
          <w:rFonts w:ascii="Arial" w:hAnsi="Arial" w:cs="Arial"/>
          <w:b/>
          <w:bCs/>
        </w:rPr>
        <w:t>–</w:t>
      </w:r>
      <w:r w:rsidR="00C15DE8">
        <w:rPr>
          <w:rFonts w:ascii="Arial" w:hAnsi="Arial" w:cs="Arial"/>
          <w:b/>
          <w:bCs/>
        </w:rPr>
        <w:t>285</w:t>
      </w:r>
    </w:p>
    <w:p w:rsidR="00C17FAB" w:rsidRDefault="00C17FAB" w:rsidP="00DA3B00">
      <w:pPr>
        <w:pStyle w:val="madeunder"/>
        <w:spacing w:before="300" w:after="0"/>
      </w:pPr>
      <w:r>
        <w:t xml:space="preserve">made under the  </w:t>
      </w:r>
    </w:p>
    <w:p w:rsidR="00C17FAB" w:rsidRDefault="00CF0188" w:rsidP="00DA3B00">
      <w:pPr>
        <w:pStyle w:val="CoverActName"/>
        <w:spacing w:before="320" w:after="0"/>
        <w:rPr>
          <w:rFonts w:cs="Arial"/>
          <w:sz w:val="20"/>
        </w:rPr>
      </w:pPr>
      <w:r>
        <w:rPr>
          <w:rFonts w:cs="Arial"/>
          <w:sz w:val="20"/>
        </w:rPr>
        <w:t>Domestic Animals Act 2000</w:t>
      </w:r>
      <w:r w:rsidR="00C17FAB">
        <w:rPr>
          <w:rFonts w:cs="Arial"/>
          <w:sz w:val="20"/>
        </w:rPr>
        <w:t xml:space="preserve">, </w:t>
      </w:r>
      <w:r>
        <w:rPr>
          <w:rFonts w:cs="Arial"/>
          <w:sz w:val="20"/>
        </w:rPr>
        <w:t>Section 144 (Determination of fees)</w:t>
      </w:r>
    </w:p>
    <w:p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rsidR="00C17FAB" w:rsidRDefault="00C17FAB">
      <w:pPr>
        <w:pStyle w:val="N-line3"/>
        <w:pBdr>
          <w:bottom w:val="none" w:sz="0" w:space="0" w:color="auto"/>
        </w:pBdr>
      </w:pPr>
    </w:p>
    <w:p w:rsidR="00C17FAB" w:rsidRDefault="00C17FAB">
      <w:pPr>
        <w:pStyle w:val="N-line3"/>
        <w:pBdr>
          <w:top w:val="single" w:sz="12" w:space="1" w:color="auto"/>
          <w:bottom w:val="none" w:sz="0" w:space="0" w:color="auto"/>
        </w:pBdr>
      </w:pPr>
    </w:p>
    <w:bookmarkEnd w:id="0"/>
    <w:p w:rsidR="00C17FAB" w:rsidRDefault="00CF0188">
      <w:r>
        <w:t xml:space="preserve">Section 144 of the </w:t>
      </w:r>
      <w:r>
        <w:rPr>
          <w:i/>
        </w:rPr>
        <w:t xml:space="preserve">Domestic Animals Act 2000 </w:t>
      </w:r>
      <w:r>
        <w:t>(the Act) provides that the Minister may determine fees for the Act.</w:t>
      </w:r>
    </w:p>
    <w:p w:rsidR="00366F74" w:rsidRDefault="00CF0188">
      <w:r>
        <w:br/>
        <w:t xml:space="preserve">This determination makes amendments to </w:t>
      </w:r>
      <w:r w:rsidR="00463D79">
        <w:t xml:space="preserve">fees associated with </w:t>
      </w:r>
      <w:r w:rsidR="00814FD3">
        <w:t xml:space="preserve">keeping and registering </w:t>
      </w:r>
      <w:r w:rsidR="00463D79">
        <w:t>racing greyhound</w:t>
      </w:r>
      <w:r w:rsidR="00814FD3">
        <w:t>s</w:t>
      </w:r>
      <w:r w:rsidR="00463D79">
        <w:t>.</w:t>
      </w:r>
    </w:p>
    <w:p w:rsidR="00366F74" w:rsidRDefault="00366F74"/>
    <w:p w:rsidR="00366F74" w:rsidRDefault="00366F74" w:rsidP="00366F74">
      <w:r w:rsidRPr="00366F74">
        <w:t xml:space="preserve">Under the </w:t>
      </w:r>
      <w:r>
        <w:rPr>
          <w:i/>
        </w:rPr>
        <w:t>Domestic Animals (Racing Greyhounds) Legislation Amendment Act 2017</w:t>
      </w:r>
      <w:r w:rsidRPr="00366F74">
        <w:t xml:space="preserve">, a person who has control of one or more racing greyhounds (for training, handling or rearing purposes) </w:t>
      </w:r>
      <w:r w:rsidR="00463D79">
        <w:t>is</w:t>
      </w:r>
      <w:r w:rsidRPr="00366F74">
        <w:t xml:space="preserve"> required to obtain a racing greyhound controller licence. </w:t>
      </w:r>
    </w:p>
    <w:p w:rsidR="00366F74" w:rsidRDefault="00366F74" w:rsidP="00366F74"/>
    <w:p w:rsidR="00366F74" w:rsidRDefault="00366F74" w:rsidP="00366F74">
      <w:r w:rsidRPr="00366F74">
        <w:t xml:space="preserve">Additionally, an owner of a greyhound that is to be used for racing </w:t>
      </w:r>
      <w:r w:rsidR="00463D79">
        <w:t>is</w:t>
      </w:r>
      <w:r w:rsidRPr="00366F74">
        <w:t xml:space="preserve"> required to apply for and obtain a racing greyhound registration for that dog from the age of six months. </w:t>
      </w:r>
    </w:p>
    <w:p w:rsidR="00366F74" w:rsidRPr="00366F74" w:rsidRDefault="00366F74" w:rsidP="00366F74"/>
    <w:p w:rsidR="00366F74" w:rsidRPr="00366F74" w:rsidRDefault="00366F74" w:rsidP="00366F74">
      <w:r w:rsidRPr="00366F74">
        <w:t>Racing greyhounds are also no longer automatically exempt from de</w:t>
      </w:r>
      <w:r w:rsidRPr="00366F74">
        <w:rPr>
          <w:rFonts w:ascii="Cambria Math" w:hAnsi="Cambria Math" w:cs="Cambria Math"/>
        </w:rPr>
        <w:t>‐</w:t>
      </w:r>
      <w:r w:rsidRPr="00366F74">
        <w:t xml:space="preserve">sexing requirements. The process for obtaining a permit to keep a sexually entire greyhound for the purposes of racing will be part of obtaining a racing greyhound registration, and </w:t>
      </w:r>
      <w:r>
        <w:t>is</w:t>
      </w:r>
      <w:r w:rsidRPr="00366F74">
        <w:t xml:space="preserve"> reflected in the fees for a racing greyhound registration.</w:t>
      </w:r>
    </w:p>
    <w:p w:rsidR="00366F74" w:rsidRDefault="00366F74"/>
    <w:p w:rsidR="00463D79" w:rsidRDefault="00366F74" w:rsidP="00366F74">
      <w:r w:rsidRPr="00366F74">
        <w:t xml:space="preserve">In progressing the racing greyhound ban, the Government made it clear that the ownership, breeding and training of greyhounds in the ACT for racing outside of the ACT will be able to continue on the basis that it is at no cost to the ACT community. </w:t>
      </w:r>
    </w:p>
    <w:p w:rsidR="00463D79" w:rsidRDefault="00463D79" w:rsidP="00366F74"/>
    <w:p w:rsidR="00463D79" w:rsidRDefault="00463D79" w:rsidP="00463D79">
      <w:r w:rsidRPr="00463D79">
        <w:t xml:space="preserve">The fees </w:t>
      </w:r>
      <w:r>
        <w:t xml:space="preserve">introduced in April 2018 </w:t>
      </w:r>
      <w:r w:rsidRPr="00463D79">
        <w:t xml:space="preserve">were based on a conservative estimate of administering racing greyhound controller licenses and registration and to ensure that this was at no cost to the ACT community. </w:t>
      </w:r>
    </w:p>
    <w:p w:rsidR="00463D79" w:rsidRDefault="00463D79" w:rsidP="00463D79"/>
    <w:p w:rsidR="00463D79" w:rsidRDefault="00463D79" w:rsidP="00463D79"/>
    <w:p w:rsidR="00463D79" w:rsidRDefault="00463D79" w:rsidP="00463D79"/>
    <w:p w:rsidR="00463D79" w:rsidRDefault="00463D79" w:rsidP="00463D79"/>
    <w:p w:rsidR="00463D79" w:rsidRPr="00463D79" w:rsidRDefault="00463D79" w:rsidP="00463D79"/>
    <w:p w:rsidR="00463D79" w:rsidRDefault="00463D79" w:rsidP="00463D79">
      <w:r>
        <w:lastRenderedPageBreak/>
        <w:t>Since the fees were implemented in April 2018</w:t>
      </w:r>
      <w:r w:rsidR="00814FD3">
        <w:t>,</w:t>
      </w:r>
      <w:r>
        <w:t xml:space="preserve"> the</w:t>
      </w:r>
      <w:r w:rsidRPr="00463D79">
        <w:t xml:space="preserve"> NSW Greyhound Welfare and Integrity Commission (</w:t>
      </w:r>
      <w:r>
        <w:t>the GWIC)</w:t>
      </w:r>
      <w:r w:rsidRPr="00463D79">
        <w:t xml:space="preserve"> commenced </w:t>
      </w:r>
      <w:r>
        <w:t xml:space="preserve">operation </w:t>
      </w:r>
      <w:r w:rsidRPr="00463D79">
        <w:t xml:space="preserve">on </w:t>
      </w:r>
      <w:r>
        <w:t xml:space="preserve">1 July 2018. The GWIC is the </w:t>
      </w:r>
      <w:r w:rsidRPr="00463D79">
        <w:t xml:space="preserve">independent regulator of the greyhound racing industry in NSW. </w:t>
      </w:r>
      <w:r>
        <w:t>The GWIC</w:t>
      </w:r>
      <w:r w:rsidRPr="00463D79">
        <w:t xml:space="preserve"> was a key recommendation of the Greyhound Industry Reform Panel set up in NSW to ensure the highest standards of animal welfare for racing greyhounds.  This Commission will undertake welfare inspections of racing greyhounds against a robust code of practice, </w:t>
      </w:r>
      <w:r>
        <w:t xml:space="preserve">in line with </w:t>
      </w:r>
      <w:r w:rsidRPr="00463D79">
        <w:t xml:space="preserve">the code of practice introduced in the ACT. </w:t>
      </w:r>
    </w:p>
    <w:p w:rsidR="00463D79" w:rsidRPr="00463D79" w:rsidRDefault="00463D79" w:rsidP="00463D79"/>
    <w:p w:rsidR="00463D79" w:rsidRPr="00463D79" w:rsidRDefault="00463D79" w:rsidP="00463D79">
      <w:r w:rsidRPr="00463D79">
        <w:t>Based on feedback from industry participants and conversations with the new NSW GWIC, all racing greyhounds that remain located in the ACT will participate in racing activities in NSW and therefore will also be regulated by the new NSW GWIC.</w:t>
      </w:r>
    </w:p>
    <w:p w:rsidR="00463D79" w:rsidRDefault="00463D79" w:rsidP="00463D79"/>
    <w:p w:rsidR="00463D79" w:rsidRDefault="00463D79" w:rsidP="00463D79">
      <w:r w:rsidRPr="00463D79">
        <w:t xml:space="preserve">To ensure mutual recognition and effective cross-jurisdictional collaboration, </w:t>
      </w:r>
      <w:r>
        <w:t xml:space="preserve">the </w:t>
      </w:r>
      <w:r w:rsidRPr="00463D79">
        <w:t xml:space="preserve">operations </w:t>
      </w:r>
      <w:r>
        <w:t xml:space="preserve">of the ACT and NSW </w:t>
      </w:r>
      <w:r w:rsidR="00814FD3">
        <w:t xml:space="preserve">GWIC </w:t>
      </w:r>
      <w:r>
        <w:t>can be streamlined to</w:t>
      </w:r>
      <w:r w:rsidRPr="00463D79">
        <w:t xml:space="preserve"> ensure the highest standard of animal welfare for racing greyhounds kept in the ACT that are also regulated by the NSW GWIC</w:t>
      </w:r>
      <w:r>
        <w:t>. For example,</w:t>
      </w:r>
      <w:r w:rsidRPr="00463D79">
        <w:t xml:space="preserve"> </w:t>
      </w:r>
      <w:r w:rsidR="00814FD3">
        <w:t>NSW GWIC will undertake</w:t>
      </w:r>
      <w:r w:rsidRPr="00463D79">
        <w:t xml:space="preserve"> welfare compliance inspections </w:t>
      </w:r>
      <w:r w:rsidR="00814FD3">
        <w:t>of racing greyhounds kept in the ACT</w:t>
      </w:r>
      <w:r w:rsidRPr="00463D79">
        <w:t>. This would significantly reduce inspection costs for the ACT Government, as well as provide for a good operational working relationship between NSW and the ACT in ensuring the highest standards of animal welfare for racing greyhounds</w:t>
      </w:r>
      <w:r>
        <w:t xml:space="preserve"> that remain located in the ACT</w:t>
      </w:r>
      <w:r w:rsidRPr="00463D79">
        <w:t>. This will also enable sharing of information across borders in the interests of greyhound welfare (for example, in taking compliance action or identifying offenders).</w:t>
      </w:r>
    </w:p>
    <w:p w:rsidR="00463D79" w:rsidRPr="00463D79" w:rsidRDefault="00463D79" w:rsidP="00463D79"/>
    <w:p w:rsidR="00463D79" w:rsidRDefault="00463D79" w:rsidP="00463D79">
      <w:r>
        <w:t>Transport Canberra and City Services</w:t>
      </w:r>
      <w:r w:rsidRPr="00463D79">
        <w:t xml:space="preserve"> has undertaken comprehensive measures to engage and educate racing greyhound keepers and facilitate compliance with </w:t>
      </w:r>
      <w:r>
        <w:t xml:space="preserve">the greyhound racing ban in the ACT and new fee regime.  The fee regime has been revised based on this operational experience, as well as the </w:t>
      </w:r>
      <w:r w:rsidR="00814FD3">
        <w:t>now operational</w:t>
      </w:r>
      <w:r>
        <w:t xml:space="preserve"> NSW GWIC, to reflect a true cost of service while still not resulting in any cost to the community.</w:t>
      </w:r>
    </w:p>
    <w:p w:rsidR="00463D79" w:rsidRDefault="00463D79" w:rsidP="00463D79"/>
    <w:p w:rsidR="00463D79" w:rsidRDefault="00463D79" w:rsidP="00463D79">
      <w:r>
        <w:t>Specifically, this determination:</w:t>
      </w:r>
    </w:p>
    <w:p w:rsidR="00463D79" w:rsidRDefault="00463D79" w:rsidP="00463D79">
      <w:pPr>
        <w:pStyle w:val="ListParagraph"/>
        <w:numPr>
          <w:ilvl w:val="0"/>
          <w:numId w:val="10"/>
        </w:numPr>
        <w:spacing w:before="120" w:after="120"/>
        <w:ind w:left="714" w:hanging="357"/>
        <w:contextualSpacing w:val="0"/>
      </w:pPr>
      <w:r>
        <w:t xml:space="preserve">reduces the </w:t>
      </w:r>
      <w:r w:rsidR="00814FD3">
        <w:t xml:space="preserve">annual </w:t>
      </w:r>
      <w:r>
        <w:t xml:space="preserve">registration fee for a racing greyhound to $72.00 where no attendance or inspection is required at the premises. </w:t>
      </w:r>
      <w:r w:rsidRPr="000A7825">
        <w:t>This fee</w:t>
      </w:r>
      <w:r>
        <w:t xml:space="preserve"> also</w:t>
      </w:r>
      <w:r w:rsidRPr="000A7825">
        <w:t xml:space="preserve"> includes </w:t>
      </w:r>
      <w:r>
        <w:t xml:space="preserve">an administrative fee </w:t>
      </w:r>
      <w:r w:rsidRPr="000A7825">
        <w:t>associated with having a sexually entire dog</w:t>
      </w:r>
      <w:r>
        <w:t>;</w:t>
      </w:r>
    </w:p>
    <w:p w:rsidR="00463D79" w:rsidRDefault="00463D79" w:rsidP="00463D79">
      <w:pPr>
        <w:pStyle w:val="ListParagraph"/>
        <w:numPr>
          <w:ilvl w:val="0"/>
          <w:numId w:val="10"/>
        </w:numPr>
        <w:spacing w:before="120" w:after="120"/>
        <w:ind w:left="714" w:hanging="357"/>
        <w:contextualSpacing w:val="0"/>
      </w:pPr>
      <w:r>
        <w:t>sets a</w:t>
      </w:r>
      <w:r w:rsidR="00814FD3">
        <w:t>n annual</w:t>
      </w:r>
      <w:r>
        <w:t xml:space="preserve"> registration fee for a racing greyhound at $214.40 where attendance is required at the premises or an inspection is required. This fee also includes an administrative fee associated with having a sexually entire dog; and</w:t>
      </w:r>
    </w:p>
    <w:p w:rsidR="00463D79" w:rsidRDefault="00463D79" w:rsidP="00463D79">
      <w:pPr>
        <w:pStyle w:val="ListParagraph"/>
        <w:numPr>
          <w:ilvl w:val="0"/>
          <w:numId w:val="10"/>
        </w:numPr>
        <w:spacing w:before="120" w:after="120"/>
        <w:ind w:left="714" w:hanging="357"/>
        <w:contextualSpacing w:val="0"/>
      </w:pPr>
      <w:r>
        <w:t>reduces the application and renewal fee for a racing greyhound controller licence to $</w:t>
      </w:r>
      <w:r w:rsidR="00F16552">
        <w:t>142.40, noting that inspections</w:t>
      </w:r>
      <w:r>
        <w:t xml:space="preserve"> will </w:t>
      </w:r>
      <w:r w:rsidR="00814FD3">
        <w:t xml:space="preserve">now </w:t>
      </w:r>
      <w:r>
        <w:t>be streamlined in partnership with the NSW GWIC.</w:t>
      </w:r>
    </w:p>
    <w:p w:rsidR="00361096" w:rsidRDefault="00361096" w:rsidP="00361096"/>
    <w:p w:rsidR="00361096" w:rsidRDefault="00361096" w:rsidP="00361096">
      <w:r>
        <w:t>This determination revokes the previous fee determination [DI2018-175].</w:t>
      </w:r>
    </w:p>
    <w:p w:rsidR="00361096" w:rsidRPr="00CF0188" w:rsidRDefault="00361096" w:rsidP="00361096">
      <w:r>
        <w:br/>
        <w:t>The determination takes effect the day after notification.</w:t>
      </w:r>
    </w:p>
    <w:p w:rsidR="0066116A" w:rsidRDefault="0066116A" w:rsidP="00F16552">
      <w:pPr>
        <w:pStyle w:val="ListParagraph"/>
        <w:spacing w:before="120"/>
        <w:ind w:left="1440"/>
        <w:contextualSpacing w:val="0"/>
      </w:pPr>
    </w:p>
    <w:p w:rsidR="0066116A" w:rsidRDefault="0066116A">
      <w:r>
        <w:lastRenderedPageBreak/>
        <w:t>The table below indicates the amount of the old fee, the amount of the new fee, the percentage difference and a summary of the reason for the change</w:t>
      </w:r>
      <w:r w:rsidR="00AE4ABD">
        <w:t xml:space="preserve"> as a result of this instrument</w:t>
      </w:r>
      <w:r>
        <w:t>.</w:t>
      </w:r>
      <w:r w:rsidR="00AE4ABD">
        <w:t xml:space="preserve"> Other fees not set out below were increased according to CPI as part of DI2018-175.</w:t>
      </w:r>
    </w:p>
    <w:tbl>
      <w:tblPr>
        <w:tblW w:w="9600" w:type="dxa"/>
        <w:tblInd w:w="-244" w:type="dxa"/>
        <w:tblLayout w:type="fixed"/>
        <w:tblCellMar>
          <w:left w:w="30" w:type="dxa"/>
          <w:right w:w="30" w:type="dxa"/>
        </w:tblCellMar>
        <w:tblLook w:val="0000" w:firstRow="0" w:lastRow="0" w:firstColumn="0" w:lastColumn="0" w:noHBand="0" w:noVBand="0"/>
      </w:tblPr>
      <w:tblGrid>
        <w:gridCol w:w="953"/>
        <w:gridCol w:w="1276"/>
        <w:gridCol w:w="2551"/>
        <w:gridCol w:w="1134"/>
        <w:gridCol w:w="993"/>
        <w:gridCol w:w="1134"/>
        <w:gridCol w:w="1559"/>
      </w:tblGrid>
      <w:tr w:rsidR="0066116A" w:rsidRPr="00B45E49" w:rsidTr="005B7ACA">
        <w:trPr>
          <w:trHeight w:val="262"/>
        </w:trPr>
        <w:tc>
          <w:tcPr>
            <w:tcW w:w="953" w:type="dxa"/>
            <w:tcBorders>
              <w:top w:val="single" w:sz="4" w:space="0" w:color="auto"/>
              <w:left w:val="nil"/>
              <w:bottom w:val="single" w:sz="4" w:space="0" w:color="auto"/>
              <w:right w:val="nil"/>
            </w:tcBorders>
            <w:shd w:val="clear" w:color="C0C0C0" w:fill="auto"/>
          </w:tcPr>
          <w:p w:rsidR="0066116A" w:rsidRPr="005B7ACA" w:rsidRDefault="0066116A" w:rsidP="005B7ACA">
            <w:pPr>
              <w:spacing w:after="60"/>
              <w:rPr>
                <w:rFonts w:ascii="Arial" w:hAnsi="Arial" w:cs="Arial"/>
                <w:b/>
                <w:bCs/>
                <w:sz w:val="20"/>
              </w:rPr>
            </w:pPr>
            <w:r w:rsidRPr="005B7ACA">
              <w:rPr>
                <w:rFonts w:ascii="Arial" w:hAnsi="Arial" w:cs="Arial"/>
                <w:b/>
                <w:bCs/>
                <w:sz w:val="20"/>
              </w:rPr>
              <w:t>column 1</w:t>
            </w:r>
          </w:p>
          <w:p w:rsidR="0066116A" w:rsidRPr="005B7ACA" w:rsidRDefault="0066116A" w:rsidP="0066116A">
            <w:pPr>
              <w:rPr>
                <w:rFonts w:ascii="Arial" w:hAnsi="Arial" w:cs="Arial"/>
                <w:b/>
                <w:bCs/>
                <w:sz w:val="20"/>
              </w:rPr>
            </w:pPr>
            <w:r w:rsidRPr="005B7ACA">
              <w:rPr>
                <w:rFonts w:ascii="Arial" w:hAnsi="Arial" w:cs="Arial"/>
                <w:b/>
                <w:bCs/>
                <w:sz w:val="20"/>
              </w:rPr>
              <w:t>Item Number</w:t>
            </w:r>
          </w:p>
        </w:tc>
        <w:tc>
          <w:tcPr>
            <w:tcW w:w="1276" w:type="dxa"/>
            <w:tcBorders>
              <w:top w:val="single" w:sz="4" w:space="0" w:color="auto"/>
              <w:left w:val="nil"/>
              <w:bottom w:val="single" w:sz="4" w:space="0" w:color="auto"/>
              <w:right w:val="nil"/>
            </w:tcBorders>
            <w:shd w:val="clear" w:color="C0C0C0" w:fill="auto"/>
          </w:tcPr>
          <w:p w:rsidR="0066116A" w:rsidRPr="005B7ACA" w:rsidRDefault="0066116A" w:rsidP="005B7ACA">
            <w:pPr>
              <w:spacing w:after="60"/>
              <w:ind w:left="113"/>
              <w:rPr>
                <w:rFonts w:ascii="Arial" w:hAnsi="Arial" w:cs="Arial"/>
                <w:b/>
                <w:bCs/>
                <w:sz w:val="20"/>
              </w:rPr>
            </w:pPr>
            <w:r w:rsidRPr="005B7ACA">
              <w:rPr>
                <w:rFonts w:ascii="Arial" w:hAnsi="Arial" w:cs="Arial"/>
                <w:b/>
                <w:bCs/>
                <w:sz w:val="20"/>
              </w:rPr>
              <w:t>column 2</w:t>
            </w:r>
          </w:p>
          <w:p w:rsidR="0066116A" w:rsidRPr="005B7ACA" w:rsidRDefault="0066116A" w:rsidP="0066116A">
            <w:pPr>
              <w:ind w:left="112"/>
              <w:rPr>
                <w:rFonts w:ascii="Arial" w:hAnsi="Arial" w:cs="Arial"/>
                <w:b/>
                <w:bCs/>
                <w:sz w:val="20"/>
              </w:rPr>
            </w:pPr>
            <w:r w:rsidRPr="005B7ACA">
              <w:rPr>
                <w:rFonts w:ascii="Arial" w:hAnsi="Arial" w:cs="Arial"/>
                <w:b/>
                <w:bCs/>
                <w:sz w:val="20"/>
              </w:rPr>
              <w:t>Relevant section of Act or Regulation for which the fee is payable</w:t>
            </w:r>
          </w:p>
        </w:tc>
        <w:tc>
          <w:tcPr>
            <w:tcW w:w="2551" w:type="dxa"/>
            <w:tcBorders>
              <w:top w:val="single" w:sz="4" w:space="0" w:color="auto"/>
              <w:left w:val="nil"/>
              <w:bottom w:val="single" w:sz="4" w:space="0" w:color="auto"/>
              <w:right w:val="nil"/>
            </w:tcBorders>
            <w:shd w:val="clear" w:color="C0C0C0" w:fill="auto"/>
          </w:tcPr>
          <w:p w:rsidR="0066116A" w:rsidRPr="005B7ACA" w:rsidRDefault="0066116A" w:rsidP="005B7ACA">
            <w:pPr>
              <w:spacing w:after="60"/>
              <w:ind w:left="113" w:right="113"/>
              <w:rPr>
                <w:rFonts w:ascii="Arial" w:hAnsi="Arial" w:cs="Arial"/>
                <w:b/>
                <w:bCs/>
                <w:sz w:val="20"/>
              </w:rPr>
            </w:pPr>
            <w:r w:rsidRPr="005B7ACA">
              <w:rPr>
                <w:rFonts w:ascii="Arial" w:hAnsi="Arial" w:cs="Arial"/>
                <w:b/>
                <w:bCs/>
                <w:sz w:val="20"/>
              </w:rPr>
              <w:t>column 3</w:t>
            </w:r>
          </w:p>
          <w:p w:rsidR="0066116A" w:rsidRPr="005B7ACA" w:rsidRDefault="0066116A" w:rsidP="0066116A">
            <w:pPr>
              <w:ind w:left="112" w:right="112"/>
              <w:rPr>
                <w:rFonts w:ascii="Arial" w:hAnsi="Arial" w:cs="Arial"/>
                <w:b/>
                <w:bCs/>
                <w:sz w:val="20"/>
              </w:rPr>
            </w:pPr>
            <w:r w:rsidRPr="005B7ACA">
              <w:rPr>
                <w:rFonts w:ascii="Arial" w:hAnsi="Arial" w:cs="Arial"/>
                <w:b/>
                <w:bCs/>
                <w:sz w:val="20"/>
              </w:rPr>
              <w:t>Description of Matter for which fee is payable</w:t>
            </w:r>
          </w:p>
        </w:tc>
        <w:tc>
          <w:tcPr>
            <w:tcW w:w="1134" w:type="dxa"/>
            <w:tcBorders>
              <w:top w:val="single" w:sz="4" w:space="0" w:color="auto"/>
              <w:left w:val="nil"/>
              <w:bottom w:val="single" w:sz="4" w:space="0" w:color="auto"/>
              <w:right w:val="nil"/>
            </w:tcBorders>
            <w:shd w:val="clear" w:color="C0C0C0" w:fill="auto"/>
          </w:tcPr>
          <w:p w:rsidR="0066116A" w:rsidRPr="005B7ACA" w:rsidRDefault="0066116A" w:rsidP="005B7ACA">
            <w:pPr>
              <w:spacing w:after="60"/>
              <w:jc w:val="right"/>
              <w:rPr>
                <w:rFonts w:ascii="Arial" w:hAnsi="Arial" w:cs="Arial"/>
                <w:b/>
                <w:bCs/>
                <w:iCs/>
                <w:sz w:val="20"/>
              </w:rPr>
            </w:pPr>
            <w:r w:rsidRPr="005B7ACA">
              <w:rPr>
                <w:rFonts w:ascii="Arial" w:hAnsi="Arial" w:cs="Arial"/>
                <w:b/>
                <w:bCs/>
                <w:iCs/>
                <w:sz w:val="20"/>
              </w:rPr>
              <w:t>column 4</w:t>
            </w:r>
          </w:p>
          <w:p w:rsidR="0066116A" w:rsidRPr="005B7ACA" w:rsidRDefault="0066116A" w:rsidP="0066116A">
            <w:pPr>
              <w:jc w:val="right"/>
              <w:rPr>
                <w:rFonts w:ascii="Arial" w:hAnsi="Arial" w:cs="Arial"/>
                <w:b/>
                <w:bCs/>
                <w:iCs/>
                <w:sz w:val="20"/>
              </w:rPr>
            </w:pPr>
            <w:r w:rsidRPr="005B7ACA">
              <w:rPr>
                <w:rFonts w:ascii="Arial" w:hAnsi="Arial" w:cs="Arial"/>
                <w:b/>
                <w:bCs/>
                <w:iCs/>
                <w:sz w:val="20"/>
              </w:rPr>
              <w:t>Previous fee payable in 2017-2018 (where applicable)</w:t>
            </w:r>
          </w:p>
        </w:tc>
        <w:tc>
          <w:tcPr>
            <w:tcW w:w="993" w:type="dxa"/>
            <w:tcBorders>
              <w:top w:val="single" w:sz="4" w:space="0" w:color="auto"/>
              <w:left w:val="nil"/>
              <w:bottom w:val="single" w:sz="4" w:space="0" w:color="auto"/>
              <w:right w:val="nil"/>
            </w:tcBorders>
            <w:shd w:val="clear" w:color="C0C0C0" w:fill="auto"/>
          </w:tcPr>
          <w:p w:rsidR="0066116A" w:rsidRPr="005B7ACA" w:rsidRDefault="0066116A" w:rsidP="005B7ACA">
            <w:pPr>
              <w:spacing w:after="60"/>
              <w:jc w:val="right"/>
              <w:rPr>
                <w:rFonts w:ascii="Arial" w:hAnsi="Arial" w:cs="Arial"/>
                <w:b/>
                <w:bCs/>
                <w:iCs/>
                <w:sz w:val="20"/>
              </w:rPr>
            </w:pPr>
            <w:r w:rsidRPr="005B7ACA">
              <w:rPr>
                <w:rFonts w:ascii="Arial" w:hAnsi="Arial" w:cs="Arial"/>
                <w:b/>
                <w:bCs/>
                <w:iCs/>
                <w:sz w:val="20"/>
              </w:rPr>
              <w:t>column 5</w:t>
            </w:r>
          </w:p>
          <w:p w:rsidR="0066116A" w:rsidRPr="005B7ACA" w:rsidRDefault="0066116A" w:rsidP="0066116A">
            <w:pPr>
              <w:jc w:val="right"/>
              <w:rPr>
                <w:rFonts w:ascii="Arial" w:hAnsi="Arial" w:cs="Arial"/>
                <w:b/>
                <w:bCs/>
                <w:iCs/>
                <w:sz w:val="20"/>
              </w:rPr>
            </w:pPr>
            <w:r w:rsidRPr="005B7ACA">
              <w:rPr>
                <w:rFonts w:ascii="Arial" w:hAnsi="Arial" w:cs="Arial"/>
                <w:b/>
                <w:bCs/>
                <w:iCs/>
                <w:sz w:val="20"/>
              </w:rPr>
              <w:t>Current fee payable</w:t>
            </w:r>
          </w:p>
        </w:tc>
        <w:tc>
          <w:tcPr>
            <w:tcW w:w="1134" w:type="dxa"/>
            <w:tcBorders>
              <w:top w:val="single" w:sz="4" w:space="0" w:color="auto"/>
              <w:left w:val="nil"/>
              <w:bottom w:val="single" w:sz="4" w:space="0" w:color="auto"/>
              <w:right w:val="nil"/>
            </w:tcBorders>
            <w:shd w:val="clear" w:color="C0C0C0" w:fill="auto"/>
          </w:tcPr>
          <w:p w:rsidR="0066116A" w:rsidRDefault="0066116A" w:rsidP="00361096">
            <w:pPr>
              <w:spacing w:after="60"/>
              <w:jc w:val="right"/>
              <w:rPr>
                <w:rFonts w:ascii="Arial" w:hAnsi="Arial" w:cs="Arial"/>
                <w:b/>
                <w:bCs/>
                <w:iCs/>
                <w:sz w:val="20"/>
              </w:rPr>
            </w:pPr>
            <w:r>
              <w:rPr>
                <w:rFonts w:ascii="Arial" w:hAnsi="Arial" w:cs="Arial"/>
                <w:b/>
                <w:bCs/>
                <w:iCs/>
                <w:sz w:val="20"/>
              </w:rPr>
              <w:t>column 6</w:t>
            </w:r>
          </w:p>
          <w:p w:rsidR="0066116A" w:rsidRPr="00361096" w:rsidRDefault="0066116A" w:rsidP="00361096">
            <w:pPr>
              <w:spacing w:after="60"/>
              <w:jc w:val="right"/>
              <w:rPr>
                <w:rFonts w:ascii="Arial" w:hAnsi="Arial" w:cs="Arial"/>
                <w:b/>
                <w:bCs/>
                <w:iCs/>
                <w:sz w:val="20"/>
              </w:rPr>
            </w:pPr>
            <w:r>
              <w:rPr>
                <w:rFonts w:ascii="Arial" w:hAnsi="Arial" w:cs="Arial"/>
                <w:b/>
                <w:bCs/>
                <w:iCs/>
                <w:sz w:val="20"/>
              </w:rPr>
              <w:t>% change</w:t>
            </w:r>
          </w:p>
        </w:tc>
        <w:tc>
          <w:tcPr>
            <w:tcW w:w="1559" w:type="dxa"/>
            <w:tcBorders>
              <w:top w:val="single" w:sz="4" w:space="0" w:color="auto"/>
              <w:left w:val="nil"/>
              <w:bottom w:val="single" w:sz="4" w:space="0" w:color="auto"/>
              <w:right w:val="nil"/>
            </w:tcBorders>
            <w:shd w:val="clear" w:color="C0C0C0" w:fill="auto"/>
          </w:tcPr>
          <w:p w:rsidR="0066116A" w:rsidRDefault="0066116A" w:rsidP="0066116A">
            <w:pPr>
              <w:spacing w:after="60"/>
              <w:jc w:val="right"/>
              <w:rPr>
                <w:rFonts w:ascii="Arial" w:hAnsi="Arial" w:cs="Arial"/>
                <w:b/>
                <w:bCs/>
                <w:iCs/>
                <w:sz w:val="20"/>
              </w:rPr>
            </w:pPr>
            <w:r>
              <w:rPr>
                <w:rFonts w:ascii="Arial" w:hAnsi="Arial" w:cs="Arial"/>
                <w:b/>
                <w:bCs/>
                <w:iCs/>
                <w:sz w:val="20"/>
              </w:rPr>
              <w:t>Column 7</w:t>
            </w:r>
          </w:p>
          <w:p w:rsidR="0066116A" w:rsidRPr="00361096" w:rsidRDefault="0066116A" w:rsidP="0066116A">
            <w:pPr>
              <w:spacing w:after="60"/>
              <w:jc w:val="right"/>
              <w:rPr>
                <w:rFonts w:ascii="Arial" w:hAnsi="Arial" w:cs="Arial"/>
                <w:b/>
                <w:bCs/>
                <w:iCs/>
                <w:sz w:val="20"/>
              </w:rPr>
            </w:pPr>
            <w:r>
              <w:rPr>
                <w:rFonts w:ascii="Arial" w:hAnsi="Arial" w:cs="Arial"/>
                <w:b/>
                <w:bCs/>
                <w:iCs/>
                <w:sz w:val="20"/>
              </w:rPr>
              <w:t>Reason for change</w:t>
            </w:r>
          </w:p>
        </w:tc>
      </w:tr>
      <w:tr w:rsidR="0066116A" w:rsidRPr="00B45E49" w:rsidTr="005B7ACA">
        <w:trPr>
          <w:cantSplit/>
          <w:trHeight w:val="262"/>
        </w:trPr>
        <w:tc>
          <w:tcPr>
            <w:tcW w:w="6907" w:type="dxa"/>
            <w:gridSpan w:val="5"/>
            <w:tcBorders>
              <w:top w:val="single" w:sz="4" w:space="0" w:color="auto"/>
              <w:left w:val="nil"/>
              <w:bottom w:val="single" w:sz="4" w:space="0" w:color="auto"/>
              <w:right w:val="nil"/>
            </w:tcBorders>
          </w:tcPr>
          <w:p w:rsidR="0066116A" w:rsidRPr="00B45E49" w:rsidRDefault="0066116A" w:rsidP="00C41012">
            <w:pPr>
              <w:spacing w:before="160" w:after="80"/>
              <w:ind w:left="2381" w:hanging="2381"/>
              <w:rPr>
                <w:rFonts w:ascii="Arial" w:hAnsi="Arial"/>
                <w:b/>
                <w:i/>
                <w:iCs/>
                <w:sz w:val="20"/>
              </w:rPr>
            </w:pPr>
            <w:r w:rsidRPr="00B45E49">
              <w:rPr>
                <w:rFonts w:ascii="Arial" w:hAnsi="Arial"/>
                <w:b/>
                <w:sz w:val="20"/>
              </w:rPr>
              <w:t>Part 1</w:t>
            </w:r>
            <w:r w:rsidRPr="00B45E49">
              <w:rPr>
                <w:rFonts w:ascii="Arial" w:hAnsi="Arial"/>
                <w:b/>
                <w:sz w:val="20"/>
              </w:rPr>
              <w:tab/>
              <w:t>Registration of dogs</w:t>
            </w:r>
          </w:p>
        </w:tc>
        <w:tc>
          <w:tcPr>
            <w:tcW w:w="1134" w:type="dxa"/>
            <w:tcBorders>
              <w:top w:val="single" w:sz="4" w:space="0" w:color="auto"/>
              <w:left w:val="nil"/>
              <w:bottom w:val="single" w:sz="4" w:space="0" w:color="auto"/>
              <w:right w:val="nil"/>
            </w:tcBorders>
          </w:tcPr>
          <w:p w:rsidR="0066116A" w:rsidRPr="00B45E49" w:rsidRDefault="0066116A" w:rsidP="00C41012">
            <w:pPr>
              <w:spacing w:before="160" w:after="80"/>
              <w:ind w:left="2381" w:hanging="2381"/>
              <w:rPr>
                <w:rFonts w:ascii="Arial" w:hAnsi="Arial"/>
                <w:b/>
                <w:sz w:val="20"/>
              </w:rPr>
            </w:pPr>
          </w:p>
        </w:tc>
        <w:tc>
          <w:tcPr>
            <w:tcW w:w="1559" w:type="dxa"/>
            <w:tcBorders>
              <w:top w:val="single" w:sz="4" w:space="0" w:color="auto"/>
              <w:left w:val="nil"/>
              <w:bottom w:val="single" w:sz="4" w:space="0" w:color="auto"/>
              <w:right w:val="nil"/>
            </w:tcBorders>
          </w:tcPr>
          <w:p w:rsidR="0066116A" w:rsidRPr="00B45E49" w:rsidRDefault="0066116A" w:rsidP="00C41012">
            <w:pPr>
              <w:spacing w:before="160" w:after="80"/>
              <w:ind w:left="2381" w:hanging="2381"/>
              <w:rPr>
                <w:rFonts w:ascii="Arial" w:hAnsi="Arial"/>
                <w:b/>
                <w:sz w:val="20"/>
              </w:rPr>
            </w:pPr>
          </w:p>
        </w:tc>
      </w:tr>
      <w:tr w:rsidR="0066116A" w:rsidRPr="0019025D" w:rsidTr="005B7ACA">
        <w:trPr>
          <w:trHeight w:val="262"/>
        </w:trPr>
        <w:tc>
          <w:tcPr>
            <w:tcW w:w="953" w:type="dxa"/>
            <w:tcBorders>
              <w:top w:val="single" w:sz="4" w:space="0" w:color="auto"/>
              <w:left w:val="nil"/>
              <w:bottom w:val="single" w:sz="4" w:space="0" w:color="auto"/>
              <w:right w:val="nil"/>
            </w:tcBorders>
          </w:tcPr>
          <w:p w:rsidR="0066116A" w:rsidRPr="00B45E49" w:rsidRDefault="0066116A" w:rsidP="00C41012">
            <w:pPr>
              <w:spacing w:before="80" w:after="80"/>
              <w:rPr>
                <w:bCs/>
                <w:sz w:val="22"/>
                <w:szCs w:val="22"/>
              </w:rPr>
            </w:pPr>
            <w:r w:rsidRPr="00B45E49">
              <w:rPr>
                <w:bCs/>
                <w:sz w:val="22"/>
                <w:szCs w:val="22"/>
              </w:rPr>
              <w:t>1.4</w:t>
            </w:r>
          </w:p>
        </w:tc>
        <w:tc>
          <w:tcPr>
            <w:tcW w:w="1276" w:type="dxa"/>
            <w:tcBorders>
              <w:top w:val="single" w:sz="4" w:space="0" w:color="auto"/>
              <w:left w:val="nil"/>
              <w:bottom w:val="single" w:sz="4" w:space="0" w:color="auto"/>
              <w:right w:val="nil"/>
            </w:tcBorders>
          </w:tcPr>
          <w:p w:rsidR="0066116A" w:rsidRPr="0019025D" w:rsidRDefault="0066116A" w:rsidP="00C41012">
            <w:pPr>
              <w:spacing w:before="80" w:after="80"/>
              <w:ind w:left="112"/>
              <w:rPr>
                <w:bCs/>
                <w:sz w:val="22"/>
                <w:szCs w:val="22"/>
              </w:rPr>
            </w:pPr>
            <w:r w:rsidRPr="0019025D">
              <w:rPr>
                <w:bCs/>
                <w:sz w:val="22"/>
                <w:szCs w:val="22"/>
              </w:rPr>
              <w:t>s.39C</w:t>
            </w:r>
          </w:p>
        </w:tc>
        <w:tc>
          <w:tcPr>
            <w:tcW w:w="2551" w:type="dxa"/>
            <w:tcBorders>
              <w:top w:val="single" w:sz="4" w:space="0" w:color="auto"/>
              <w:left w:val="nil"/>
              <w:bottom w:val="single" w:sz="4" w:space="0" w:color="auto"/>
              <w:right w:val="nil"/>
            </w:tcBorders>
          </w:tcPr>
          <w:p w:rsidR="0066116A" w:rsidRDefault="0066116A" w:rsidP="00C41012">
            <w:pPr>
              <w:spacing w:before="80" w:after="80"/>
              <w:ind w:left="112" w:right="112"/>
              <w:rPr>
                <w:bCs/>
                <w:sz w:val="22"/>
                <w:szCs w:val="22"/>
              </w:rPr>
            </w:pPr>
            <w:r w:rsidRPr="0019025D">
              <w:rPr>
                <w:bCs/>
                <w:sz w:val="22"/>
                <w:szCs w:val="22"/>
              </w:rPr>
              <w:t>Registration of a racing greyhound on application of keeper (no inspection/ attendance required)</w:t>
            </w:r>
          </w:p>
          <w:p w:rsidR="00361096" w:rsidRPr="005B7ACA" w:rsidRDefault="00361096" w:rsidP="00C41012">
            <w:pPr>
              <w:spacing w:before="80" w:after="80"/>
              <w:ind w:left="112" w:right="112"/>
              <w:rPr>
                <w:b/>
                <w:bCs/>
                <w:sz w:val="20"/>
              </w:rPr>
            </w:pPr>
            <w:r>
              <w:rPr>
                <w:b/>
                <w:bCs/>
                <w:sz w:val="20"/>
              </w:rPr>
              <w:t>This fee is payable by the keeper of a racing greyhound to the ACT Government.</w:t>
            </w:r>
          </w:p>
        </w:tc>
        <w:tc>
          <w:tcPr>
            <w:tcW w:w="1134" w:type="dxa"/>
            <w:tcBorders>
              <w:top w:val="single" w:sz="4" w:space="0" w:color="auto"/>
              <w:left w:val="nil"/>
              <w:bottom w:val="single" w:sz="4" w:space="0" w:color="auto"/>
              <w:right w:val="nil"/>
            </w:tcBorders>
          </w:tcPr>
          <w:p w:rsidR="0066116A" w:rsidRPr="0019025D" w:rsidRDefault="0066116A" w:rsidP="00C41012">
            <w:pPr>
              <w:spacing w:before="80" w:after="80"/>
              <w:jc w:val="right"/>
              <w:rPr>
                <w:bCs/>
                <w:iCs/>
                <w:sz w:val="22"/>
                <w:szCs w:val="22"/>
              </w:rPr>
            </w:pPr>
            <w:r w:rsidRPr="0019025D">
              <w:rPr>
                <w:bCs/>
                <w:iCs/>
                <w:sz w:val="22"/>
                <w:szCs w:val="22"/>
              </w:rPr>
              <w:t>$612</w:t>
            </w:r>
          </w:p>
        </w:tc>
        <w:tc>
          <w:tcPr>
            <w:tcW w:w="993" w:type="dxa"/>
            <w:tcBorders>
              <w:top w:val="single" w:sz="4" w:space="0" w:color="auto"/>
              <w:left w:val="nil"/>
              <w:bottom w:val="single" w:sz="4" w:space="0" w:color="auto"/>
              <w:right w:val="nil"/>
            </w:tcBorders>
          </w:tcPr>
          <w:p w:rsidR="0066116A" w:rsidRPr="0019025D" w:rsidRDefault="0066116A" w:rsidP="00C41012">
            <w:pPr>
              <w:spacing w:before="80" w:after="80"/>
              <w:jc w:val="right"/>
              <w:rPr>
                <w:b/>
                <w:bCs/>
                <w:iCs/>
                <w:sz w:val="22"/>
                <w:szCs w:val="22"/>
              </w:rPr>
            </w:pPr>
            <w:r w:rsidRPr="0019025D">
              <w:rPr>
                <w:b/>
                <w:bCs/>
                <w:iCs/>
                <w:sz w:val="22"/>
                <w:szCs w:val="22"/>
              </w:rPr>
              <w:t>$72</w:t>
            </w:r>
          </w:p>
        </w:tc>
        <w:tc>
          <w:tcPr>
            <w:tcW w:w="1134" w:type="dxa"/>
            <w:tcBorders>
              <w:top w:val="single" w:sz="4" w:space="0" w:color="auto"/>
              <w:left w:val="nil"/>
              <w:bottom w:val="single" w:sz="4" w:space="0" w:color="auto"/>
              <w:right w:val="nil"/>
            </w:tcBorders>
          </w:tcPr>
          <w:p w:rsidR="0066116A" w:rsidRPr="0019025D" w:rsidRDefault="0066116A" w:rsidP="00C41012">
            <w:pPr>
              <w:spacing w:before="80" w:after="80"/>
              <w:jc w:val="right"/>
              <w:rPr>
                <w:b/>
                <w:bCs/>
                <w:iCs/>
                <w:sz w:val="22"/>
                <w:szCs w:val="22"/>
              </w:rPr>
            </w:pPr>
            <w:r>
              <w:rPr>
                <w:b/>
                <w:bCs/>
                <w:iCs/>
                <w:sz w:val="22"/>
                <w:szCs w:val="22"/>
              </w:rPr>
              <w:t>-88%</w:t>
            </w:r>
          </w:p>
        </w:tc>
        <w:tc>
          <w:tcPr>
            <w:tcW w:w="1559" w:type="dxa"/>
            <w:tcBorders>
              <w:top w:val="single" w:sz="4" w:space="0" w:color="auto"/>
              <w:left w:val="nil"/>
              <w:bottom w:val="single" w:sz="4" w:space="0" w:color="auto"/>
              <w:right w:val="nil"/>
            </w:tcBorders>
          </w:tcPr>
          <w:p w:rsidR="0066116A" w:rsidRPr="0019025D" w:rsidRDefault="0066116A" w:rsidP="00C41012">
            <w:pPr>
              <w:spacing w:before="80" w:after="80"/>
              <w:jc w:val="right"/>
              <w:rPr>
                <w:b/>
                <w:bCs/>
                <w:iCs/>
                <w:sz w:val="22"/>
                <w:szCs w:val="22"/>
              </w:rPr>
            </w:pPr>
            <w:r w:rsidRPr="005B7ACA">
              <w:rPr>
                <w:bCs/>
                <w:iCs/>
                <w:sz w:val="20"/>
              </w:rPr>
              <w:t>Revised based on operational experience and new arrangements with the NSW GWIC that reduce administrative and inspection costs</w:t>
            </w:r>
            <w:r>
              <w:rPr>
                <w:b/>
                <w:bCs/>
                <w:iCs/>
                <w:sz w:val="22"/>
                <w:szCs w:val="22"/>
              </w:rPr>
              <w:t>.</w:t>
            </w:r>
          </w:p>
        </w:tc>
      </w:tr>
      <w:tr w:rsidR="0066116A" w:rsidRPr="0019025D" w:rsidTr="005B7ACA">
        <w:trPr>
          <w:trHeight w:val="262"/>
        </w:trPr>
        <w:tc>
          <w:tcPr>
            <w:tcW w:w="953" w:type="dxa"/>
            <w:tcBorders>
              <w:top w:val="single" w:sz="4" w:space="0" w:color="auto"/>
              <w:left w:val="nil"/>
              <w:bottom w:val="single" w:sz="4" w:space="0" w:color="auto"/>
              <w:right w:val="nil"/>
            </w:tcBorders>
          </w:tcPr>
          <w:p w:rsidR="0066116A" w:rsidRPr="0019025D" w:rsidRDefault="0066116A" w:rsidP="00C41012">
            <w:pPr>
              <w:spacing w:before="80" w:after="80"/>
              <w:rPr>
                <w:bCs/>
                <w:sz w:val="22"/>
                <w:szCs w:val="22"/>
              </w:rPr>
            </w:pPr>
            <w:r w:rsidRPr="0019025D">
              <w:rPr>
                <w:bCs/>
                <w:sz w:val="22"/>
                <w:szCs w:val="22"/>
              </w:rPr>
              <w:t>1.5</w:t>
            </w:r>
          </w:p>
        </w:tc>
        <w:tc>
          <w:tcPr>
            <w:tcW w:w="1276" w:type="dxa"/>
            <w:tcBorders>
              <w:top w:val="single" w:sz="4" w:space="0" w:color="auto"/>
              <w:left w:val="nil"/>
              <w:bottom w:val="single" w:sz="4" w:space="0" w:color="auto"/>
              <w:right w:val="nil"/>
            </w:tcBorders>
          </w:tcPr>
          <w:p w:rsidR="0066116A" w:rsidRPr="0019025D" w:rsidRDefault="0066116A" w:rsidP="00C41012">
            <w:pPr>
              <w:spacing w:before="80" w:after="80"/>
              <w:ind w:left="112"/>
              <w:rPr>
                <w:bCs/>
                <w:sz w:val="22"/>
                <w:szCs w:val="22"/>
              </w:rPr>
            </w:pPr>
            <w:r w:rsidRPr="0019025D">
              <w:rPr>
                <w:bCs/>
                <w:sz w:val="22"/>
                <w:szCs w:val="22"/>
              </w:rPr>
              <w:t>s.39C</w:t>
            </w:r>
          </w:p>
        </w:tc>
        <w:tc>
          <w:tcPr>
            <w:tcW w:w="2551" w:type="dxa"/>
            <w:tcBorders>
              <w:top w:val="single" w:sz="4" w:space="0" w:color="auto"/>
              <w:left w:val="nil"/>
              <w:bottom w:val="single" w:sz="4" w:space="0" w:color="auto"/>
              <w:right w:val="nil"/>
            </w:tcBorders>
          </w:tcPr>
          <w:p w:rsidR="0066116A" w:rsidRDefault="0066116A" w:rsidP="00C41012">
            <w:pPr>
              <w:spacing w:before="80" w:after="80"/>
              <w:ind w:left="112" w:right="112"/>
              <w:rPr>
                <w:bCs/>
                <w:sz w:val="22"/>
                <w:szCs w:val="22"/>
              </w:rPr>
            </w:pPr>
            <w:r w:rsidRPr="0019025D">
              <w:rPr>
                <w:bCs/>
                <w:sz w:val="22"/>
                <w:szCs w:val="22"/>
              </w:rPr>
              <w:t>Registration of a racing greyhound following inspection (inspection/attendance required)</w:t>
            </w:r>
          </w:p>
          <w:p w:rsidR="00361096" w:rsidRPr="0019025D" w:rsidRDefault="00361096" w:rsidP="00C41012">
            <w:pPr>
              <w:spacing w:before="80" w:after="80"/>
              <w:ind w:left="112" w:right="112"/>
              <w:rPr>
                <w:bCs/>
                <w:sz w:val="22"/>
                <w:szCs w:val="22"/>
              </w:rPr>
            </w:pPr>
            <w:r>
              <w:rPr>
                <w:b/>
                <w:bCs/>
                <w:sz w:val="20"/>
              </w:rPr>
              <w:t>This fee is payable by the keeper of a racing greyhound to the ACT Government.</w:t>
            </w:r>
          </w:p>
        </w:tc>
        <w:tc>
          <w:tcPr>
            <w:tcW w:w="1134" w:type="dxa"/>
            <w:tcBorders>
              <w:top w:val="single" w:sz="4" w:space="0" w:color="auto"/>
              <w:left w:val="nil"/>
              <w:bottom w:val="single" w:sz="4" w:space="0" w:color="auto"/>
              <w:right w:val="nil"/>
            </w:tcBorders>
          </w:tcPr>
          <w:p w:rsidR="0066116A" w:rsidRPr="0019025D" w:rsidRDefault="0066116A" w:rsidP="00C41012">
            <w:pPr>
              <w:spacing w:before="80" w:after="80"/>
              <w:jc w:val="right"/>
              <w:rPr>
                <w:bCs/>
                <w:iCs/>
                <w:sz w:val="22"/>
                <w:szCs w:val="22"/>
              </w:rPr>
            </w:pPr>
            <w:r>
              <w:rPr>
                <w:bCs/>
                <w:iCs/>
                <w:sz w:val="22"/>
                <w:szCs w:val="22"/>
              </w:rPr>
              <w:t>$612</w:t>
            </w:r>
          </w:p>
        </w:tc>
        <w:tc>
          <w:tcPr>
            <w:tcW w:w="993" w:type="dxa"/>
            <w:tcBorders>
              <w:top w:val="single" w:sz="4" w:space="0" w:color="auto"/>
              <w:left w:val="nil"/>
              <w:bottom w:val="single" w:sz="4" w:space="0" w:color="auto"/>
              <w:right w:val="nil"/>
            </w:tcBorders>
          </w:tcPr>
          <w:p w:rsidR="0066116A" w:rsidRPr="0019025D" w:rsidRDefault="0066116A" w:rsidP="00C41012">
            <w:pPr>
              <w:spacing w:before="80" w:after="80"/>
              <w:jc w:val="right"/>
              <w:rPr>
                <w:b/>
                <w:bCs/>
                <w:iCs/>
                <w:sz w:val="22"/>
                <w:szCs w:val="22"/>
              </w:rPr>
            </w:pPr>
            <w:r w:rsidRPr="0019025D">
              <w:rPr>
                <w:b/>
                <w:bCs/>
                <w:iCs/>
                <w:sz w:val="22"/>
                <w:szCs w:val="22"/>
              </w:rPr>
              <w:t>$214.40</w:t>
            </w:r>
          </w:p>
        </w:tc>
        <w:tc>
          <w:tcPr>
            <w:tcW w:w="1134" w:type="dxa"/>
            <w:tcBorders>
              <w:top w:val="single" w:sz="4" w:space="0" w:color="auto"/>
              <w:left w:val="nil"/>
              <w:bottom w:val="single" w:sz="4" w:space="0" w:color="auto"/>
              <w:right w:val="nil"/>
            </w:tcBorders>
          </w:tcPr>
          <w:p w:rsidR="0066116A" w:rsidRPr="0019025D" w:rsidRDefault="0066116A" w:rsidP="00C41012">
            <w:pPr>
              <w:spacing w:before="80" w:after="80"/>
              <w:jc w:val="right"/>
              <w:rPr>
                <w:b/>
                <w:bCs/>
                <w:iCs/>
                <w:sz w:val="22"/>
                <w:szCs w:val="22"/>
              </w:rPr>
            </w:pPr>
            <w:r>
              <w:rPr>
                <w:b/>
                <w:bCs/>
                <w:iCs/>
                <w:sz w:val="22"/>
                <w:szCs w:val="22"/>
              </w:rPr>
              <w:t>-65%</w:t>
            </w:r>
          </w:p>
        </w:tc>
        <w:tc>
          <w:tcPr>
            <w:tcW w:w="1559" w:type="dxa"/>
            <w:tcBorders>
              <w:top w:val="single" w:sz="4" w:space="0" w:color="auto"/>
              <w:left w:val="nil"/>
              <w:bottom w:val="single" w:sz="4" w:space="0" w:color="auto"/>
              <w:right w:val="nil"/>
            </w:tcBorders>
          </w:tcPr>
          <w:p w:rsidR="0066116A" w:rsidRPr="0019025D" w:rsidRDefault="00361096" w:rsidP="00C41012">
            <w:pPr>
              <w:spacing w:before="80" w:after="80"/>
              <w:jc w:val="right"/>
              <w:rPr>
                <w:b/>
                <w:bCs/>
                <w:iCs/>
                <w:sz w:val="22"/>
                <w:szCs w:val="22"/>
              </w:rPr>
            </w:pPr>
            <w:r w:rsidRPr="004A4403">
              <w:rPr>
                <w:bCs/>
                <w:iCs/>
                <w:sz w:val="20"/>
              </w:rPr>
              <w:t>Revised based on operational experience and new arrangements with the NSW GWIC that reduce administrative and inspection costs</w:t>
            </w:r>
            <w:r>
              <w:rPr>
                <w:b/>
                <w:bCs/>
                <w:iCs/>
                <w:sz w:val="22"/>
                <w:szCs w:val="22"/>
              </w:rPr>
              <w:t>.</w:t>
            </w:r>
          </w:p>
        </w:tc>
      </w:tr>
      <w:tr w:rsidR="0066116A" w:rsidRPr="002A18E2" w:rsidTr="005B7ACA">
        <w:trPr>
          <w:cantSplit/>
          <w:trHeight w:val="262"/>
        </w:trPr>
        <w:tc>
          <w:tcPr>
            <w:tcW w:w="6907" w:type="dxa"/>
            <w:gridSpan w:val="5"/>
            <w:tcBorders>
              <w:top w:val="single" w:sz="4" w:space="0" w:color="auto"/>
              <w:left w:val="nil"/>
              <w:bottom w:val="single" w:sz="4" w:space="0" w:color="auto"/>
              <w:right w:val="nil"/>
            </w:tcBorders>
          </w:tcPr>
          <w:p w:rsidR="0066116A" w:rsidRPr="002A18E2" w:rsidRDefault="0066116A" w:rsidP="00C41012">
            <w:pPr>
              <w:spacing w:before="80" w:after="80"/>
              <w:ind w:left="2381" w:hanging="2381"/>
              <w:rPr>
                <w:bCs/>
              </w:rPr>
            </w:pPr>
            <w:r w:rsidRPr="002A18E2">
              <w:rPr>
                <w:rFonts w:ascii="Arial" w:hAnsi="Arial"/>
                <w:b/>
                <w:snapToGrid w:val="0"/>
                <w:sz w:val="20"/>
              </w:rPr>
              <w:t>Part 2</w:t>
            </w:r>
            <w:r w:rsidRPr="002A18E2">
              <w:rPr>
                <w:rFonts w:ascii="Arial" w:hAnsi="Arial"/>
                <w:b/>
                <w:snapToGrid w:val="0"/>
                <w:sz w:val="20"/>
              </w:rPr>
              <w:tab/>
            </w:r>
            <w:r w:rsidRPr="00E51A06">
              <w:rPr>
                <w:rFonts w:ascii="Arial" w:hAnsi="Arial"/>
                <w:b/>
                <w:sz w:val="20"/>
              </w:rPr>
              <w:t>Licences and Permits</w:t>
            </w:r>
          </w:p>
        </w:tc>
        <w:tc>
          <w:tcPr>
            <w:tcW w:w="1134" w:type="dxa"/>
            <w:tcBorders>
              <w:top w:val="single" w:sz="4" w:space="0" w:color="auto"/>
              <w:left w:val="nil"/>
              <w:bottom w:val="single" w:sz="4" w:space="0" w:color="auto"/>
              <w:right w:val="nil"/>
            </w:tcBorders>
          </w:tcPr>
          <w:p w:rsidR="0066116A" w:rsidRPr="002A18E2" w:rsidRDefault="0066116A" w:rsidP="00C41012">
            <w:pPr>
              <w:spacing w:before="80" w:after="80"/>
              <w:ind w:left="2381" w:hanging="2381"/>
              <w:rPr>
                <w:rFonts w:ascii="Arial" w:hAnsi="Arial"/>
                <w:b/>
                <w:snapToGrid w:val="0"/>
                <w:sz w:val="20"/>
              </w:rPr>
            </w:pPr>
          </w:p>
        </w:tc>
        <w:tc>
          <w:tcPr>
            <w:tcW w:w="1559" w:type="dxa"/>
            <w:tcBorders>
              <w:top w:val="single" w:sz="4" w:space="0" w:color="auto"/>
              <w:left w:val="nil"/>
              <w:bottom w:val="single" w:sz="4" w:space="0" w:color="auto"/>
              <w:right w:val="nil"/>
            </w:tcBorders>
          </w:tcPr>
          <w:p w:rsidR="0066116A" w:rsidRPr="002A18E2" w:rsidRDefault="0066116A" w:rsidP="00C41012">
            <w:pPr>
              <w:spacing w:before="80" w:after="80"/>
              <w:ind w:left="2381" w:hanging="2381"/>
              <w:rPr>
                <w:rFonts w:ascii="Arial" w:hAnsi="Arial"/>
                <w:b/>
                <w:snapToGrid w:val="0"/>
                <w:sz w:val="20"/>
              </w:rPr>
            </w:pPr>
          </w:p>
        </w:tc>
      </w:tr>
      <w:tr w:rsidR="0066116A" w:rsidRPr="0019025D" w:rsidTr="005B7ACA">
        <w:trPr>
          <w:trHeight w:val="262"/>
        </w:trPr>
        <w:tc>
          <w:tcPr>
            <w:tcW w:w="953" w:type="dxa"/>
            <w:tcBorders>
              <w:top w:val="single" w:sz="4" w:space="0" w:color="auto"/>
              <w:left w:val="nil"/>
              <w:bottom w:val="single" w:sz="4" w:space="0" w:color="auto"/>
              <w:right w:val="nil"/>
            </w:tcBorders>
          </w:tcPr>
          <w:p w:rsidR="0066116A" w:rsidRPr="00B45E49" w:rsidRDefault="0066116A" w:rsidP="00C41012">
            <w:pPr>
              <w:spacing w:before="80" w:after="80"/>
              <w:rPr>
                <w:bCs/>
                <w:sz w:val="22"/>
                <w:szCs w:val="22"/>
              </w:rPr>
            </w:pPr>
            <w:r w:rsidRPr="00B45E49">
              <w:rPr>
                <w:bCs/>
                <w:sz w:val="22"/>
                <w:szCs w:val="22"/>
              </w:rPr>
              <w:t>2.7</w:t>
            </w:r>
          </w:p>
        </w:tc>
        <w:tc>
          <w:tcPr>
            <w:tcW w:w="1276" w:type="dxa"/>
            <w:tcBorders>
              <w:top w:val="single" w:sz="4" w:space="0" w:color="auto"/>
              <w:left w:val="nil"/>
              <w:bottom w:val="single" w:sz="4" w:space="0" w:color="auto"/>
              <w:right w:val="nil"/>
            </w:tcBorders>
          </w:tcPr>
          <w:p w:rsidR="0066116A" w:rsidRPr="00B45E49" w:rsidRDefault="0066116A" w:rsidP="00C41012">
            <w:pPr>
              <w:spacing w:before="80" w:after="80"/>
              <w:ind w:left="112"/>
              <w:rPr>
                <w:bCs/>
                <w:sz w:val="22"/>
                <w:szCs w:val="22"/>
              </w:rPr>
            </w:pPr>
            <w:r w:rsidRPr="00B45E49">
              <w:rPr>
                <w:bCs/>
                <w:sz w:val="22"/>
                <w:szCs w:val="22"/>
              </w:rPr>
              <w:t>s.39</w:t>
            </w:r>
            <w:r>
              <w:rPr>
                <w:bCs/>
                <w:sz w:val="22"/>
                <w:szCs w:val="22"/>
              </w:rPr>
              <w:t>H</w:t>
            </w:r>
          </w:p>
        </w:tc>
        <w:tc>
          <w:tcPr>
            <w:tcW w:w="2551" w:type="dxa"/>
            <w:tcBorders>
              <w:top w:val="single" w:sz="4" w:space="0" w:color="auto"/>
              <w:left w:val="nil"/>
              <w:bottom w:val="single" w:sz="4" w:space="0" w:color="auto"/>
              <w:right w:val="nil"/>
            </w:tcBorders>
          </w:tcPr>
          <w:p w:rsidR="0066116A" w:rsidRDefault="0066116A" w:rsidP="00C41012">
            <w:pPr>
              <w:spacing w:before="80" w:after="80"/>
              <w:ind w:left="112" w:right="112"/>
              <w:rPr>
                <w:bCs/>
                <w:sz w:val="22"/>
                <w:szCs w:val="22"/>
              </w:rPr>
            </w:pPr>
            <w:r w:rsidRPr="00B45E49">
              <w:rPr>
                <w:bCs/>
                <w:sz w:val="22"/>
                <w:szCs w:val="22"/>
              </w:rPr>
              <w:t>Application for racing greyhound controller licence</w:t>
            </w:r>
          </w:p>
          <w:p w:rsidR="00361096" w:rsidRPr="005B7ACA" w:rsidRDefault="00361096" w:rsidP="00361096">
            <w:pPr>
              <w:spacing w:before="80" w:after="80"/>
              <w:ind w:left="112" w:right="112"/>
              <w:rPr>
                <w:b/>
                <w:bCs/>
                <w:sz w:val="20"/>
              </w:rPr>
            </w:pPr>
            <w:r>
              <w:rPr>
                <w:b/>
                <w:bCs/>
                <w:sz w:val="20"/>
              </w:rPr>
              <w:t>This fee is payable by the applicant for a racing greyhound controller licence (this may or may not be the keeper of the greyhound) to the ACT Government.</w:t>
            </w:r>
          </w:p>
        </w:tc>
        <w:tc>
          <w:tcPr>
            <w:tcW w:w="1134" w:type="dxa"/>
            <w:tcBorders>
              <w:top w:val="single" w:sz="4" w:space="0" w:color="auto"/>
              <w:left w:val="nil"/>
              <w:bottom w:val="single" w:sz="4" w:space="0" w:color="auto"/>
              <w:right w:val="nil"/>
            </w:tcBorders>
          </w:tcPr>
          <w:p w:rsidR="0066116A" w:rsidRPr="00B45E49" w:rsidRDefault="0066116A" w:rsidP="00C41012">
            <w:pPr>
              <w:spacing w:before="80" w:after="80"/>
              <w:jc w:val="right"/>
              <w:rPr>
                <w:bCs/>
                <w:iCs/>
                <w:sz w:val="22"/>
                <w:szCs w:val="22"/>
              </w:rPr>
            </w:pPr>
            <w:r>
              <w:rPr>
                <w:bCs/>
                <w:iCs/>
                <w:sz w:val="22"/>
                <w:szCs w:val="22"/>
              </w:rPr>
              <w:t>$640.00</w:t>
            </w:r>
          </w:p>
        </w:tc>
        <w:tc>
          <w:tcPr>
            <w:tcW w:w="993" w:type="dxa"/>
            <w:tcBorders>
              <w:top w:val="single" w:sz="4" w:space="0" w:color="auto"/>
              <w:left w:val="nil"/>
              <w:bottom w:val="single" w:sz="4" w:space="0" w:color="auto"/>
              <w:right w:val="nil"/>
            </w:tcBorders>
          </w:tcPr>
          <w:p w:rsidR="0066116A" w:rsidRPr="0019025D" w:rsidRDefault="0066116A" w:rsidP="00C41012">
            <w:pPr>
              <w:spacing w:before="80" w:after="80"/>
              <w:jc w:val="right"/>
              <w:rPr>
                <w:b/>
                <w:bCs/>
                <w:iCs/>
                <w:sz w:val="22"/>
                <w:szCs w:val="22"/>
              </w:rPr>
            </w:pPr>
            <w:r w:rsidRPr="0019025D">
              <w:rPr>
                <w:b/>
                <w:bCs/>
                <w:iCs/>
                <w:sz w:val="22"/>
                <w:szCs w:val="22"/>
              </w:rPr>
              <w:t>$142.40</w:t>
            </w:r>
          </w:p>
        </w:tc>
        <w:tc>
          <w:tcPr>
            <w:tcW w:w="1134" w:type="dxa"/>
            <w:tcBorders>
              <w:top w:val="single" w:sz="4" w:space="0" w:color="auto"/>
              <w:left w:val="nil"/>
              <w:bottom w:val="single" w:sz="4" w:space="0" w:color="auto"/>
              <w:right w:val="nil"/>
            </w:tcBorders>
          </w:tcPr>
          <w:p w:rsidR="0066116A" w:rsidRPr="0019025D" w:rsidRDefault="0066116A" w:rsidP="00C41012">
            <w:pPr>
              <w:spacing w:before="80" w:after="80"/>
              <w:jc w:val="right"/>
              <w:rPr>
                <w:b/>
                <w:bCs/>
                <w:iCs/>
                <w:sz w:val="22"/>
                <w:szCs w:val="22"/>
              </w:rPr>
            </w:pPr>
            <w:r>
              <w:rPr>
                <w:b/>
                <w:bCs/>
                <w:iCs/>
                <w:sz w:val="22"/>
                <w:szCs w:val="22"/>
              </w:rPr>
              <w:t>-78%</w:t>
            </w:r>
          </w:p>
        </w:tc>
        <w:tc>
          <w:tcPr>
            <w:tcW w:w="1559" w:type="dxa"/>
            <w:tcBorders>
              <w:top w:val="single" w:sz="4" w:space="0" w:color="auto"/>
              <w:left w:val="nil"/>
              <w:bottom w:val="single" w:sz="4" w:space="0" w:color="auto"/>
              <w:right w:val="nil"/>
            </w:tcBorders>
          </w:tcPr>
          <w:p w:rsidR="0066116A" w:rsidRPr="0019025D" w:rsidRDefault="00361096" w:rsidP="00C41012">
            <w:pPr>
              <w:spacing w:before="80" w:after="80"/>
              <w:jc w:val="right"/>
              <w:rPr>
                <w:b/>
                <w:bCs/>
                <w:iCs/>
                <w:sz w:val="22"/>
                <w:szCs w:val="22"/>
              </w:rPr>
            </w:pPr>
            <w:r w:rsidRPr="004A4403">
              <w:rPr>
                <w:bCs/>
                <w:iCs/>
                <w:sz w:val="20"/>
              </w:rPr>
              <w:t>Revised based on operational experience and new arrangements with the NSW GWIC that reduce administrative and inspection costs</w:t>
            </w:r>
            <w:r>
              <w:rPr>
                <w:b/>
                <w:bCs/>
                <w:iCs/>
                <w:sz w:val="22"/>
                <w:szCs w:val="22"/>
              </w:rPr>
              <w:t>.</w:t>
            </w:r>
          </w:p>
        </w:tc>
      </w:tr>
      <w:tr w:rsidR="0066116A" w:rsidRPr="0019025D" w:rsidTr="005B7ACA">
        <w:trPr>
          <w:trHeight w:val="262"/>
        </w:trPr>
        <w:tc>
          <w:tcPr>
            <w:tcW w:w="953" w:type="dxa"/>
            <w:tcBorders>
              <w:top w:val="single" w:sz="4" w:space="0" w:color="auto"/>
              <w:left w:val="nil"/>
              <w:bottom w:val="single" w:sz="4" w:space="0" w:color="auto"/>
              <w:right w:val="nil"/>
            </w:tcBorders>
          </w:tcPr>
          <w:p w:rsidR="0066116A" w:rsidRPr="00596FDD" w:rsidRDefault="0066116A" w:rsidP="00C41012">
            <w:pPr>
              <w:spacing w:before="80" w:after="80"/>
              <w:rPr>
                <w:bCs/>
                <w:sz w:val="22"/>
                <w:szCs w:val="22"/>
              </w:rPr>
            </w:pPr>
            <w:r w:rsidRPr="00596FDD">
              <w:rPr>
                <w:bCs/>
                <w:sz w:val="22"/>
                <w:szCs w:val="22"/>
              </w:rPr>
              <w:t>2.8</w:t>
            </w:r>
          </w:p>
        </w:tc>
        <w:tc>
          <w:tcPr>
            <w:tcW w:w="1276" w:type="dxa"/>
            <w:tcBorders>
              <w:top w:val="single" w:sz="4" w:space="0" w:color="auto"/>
              <w:left w:val="nil"/>
              <w:bottom w:val="single" w:sz="4" w:space="0" w:color="auto"/>
              <w:right w:val="nil"/>
            </w:tcBorders>
          </w:tcPr>
          <w:p w:rsidR="0066116A" w:rsidRPr="00B45E49" w:rsidRDefault="0066116A" w:rsidP="00C41012">
            <w:pPr>
              <w:spacing w:before="80" w:after="80"/>
              <w:ind w:left="112"/>
              <w:rPr>
                <w:bCs/>
                <w:sz w:val="22"/>
                <w:szCs w:val="22"/>
              </w:rPr>
            </w:pPr>
            <w:r>
              <w:rPr>
                <w:bCs/>
                <w:sz w:val="22"/>
                <w:szCs w:val="22"/>
              </w:rPr>
              <w:t>s.32</w:t>
            </w:r>
          </w:p>
        </w:tc>
        <w:tc>
          <w:tcPr>
            <w:tcW w:w="2551" w:type="dxa"/>
            <w:tcBorders>
              <w:top w:val="single" w:sz="4" w:space="0" w:color="auto"/>
              <w:left w:val="nil"/>
              <w:bottom w:val="single" w:sz="4" w:space="0" w:color="auto"/>
              <w:right w:val="nil"/>
            </w:tcBorders>
          </w:tcPr>
          <w:p w:rsidR="0066116A" w:rsidRDefault="0066116A" w:rsidP="00C41012">
            <w:pPr>
              <w:spacing w:before="80" w:after="80"/>
              <w:ind w:left="112" w:right="112"/>
              <w:rPr>
                <w:bCs/>
                <w:sz w:val="22"/>
                <w:szCs w:val="22"/>
              </w:rPr>
            </w:pPr>
            <w:r>
              <w:rPr>
                <w:bCs/>
                <w:sz w:val="22"/>
                <w:szCs w:val="22"/>
              </w:rPr>
              <w:t>Renewal of a racing greyhound controller licence</w:t>
            </w:r>
          </w:p>
          <w:p w:rsidR="00361096" w:rsidRPr="00B45E49" w:rsidRDefault="00361096" w:rsidP="00361096">
            <w:pPr>
              <w:spacing w:before="80" w:after="80"/>
              <w:ind w:left="112" w:right="112"/>
              <w:rPr>
                <w:bCs/>
                <w:sz w:val="22"/>
                <w:szCs w:val="22"/>
              </w:rPr>
            </w:pPr>
            <w:r>
              <w:rPr>
                <w:b/>
                <w:bCs/>
                <w:sz w:val="20"/>
              </w:rPr>
              <w:t>This fee is payable by the applicant for a racing greyhound controller licence (this may or may not be the keeper of the greyhound) to the ACT Government.</w:t>
            </w:r>
          </w:p>
        </w:tc>
        <w:tc>
          <w:tcPr>
            <w:tcW w:w="1134" w:type="dxa"/>
            <w:tcBorders>
              <w:top w:val="single" w:sz="4" w:space="0" w:color="auto"/>
              <w:left w:val="nil"/>
              <w:bottom w:val="single" w:sz="4" w:space="0" w:color="auto"/>
              <w:right w:val="nil"/>
            </w:tcBorders>
          </w:tcPr>
          <w:p w:rsidR="0066116A" w:rsidRDefault="0066116A" w:rsidP="00C41012">
            <w:pPr>
              <w:spacing w:before="80" w:after="80"/>
              <w:jc w:val="right"/>
              <w:rPr>
                <w:bCs/>
                <w:iCs/>
                <w:sz w:val="22"/>
                <w:szCs w:val="22"/>
              </w:rPr>
            </w:pPr>
            <w:r>
              <w:rPr>
                <w:bCs/>
                <w:iCs/>
                <w:sz w:val="22"/>
                <w:szCs w:val="22"/>
              </w:rPr>
              <w:t>$640.00</w:t>
            </w:r>
          </w:p>
        </w:tc>
        <w:tc>
          <w:tcPr>
            <w:tcW w:w="993" w:type="dxa"/>
            <w:tcBorders>
              <w:top w:val="single" w:sz="4" w:space="0" w:color="auto"/>
              <w:left w:val="nil"/>
              <w:bottom w:val="single" w:sz="4" w:space="0" w:color="auto"/>
              <w:right w:val="nil"/>
            </w:tcBorders>
          </w:tcPr>
          <w:p w:rsidR="0066116A" w:rsidRPr="0019025D" w:rsidRDefault="0066116A" w:rsidP="00C41012">
            <w:pPr>
              <w:spacing w:before="80" w:after="80"/>
              <w:jc w:val="right"/>
              <w:rPr>
                <w:b/>
                <w:bCs/>
                <w:iCs/>
                <w:sz w:val="22"/>
                <w:szCs w:val="22"/>
              </w:rPr>
            </w:pPr>
            <w:r w:rsidRPr="0019025D">
              <w:rPr>
                <w:b/>
                <w:bCs/>
                <w:iCs/>
                <w:sz w:val="22"/>
                <w:szCs w:val="22"/>
              </w:rPr>
              <w:t>$142.40</w:t>
            </w:r>
          </w:p>
        </w:tc>
        <w:tc>
          <w:tcPr>
            <w:tcW w:w="1134" w:type="dxa"/>
            <w:tcBorders>
              <w:top w:val="single" w:sz="4" w:space="0" w:color="auto"/>
              <w:left w:val="nil"/>
              <w:bottom w:val="single" w:sz="4" w:space="0" w:color="auto"/>
              <w:right w:val="nil"/>
            </w:tcBorders>
          </w:tcPr>
          <w:p w:rsidR="0066116A" w:rsidRPr="0019025D" w:rsidRDefault="0066116A" w:rsidP="00C41012">
            <w:pPr>
              <w:spacing w:before="80" w:after="80"/>
              <w:jc w:val="right"/>
              <w:rPr>
                <w:b/>
                <w:bCs/>
                <w:iCs/>
                <w:sz w:val="22"/>
                <w:szCs w:val="22"/>
              </w:rPr>
            </w:pPr>
            <w:r>
              <w:rPr>
                <w:b/>
                <w:bCs/>
                <w:iCs/>
                <w:sz w:val="22"/>
                <w:szCs w:val="22"/>
              </w:rPr>
              <w:t>-78%</w:t>
            </w:r>
          </w:p>
        </w:tc>
        <w:tc>
          <w:tcPr>
            <w:tcW w:w="1559" w:type="dxa"/>
            <w:tcBorders>
              <w:top w:val="single" w:sz="4" w:space="0" w:color="auto"/>
              <w:left w:val="nil"/>
              <w:bottom w:val="single" w:sz="4" w:space="0" w:color="auto"/>
              <w:right w:val="nil"/>
            </w:tcBorders>
          </w:tcPr>
          <w:p w:rsidR="0066116A" w:rsidRPr="0019025D" w:rsidRDefault="00361096" w:rsidP="00C41012">
            <w:pPr>
              <w:spacing w:before="80" w:after="80"/>
              <w:jc w:val="right"/>
              <w:rPr>
                <w:b/>
                <w:bCs/>
                <w:iCs/>
                <w:sz w:val="22"/>
                <w:szCs w:val="22"/>
              </w:rPr>
            </w:pPr>
            <w:r w:rsidRPr="004A4403">
              <w:rPr>
                <w:bCs/>
                <w:iCs/>
                <w:sz w:val="20"/>
              </w:rPr>
              <w:t>Revised based on operational experience and new arrangements with the NSW GWIC that reduce administrative and inspection costs</w:t>
            </w:r>
            <w:r>
              <w:rPr>
                <w:b/>
                <w:bCs/>
                <w:iCs/>
                <w:sz w:val="22"/>
                <w:szCs w:val="22"/>
              </w:rPr>
              <w:t>.</w:t>
            </w:r>
          </w:p>
        </w:tc>
      </w:tr>
    </w:tbl>
    <w:p w:rsidR="00CF0188" w:rsidRPr="003301A2" w:rsidRDefault="00CF0188" w:rsidP="003301A2">
      <w:pPr>
        <w:rPr>
          <w:sz w:val="16"/>
          <w:szCs w:val="16"/>
        </w:rPr>
      </w:pPr>
    </w:p>
    <w:sectPr w:rsidR="00CF0188" w:rsidRPr="003301A2" w:rsidSect="007346AC">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99A" w:rsidRDefault="003F799A" w:rsidP="00C17FAB">
      <w:r>
        <w:separator/>
      </w:r>
    </w:p>
  </w:endnote>
  <w:endnote w:type="continuationSeparator" w:id="0">
    <w:p w:rsidR="003F799A" w:rsidRDefault="003F799A"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7AE" w:rsidRDefault="00C517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7AE" w:rsidRPr="001779BF" w:rsidRDefault="001779BF" w:rsidP="001779BF">
    <w:pPr>
      <w:pStyle w:val="Footer"/>
      <w:jc w:val="center"/>
      <w:rPr>
        <w:rFonts w:cs="Arial"/>
        <w:sz w:val="14"/>
      </w:rPr>
    </w:pPr>
    <w:r w:rsidRPr="001779BF">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7AE" w:rsidRDefault="00C51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99A" w:rsidRDefault="003F799A" w:rsidP="00C17FAB">
      <w:r>
        <w:separator/>
      </w:r>
    </w:p>
  </w:footnote>
  <w:footnote w:type="continuationSeparator" w:id="0">
    <w:p w:rsidR="003F799A" w:rsidRDefault="003F799A" w:rsidP="00C17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7AE" w:rsidRDefault="00C517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7AE" w:rsidRDefault="00C517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7AE" w:rsidRDefault="00C517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565225"/>
    <w:multiLevelType w:val="hybridMultilevel"/>
    <w:tmpl w:val="2C0415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5872B8"/>
    <w:multiLevelType w:val="hybridMultilevel"/>
    <w:tmpl w:val="8A5459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49C30D31"/>
    <w:multiLevelType w:val="hybridMultilevel"/>
    <w:tmpl w:val="7CB23F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8"/>
  </w:num>
  <w:num w:numId="5">
    <w:abstractNumId w:val="10"/>
  </w:num>
  <w:num w:numId="6">
    <w:abstractNumId w:val="1"/>
  </w:num>
  <w:num w:numId="7">
    <w:abstractNumId w:val="6"/>
  </w:num>
  <w:num w:numId="8">
    <w:abstractNumId w:val="7"/>
  </w:num>
  <w:num w:numId="9">
    <w:abstractNumId w:val="11"/>
  </w:num>
  <w:num w:numId="10">
    <w:abstractNumId w:val="9"/>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60"/>
    <w:rsid w:val="000333BA"/>
    <w:rsid w:val="000A7825"/>
    <w:rsid w:val="001779BF"/>
    <w:rsid w:val="002D7C60"/>
    <w:rsid w:val="002F142E"/>
    <w:rsid w:val="003301A2"/>
    <w:rsid w:val="00361096"/>
    <w:rsid w:val="00366F74"/>
    <w:rsid w:val="00373FBD"/>
    <w:rsid w:val="00384182"/>
    <w:rsid w:val="003F799A"/>
    <w:rsid w:val="0042519A"/>
    <w:rsid w:val="00463D79"/>
    <w:rsid w:val="005B7ACA"/>
    <w:rsid w:val="0066116A"/>
    <w:rsid w:val="00706A2B"/>
    <w:rsid w:val="007346AC"/>
    <w:rsid w:val="00814FD3"/>
    <w:rsid w:val="00822D2D"/>
    <w:rsid w:val="0094708E"/>
    <w:rsid w:val="00950BF5"/>
    <w:rsid w:val="00AD3B84"/>
    <w:rsid w:val="00AE4ABD"/>
    <w:rsid w:val="00B23749"/>
    <w:rsid w:val="00C15DE8"/>
    <w:rsid w:val="00C17FAB"/>
    <w:rsid w:val="00C41012"/>
    <w:rsid w:val="00C517AE"/>
    <w:rsid w:val="00CE599C"/>
    <w:rsid w:val="00CF0188"/>
    <w:rsid w:val="00D36CDB"/>
    <w:rsid w:val="00DA3B00"/>
    <w:rsid w:val="00F16552"/>
    <w:rsid w:val="00F5064E"/>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63433FC-3D81-4C27-A9BE-8050B67D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aliases w:val="Recommendation,lp1,numbered,Paragraphe de liste1,Bulletr List Paragraph,列出段落,列出段落1,List Paragraph2,List Paragraph21,Listeafsnit1,Parágrafo da Lista1,Bullet list,Párrafo de lista1,リスト段落1,List Paragraph11,Foot,FooterText,Bullet List,L"/>
    <w:basedOn w:val="Normal"/>
    <w:link w:val="ListParagraphChar"/>
    <w:uiPriority w:val="34"/>
    <w:qFormat/>
    <w:rsid w:val="00CF0188"/>
    <w:pPr>
      <w:ind w:left="720"/>
      <w:contextualSpacing/>
    </w:pPr>
  </w:style>
  <w:style w:type="character" w:customStyle="1" w:styleId="Calibri12">
    <w:name w:val="Calibri 12"/>
    <w:basedOn w:val="DefaultParagraphFont"/>
    <w:uiPriority w:val="1"/>
    <w:qFormat/>
    <w:rsid w:val="000A7825"/>
    <w:rPr>
      <w:rFonts w:ascii="Calibri" w:hAnsi="Calibri"/>
      <w:sz w:val="24"/>
    </w:rPr>
  </w:style>
  <w:style w:type="character" w:customStyle="1" w:styleId="ListParagraphChar">
    <w:name w:val="List Paragraph Char"/>
    <w:aliases w:val="Recommendation Char,lp1 Char,numbered Char,Paragraphe de liste1 Char,Bulletr List Paragraph Char,列出段落 Char,列出段落1 Char,List Paragraph2 Char,List Paragraph21 Char,Listeafsnit1 Char,Parágrafo da Lista1 Char,Bullet list Char,リスト段落1 Char"/>
    <w:basedOn w:val="DefaultParagraphFont"/>
    <w:link w:val="ListParagraph"/>
    <w:uiPriority w:val="34"/>
    <w:locked/>
    <w:rsid w:val="00366F74"/>
    <w:rPr>
      <w:sz w:val="24"/>
      <w:lang w:eastAsia="en-US"/>
    </w:rPr>
  </w:style>
  <w:style w:type="paragraph" w:customStyle="1" w:styleId="tableheading">
    <w:name w:val="table heading"/>
    <w:basedOn w:val="Normal"/>
    <w:uiPriority w:val="99"/>
    <w:rsid w:val="0066116A"/>
    <w:pPr>
      <w:spacing w:before="80" w:after="80"/>
    </w:pPr>
    <w:rPr>
      <w:rFonts w:ascii="Arial Bold" w:hAnsi="Arial Bold"/>
      <w:b/>
      <w:bCs/>
    </w:rPr>
  </w:style>
  <w:style w:type="paragraph" w:styleId="BalloonText">
    <w:name w:val="Balloon Text"/>
    <w:basedOn w:val="Normal"/>
    <w:link w:val="BalloonTextChar"/>
    <w:uiPriority w:val="99"/>
    <w:semiHidden/>
    <w:unhideWhenUsed/>
    <w:rsid w:val="003610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09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origin="userSelected">
  <element uid="a68a5297-83bb-4ba8-a7cd-4b62d6981a77" value=""/>
</sisl>
</file>

<file path=customXml/itemProps1.xml><?xml version="1.0" encoding="utf-8"?>
<ds:datastoreItem xmlns:ds="http://schemas.openxmlformats.org/officeDocument/2006/customXml" ds:itemID="{28F7308F-3466-46D5-BAE7-57BA922FCAA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5393</Characters>
  <Application>Microsoft Office Word</Application>
  <DocSecurity>0</DocSecurity>
  <Lines>216</Lines>
  <Paragraphs>72</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2</cp:keywords>
  <dc:description/>
  <cp:lastModifiedBy>PCODCS</cp:lastModifiedBy>
  <cp:revision>5</cp:revision>
  <cp:lastPrinted>2006-03-31T04:28:00Z</cp:lastPrinted>
  <dcterms:created xsi:type="dcterms:W3CDTF">2018-12-03T01:25:00Z</dcterms:created>
  <dcterms:modified xsi:type="dcterms:W3CDTF">2018-12-03T01:25:00Z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5c4db846-8872-4fed-9dc7-a76e8e905fdb</vt:lpwstr>
  </property>
  <property fmtid="{D5CDD505-2E9C-101B-9397-08002B2CF9AE}" pid="3" name="bjSaver">
    <vt:lpwstr>xJ9+B7MUe8J2DfE4kqwN1TOXp2jL7JGH</vt:lpwstr>
  </property>
  <property fmtid="{D5CDD505-2E9C-101B-9397-08002B2CF9AE}" pid="4" name="bjDocumentLabelXML">
    <vt:lpwstr>&lt;?xml version="1.0" encoding="us-ascii"?&gt;&lt;sisl xmlns:xsi="http://www.w3.org/2001/XMLSchema-instance" xmlns:xsd="http://www.w3.org/2001/XMLSchema" sislVersion="0" policy="1865c0a7-d648-4a74-80fe-fa9dc7fe13cc" origin="userSelected" xmlns="http://www.boldonj</vt:lpwstr>
  </property>
  <property fmtid="{D5CDD505-2E9C-101B-9397-08002B2CF9AE}" pid="5" name="bjDocumentLabelXML-0">
    <vt:lpwstr>ames.com/2008/01/sie/internal/label"&gt;&lt;element uid="a68a5297-83bb-4ba8-a7cd-4b62d6981a77" value="" /&gt;&lt;/sisl&gt;</vt:lpwstr>
  </property>
  <property fmtid="{D5CDD505-2E9C-101B-9397-08002B2CF9AE}" pid="6" name="bjDocumentSecurityLabel">
    <vt:lpwstr>UNCLASSIFIED - NO MARKING</vt:lpwstr>
  </property>
  <property fmtid="{D5CDD505-2E9C-101B-9397-08002B2CF9AE}" pid="7" name="DMSID">
    <vt:lpwstr>983840</vt:lpwstr>
  </property>
  <property fmtid="{D5CDD505-2E9C-101B-9397-08002B2CF9AE}" pid="8" name="CHECKEDOUTFROMJMS">
    <vt:lpwstr/>
  </property>
  <property fmtid="{D5CDD505-2E9C-101B-9397-08002B2CF9AE}" pid="9" name="JMSREQUIREDCHECKIN">
    <vt:lpwstr/>
  </property>
</Properties>
</file>