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FE" w:rsidRPr="00793899" w:rsidRDefault="00AE49FE" w:rsidP="004026FA">
      <w:pPr>
        <w:pStyle w:val="Subtitle"/>
      </w:pPr>
      <w:r w:rsidRPr="00793899">
        <w:t>Australian Capital Territory</w:t>
      </w:r>
      <w:bookmarkStart w:id="0" w:name="_GoBack"/>
      <w:bookmarkEnd w:id="0"/>
    </w:p>
    <w:p w:rsidR="00AE49FE" w:rsidRDefault="00AE49FE" w:rsidP="004026FA"/>
    <w:p w:rsidR="00AE49FE" w:rsidRDefault="00EF0A2D" w:rsidP="00D73A61">
      <w:pPr>
        <w:pStyle w:val="Heading1"/>
      </w:pPr>
      <w:r>
        <w:t>Government Procurement (</w:t>
      </w:r>
      <w:r w:rsidR="00CE2464">
        <w:t xml:space="preserve">Secure Local </w:t>
      </w:r>
      <w:r w:rsidR="0039073C">
        <w:t xml:space="preserve">Jobs </w:t>
      </w:r>
      <w:r w:rsidR="003F38C4">
        <w:t>Complaints and Noncompliance Investigation</w:t>
      </w:r>
      <w:r w:rsidR="002A6BAB">
        <w:t>)</w:t>
      </w:r>
      <w:r w:rsidR="0039073C">
        <w:t xml:space="preserve"> Guidelines</w:t>
      </w:r>
      <w:r>
        <w:t xml:space="preserve"> </w:t>
      </w:r>
      <w:r w:rsidRPr="003353B1">
        <w:t>2018</w:t>
      </w:r>
    </w:p>
    <w:p w:rsidR="00D73A61" w:rsidRPr="00D73A61" w:rsidRDefault="00D73A61" w:rsidP="00D73A61"/>
    <w:p w:rsidR="00AE49FE" w:rsidRPr="00793899" w:rsidRDefault="00D73A61" w:rsidP="004026FA">
      <w:pPr>
        <w:pStyle w:val="Heading3"/>
      </w:pPr>
      <w:r>
        <w:t>Disallowable instrument DI</w:t>
      </w:r>
      <w:r w:rsidR="00AE49FE" w:rsidRPr="00793899">
        <w:t>2018–</w:t>
      </w:r>
      <w:r w:rsidR="00AC5DDB">
        <w:t>288</w:t>
      </w:r>
    </w:p>
    <w:p w:rsidR="00AE49FE" w:rsidRPr="00793899" w:rsidRDefault="00AE49FE" w:rsidP="004026FA">
      <w:pPr>
        <w:pStyle w:val="Heading3"/>
      </w:pPr>
    </w:p>
    <w:p w:rsidR="00AE49FE" w:rsidRPr="004026FA" w:rsidRDefault="00AE49FE" w:rsidP="004026FA">
      <w:pPr>
        <w:pStyle w:val="NoSpacing"/>
      </w:pPr>
      <w:r w:rsidRPr="004026FA">
        <w:t>made under the</w:t>
      </w:r>
    </w:p>
    <w:p w:rsidR="00AE49FE" w:rsidRDefault="00AE49FE" w:rsidP="004026FA"/>
    <w:p w:rsidR="00045276" w:rsidRPr="004A2C51" w:rsidRDefault="00AE49FE" w:rsidP="004026FA">
      <w:pPr>
        <w:pStyle w:val="Heading4"/>
        <w:rPr>
          <w:i w:val="0"/>
        </w:rPr>
      </w:pPr>
      <w:r w:rsidRPr="00793899">
        <w:t xml:space="preserve">Government Procurement Act 2001, </w:t>
      </w:r>
      <w:r w:rsidR="004A2C51">
        <w:rPr>
          <w:i w:val="0"/>
        </w:rPr>
        <w:t>s22</w:t>
      </w:r>
      <w:r w:rsidR="000909C0">
        <w:rPr>
          <w:i w:val="0"/>
        </w:rPr>
        <w:t>U(1) (</w:t>
      </w:r>
      <w:r w:rsidR="0039073C">
        <w:rPr>
          <w:i w:val="0"/>
        </w:rPr>
        <w:t xml:space="preserve">Secure Local Jobs </w:t>
      </w:r>
      <w:r w:rsidR="003F38C4">
        <w:rPr>
          <w:i w:val="0"/>
        </w:rPr>
        <w:t>Complaints and Noncompliance Investigation</w:t>
      </w:r>
      <w:r w:rsidR="0039073C">
        <w:rPr>
          <w:i w:val="0"/>
        </w:rPr>
        <w:t xml:space="preserve"> Guidelines</w:t>
      </w:r>
      <w:r w:rsidR="004A2C51">
        <w:rPr>
          <w:i w:val="0"/>
        </w:rPr>
        <w:t>)</w:t>
      </w:r>
    </w:p>
    <w:p w:rsidR="00AE49FE" w:rsidRDefault="00AE49FE" w:rsidP="004026FA"/>
    <w:p w:rsidR="00AE49FE" w:rsidRPr="00793899" w:rsidRDefault="00AE49FE" w:rsidP="004026FA">
      <w:pPr>
        <w:pStyle w:val="Title"/>
      </w:pPr>
      <w:r w:rsidRPr="00793899">
        <w:t>EXPLANATORY STATEMENT</w:t>
      </w:r>
    </w:p>
    <w:p w:rsidR="009C0B32" w:rsidRPr="004026FA" w:rsidRDefault="009C0B32" w:rsidP="004026FA">
      <w:pPr>
        <w:pStyle w:val="NoSpacing"/>
      </w:pPr>
    </w:p>
    <w:p w:rsidR="00045B7B" w:rsidRDefault="009C0B32" w:rsidP="00045B7B">
      <w:pPr>
        <w:pStyle w:val="Heading2"/>
      </w:pPr>
      <w:r w:rsidRPr="005D5D5E">
        <w:t>Overview</w:t>
      </w:r>
    </w:p>
    <w:p w:rsidR="003D5246" w:rsidRDefault="003D5246" w:rsidP="004026FA">
      <w:r w:rsidRPr="004026FA">
        <w:t xml:space="preserve">This explanatory statement relates to the </w:t>
      </w:r>
      <w:r w:rsidRPr="00506190">
        <w:rPr>
          <w:i/>
        </w:rPr>
        <w:t>Government Procurement (Secure Local Jobs</w:t>
      </w:r>
      <w:r w:rsidR="0039073C">
        <w:rPr>
          <w:i/>
        </w:rPr>
        <w:t xml:space="preserve"> </w:t>
      </w:r>
      <w:r w:rsidR="003F38C4">
        <w:rPr>
          <w:i/>
        </w:rPr>
        <w:t>Complaints and Noncompliance Investigation</w:t>
      </w:r>
      <w:r w:rsidR="0039073C">
        <w:rPr>
          <w:i/>
        </w:rPr>
        <w:t xml:space="preserve"> Guidelines</w:t>
      </w:r>
      <w:r w:rsidRPr="00506190">
        <w:rPr>
          <w:i/>
        </w:rPr>
        <w:t>) 2018</w:t>
      </w:r>
      <w:r>
        <w:t>.</w:t>
      </w:r>
    </w:p>
    <w:p w:rsidR="003D5246" w:rsidRDefault="003D5246" w:rsidP="004026FA"/>
    <w:p w:rsidR="00647913" w:rsidRDefault="001634BB" w:rsidP="004026FA">
      <w:r w:rsidRPr="005D5D5E">
        <w:t>The</w:t>
      </w:r>
      <w:r w:rsidR="0039073C">
        <w:t xml:space="preserve"> Secure Local Jobs</w:t>
      </w:r>
      <w:r w:rsidRPr="005D5D5E">
        <w:t xml:space="preserve"> </w:t>
      </w:r>
      <w:r w:rsidR="00295A2C">
        <w:t>C</w:t>
      </w:r>
      <w:r w:rsidR="00045B7B">
        <w:t xml:space="preserve">ode </w:t>
      </w:r>
      <w:r w:rsidR="00B5600E">
        <w:t>provides the detailed requirements introduced by the Secure Local Jobs Package (the Package)</w:t>
      </w:r>
      <w:r w:rsidR="00647913">
        <w:t xml:space="preserve">, </w:t>
      </w:r>
      <w:r w:rsidR="00015C9C">
        <w:t>covering workplace standards such as</w:t>
      </w:r>
      <w:r w:rsidR="00647913">
        <w:t xml:space="preserve"> collective bargaining, freedom of association, health and safety, workplace inductions and union workplace representation. </w:t>
      </w:r>
    </w:p>
    <w:p w:rsidR="00647913" w:rsidRDefault="00647913" w:rsidP="004026FA"/>
    <w:p w:rsidR="00B5600E" w:rsidRDefault="00B5600E" w:rsidP="00015C9C">
      <w:r>
        <w:t xml:space="preserve">The requirement to </w:t>
      </w:r>
      <w:r w:rsidR="003D5246">
        <w:t xml:space="preserve">comply with </w:t>
      </w:r>
      <w:r>
        <w:t xml:space="preserve">the </w:t>
      </w:r>
      <w:r w:rsidR="00295A2C">
        <w:t>C</w:t>
      </w:r>
      <w:r>
        <w:t xml:space="preserve">ode is reinforced at multiple levels and applies </w:t>
      </w:r>
      <w:r w:rsidR="003D5246">
        <w:t xml:space="preserve">to an entity </w:t>
      </w:r>
      <w:r w:rsidR="003307E4">
        <w:t xml:space="preserve">who </w:t>
      </w:r>
      <w:r w:rsidR="003D5246">
        <w:t>holds a Secure Local Jobs Code Certificate (Certificate)</w:t>
      </w:r>
      <w:r w:rsidR="00015C9C">
        <w:t>:</w:t>
      </w:r>
    </w:p>
    <w:p w:rsidR="00015C9C" w:rsidRDefault="00015C9C" w:rsidP="00015C9C"/>
    <w:p w:rsidR="005D5D5E" w:rsidRDefault="00CC538C" w:rsidP="00CC538C">
      <w:pPr>
        <w:pStyle w:val="ListParagraph"/>
        <w:numPr>
          <w:ilvl w:val="0"/>
          <w:numId w:val="9"/>
        </w:numPr>
      </w:pPr>
      <w:r>
        <w:t xml:space="preserve">The requirement to hold a </w:t>
      </w:r>
      <w:r w:rsidR="00295A2C">
        <w:t>Certificate</w:t>
      </w:r>
      <w:r>
        <w:t xml:space="preserve"> is </w:t>
      </w:r>
      <w:r w:rsidR="00045B7B">
        <w:t>established</w:t>
      </w:r>
      <w:r w:rsidR="001634BB" w:rsidRPr="005D5D5E">
        <w:t xml:space="preserve"> by </w:t>
      </w:r>
      <w:r w:rsidR="004A2C51">
        <w:rPr>
          <w:i/>
        </w:rPr>
        <w:t xml:space="preserve">the Government Procurement Act 2001 </w:t>
      </w:r>
      <w:r w:rsidR="004A2C51">
        <w:t>(</w:t>
      </w:r>
      <w:r w:rsidR="00811E24">
        <w:t>GPA</w:t>
      </w:r>
      <w:r w:rsidR="004A2C51">
        <w:t>)</w:t>
      </w:r>
      <w:r w:rsidR="00054A01">
        <w:t xml:space="preserve"> (as amended by the </w:t>
      </w:r>
      <w:r w:rsidR="00054A01">
        <w:rPr>
          <w:i/>
        </w:rPr>
        <w:t>Government Procurement (Secure Local Jobs) Amendment Act 2018</w:t>
      </w:r>
      <w:r w:rsidR="00054A01">
        <w:t>)</w:t>
      </w:r>
      <w:r w:rsidR="00AC11A5">
        <w:t>:</w:t>
      </w:r>
    </w:p>
    <w:p w:rsidR="00AC11A5" w:rsidRDefault="00AC11A5" w:rsidP="00AC11A5">
      <w:pPr>
        <w:pStyle w:val="ListParagraph"/>
        <w:numPr>
          <w:ilvl w:val="1"/>
          <w:numId w:val="9"/>
        </w:numPr>
      </w:pPr>
      <w:r>
        <w:t xml:space="preserve">a territory entity cannot accept a response to a procurement for territory-funded work unless a tenderer holds a certificate </w:t>
      </w:r>
    </w:p>
    <w:p w:rsidR="00AC11A5" w:rsidRDefault="00AC11A5" w:rsidP="00AC11A5">
      <w:pPr>
        <w:pStyle w:val="ListParagraph"/>
        <w:numPr>
          <w:ilvl w:val="1"/>
          <w:numId w:val="9"/>
        </w:numPr>
      </w:pPr>
      <w:r>
        <w:t xml:space="preserve">a territory entity cannot enter into a contract for procurement for territory-funded work unless the other entity holds a certificate </w:t>
      </w:r>
    </w:p>
    <w:p w:rsidR="00015C9C" w:rsidRPr="005D5D5E" w:rsidRDefault="00AC11A5" w:rsidP="001859F6">
      <w:pPr>
        <w:pStyle w:val="ListParagraph"/>
        <w:keepNext/>
        <w:numPr>
          <w:ilvl w:val="0"/>
          <w:numId w:val="9"/>
        </w:numPr>
        <w:ind w:left="714" w:hanging="357"/>
      </w:pPr>
      <w:r>
        <w:t xml:space="preserve">Territory-funded work is defined by reference to the kind of services or work, and initially covers </w:t>
      </w:r>
      <w:r w:rsidR="003307E4">
        <w:t xml:space="preserve">specific </w:t>
      </w:r>
      <w:r>
        <w:t>industries. The term will later be broadened to include any contract primarily for labour with an estimated value at or above $200 000</w:t>
      </w:r>
      <w:r w:rsidR="001859F6">
        <w:t>.</w:t>
      </w:r>
    </w:p>
    <w:p w:rsidR="00CC538C" w:rsidRDefault="00CC538C" w:rsidP="00CC538C"/>
    <w:p w:rsidR="0039073C" w:rsidRDefault="003F38C4" w:rsidP="00CC538C">
      <w:r>
        <w:t xml:space="preserve">Anyone who believes on reasonable ground that an entity that holds a </w:t>
      </w:r>
      <w:r w:rsidR="0039073C">
        <w:t>secure local jobs code certificate</w:t>
      </w:r>
      <w:r>
        <w:t xml:space="preserve"> has failed to comply with the Code may make a complaint to the registrar.</w:t>
      </w:r>
    </w:p>
    <w:p w:rsidR="00916236" w:rsidRDefault="00916236" w:rsidP="00CC538C"/>
    <w:p w:rsidR="001634BB" w:rsidRDefault="00737BFE" w:rsidP="004026FA">
      <w:r>
        <w:t xml:space="preserve">The authority to </w:t>
      </w:r>
      <w:r w:rsidR="001634BB" w:rsidRPr="005D5D5E">
        <w:t xml:space="preserve">make </w:t>
      </w:r>
      <w:r w:rsidR="000909C0">
        <w:t xml:space="preserve">the guidelines for </w:t>
      </w:r>
      <w:r w:rsidR="003F38C4">
        <w:t xml:space="preserve">the making and handling of complaints about noncompliance with the Code </w:t>
      </w:r>
      <w:r>
        <w:t>is co</w:t>
      </w:r>
      <w:r w:rsidR="004A2C51">
        <w:t>ntained in section 22</w:t>
      </w:r>
      <w:r w:rsidR="000909C0">
        <w:t>U</w:t>
      </w:r>
      <w:r w:rsidR="004A2C51">
        <w:t xml:space="preserve"> of </w:t>
      </w:r>
      <w:r w:rsidR="00811E24">
        <w:t>the GPA</w:t>
      </w:r>
      <w:r>
        <w:t xml:space="preserve">, which states that – </w:t>
      </w:r>
    </w:p>
    <w:p w:rsidR="000909C0" w:rsidRDefault="00737BFE" w:rsidP="00737BFE">
      <w:pPr>
        <w:pStyle w:val="ListParagraph"/>
        <w:numPr>
          <w:ilvl w:val="0"/>
          <w:numId w:val="8"/>
        </w:numPr>
        <w:rPr>
          <w:i/>
        </w:rPr>
      </w:pPr>
      <w:r>
        <w:rPr>
          <w:i/>
        </w:rPr>
        <w:t xml:space="preserve">The Minister may make </w:t>
      </w:r>
      <w:r w:rsidR="000909C0">
        <w:rPr>
          <w:i/>
        </w:rPr>
        <w:t>guidelines about any of the following:</w:t>
      </w:r>
    </w:p>
    <w:p w:rsidR="000909C0" w:rsidRDefault="003A07ED" w:rsidP="000909C0">
      <w:pPr>
        <w:pStyle w:val="ListParagraph"/>
        <w:numPr>
          <w:ilvl w:val="1"/>
          <w:numId w:val="8"/>
        </w:numPr>
        <w:rPr>
          <w:i/>
        </w:rPr>
      </w:pPr>
      <w:r>
        <w:rPr>
          <w:i/>
        </w:rPr>
        <w:t>m</w:t>
      </w:r>
      <w:r w:rsidR="000909C0">
        <w:rPr>
          <w:i/>
        </w:rPr>
        <w:t>atters relating to audits, including the following:</w:t>
      </w:r>
    </w:p>
    <w:p w:rsidR="000909C0" w:rsidRDefault="003A07ED" w:rsidP="000909C0">
      <w:pPr>
        <w:pStyle w:val="ListParagraph"/>
        <w:numPr>
          <w:ilvl w:val="2"/>
          <w:numId w:val="8"/>
        </w:numPr>
        <w:rPr>
          <w:i/>
        </w:rPr>
      </w:pPr>
      <w:r>
        <w:rPr>
          <w:i/>
        </w:rPr>
        <w:lastRenderedPageBreak/>
        <w:t>a</w:t>
      </w:r>
      <w:r w:rsidR="000909C0">
        <w:rPr>
          <w:i/>
        </w:rPr>
        <w:t>pproval of auditors;</w:t>
      </w:r>
    </w:p>
    <w:p w:rsidR="000909C0" w:rsidRDefault="003A07ED" w:rsidP="000909C0">
      <w:pPr>
        <w:pStyle w:val="ListParagraph"/>
        <w:numPr>
          <w:ilvl w:val="2"/>
          <w:numId w:val="8"/>
        </w:numPr>
        <w:rPr>
          <w:i/>
        </w:rPr>
      </w:pPr>
      <w:r>
        <w:rPr>
          <w:i/>
        </w:rPr>
        <w:t>a</w:t>
      </w:r>
      <w:r w:rsidR="000909C0">
        <w:rPr>
          <w:i/>
        </w:rPr>
        <w:t>ppointment and allocation of auditors</w:t>
      </w:r>
      <w:r>
        <w:rPr>
          <w:i/>
        </w:rPr>
        <w:t>;</w:t>
      </w:r>
    </w:p>
    <w:p w:rsidR="000909C0" w:rsidRDefault="003A07ED" w:rsidP="000909C0">
      <w:pPr>
        <w:pStyle w:val="ListParagraph"/>
        <w:numPr>
          <w:ilvl w:val="2"/>
          <w:numId w:val="8"/>
        </w:numPr>
        <w:rPr>
          <w:i/>
        </w:rPr>
      </w:pPr>
      <w:r>
        <w:rPr>
          <w:i/>
        </w:rPr>
        <w:t>t</w:t>
      </w:r>
      <w:r w:rsidR="000909C0">
        <w:rPr>
          <w:i/>
        </w:rPr>
        <w:t>he conduct of audits</w:t>
      </w:r>
      <w:r>
        <w:rPr>
          <w:i/>
        </w:rPr>
        <w:t>;</w:t>
      </w:r>
    </w:p>
    <w:p w:rsidR="003A07ED" w:rsidRDefault="003A07ED" w:rsidP="000909C0">
      <w:pPr>
        <w:pStyle w:val="ListParagraph"/>
        <w:numPr>
          <w:ilvl w:val="2"/>
          <w:numId w:val="8"/>
        </w:numPr>
        <w:rPr>
          <w:i/>
        </w:rPr>
      </w:pPr>
      <w:r>
        <w:rPr>
          <w:i/>
        </w:rPr>
        <w:t>the content of audit reports;</w:t>
      </w:r>
    </w:p>
    <w:p w:rsidR="00737BFE" w:rsidRDefault="0039073C" w:rsidP="000909C0">
      <w:pPr>
        <w:pStyle w:val="ListParagraph"/>
        <w:numPr>
          <w:ilvl w:val="1"/>
          <w:numId w:val="8"/>
        </w:numPr>
        <w:rPr>
          <w:i/>
        </w:rPr>
      </w:pPr>
      <w:r>
        <w:rPr>
          <w:i/>
        </w:rPr>
        <w:t>the making and handling of complaints about noncompliance with the code.</w:t>
      </w:r>
    </w:p>
    <w:p w:rsidR="00737BFE" w:rsidRDefault="0039073C" w:rsidP="00737BFE">
      <w:pPr>
        <w:ind w:left="720"/>
        <w:rPr>
          <w:i/>
        </w:rPr>
      </w:pPr>
      <w:r>
        <w:rPr>
          <w:i/>
        </w:rPr>
        <w:t>(2</w:t>
      </w:r>
      <w:r w:rsidR="00737BFE">
        <w:rPr>
          <w:i/>
        </w:rPr>
        <w:t xml:space="preserve">) </w:t>
      </w:r>
      <w:r>
        <w:rPr>
          <w:i/>
        </w:rPr>
        <w:t xml:space="preserve">A guideline is </w:t>
      </w:r>
      <w:r w:rsidR="00737BFE">
        <w:rPr>
          <w:i/>
        </w:rPr>
        <w:t xml:space="preserve">a disallowable instrument. </w:t>
      </w:r>
    </w:p>
    <w:p w:rsidR="00CC538C" w:rsidRDefault="00CC538C" w:rsidP="00737BFE">
      <w:pPr>
        <w:ind w:left="720"/>
        <w:rPr>
          <w:i/>
        </w:rPr>
      </w:pPr>
    </w:p>
    <w:p w:rsidR="00CB6BE4" w:rsidRPr="004455FC" w:rsidRDefault="00CB6BE4" w:rsidP="004026FA"/>
    <w:p w:rsidR="001E684C" w:rsidRDefault="001E684C" w:rsidP="001E684C">
      <w:pPr>
        <w:pStyle w:val="Heading2"/>
      </w:pPr>
      <w:r>
        <w:t xml:space="preserve">Regulatory impact statement </w:t>
      </w:r>
    </w:p>
    <w:p w:rsidR="001E684C" w:rsidRDefault="001E684C" w:rsidP="001E684C">
      <w:r>
        <w:t xml:space="preserve">A </w:t>
      </w:r>
      <w:r w:rsidR="003307E4">
        <w:t xml:space="preserve">regulatory impact statement </w:t>
      </w:r>
      <w:r w:rsidR="00295A2C">
        <w:t>has been prepared for the Code</w:t>
      </w:r>
      <w:r>
        <w:t xml:space="preserve"> and is available o</w:t>
      </w:r>
      <w:r w:rsidR="00FC3606">
        <w:t xml:space="preserve">n the ACT Legislation Register. The </w:t>
      </w:r>
      <w:r w:rsidR="003307E4">
        <w:t xml:space="preserve">regulatory impact statement </w:t>
      </w:r>
      <w:r w:rsidR="00FC3606">
        <w:t xml:space="preserve">also addresses two related </w:t>
      </w:r>
      <w:r w:rsidR="003A7B5A">
        <w:t>legislative</w:t>
      </w:r>
      <w:r w:rsidR="00FC3606">
        <w:t xml:space="preserve"> instruments, the </w:t>
      </w:r>
      <w:r w:rsidR="003A7B5A" w:rsidRPr="003A7B5A">
        <w:rPr>
          <w:i/>
        </w:rPr>
        <w:t>Government Procurement (Secure Local Jobs Code) Amendment Regulation 2018</w:t>
      </w:r>
      <w:r w:rsidR="003A7B5A">
        <w:t xml:space="preserve"> </w:t>
      </w:r>
      <w:r w:rsidR="00295A2C">
        <w:t xml:space="preserve">and </w:t>
      </w:r>
      <w:r w:rsidR="00295A2C">
        <w:rPr>
          <w:i/>
        </w:rPr>
        <w:t>Government Procurement (Secure Local Jobs Code Model Contract Terms) Determination 2018</w:t>
      </w:r>
      <w:r w:rsidR="00FC3606">
        <w:t xml:space="preserve">. </w:t>
      </w:r>
    </w:p>
    <w:p w:rsidR="001E684C" w:rsidRPr="001E684C" w:rsidRDefault="00295A2C" w:rsidP="00295A2C">
      <w:pPr>
        <w:tabs>
          <w:tab w:val="left" w:pos="1800"/>
        </w:tabs>
      </w:pPr>
      <w:r>
        <w:tab/>
      </w:r>
    </w:p>
    <w:p w:rsidR="00CB6BE4" w:rsidRPr="001928D1" w:rsidRDefault="00CB6BE4" w:rsidP="004026FA">
      <w:pPr>
        <w:pStyle w:val="Heading2"/>
      </w:pPr>
      <w:r w:rsidRPr="001928D1">
        <w:t>Human rights implications</w:t>
      </w:r>
    </w:p>
    <w:p w:rsidR="00426778" w:rsidRDefault="00054A01" w:rsidP="003B6CE4">
      <w:r>
        <w:t>During the development of this R</w:t>
      </w:r>
      <w:r w:rsidR="00CB6BE4" w:rsidRPr="004455FC">
        <w:t>egulation regard was given to its compatibility</w:t>
      </w:r>
      <w:r w:rsidR="004026FA">
        <w:t xml:space="preserve"> </w:t>
      </w:r>
      <w:r w:rsidR="00CB6BE4" w:rsidRPr="004455FC">
        <w:t xml:space="preserve">with human rights as set out in the </w:t>
      </w:r>
      <w:r w:rsidR="00CB6BE4" w:rsidRPr="004455FC">
        <w:rPr>
          <w:rFonts w:cs="TimesNewRomanPS-ItalicMT"/>
          <w:i/>
          <w:iCs/>
        </w:rPr>
        <w:t xml:space="preserve">Human Rights Act 2004 </w:t>
      </w:r>
      <w:r w:rsidR="00CB6BE4" w:rsidRPr="004455FC">
        <w:t>(HRA).</w:t>
      </w:r>
      <w:r w:rsidR="001E684C">
        <w:t xml:space="preserve"> Human rights implications are discussed in detail in the Regul</w:t>
      </w:r>
      <w:r w:rsidR="00082A6E">
        <w:t>atory Impact Statement for the Code</w:t>
      </w:r>
      <w:r w:rsidR="001E684C">
        <w:t xml:space="preserve">. </w:t>
      </w:r>
    </w:p>
    <w:p w:rsidR="005075B8" w:rsidRDefault="005075B8" w:rsidP="003B6CE4"/>
    <w:p w:rsidR="005075B8" w:rsidRPr="00426778" w:rsidRDefault="005075B8" w:rsidP="003B6CE4"/>
    <w:p w:rsidR="00A1480E" w:rsidRDefault="001928D1" w:rsidP="004026FA">
      <w:r>
        <w:br w:type="page"/>
      </w:r>
    </w:p>
    <w:p w:rsidR="00A1480E" w:rsidRDefault="00A1480E" w:rsidP="004026FA">
      <w:pPr>
        <w:pStyle w:val="Heading2"/>
      </w:pPr>
      <w:r w:rsidRPr="00A1480E">
        <w:lastRenderedPageBreak/>
        <w:t>CLAUSE NOTES</w:t>
      </w:r>
    </w:p>
    <w:p w:rsidR="00484FEA" w:rsidRDefault="00916236" w:rsidP="00031A7F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Introduction</w:t>
      </w:r>
    </w:p>
    <w:p w:rsidR="00031A7F" w:rsidRDefault="00031A7F" w:rsidP="00031A7F">
      <w:pPr>
        <w:pStyle w:val="ListParagraph"/>
        <w:ind w:left="360"/>
        <w:rPr>
          <w:b/>
        </w:rPr>
      </w:pPr>
    </w:p>
    <w:p w:rsidR="00031A7F" w:rsidRPr="00916236" w:rsidRDefault="00031A7F" w:rsidP="00031A7F">
      <w:r>
        <w:t xml:space="preserve">This </w:t>
      </w:r>
      <w:r w:rsidR="008336FA">
        <w:t>clause provides</w:t>
      </w:r>
      <w:r w:rsidR="00353376">
        <w:t xml:space="preserve"> </w:t>
      </w:r>
      <w:r w:rsidR="00916236">
        <w:t xml:space="preserve">an overview of the </w:t>
      </w:r>
      <w:r w:rsidR="00916236" w:rsidRPr="00916236">
        <w:rPr>
          <w:i/>
        </w:rPr>
        <w:t>Government Procurement Act 2001</w:t>
      </w:r>
      <w:r w:rsidR="00916236">
        <w:t xml:space="preserve"> and provisions relating to the Secure Local Jobs Code and outline</w:t>
      </w:r>
      <w:r w:rsidR="007D5ABD">
        <w:t>s</w:t>
      </w:r>
      <w:r w:rsidR="007E054B">
        <w:t xml:space="preserve"> the guidelines information on</w:t>
      </w:r>
      <w:r w:rsidR="00916236">
        <w:t xml:space="preserve"> </w:t>
      </w:r>
      <w:r w:rsidR="003F38C4">
        <w:t xml:space="preserve">processes to be undertaken for </w:t>
      </w:r>
      <w:r w:rsidR="007E054B">
        <w:t xml:space="preserve">complaint </w:t>
      </w:r>
      <w:r w:rsidR="003F38C4">
        <w:t>makin</w:t>
      </w:r>
      <w:r w:rsidR="007E054B">
        <w:t>g, investigation, possible sanctions and review pathways.</w:t>
      </w:r>
    </w:p>
    <w:p w:rsidR="00031A7F" w:rsidRPr="00031A7F" w:rsidRDefault="00031A7F" w:rsidP="00031A7F"/>
    <w:p w:rsidR="00031A7F" w:rsidRPr="00916236" w:rsidRDefault="007E054B" w:rsidP="00031A7F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Making a complaint about noncompliance</w:t>
      </w:r>
    </w:p>
    <w:p w:rsidR="008336FA" w:rsidRDefault="008336FA" w:rsidP="008336FA"/>
    <w:p w:rsidR="008336FA" w:rsidRPr="00031A7F" w:rsidRDefault="008336FA" w:rsidP="008336FA">
      <w:r>
        <w:t xml:space="preserve">This clause </w:t>
      </w:r>
      <w:r w:rsidR="007E054B">
        <w:t>outlines the requirements of the registrar for complaints to be made by claimants in writing with supporting documentation on the notification form specified by the Territory.</w:t>
      </w:r>
    </w:p>
    <w:p w:rsidR="00031A7F" w:rsidRPr="00031A7F" w:rsidRDefault="00031A7F" w:rsidP="00031A7F"/>
    <w:p w:rsidR="00031A7F" w:rsidRPr="00031A7F" w:rsidRDefault="007E054B" w:rsidP="00031A7F">
      <w:pPr>
        <w:pStyle w:val="ListParagraph"/>
        <w:numPr>
          <w:ilvl w:val="0"/>
          <w:numId w:val="11"/>
        </w:numPr>
      </w:pPr>
      <w:r>
        <w:rPr>
          <w:b/>
        </w:rPr>
        <w:t>Receiving an allegation of noncompliance</w:t>
      </w:r>
    </w:p>
    <w:p w:rsidR="00031A7F" w:rsidRDefault="00031A7F" w:rsidP="00031A7F"/>
    <w:p w:rsidR="007E054B" w:rsidRDefault="007E054B" w:rsidP="00484FEA">
      <w:r>
        <w:t>This clause outlines the information requirements of the registrar for complaints, acknowledgement of complaint</w:t>
      </w:r>
      <w:r w:rsidR="005F071C">
        <w:t xml:space="preserve"> receipt within specified timeframes by the registrar’s office, and the determination of course of actions to be undertaken by the registrar in respect of the complaint.</w:t>
      </w:r>
    </w:p>
    <w:p w:rsidR="005F071C" w:rsidRDefault="005F071C" w:rsidP="00484FEA"/>
    <w:p w:rsidR="008A22A0" w:rsidRPr="00031A7F" w:rsidRDefault="005F071C" w:rsidP="008A22A0">
      <w:pPr>
        <w:pStyle w:val="ListParagraph"/>
        <w:numPr>
          <w:ilvl w:val="0"/>
          <w:numId w:val="11"/>
        </w:numPr>
      </w:pPr>
      <w:r>
        <w:rPr>
          <w:b/>
        </w:rPr>
        <w:t>Referral of a Regulatory Authority</w:t>
      </w:r>
    </w:p>
    <w:p w:rsidR="008A22A0" w:rsidRDefault="008A22A0" w:rsidP="00484FEA"/>
    <w:p w:rsidR="008A22A0" w:rsidRDefault="008A22A0" w:rsidP="00484FEA">
      <w:r>
        <w:t xml:space="preserve">This clause outlines the </w:t>
      </w:r>
      <w:r w:rsidR="005F071C">
        <w:t>registrar may refer an allegation of noncompliance to an existing regulatory authority if the alleged breach relates to a legislative requirement. Referral to a regulatory authority does not preclude the registrar from conducting their own investigation or taking action.</w:t>
      </w:r>
    </w:p>
    <w:p w:rsidR="008A22A0" w:rsidRDefault="008A22A0" w:rsidP="00484FEA"/>
    <w:p w:rsidR="008A22A0" w:rsidRPr="00031A7F" w:rsidRDefault="005F071C" w:rsidP="008A22A0">
      <w:pPr>
        <w:pStyle w:val="ListParagraph"/>
        <w:numPr>
          <w:ilvl w:val="0"/>
          <w:numId w:val="11"/>
        </w:numPr>
      </w:pPr>
      <w:r>
        <w:rPr>
          <w:b/>
        </w:rPr>
        <w:t>Audit process</w:t>
      </w:r>
    </w:p>
    <w:p w:rsidR="008A22A0" w:rsidRDefault="008A22A0" w:rsidP="00484FEA"/>
    <w:p w:rsidR="00FF01A6" w:rsidRDefault="005F071C" w:rsidP="005F071C">
      <w:r>
        <w:t xml:space="preserve">This clause outlines the process the registrar may take to appoint an approved auditor to conduct an audit </w:t>
      </w:r>
      <w:r w:rsidR="00FF01A6">
        <w:t xml:space="preserve">a Code Certified Entity’s </w:t>
      </w:r>
      <w:r w:rsidR="00FF01A6" w:rsidRPr="00FF01A6">
        <w:t>compliance with their Code obligations with specific reference to the alleged complaint.</w:t>
      </w:r>
    </w:p>
    <w:p w:rsidR="008A22A0" w:rsidRDefault="008A22A0" w:rsidP="00FF01A6">
      <w:pPr>
        <w:tabs>
          <w:tab w:val="left" w:pos="1920"/>
        </w:tabs>
      </w:pPr>
    </w:p>
    <w:p w:rsidR="008A22A0" w:rsidRPr="00031A7F" w:rsidRDefault="00FF01A6" w:rsidP="008A22A0">
      <w:pPr>
        <w:pStyle w:val="ListParagraph"/>
        <w:numPr>
          <w:ilvl w:val="0"/>
          <w:numId w:val="11"/>
        </w:numPr>
      </w:pPr>
      <w:r>
        <w:rPr>
          <w:b/>
        </w:rPr>
        <w:t>Investigation by the registrar</w:t>
      </w:r>
    </w:p>
    <w:p w:rsidR="00FF01A6" w:rsidRDefault="00FF01A6" w:rsidP="00484FEA"/>
    <w:p w:rsidR="00FF01A6" w:rsidRPr="00FF01A6" w:rsidRDefault="008A22A0" w:rsidP="00484FEA">
      <w:r>
        <w:t xml:space="preserve">This clause </w:t>
      </w:r>
      <w:r w:rsidR="007D5ABD">
        <w:t xml:space="preserve">outlines the </w:t>
      </w:r>
      <w:r w:rsidR="00FF01A6">
        <w:t>how the registrar may initiate investigations by</w:t>
      </w:r>
      <w:r w:rsidR="00FF01A6" w:rsidRPr="00FF01A6">
        <w:t xml:space="preserve"> the Compliance Unit to investigate noncompliance with the Code</w:t>
      </w:r>
      <w:r w:rsidR="00FF01A6">
        <w:t xml:space="preserve"> by</w:t>
      </w:r>
      <w:r w:rsidR="00FF01A6" w:rsidRPr="00FF01A6">
        <w:t xml:space="preserve"> </w:t>
      </w:r>
      <w:r w:rsidR="00FF01A6">
        <w:t>a</w:t>
      </w:r>
      <w:r w:rsidR="00FF01A6" w:rsidRPr="00FF01A6">
        <w:t xml:space="preserve"> Code Certified Entity</w:t>
      </w:r>
      <w:r w:rsidR="00FF01A6">
        <w:t xml:space="preserve"> and the actions available to registrar following the investigation</w:t>
      </w:r>
      <w:r w:rsidR="00FF01A6" w:rsidRPr="00FF01A6">
        <w:t>.</w:t>
      </w:r>
    </w:p>
    <w:p w:rsidR="008A22A0" w:rsidRDefault="008A22A0" w:rsidP="00484FEA"/>
    <w:p w:rsidR="007D5ABD" w:rsidRPr="00031A7F" w:rsidRDefault="00FF01A6" w:rsidP="007D5ABD">
      <w:pPr>
        <w:pStyle w:val="ListParagraph"/>
        <w:numPr>
          <w:ilvl w:val="0"/>
          <w:numId w:val="11"/>
        </w:numPr>
      </w:pPr>
      <w:r>
        <w:rPr>
          <w:b/>
        </w:rPr>
        <w:t>Application of sanctions in response to an adverse ruling</w:t>
      </w:r>
    </w:p>
    <w:p w:rsidR="008A22A0" w:rsidRDefault="008A22A0" w:rsidP="00484FEA"/>
    <w:p w:rsidR="008A22A0" w:rsidRDefault="00FF01A6" w:rsidP="00484FEA">
      <w:r>
        <w:t>This clause outlines the possible imposition of</w:t>
      </w:r>
      <w:r w:rsidRPr="00FF01A6">
        <w:t xml:space="preserve"> sanctions </w:t>
      </w:r>
      <w:r w:rsidR="005514A2">
        <w:t xml:space="preserve">or actions to be taken </w:t>
      </w:r>
      <w:r>
        <w:t xml:space="preserve">by the registrar </w:t>
      </w:r>
      <w:r w:rsidRPr="00FF01A6">
        <w:t>against a Code Certified Entity for noncompliance with the Code or in the event of an adverse ruling against a Code Certified Entity</w:t>
      </w:r>
      <w:r>
        <w:t xml:space="preserve"> </w:t>
      </w:r>
    </w:p>
    <w:p w:rsidR="007D5ABD" w:rsidRDefault="007D5ABD" w:rsidP="00484FEA"/>
    <w:p w:rsidR="00FF01A6" w:rsidRPr="00031A7F" w:rsidRDefault="00FF01A6" w:rsidP="00FF01A6">
      <w:r>
        <w:rPr>
          <w:b/>
        </w:rPr>
        <w:lastRenderedPageBreak/>
        <w:t>Table 1</w:t>
      </w:r>
      <w:r>
        <w:rPr>
          <w:b/>
        </w:rPr>
        <w:tab/>
      </w:r>
      <w:r w:rsidR="005514A2">
        <w:rPr>
          <w:b/>
        </w:rPr>
        <w:t>Classification of noncompliance and possible sanctions</w:t>
      </w:r>
    </w:p>
    <w:p w:rsidR="00FF01A6" w:rsidRDefault="00FF01A6" w:rsidP="00484FEA"/>
    <w:p w:rsidR="00FF01A6" w:rsidRDefault="005514A2" w:rsidP="00484FEA">
      <w:r>
        <w:t>Table 1 provides classifications of noncompliance with the Code and the infringement points associated with the classification, examples of noncompliance with the Code and possible sanctions available to the registrar.</w:t>
      </w:r>
    </w:p>
    <w:p w:rsidR="00FF01A6" w:rsidRDefault="00FF01A6" w:rsidP="00484FEA"/>
    <w:p w:rsidR="007D5ABD" w:rsidRPr="00031A7F" w:rsidRDefault="005514A2" w:rsidP="007D5ABD">
      <w:pPr>
        <w:pStyle w:val="ListParagraph"/>
        <w:numPr>
          <w:ilvl w:val="0"/>
          <w:numId w:val="11"/>
        </w:numPr>
      </w:pPr>
      <w:r>
        <w:rPr>
          <w:b/>
        </w:rPr>
        <w:t>Review process</w:t>
      </w:r>
    </w:p>
    <w:p w:rsidR="007D5ABD" w:rsidRDefault="007D5ABD" w:rsidP="00484FEA"/>
    <w:p w:rsidR="007D5ABD" w:rsidRDefault="007D5ABD" w:rsidP="00484FEA">
      <w:r>
        <w:t xml:space="preserve">This clause </w:t>
      </w:r>
      <w:r w:rsidR="005514A2">
        <w:t>outlines the review process to be followed should the registrar apply sanctions to a Code Certified Entity.</w:t>
      </w:r>
    </w:p>
    <w:sectPr w:rsidR="007D5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C4" w:rsidRDefault="000975C4" w:rsidP="000975C4">
      <w:r>
        <w:separator/>
      </w:r>
    </w:p>
  </w:endnote>
  <w:endnote w:type="continuationSeparator" w:id="0">
    <w:p w:rsidR="000975C4" w:rsidRDefault="000975C4" w:rsidP="0009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C4" w:rsidRDefault="000975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C4" w:rsidRPr="000975C4" w:rsidRDefault="000975C4" w:rsidP="000975C4">
    <w:pPr>
      <w:pStyle w:val="Footer"/>
      <w:jc w:val="center"/>
      <w:rPr>
        <w:rFonts w:ascii="Arial" w:hAnsi="Arial" w:cs="Arial"/>
        <w:sz w:val="14"/>
      </w:rPr>
    </w:pPr>
    <w:r w:rsidRPr="000975C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C4" w:rsidRDefault="00097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C4" w:rsidRDefault="000975C4" w:rsidP="000975C4">
      <w:r>
        <w:separator/>
      </w:r>
    </w:p>
  </w:footnote>
  <w:footnote w:type="continuationSeparator" w:id="0">
    <w:p w:rsidR="000975C4" w:rsidRDefault="000975C4" w:rsidP="00097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C4" w:rsidRDefault="00097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C4" w:rsidRDefault="000975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C4" w:rsidRDefault="00097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355D"/>
    <w:multiLevelType w:val="hybridMultilevel"/>
    <w:tmpl w:val="7AC6842E"/>
    <w:lvl w:ilvl="0" w:tplc="99C82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236E"/>
    <w:multiLevelType w:val="hybridMultilevel"/>
    <w:tmpl w:val="743218E6"/>
    <w:lvl w:ilvl="0" w:tplc="7BF610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8E0"/>
    <w:multiLevelType w:val="hybridMultilevel"/>
    <w:tmpl w:val="98660FDA"/>
    <w:lvl w:ilvl="0" w:tplc="2D72B8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546C"/>
    <w:multiLevelType w:val="hybridMultilevel"/>
    <w:tmpl w:val="097C4702"/>
    <w:lvl w:ilvl="0" w:tplc="9AF070EC">
      <w:start w:val="1"/>
      <w:numFmt w:val="decimal"/>
      <w:pStyle w:val="Heading6"/>
      <w:lvlText w:val="Part %1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025DC"/>
    <w:multiLevelType w:val="hybridMultilevel"/>
    <w:tmpl w:val="AAC012FA"/>
    <w:lvl w:ilvl="0" w:tplc="BFA84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D2DAE"/>
    <w:multiLevelType w:val="hybridMultilevel"/>
    <w:tmpl w:val="A058C820"/>
    <w:lvl w:ilvl="0" w:tplc="4E3EEE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96FBD"/>
    <w:multiLevelType w:val="hybridMultilevel"/>
    <w:tmpl w:val="85E4151A"/>
    <w:lvl w:ilvl="0" w:tplc="6C64AA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B2793"/>
    <w:multiLevelType w:val="hybridMultilevel"/>
    <w:tmpl w:val="98C06BB6"/>
    <w:lvl w:ilvl="0" w:tplc="B8E49996">
      <w:start w:val="1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2985"/>
    <w:multiLevelType w:val="hybridMultilevel"/>
    <w:tmpl w:val="A86A6EA8"/>
    <w:lvl w:ilvl="0" w:tplc="9420065E">
      <w:start w:val="1"/>
      <w:numFmt w:val="decimal"/>
      <w:lvlText w:val="Clause 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C6A2D"/>
    <w:multiLevelType w:val="hybridMultilevel"/>
    <w:tmpl w:val="0EEE375E"/>
    <w:lvl w:ilvl="0" w:tplc="1598B3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279E"/>
    <w:multiLevelType w:val="hybridMultilevel"/>
    <w:tmpl w:val="99CE1B1C"/>
    <w:lvl w:ilvl="0" w:tplc="3006B906">
      <w:start w:val="1"/>
      <w:numFmt w:val="decimal"/>
      <w:pStyle w:val="Heading5"/>
      <w:lvlText w:val="Section 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10"/>
    <w:rsid w:val="00003A69"/>
    <w:rsid w:val="00011EE7"/>
    <w:rsid w:val="00015C9C"/>
    <w:rsid w:val="00016B39"/>
    <w:rsid w:val="00031A7F"/>
    <w:rsid w:val="00032662"/>
    <w:rsid w:val="00045B7B"/>
    <w:rsid w:val="00054A01"/>
    <w:rsid w:val="00055D17"/>
    <w:rsid w:val="00082A6E"/>
    <w:rsid w:val="000909C0"/>
    <w:rsid w:val="00091602"/>
    <w:rsid w:val="000975C4"/>
    <w:rsid w:val="000D03DA"/>
    <w:rsid w:val="000F570B"/>
    <w:rsid w:val="000F7FDA"/>
    <w:rsid w:val="001040E1"/>
    <w:rsid w:val="00104EF8"/>
    <w:rsid w:val="001415D2"/>
    <w:rsid w:val="001634BB"/>
    <w:rsid w:val="0017478B"/>
    <w:rsid w:val="001859F6"/>
    <w:rsid w:val="001928D1"/>
    <w:rsid w:val="001976FA"/>
    <w:rsid w:val="001A62D8"/>
    <w:rsid w:val="001A6702"/>
    <w:rsid w:val="001B16C8"/>
    <w:rsid w:val="001C264E"/>
    <w:rsid w:val="001C6747"/>
    <w:rsid w:val="001E684C"/>
    <w:rsid w:val="00225FB2"/>
    <w:rsid w:val="00234944"/>
    <w:rsid w:val="00236AD1"/>
    <w:rsid w:val="002375B0"/>
    <w:rsid w:val="00241D3B"/>
    <w:rsid w:val="00242C10"/>
    <w:rsid w:val="00242E8A"/>
    <w:rsid w:val="00246A03"/>
    <w:rsid w:val="002541C3"/>
    <w:rsid w:val="00264029"/>
    <w:rsid w:val="00295A2C"/>
    <w:rsid w:val="002A6BAB"/>
    <w:rsid w:val="002B1C2D"/>
    <w:rsid w:val="002B708F"/>
    <w:rsid w:val="002C13EA"/>
    <w:rsid w:val="002C1AE2"/>
    <w:rsid w:val="002C6AC8"/>
    <w:rsid w:val="002E02E9"/>
    <w:rsid w:val="002F4CDB"/>
    <w:rsid w:val="002F5615"/>
    <w:rsid w:val="00302B69"/>
    <w:rsid w:val="003229E2"/>
    <w:rsid w:val="00326D1F"/>
    <w:rsid w:val="003307E4"/>
    <w:rsid w:val="003353B1"/>
    <w:rsid w:val="0034313A"/>
    <w:rsid w:val="00353376"/>
    <w:rsid w:val="00355C43"/>
    <w:rsid w:val="00357780"/>
    <w:rsid w:val="00382346"/>
    <w:rsid w:val="0039073C"/>
    <w:rsid w:val="003A07ED"/>
    <w:rsid w:val="003A7B5A"/>
    <w:rsid w:val="003B387E"/>
    <w:rsid w:val="003B6CE4"/>
    <w:rsid w:val="003D5246"/>
    <w:rsid w:val="003E0011"/>
    <w:rsid w:val="003E46C2"/>
    <w:rsid w:val="003F0259"/>
    <w:rsid w:val="003F38C4"/>
    <w:rsid w:val="00400EDA"/>
    <w:rsid w:val="004026FA"/>
    <w:rsid w:val="00413B64"/>
    <w:rsid w:val="00426778"/>
    <w:rsid w:val="00431241"/>
    <w:rsid w:val="004357ED"/>
    <w:rsid w:val="00435888"/>
    <w:rsid w:val="004455FC"/>
    <w:rsid w:val="00450B62"/>
    <w:rsid w:val="00470162"/>
    <w:rsid w:val="00474995"/>
    <w:rsid w:val="00482CDE"/>
    <w:rsid w:val="00484FEA"/>
    <w:rsid w:val="004A2C51"/>
    <w:rsid w:val="004A401C"/>
    <w:rsid w:val="004A6EE4"/>
    <w:rsid w:val="004B48E5"/>
    <w:rsid w:val="004C1A0E"/>
    <w:rsid w:val="004C77BA"/>
    <w:rsid w:val="004D5849"/>
    <w:rsid w:val="004F3361"/>
    <w:rsid w:val="00506190"/>
    <w:rsid w:val="005075B8"/>
    <w:rsid w:val="0051175B"/>
    <w:rsid w:val="005348E6"/>
    <w:rsid w:val="005514A2"/>
    <w:rsid w:val="00555990"/>
    <w:rsid w:val="005565FC"/>
    <w:rsid w:val="005813F0"/>
    <w:rsid w:val="0058282C"/>
    <w:rsid w:val="00587D96"/>
    <w:rsid w:val="00590096"/>
    <w:rsid w:val="005D5D5E"/>
    <w:rsid w:val="005F071C"/>
    <w:rsid w:val="00612C82"/>
    <w:rsid w:val="0061744C"/>
    <w:rsid w:val="00643ED5"/>
    <w:rsid w:val="00647913"/>
    <w:rsid w:val="00660D74"/>
    <w:rsid w:val="006631F3"/>
    <w:rsid w:val="00663543"/>
    <w:rsid w:val="006A41B4"/>
    <w:rsid w:val="006A7145"/>
    <w:rsid w:val="006B7210"/>
    <w:rsid w:val="006F35E3"/>
    <w:rsid w:val="007220CC"/>
    <w:rsid w:val="0073055F"/>
    <w:rsid w:val="00737BFE"/>
    <w:rsid w:val="00747CC8"/>
    <w:rsid w:val="0077058D"/>
    <w:rsid w:val="00781BF6"/>
    <w:rsid w:val="00793899"/>
    <w:rsid w:val="007A4665"/>
    <w:rsid w:val="007D5ABD"/>
    <w:rsid w:val="007E054B"/>
    <w:rsid w:val="008030A4"/>
    <w:rsid w:val="00806F60"/>
    <w:rsid w:val="00811E24"/>
    <w:rsid w:val="0081627F"/>
    <w:rsid w:val="008336FA"/>
    <w:rsid w:val="008420E5"/>
    <w:rsid w:val="00874CF8"/>
    <w:rsid w:val="00876CF4"/>
    <w:rsid w:val="00886D60"/>
    <w:rsid w:val="008A17DD"/>
    <w:rsid w:val="008A22A0"/>
    <w:rsid w:val="008C22DE"/>
    <w:rsid w:val="00905FC1"/>
    <w:rsid w:val="0090685E"/>
    <w:rsid w:val="00913503"/>
    <w:rsid w:val="00916236"/>
    <w:rsid w:val="00954B70"/>
    <w:rsid w:val="00987EA2"/>
    <w:rsid w:val="009C0B32"/>
    <w:rsid w:val="009D0633"/>
    <w:rsid w:val="009D711D"/>
    <w:rsid w:val="009F22F3"/>
    <w:rsid w:val="00A0461A"/>
    <w:rsid w:val="00A131C2"/>
    <w:rsid w:val="00A1480E"/>
    <w:rsid w:val="00A163A0"/>
    <w:rsid w:val="00A233E1"/>
    <w:rsid w:val="00A43A06"/>
    <w:rsid w:val="00A44293"/>
    <w:rsid w:val="00A60674"/>
    <w:rsid w:val="00A67663"/>
    <w:rsid w:val="00A755A8"/>
    <w:rsid w:val="00A93577"/>
    <w:rsid w:val="00AA5110"/>
    <w:rsid w:val="00AA6FEF"/>
    <w:rsid w:val="00AC11A5"/>
    <w:rsid w:val="00AC5DDB"/>
    <w:rsid w:val="00AD36BB"/>
    <w:rsid w:val="00AD5EC5"/>
    <w:rsid w:val="00AE34EA"/>
    <w:rsid w:val="00AE49FE"/>
    <w:rsid w:val="00AF511C"/>
    <w:rsid w:val="00B27B17"/>
    <w:rsid w:val="00B5600E"/>
    <w:rsid w:val="00B56D5A"/>
    <w:rsid w:val="00B5765A"/>
    <w:rsid w:val="00B822D0"/>
    <w:rsid w:val="00B97957"/>
    <w:rsid w:val="00BA2142"/>
    <w:rsid w:val="00BA4D60"/>
    <w:rsid w:val="00BA5B1F"/>
    <w:rsid w:val="00BB142D"/>
    <w:rsid w:val="00BC0788"/>
    <w:rsid w:val="00BC48BF"/>
    <w:rsid w:val="00BF52C7"/>
    <w:rsid w:val="00BF7BA3"/>
    <w:rsid w:val="00C14E1A"/>
    <w:rsid w:val="00C379D6"/>
    <w:rsid w:val="00C46FAE"/>
    <w:rsid w:val="00CA14D9"/>
    <w:rsid w:val="00CB6BE4"/>
    <w:rsid w:val="00CC538C"/>
    <w:rsid w:val="00CC7A12"/>
    <w:rsid w:val="00CE2464"/>
    <w:rsid w:val="00CF0AF0"/>
    <w:rsid w:val="00D40219"/>
    <w:rsid w:val="00D559BB"/>
    <w:rsid w:val="00D62A05"/>
    <w:rsid w:val="00D73747"/>
    <w:rsid w:val="00D73A61"/>
    <w:rsid w:val="00D81714"/>
    <w:rsid w:val="00DB6F37"/>
    <w:rsid w:val="00DB7401"/>
    <w:rsid w:val="00DC41AA"/>
    <w:rsid w:val="00DF592E"/>
    <w:rsid w:val="00E00327"/>
    <w:rsid w:val="00E106D5"/>
    <w:rsid w:val="00E22F15"/>
    <w:rsid w:val="00E54F57"/>
    <w:rsid w:val="00E67A55"/>
    <w:rsid w:val="00E76928"/>
    <w:rsid w:val="00EB5599"/>
    <w:rsid w:val="00ED4B77"/>
    <w:rsid w:val="00EE2DB4"/>
    <w:rsid w:val="00EF0A2D"/>
    <w:rsid w:val="00EF3699"/>
    <w:rsid w:val="00F0521C"/>
    <w:rsid w:val="00F1165F"/>
    <w:rsid w:val="00F270C0"/>
    <w:rsid w:val="00F42E4D"/>
    <w:rsid w:val="00F55DCB"/>
    <w:rsid w:val="00F720CF"/>
    <w:rsid w:val="00F765FF"/>
    <w:rsid w:val="00FA5422"/>
    <w:rsid w:val="00FA7960"/>
    <w:rsid w:val="00FC2C52"/>
    <w:rsid w:val="00FC3606"/>
    <w:rsid w:val="00FE0C3C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45E9-414A-4599-B5D7-25A232B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FA"/>
    <w:pPr>
      <w:autoSpaceDE w:val="0"/>
      <w:autoSpaceDN w:val="0"/>
      <w:adjustRightInd w:val="0"/>
      <w:spacing w:after="0" w:line="240" w:lineRule="auto"/>
    </w:pPr>
    <w:rPr>
      <w:rFonts w:ascii="Calibri" w:hAnsi="Calibri" w:cs="TimesNewRomanPS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899"/>
    <w:pPr>
      <w:outlineLvl w:val="0"/>
    </w:pPr>
    <w:rPr>
      <w:rFonts w:ascii="Arial-BoldMT" w:hAnsi="Arial-BoldMT" w:cs="Arial-BoldMT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D1F"/>
    <w:pPr>
      <w:spacing w:after="240"/>
      <w:outlineLvl w:val="1"/>
    </w:pPr>
    <w:rPr>
      <w:rFonts w:cs="TimesNewRomanPS-BoldM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899"/>
    <w:pPr>
      <w:outlineLvl w:val="2"/>
    </w:pPr>
    <w:rPr>
      <w:rFonts w:ascii="Arial-BoldMT" w:hAnsi="Arial-BoldMT" w:cs="Arial-BoldMT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3899"/>
    <w:pPr>
      <w:outlineLvl w:val="3"/>
    </w:pPr>
    <w:rPr>
      <w:rFonts w:ascii="Arial-BoldItalicMT" w:hAnsi="Arial-BoldItalicMT" w:cs="Arial-BoldItalicMT"/>
      <w:b/>
      <w:bCs/>
      <w:i/>
      <w:iCs/>
      <w:sz w:val="20"/>
      <w:szCs w:val="20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4F3361"/>
    <w:pPr>
      <w:numPr>
        <w:numId w:val="7"/>
      </w:numPr>
      <w:spacing w:after="240"/>
      <w:outlineLvl w:val="4"/>
    </w:pPr>
    <w:rPr>
      <w:b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A93577"/>
    <w:pPr>
      <w:numPr>
        <w:numId w:val="10"/>
      </w:numPr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6D1F"/>
    <w:rPr>
      <w:rFonts w:ascii="Calibri" w:hAnsi="Calibri" w:cs="TimesNewRomanPS-BoldMT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899"/>
    <w:rPr>
      <w:rFonts w:ascii="ArialMT" w:hAnsi="ArialMT" w:cs="ArialMT"/>
    </w:rPr>
  </w:style>
  <w:style w:type="character" w:customStyle="1" w:styleId="SubtitleChar">
    <w:name w:val="Subtitle Char"/>
    <w:basedOn w:val="DefaultParagraphFont"/>
    <w:link w:val="Subtitle"/>
    <w:uiPriority w:val="11"/>
    <w:rsid w:val="00793899"/>
    <w:rPr>
      <w:rFonts w:ascii="ArialMT" w:hAnsi="ArialMT" w:cs="ArialM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3899"/>
    <w:rPr>
      <w:rFonts w:ascii="Arial-BoldMT" w:hAnsi="Arial-BoldMT" w:cs="Arial-BoldMT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93899"/>
    <w:rPr>
      <w:rFonts w:ascii="Arial-BoldMT" w:hAnsi="Arial-BoldMT" w:cs="Arial-BoldMT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93899"/>
    <w:pPr>
      <w:pBdr>
        <w:bottom w:val="single" w:sz="6" w:space="1" w:color="auto"/>
      </w:pBdr>
    </w:pPr>
    <w:rPr>
      <w:rFonts w:ascii="Arial-BoldMT" w:hAnsi="Arial-BoldMT" w:cs="Arial-BoldMT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93899"/>
    <w:rPr>
      <w:rFonts w:ascii="Arial-BoldMT" w:hAnsi="Arial-BoldMT" w:cs="Arial-BoldMT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3899"/>
    <w:rPr>
      <w:rFonts w:ascii="Arial-BoldItalicMT" w:hAnsi="Arial-BoldItalicMT" w:cs="Arial-BoldItalicMT"/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4026FA"/>
  </w:style>
  <w:style w:type="character" w:customStyle="1" w:styleId="Heading5Char">
    <w:name w:val="Heading 5 Char"/>
    <w:basedOn w:val="DefaultParagraphFont"/>
    <w:link w:val="Heading5"/>
    <w:uiPriority w:val="9"/>
    <w:rsid w:val="004F3361"/>
    <w:rPr>
      <w:rFonts w:ascii="Calibri" w:hAnsi="Calibri" w:cs="TimesNewRomanPSMT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93577"/>
    <w:rPr>
      <w:rFonts w:ascii="Calibri" w:hAnsi="Calibri" w:cs="TimesNewRomanPSMT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5C4"/>
    <w:rPr>
      <w:rFonts w:ascii="Calibri" w:hAnsi="Calibri" w:cs="TimesNewRomanPSM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5C4"/>
    <w:rPr>
      <w:rFonts w:ascii="Calibri" w:hAnsi="Calibri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3E07-4DEC-4C9D-96E4-48F2056E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6CC2D76F.dotm</Template>
  <TotalTime>1</TotalTime>
  <Pages>4</Pages>
  <Words>799</Words>
  <Characters>4592</Characters>
  <Application>Microsoft Office Word</Application>
  <DocSecurity>0</DocSecurity>
  <Lines>124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  </cp:lastModifiedBy>
  <cp:revision>6</cp:revision>
  <dcterms:created xsi:type="dcterms:W3CDTF">2018-11-30T00:18:00Z</dcterms:created>
  <dcterms:modified xsi:type="dcterms:W3CDTF">2018-11-30T01:09:00Z</dcterms:modified>
</cp:coreProperties>
</file>