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49" w:rsidRDefault="00A33749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33749" w:rsidRDefault="00A33749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:rsidR="00A33749" w:rsidRDefault="000A03AA">
      <w:pPr>
        <w:pStyle w:val="Billname"/>
        <w:spacing w:before="700"/>
      </w:pPr>
      <w:r>
        <w:t xml:space="preserve">Race and Sports Bookmaking </w:t>
      </w:r>
      <w:r w:rsidR="00A33749">
        <w:t xml:space="preserve">(Sports Bookmaking </w:t>
      </w:r>
      <w:r w:rsidR="00892B82">
        <w:t>Venues) Determination 20</w:t>
      </w:r>
      <w:r w:rsidR="000B188D">
        <w:t>1</w:t>
      </w:r>
      <w:r w:rsidR="007B4C7E">
        <w:t>8</w:t>
      </w:r>
      <w:r w:rsidR="00C83B29">
        <w:br/>
      </w:r>
      <w:r w:rsidR="00892B82">
        <w:t>(No</w:t>
      </w:r>
      <w:r w:rsidR="005F2D27">
        <w:t xml:space="preserve"> </w:t>
      </w:r>
      <w:r w:rsidR="00175FB5">
        <w:t>4</w:t>
      </w:r>
      <w:r w:rsidR="00A33749">
        <w:t xml:space="preserve">) </w:t>
      </w:r>
    </w:p>
    <w:p w:rsidR="00A33749" w:rsidRDefault="00A33749">
      <w:pPr>
        <w:spacing w:before="240" w:after="60"/>
        <w:rPr>
          <w:rFonts w:ascii="Arial" w:hAnsi="Arial" w:cs="Arial"/>
          <w:b/>
          <w:bCs/>
        </w:rPr>
      </w:pPr>
      <w:bookmarkStart w:id="1" w:name="Citation"/>
      <w:r>
        <w:rPr>
          <w:rFonts w:ascii="Arial" w:hAnsi="Arial" w:cs="Arial"/>
          <w:b/>
          <w:bCs/>
        </w:rPr>
        <w:t>Disallowable Instrument DI2</w:t>
      </w:r>
      <w:r w:rsidR="004B53C2">
        <w:rPr>
          <w:rFonts w:ascii="Arial" w:hAnsi="Arial" w:cs="Arial"/>
          <w:b/>
          <w:bCs/>
        </w:rPr>
        <w:t>0</w:t>
      </w:r>
      <w:r w:rsidR="000B188D">
        <w:rPr>
          <w:rFonts w:ascii="Arial" w:hAnsi="Arial" w:cs="Arial"/>
          <w:b/>
          <w:bCs/>
        </w:rPr>
        <w:t>1</w:t>
      </w:r>
      <w:r w:rsidR="007B4C7E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—</w:t>
      </w:r>
      <w:r w:rsidR="00C91A97">
        <w:rPr>
          <w:rFonts w:ascii="Arial" w:hAnsi="Arial" w:cs="Arial"/>
          <w:b/>
          <w:bCs/>
        </w:rPr>
        <w:t>302</w:t>
      </w:r>
    </w:p>
    <w:p w:rsidR="00632600" w:rsidRDefault="00632600">
      <w:pPr>
        <w:spacing w:before="240" w:after="60"/>
        <w:rPr>
          <w:rFonts w:ascii="Arial" w:hAnsi="Arial" w:cs="Arial"/>
          <w:b/>
          <w:bCs/>
          <w:vertAlign w:val="superscript"/>
        </w:rPr>
      </w:pPr>
    </w:p>
    <w:bookmarkEnd w:id="1"/>
    <w:p w:rsidR="00A33749" w:rsidRDefault="00A33749">
      <w:pPr>
        <w:pStyle w:val="N-line3"/>
        <w:pBdr>
          <w:bottom w:val="none" w:sz="0" w:space="0" w:color="auto"/>
        </w:pBdr>
      </w:pPr>
    </w:p>
    <w:p w:rsidR="00A33749" w:rsidRPr="00C83B29" w:rsidRDefault="00A33749">
      <w:pPr>
        <w:pStyle w:val="BillBasic"/>
        <w:rPr>
          <w:rFonts w:ascii="Arial" w:hAnsi="Arial" w:cs="Arial"/>
          <w:b/>
          <w:bCs/>
          <w:sz w:val="26"/>
          <w:szCs w:val="26"/>
        </w:rPr>
      </w:pPr>
      <w:r w:rsidRPr="00C83B29">
        <w:rPr>
          <w:rFonts w:ascii="Arial" w:hAnsi="Arial" w:cs="Arial"/>
          <w:b/>
          <w:bCs/>
          <w:sz w:val="26"/>
          <w:szCs w:val="26"/>
        </w:rPr>
        <w:t>EXPLANATORY STATEMENT</w:t>
      </w:r>
    </w:p>
    <w:p w:rsidR="00A33749" w:rsidRDefault="00A33749">
      <w:pPr>
        <w:pStyle w:val="N-line3"/>
        <w:pBdr>
          <w:top w:val="single" w:sz="12" w:space="1" w:color="auto"/>
          <w:bottom w:val="none" w:sz="0" w:space="0" w:color="auto"/>
        </w:pBdr>
      </w:pPr>
    </w:p>
    <w:p w:rsidR="00A33749" w:rsidRPr="00C83B29" w:rsidRDefault="00A33749">
      <w:pPr>
        <w:rPr>
          <w:rFonts w:ascii="Arial" w:hAnsi="Arial" w:cs="Arial"/>
        </w:rPr>
      </w:pPr>
      <w:r w:rsidRPr="00C83B29">
        <w:rPr>
          <w:rFonts w:ascii="Arial" w:hAnsi="Arial" w:cs="Arial"/>
        </w:rPr>
        <w:t xml:space="preserve">The </w:t>
      </w:r>
      <w:r w:rsidRPr="00C83B29">
        <w:rPr>
          <w:rFonts w:ascii="Arial" w:hAnsi="Arial" w:cs="Arial"/>
          <w:i/>
          <w:iCs/>
        </w:rPr>
        <w:t>Race and Sports Bookmaking Act 2001</w:t>
      </w:r>
      <w:r w:rsidRPr="00C83B29">
        <w:rPr>
          <w:rFonts w:ascii="Arial" w:hAnsi="Arial" w:cs="Arial"/>
        </w:rPr>
        <w:t xml:space="preserve"> (the Act) regulates the activities of sports bookmakers in the </w:t>
      </w:r>
      <w:smartTag w:uri="urn:schemas-microsoft-com:office:smarttags" w:element="place">
        <w:smartTag w:uri="urn:schemas-microsoft-com:office:smarttags" w:element="State">
          <w:r w:rsidRPr="00C83B29">
            <w:rPr>
              <w:rFonts w:ascii="Arial" w:hAnsi="Arial" w:cs="Arial"/>
            </w:rPr>
            <w:t>Australian Capital Territory</w:t>
          </w:r>
        </w:smartTag>
      </w:smartTag>
      <w:r w:rsidRPr="00C83B29">
        <w:rPr>
          <w:rFonts w:ascii="Arial" w:hAnsi="Arial" w:cs="Arial"/>
        </w:rPr>
        <w:t>.</w:t>
      </w:r>
    </w:p>
    <w:p w:rsidR="00A33749" w:rsidRPr="00C83B29" w:rsidRDefault="00A33749">
      <w:pPr>
        <w:rPr>
          <w:rFonts w:ascii="Arial" w:hAnsi="Arial" w:cs="Arial"/>
        </w:rPr>
      </w:pPr>
    </w:p>
    <w:p w:rsidR="00A33749" w:rsidRPr="00C83B29" w:rsidRDefault="00A3374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/>
          <w:bCs/>
        </w:rPr>
      </w:pPr>
      <w:r w:rsidRPr="00C83B29">
        <w:rPr>
          <w:rFonts w:ascii="Arial" w:hAnsi="Arial" w:cs="Arial"/>
          <w:b/>
          <w:bCs/>
        </w:rPr>
        <w:t>Part 3 of the Act provides for the conduct and control of sports bookmaking.  Section 21(1) of the Act provides that the Commission may determine a place to be a sports bookmaking venue for the purpose of the Act.</w:t>
      </w:r>
    </w:p>
    <w:p w:rsidR="00A33749" w:rsidRPr="00C83B29" w:rsidRDefault="00A33749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p w:rsidR="00F95B6E" w:rsidRPr="00C83B29" w:rsidRDefault="00F95B6E" w:rsidP="00F95B6E">
      <w:pPr>
        <w:rPr>
          <w:rFonts w:ascii="Arial" w:hAnsi="Arial" w:cs="Arial"/>
        </w:rPr>
      </w:pPr>
      <w:r w:rsidRPr="00C83B29">
        <w:rPr>
          <w:rFonts w:ascii="Arial" w:hAnsi="Arial" w:cs="Arial"/>
        </w:rPr>
        <w:t xml:space="preserve">The instrument determines </w:t>
      </w:r>
      <w:r w:rsidR="00D00C84">
        <w:rPr>
          <w:rFonts w:ascii="Arial" w:hAnsi="Arial" w:cs="Arial"/>
        </w:rPr>
        <w:t>a</w:t>
      </w:r>
      <w:r w:rsidR="00A13660">
        <w:rPr>
          <w:rFonts w:ascii="Arial" w:hAnsi="Arial" w:cs="Arial"/>
        </w:rPr>
        <w:t xml:space="preserve"> </w:t>
      </w:r>
      <w:r w:rsidR="0099038C" w:rsidRPr="00C83B29">
        <w:rPr>
          <w:rFonts w:ascii="Arial" w:hAnsi="Arial" w:cs="Arial"/>
        </w:rPr>
        <w:t>Tabcorp ACT Pty Ltd</w:t>
      </w:r>
      <w:r w:rsidRPr="00C83B29">
        <w:rPr>
          <w:rFonts w:ascii="Arial" w:hAnsi="Arial" w:cs="Arial"/>
        </w:rPr>
        <w:t xml:space="preserve"> </w:t>
      </w:r>
      <w:r w:rsidR="00A13660">
        <w:rPr>
          <w:rFonts w:ascii="Arial" w:hAnsi="Arial" w:cs="Arial"/>
        </w:rPr>
        <w:t>temporary location</w:t>
      </w:r>
      <w:r w:rsidRPr="00C83B29">
        <w:rPr>
          <w:rFonts w:ascii="Arial" w:hAnsi="Arial" w:cs="Arial"/>
        </w:rPr>
        <w:t xml:space="preserve"> as </w:t>
      </w:r>
      <w:r w:rsidR="00D00C84">
        <w:rPr>
          <w:rFonts w:ascii="Arial" w:hAnsi="Arial" w:cs="Arial"/>
        </w:rPr>
        <w:t>a sports bookmaking venue</w:t>
      </w:r>
      <w:r w:rsidRPr="00C83B29">
        <w:rPr>
          <w:rFonts w:ascii="Arial" w:hAnsi="Arial" w:cs="Arial"/>
        </w:rPr>
        <w:t xml:space="preserve"> by approving </w:t>
      </w:r>
      <w:r w:rsidR="00D00C84">
        <w:rPr>
          <w:rFonts w:ascii="Arial" w:hAnsi="Arial" w:cs="Arial"/>
        </w:rPr>
        <w:t>the area</w:t>
      </w:r>
      <w:r w:rsidRPr="00C83B29">
        <w:rPr>
          <w:rFonts w:ascii="Arial" w:hAnsi="Arial" w:cs="Arial"/>
        </w:rPr>
        <w:t xml:space="preserve"> within a one-</w:t>
      </w:r>
      <w:r w:rsidR="00073E56" w:rsidRPr="00C83B29">
        <w:rPr>
          <w:rFonts w:ascii="Arial" w:hAnsi="Arial" w:cs="Arial"/>
        </w:rPr>
        <w:t>meter</w:t>
      </w:r>
      <w:r w:rsidRPr="00C83B29">
        <w:rPr>
          <w:rFonts w:ascii="Arial" w:hAnsi="Arial" w:cs="Arial"/>
        </w:rPr>
        <w:t xml:space="preserve"> radius of any selling terminal owned and operated by </w:t>
      </w:r>
      <w:r w:rsidR="0099038C" w:rsidRPr="00C83B29">
        <w:rPr>
          <w:rFonts w:ascii="Arial" w:hAnsi="Arial" w:cs="Arial"/>
        </w:rPr>
        <w:t>Tabcorp ACT Pty Ltd</w:t>
      </w:r>
      <w:r w:rsidR="00D00C84">
        <w:rPr>
          <w:rFonts w:ascii="Arial" w:hAnsi="Arial" w:cs="Arial"/>
        </w:rPr>
        <w:t>.  The terminal location is</w:t>
      </w:r>
      <w:r w:rsidR="00A13660">
        <w:rPr>
          <w:rFonts w:ascii="Arial" w:hAnsi="Arial" w:cs="Arial"/>
        </w:rPr>
        <w:t xml:space="preserve"> identified by the ‘</w:t>
      </w:r>
      <w:r w:rsidR="005E2B52">
        <w:rPr>
          <w:rFonts w:ascii="Arial" w:hAnsi="Arial" w:cs="Arial"/>
        </w:rPr>
        <w:t>TAB</w:t>
      </w:r>
      <w:r w:rsidR="00A13660">
        <w:rPr>
          <w:rFonts w:ascii="Arial" w:hAnsi="Arial" w:cs="Arial"/>
        </w:rPr>
        <w:t>’</w:t>
      </w:r>
      <w:r w:rsidR="0099038C" w:rsidRPr="00C83B29">
        <w:rPr>
          <w:rFonts w:ascii="Arial" w:hAnsi="Arial" w:cs="Arial"/>
        </w:rPr>
        <w:t xml:space="preserve"> </w:t>
      </w:r>
      <w:r w:rsidR="00A13660">
        <w:rPr>
          <w:rFonts w:ascii="Arial" w:hAnsi="Arial" w:cs="Arial"/>
        </w:rPr>
        <w:t xml:space="preserve">insignia </w:t>
      </w:r>
      <w:r w:rsidRPr="00C83B29">
        <w:rPr>
          <w:rFonts w:ascii="Arial" w:hAnsi="Arial" w:cs="Arial"/>
        </w:rPr>
        <w:t>sp</w:t>
      </w:r>
      <w:r w:rsidR="00AD5969" w:rsidRPr="00C83B29">
        <w:rPr>
          <w:rFonts w:ascii="Arial" w:hAnsi="Arial" w:cs="Arial"/>
        </w:rPr>
        <w:t xml:space="preserve">ecified in the Schedule to this </w:t>
      </w:r>
      <w:r w:rsidRPr="00C83B29">
        <w:rPr>
          <w:rFonts w:ascii="Arial" w:hAnsi="Arial" w:cs="Arial"/>
        </w:rPr>
        <w:t xml:space="preserve">instrument.  </w:t>
      </w:r>
    </w:p>
    <w:p w:rsidR="00F95B6E" w:rsidRPr="00C83B29" w:rsidRDefault="00F95B6E" w:rsidP="00F95B6E">
      <w:pPr>
        <w:rPr>
          <w:rFonts w:ascii="Arial" w:hAnsi="Arial" w:cs="Arial"/>
        </w:rPr>
      </w:pPr>
    </w:p>
    <w:p w:rsidR="00F95B6E" w:rsidRPr="00C83B29" w:rsidRDefault="00F95B6E" w:rsidP="00F95B6E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  <w:r w:rsidRPr="00C83B29">
        <w:rPr>
          <w:rFonts w:ascii="Arial" w:hAnsi="Arial" w:cs="Arial"/>
        </w:rPr>
        <w:t xml:space="preserve">A selling terminal is defined as </w:t>
      </w:r>
      <w:r w:rsidRPr="00C83B29">
        <w:rPr>
          <w:rFonts w:ascii="Arial" w:hAnsi="Arial" w:cs="Arial"/>
          <w:bCs/>
        </w:rPr>
        <w:t xml:space="preserve">any Commission approved selling device owned and operated by </w:t>
      </w:r>
      <w:r w:rsidR="0099038C" w:rsidRPr="00C83B29">
        <w:rPr>
          <w:rFonts w:ascii="Arial" w:hAnsi="Arial" w:cs="Arial"/>
        </w:rPr>
        <w:t>Tabcorp ACT Pty Ltd</w:t>
      </w:r>
      <w:r w:rsidRPr="00C83B29">
        <w:rPr>
          <w:rFonts w:ascii="Arial" w:hAnsi="Arial" w:cs="Arial"/>
          <w:bCs/>
        </w:rPr>
        <w:t xml:space="preserve">, the purpose of which is to provide retail sales of </w:t>
      </w:r>
      <w:r w:rsidR="0099038C" w:rsidRPr="00C83B29">
        <w:rPr>
          <w:rFonts w:ascii="Arial" w:hAnsi="Arial" w:cs="Arial"/>
        </w:rPr>
        <w:t>Tabcorp ACT Pty Ltd</w:t>
      </w:r>
      <w:r w:rsidRPr="00C83B29">
        <w:rPr>
          <w:rFonts w:ascii="Arial" w:hAnsi="Arial" w:cs="Arial"/>
          <w:bCs/>
        </w:rPr>
        <w:t xml:space="preserve"> products</w:t>
      </w:r>
      <w:r w:rsidR="00670CB3" w:rsidRPr="00C83B29">
        <w:rPr>
          <w:rFonts w:ascii="Arial" w:hAnsi="Arial" w:cs="Arial"/>
          <w:bCs/>
        </w:rPr>
        <w:t>.</w:t>
      </w:r>
    </w:p>
    <w:p w:rsidR="00F95B6E" w:rsidRPr="00C83B29" w:rsidRDefault="00F95B6E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p w:rsidR="00193D95" w:rsidRDefault="0099038C" w:rsidP="0099038C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bCs/>
        </w:rPr>
      </w:pPr>
      <w:r w:rsidRPr="00C83B29">
        <w:rPr>
          <w:rFonts w:ascii="Arial" w:hAnsi="Arial" w:cs="Arial"/>
          <w:bCs/>
        </w:rPr>
        <w:t xml:space="preserve">The determination has been </w:t>
      </w:r>
      <w:r w:rsidR="00193D95">
        <w:rPr>
          <w:rFonts w:ascii="Arial" w:hAnsi="Arial" w:cs="Arial"/>
          <w:bCs/>
        </w:rPr>
        <w:t xml:space="preserve">provided as a result of Tabcorp ACT Pty Ltd requesting </w:t>
      </w:r>
      <w:r w:rsidR="00175FB5" w:rsidRPr="00175FB5">
        <w:rPr>
          <w:rFonts w:ascii="Arial" w:hAnsi="Arial" w:cs="Arial"/>
          <w:bCs/>
        </w:rPr>
        <w:t>to temporarily locate one (1) TAB mobile van at the Manuka Oval, Griffith during the Sydney</w:t>
      </w:r>
      <w:r w:rsidR="008066C4">
        <w:rPr>
          <w:rFonts w:ascii="Arial" w:hAnsi="Arial" w:cs="Arial"/>
          <w:bCs/>
        </w:rPr>
        <w:t xml:space="preserve"> Thunder Big Bash League match</w:t>
      </w:r>
      <w:r w:rsidR="00175FB5" w:rsidRPr="00175FB5">
        <w:rPr>
          <w:rFonts w:ascii="Arial" w:hAnsi="Arial" w:cs="Arial"/>
          <w:bCs/>
        </w:rPr>
        <w:t xml:space="preserve"> on 21 December 2018.</w:t>
      </w:r>
    </w:p>
    <w:p w:rsidR="00193D95" w:rsidRDefault="00193D95" w:rsidP="0099038C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bCs/>
        </w:rPr>
      </w:pPr>
    </w:p>
    <w:p w:rsidR="00193D95" w:rsidRPr="00C83B29" w:rsidRDefault="00193D95" w:rsidP="0099038C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determination </w:t>
      </w:r>
      <w:r w:rsidR="00A13660">
        <w:rPr>
          <w:rFonts w:ascii="Arial" w:hAnsi="Arial" w:cs="Arial"/>
          <w:bCs/>
        </w:rPr>
        <w:t xml:space="preserve">provides approvals for sports bookmaking operations </w:t>
      </w:r>
      <w:r w:rsidR="00EF35A7">
        <w:rPr>
          <w:rFonts w:ascii="Arial" w:hAnsi="Arial" w:cs="Arial"/>
          <w:bCs/>
        </w:rPr>
        <w:t>at</w:t>
      </w:r>
      <w:r w:rsidR="00D00C84">
        <w:rPr>
          <w:rFonts w:ascii="Arial" w:hAnsi="Arial" w:cs="Arial"/>
          <w:bCs/>
        </w:rPr>
        <w:t xml:space="preserve"> this venue</w:t>
      </w:r>
      <w:r w:rsidR="00A13660">
        <w:rPr>
          <w:rFonts w:ascii="Arial" w:hAnsi="Arial" w:cs="Arial"/>
          <w:bCs/>
        </w:rPr>
        <w:t xml:space="preserve"> only for the period</w:t>
      </w:r>
      <w:r w:rsidR="00073E56">
        <w:rPr>
          <w:rFonts w:ascii="Arial" w:hAnsi="Arial" w:cs="Arial"/>
          <w:bCs/>
        </w:rPr>
        <w:t xml:space="preserve"> 12</w:t>
      </w:r>
      <w:r>
        <w:rPr>
          <w:rFonts w:ascii="Arial" w:hAnsi="Arial" w:cs="Arial"/>
          <w:bCs/>
        </w:rPr>
        <w:t>:0</w:t>
      </w:r>
      <w:r w:rsidR="008079D4">
        <w:rPr>
          <w:rFonts w:ascii="Arial" w:hAnsi="Arial" w:cs="Arial"/>
          <w:bCs/>
        </w:rPr>
        <w:t>0</w:t>
      </w:r>
      <w:r w:rsidR="00CD6A44">
        <w:rPr>
          <w:rFonts w:ascii="Arial" w:hAnsi="Arial" w:cs="Arial"/>
          <w:bCs/>
        </w:rPr>
        <w:t xml:space="preserve"> am (midnight) 21</w:t>
      </w:r>
      <w:r w:rsidR="00073E56">
        <w:rPr>
          <w:rFonts w:ascii="Arial" w:hAnsi="Arial" w:cs="Arial"/>
          <w:bCs/>
        </w:rPr>
        <w:t xml:space="preserve"> </w:t>
      </w:r>
      <w:r w:rsidR="00175FB5">
        <w:rPr>
          <w:rFonts w:ascii="Arial" w:hAnsi="Arial" w:cs="Arial"/>
          <w:bCs/>
        </w:rPr>
        <w:t>Dec</w:t>
      </w:r>
      <w:r w:rsidR="00073E56">
        <w:rPr>
          <w:rFonts w:ascii="Arial" w:hAnsi="Arial" w:cs="Arial"/>
          <w:bCs/>
        </w:rPr>
        <w:t>ember 2018</w:t>
      </w:r>
      <w:r w:rsidR="00FB13AC">
        <w:rPr>
          <w:rFonts w:ascii="Arial" w:hAnsi="Arial" w:cs="Arial"/>
          <w:bCs/>
        </w:rPr>
        <w:t xml:space="preserve"> to </w:t>
      </w:r>
      <w:r w:rsidR="00CD6A44">
        <w:rPr>
          <w:rFonts w:ascii="Arial" w:hAnsi="Arial" w:cs="Arial"/>
          <w:bCs/>
        </w:rPr>
        <w:t>11:59 p</w:t>
      </w:r>
      <w:r w:rsidR="00775795">
        <w:rPr>
          <w:rFonts w:ascii="Arial" w:hAnsi="Arial" w:cs="Arial"/>
          <w:bCs/>
        </w:rPr>
        <w:t xml:space="preserve">m </w:t>
      </w:r>
      <w:r>
        <w:rPr>
          <w:rFonts w:ascii="Arial" w:hAnsi="Arial" w:cs="Arial"/>
          <w:bCs/>
        </w:rPr>
        <w:t xml:space="preserve">on </w:t>
      </w:r>
      <w:r w:rsidR="00175FB5">
        <w:rPr>
          <w:rFonts w:ascii="Arial" w:hAnsi="Arial" w:cs="Arial"/>
          <w:bCs/>
        </w:rPr>
        <w:t>21</w:t>
      </w:r>
      <w:r w:rsidR="00D64BF6">
        <w:rPr>
          <w:rFonts w:ascii="Arial" w:hAnsi="Arial" w:cs="Arial"/>
          <w:bCs/>
        </w:rPr>
        <w:t xml:space="preserve"> </w:t>
      </w:r>
      <w:r w:rsidR="00175FB5">
        <w:rPr>
          <w:rFonts w:ascii="Arial" w:hAnsi="Arial" w:cs="Arial"/>
          <w:bCs/>
        </w:rPr>
        <w:t>Dec</w:t>
      </w:r>
      <w:r w:rsidR="00D64BF6">
        <w:rPr>
          <w:rFonts w:ascii="Arial" w:hAnsi="Arial" w:cs="Arial"/>
          <w:bCs/>
        </w:rPr>
        <w:t>ember 201</w:t>
      </w:r>
      <w:r w:rsidR="007B4C7E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</w:t>
      </w:r>
    </w:p>
    <w:p w:rsidR="001A1A38" w:rsidRPr="00C83B29" w:rsidRDefault="001A1A38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p w:rsidR="00E63F07" w:rsidRPr="00C83B29" w:rsidRDefault="00E63F07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  <w:r w:rsidRPr="00C83B29">
        <w:rPr>
          <w:rFonts w:ascii="Arial" w:hAnsi="Arial" w:cs="Arial"/>
          <w:lang w:val="en-US"/>
        </w:rPr>
        <w:t xml:space="preserve">The </w:t>
      </w:r>
      <w:r w:rsidR="00D00C84">
        <w:rPr>
          <w:rFonts w:ascii="Arial" w:hAnsi="Arial" w:cs="Arial"/>
          <w:lang w:val="en-US"/>
        </w:rPr>
        <w:t>temporary venue</w:t>
      </w:r>
      <w:r w:rsidRPr="00C83B29">
        <w:rPr>
          <w:rFonts w:ascii="Arial" w:hAnsi="Arial" w:cs="Arial"/>
          <w:lang w:val="en-US"/>
        </w:rPr>
        <w:t xml:space="preserve"> identified in the</w:t>
      </w:r>
      <w:r w:rsidR="00D00C84">
        <w:rPr>
          <w:rFonts w:ascii="Arial" w:hAnsi="Arial" w:cs="Arial"/>
          <w:lang w:val="en-US"/>
        </w:rPr>
        <w:t xml:space="preserve"> Schedule to this instrument is</w:t>
      </w:r>
      <w:r w:rsidRPr="00C83B29">
        <w:rPr>
          <w:rFonts w:ascii="Arial" w:hAnsi="Arial" w:cs="Arial"/>
          <w:lang w:val="en-US"/>
        </w:rPr>
        <w:t xml:space="preserve"> additional to the determined venues approved </w:t>
      </w:r>
      <w:r w:rsidR="00BC75B0" w:rsidRPr="00C83B29">
        <w:rPr>
          <w:rFonts w:ascii="Arial" w:hAnsi="Arial" w:cs="Arial"/>
          <w:lang w:val="en-US"/>
        </w:rPr>
        <w:t xml:space="preserve">under separate instruments </w:t>
      </w:r>
      <w:r w:rsidRPr="00C83B29">
        <w:rPr>
          <w:rFonts w:ascii="Arial" w:hAnsi="Arial" w:cs="Arial"/>
          <w:lang w:val="en-US"/>
        </w:rPr>
        <w:t>for use by</w:t>
      </w:r>
      <w:r w:rsidR="00C83B29">
        <w:rPr>
          <w:rFonts w:ascii="Arial" w:hAnsi="Arial" w:cs="Arial"/>
          <w:lang w:val="en-US"/>
        </w:rPr>
        <w:br/>
      </w:r>
      <w:r w:rsidR="0099038C" w:rsidRPr="00C83B29">
        <w:rPr>
          <w:rFonts w:ascii="Arial" w:hAnsi="Arial" w:cs="Arial"/>
        </w:rPr>
        <w:t>Tabcorp ACT Pty Ltd</w:t>
      </w:r>
      <w:r w:rsidRPr="00C83B29">
        <w:rPr>
          <w:rFonts w:ascii="Arial" w:hAnsi="Arial" w:cs="Arial"/>
          <w:lang w:val="en-US"/>
        </w:rPr>
        <w:t xml:space="preserve"> as part of its retail network of agencies</w:t>
      </w:r>
      <w:r w:rsidR="00193D95">
        <w:rPr>
          <w:rFonts w:ascii="Arial" w:hAnsi="Arial" w:cs="Arial"/>
          <w:lang w:val="en-US"/>
        </w:rPr>
        <w:t xml:space="preserve"> and sub-agencies</w:t>
      </w:r>
      <w:r w:rsidRPr="00C83B29">
        <w:rPr>
          <w:rFonts w:ascii="Arial" w:hAnsi="Arial" w:cs="Arial"/>
          <w:lang w:val="en-US"/>
        </w:rPr>
        <w:t xml:space="preserve">, </w:t>
      </w:r>
      <w:r w:rsidR="00D600C1" w:rsidRPr="00C83B29">
        <w:rPr>
          <w:rFonts w:ascii="Arial" w:hAnsi="Arial" w:cs="Arial"/>
          <w:lang w:val="en-US"/>
        </w:rPr>
        <w:t xml:space="preserve">its Account Betting Call Centre, </w:t>
      </w:r>
      <w:r w:rsidRPr="00C83B29">
        <w:rPr>
          <w:rFonts w:ascii="Arial" w:hAnsi="Arial" w:cs="Arial"/>
          <w:lang w:val="en-US"/>
        </w:rPr>
        <w:t>identified venues at both C</w:t>
      </w:r>
      <w:r w:rsidR="00D600C1" w:rsidRPr="00C83B29">
        <w:rPr>
          <w:rFonts w:ascii="Arial" w:hAnsi="Arial" w:cs="Arial"/>
          <w:lang w:val="en-US"/>
        </w:rPr>
        <w:t>anberra Stadium and Manuka Oval</w:t>
      </w:r>
      <w:r w:rsidRPr="00C83B29">
        <w:rPr>
          <w:rFonts w:ascii="Arial" w:hAnsi="Arial" w:cs="Arial"/>
          <w:lang w:val="en-US"/>
        </w:rPr>
        <w:t xml:space="preserve"> together with on</w:t>
      </w:r>
      <w:r w:rsidR="00D64BF6">
        <w:rPr>
          <w:rFonts w:ascii="Arial" w:hAnsi="Arial" w:cs="Arial"/>
          <w:lang w:val="en-US"/>
        </w:rPr>
        <w:t xml:space="preserve"> </w:t>
      </w:r>
      <w:r w:rsidRPr="00C83B29">
        <w:rPr>
          <w:rFonts w:ascii="Arial" w:hAnsi="Arial" w:cs="Arial"/>
          <w:lang w:val="en-US"/>
        </w:rPr>
        <w:t>course venues located at the three ACT Racing Clubs.</w:t>
      </w:r>
    </w:p>
    <w:p w:rsidR="00E63F07" w:rsidRPr="00C83B29" w:rsidRDefault="00E63F07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sectPr w:rsidR="00E63F07" w:rsidRPr="00C83B29" w:rsidSect="00877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7" w:bottom="993" w:left="1560" w:header="284" w:footer="509" w:gutter="0"/>
      <w:paperSrc w:first="259" w:other="259"/>
      <w:pgNumType w:fmt="lowerRoman"/>
      <w:cols w:space="720"/>
      <w:titlePg/>
      <w:rtlGutter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F1" w:rsidRDefault="007514F1">
      <w:r>
        <w:separator/>
      </w:r>
    </w:p>
  </w:endnote>
  <w:endnote w:type="continuationSeparator" w:id="0">
    <w:p w:rsidR="007514F1" w:rsidRDefault="0075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00" w:rsidRDefault="00632600">
    <w:pPr>
      <w:pStyle w:val="Status"/>
      <w:rPr>
        <w:sz w:val="16"/>
        <w:szCs w:val="16"/>
      </w:rPr>
    </w:pPr>
  </w:p>
  <w:p w:rsidR="00632600" w:rsidRPr="00151F69" w:rsidRDefault="00632600" w:rsidP="00151F69">
    <w:pPr>
      <w:pStyle w:val="Footer"/>
      <w:jc w:val="center"/>
      <w:rPr>
        <w:sz w:val="14"/>
      </w:rPr>
    </w:pPr>
    <w:r w:rsidRPr="00151F69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00" w:rsidRDefault="00632600">
    <w:pPr>
      <w:pStyle w:val="Footer"/>
    </w:pPr>
  </w:p>
  <w:p w:rsidR="00632600" w:rsidRDefault="00632600">
    <w:pPr>
      <w:pStyle w:val="Status"/>
      <w:rPr>
        <w:sz w:val="16"/>
        <w:szCs w:val="16"/>
      </w:rPr>
    </w:pPr>
    <w:r>
      <w:fldChar w:fldCharType="begin"/>
    </w:r>
    <w:r>
      <w:instrText xml:space="preserve"> DOCPROPERTY "Status" </w:instrText>
    </w:r>
    <w:r>
      <w:fldChar w:fldCharType="separate"/>
    </w:r>
    <w:r>
      <w:t>Unauthorised version prepared by ACT Parliamentary Counsel's Office</w:t>
    </w:r>
    <w:r>
      <w:fldChar w:fldCharType="end"/>
    </w:r>
  </w:p>
  <w:p w:rsidR="00632600" w:rsidRPr="00151F69" w:rsidRDefault="00632600" w:rsidP="00151F69">
    <w:pPr>
      <w:pStyle w:val="Footer"/>
      <w:jc w:val="center"/>
      <w:rPr>
        <w:sz w:val="14"/>
      </w:rPr>
    </w:pPr>
    <w:r w:rsidRPr="00151F69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00" w:rsidRDefault="00632600">
    <w:pPr>
      <w:pStyle w:val="Status"/>
      <w:rPr>
        <w:sz w:val="16"/>
        <w:szCs w:val="16"/>
      </w:rPr>
    </w:pPr>
  </w:p>
  <w:p w:rsidR="00632600" w:rsidRPr="004C462A" w:rsidRDefault="004C462A" w:rsidP="004C462A">
    <w:pPr>
      <w:pStyle w:val="Footer"/>
      <w:jc w:val="center"/>
      <w:rPr>
        <w:rFonts w:ascii="Arial" w:hAnsi="Arial" w:cs="Arial"/>
        <w:sz w:val="14"/>
      </w:rPr>
    </w:pPr>
    <w:r w:rsidRPr="004C462A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F1" w:rsidRDefault="007514F1">
      <w:r>
        <w:separator/>
      </w:r>
    </w:p>
  </w:footnote>
  <w:footnote w:type="continuationSeparator" w:id="0">
    <w:p w:rsidR="007514F1" w:rsidRDefault="00751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2A" w:rsidRDefault="004C46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2A" w:rsidRDefault="004C46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2A" w:rsidRDefault="004C46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ascii="Times New Roman" w:hAnsi="Times New Roman" w:cs="Times New Roman"/>
      </w:rPr>
    </w:lvl>
    <w:lvl w:ilvl="2">
      <w:start w:val="1"/>
      <w:numFmt w:val="lowerLetter"/>
      <w:suff w:val="nothing"/>
      <w:lvlText w:val="(%3)"/>
      <w:lvlJc w:val="left"/>
      <w:rPr>
        <w:rFonts w:ascii="Times New Roman" w:hAnsi="Times New Roman" w:cs="Times New Roman"/>
      </w:rPr>
    </w:lvl>
    <w:lvl w:ilvl="3">
      <w:start w:val="1"/>
      <w:numFmt w:val="lowerRoman"/>
      <w:suff w:val="nothing"/>
      <w:lvlText w:val="(%4)"/>
      <w:lvlJc w:val="left"/>
      <w:rPr>
        <w:rFonts w:ascii="Times New Roman" w:hAnsi="Times New Roman"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suff w:val="nothing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suff w:val="nothing"/>
      <w:lvlText w:val="%2.%3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2.%3.%4"/>
      <w:lvlJc w:val="left"/>
      <w:rPr>
        <w:rFonts w:ascii="Times New Roman" w:hAnsi="Times New Roman"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suff w:val="nothing"/>
      <w:lvlText w:val="(%6)"/>
      <w:lvlJc w:val="left"/>
      <w:rPr>
        <w:rFonts w:ascii="Times New Roman" w:hAnsi="Times New Roman" w:cs="Times New Roman"/>
      </w:rPr>
    </w:lvl>
    <w:lvl w:ilvl="6">
      <w:start w:val="1"/>
      <w:numFmt w:val="lowerLetter"/>
      <w:suff w:val="nothing"/>
      <w:lvlText w:val="(%7)"/>
      <w:lvlJc w:val="left"/>
      <w:rPr>
        <w:rFonts w:ascii="Times New Roman" w:hAnsi="Times New Roman" w:cs="Times New Roman"/>
      </w:rPr>
    </w:lvl>
    <w:lvl w:ilvl="7">
      <w:start w:val="1"/>
      <w:numFmt w:val="lowerRoman"/>
      <w:suff w:val="nothing"/>
      <w:lvlText w:val="(%8)"/>
      <w:lvlJc w:val="left"/>
      <w:rPr>
        <w:rFonts w:ascii="Times New Roman" w:hAnsi="Times New Roman" w:cs="Times New Roman"/>
      </w:rPr>
    </w:lvl>
    <w:lvl w:ilvl="8">
      <w:start w:val="1"/>
      <w:numFmt w:val="upperLetter"/>
      <w:suff w:val="nothing"/>
      <w:lvlText w:val="(%9)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ascii="Times New Roman" w:hAnsi="Times New Roman"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ascii="Times New Roman" w:hAnsi="Times New Roman"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ascii="Times New Roman" w:hAnsi="Times New Roman"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ascii="Times New Roman" w:hAnsi="Times New Roman"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ascii="Times New Roman" w:hAnsi="Times New Roman"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11" w15:restartNumberingAfterBreak="0">
    <w:nsid w:val="43FC501B"/>
    <w:multiLevelType w:val="hybridMultilevel"/>
    <w:tmpl w:val="DEC00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3" w15:restartNumberingAfterBreak="0">
    <w:nsid w:val="5B2C7811"/>
    <w:multiLevelType w:val="hybridMultilevel"/>
    <w:tmpl w:val="E00841E0"/>
    <w:lvl w:ilvl="0" w:tplc="306CED1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5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13"/>
  </w:num>
  <w:num w:numId="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187"/>
  <w:drawingGridVerticalSpacing w:val="127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EB7"/>
    <w:rsid w:val="00012F44"/>
    <w:rsid w:val="00014998"/>
    <w:rsid w:val="00016504"/>
    <w:rsid w:val="0001764F"/>
    <w:rsid w:val="000407DB"/>
    <w:rsid w:val="00051739"/>
    <w:rsid w:val="00061B49"/>
    <w:rsid w:val="00073E56"/>
    <w:rsid w:val="00074682"/>
    <w:rsid w:val="00094D00"/>
    <w:rsid w:val="000A03AA"/>
    <w:rsid w:val="000B188D"/>
    <w:rsid w:val="000B3D65"/>
    <w:rsid w:val="000F1194"/>
    <w:rsid w:val="00113D09"/>
    <w:rsid w:val="00131155"/>
    <w:rsid w:val="0013783A"/>
    <w:rsid w:val="00151F69"/>
    <w:rsid w:val="0015214D"/>
    <w:rsid w:val="00175FB5"/>
    <w:rsid w:val="00183CEF"/>
    <w:rsid w:val="00193D95"/>
    <w:rsid w:val="001A1A38"/>
    <w:rsid w:val="001B5CC4"/>
    <w:rsid w:val="001C0CDE"/>
    <w:rsid w:val="001C1530"/>
    <w:rsid w:val="001C50A3"/>
    <w:rsid w:val="001C710D"/>
    <w:rsid w:val="001D5D55"/>
    <w:rsid w:val="001D5DEA"/>
    <w:rsid w:val="001D6708"/>
    <w:rsid w:val="001F2131"/>
    <w:rsid w:val="00200417"/>
    <w:rsid w:val="00211573"/>
    <w:rsid w:val="002447F2"/>
    <w:rsid w:val="002539DF"/>
    <w:rsid w:val="002644D3"/>
    <w:rsid w:val="0028796E"/>
    <w:rsid w:val="002930F1"/>
    <w:rsid w:val="002E741E"/>
    <w:rsid w:val="00302417"/>
    <w:rsid w:val="00303989"/>
    <w:rsid w:val="003141BD"/>
    <w:rsid w:val="003C04D0"/>
    <w:rsid w:val="003C22FA"/>
    <w:rsid w:val="003E2DC8"/>
    <w:rsid w:val="003E686E"/>
    <w:rsid w:val="003F6B2D"/>
    <w:rsid w:val="0040234A"/>
    <w:rsid w:val="00403194"/>
    <w:rsid w:val="00451CB5"/>
    <w:rsid w:val="00490C49"/>
    <w:rsid w:val="004B53C2"/>
    <w:rsid w:val="004C462A"/>
    <w:rsid w:val="00501F5F"/>
    <w:rsid w:val="005171D3"/>
    <w:rsid w:val="0053061C"/>
    <w:rsid w:val="005618AF"/>
    <w:rsid w:val="00566EFD"/>
    <w:rsid w:val="005711C8"/>
    <w:rsid w:val="00597AF9"/>
    <w:rsid w:val="005A1EB4"/>
    <w:rsid w:val="005C49A0"/>
    <w:rsid w:val="005D34BF"/>
    <w:rsid w:val="005E22F4"/>
    <w:rsid w:val="005E2B52"/>
    <w:rsid w:val="005F2D27"/>
    <w:rsid w:val="005F3E8C"/>
    <w:rsid w:val="00632600"/>
    <w:rsid w:val="00670CB3"/>
    <w:rsid w:val="00671929"/>
    <w:rsid w:val="006722B7"/>
    <w:rsid w:val="0068416D"/>
    <w:rsid w:val="00684B35"/>
    <w:rsid w:val="0069700E"/>
    <w:rsid w:val="006D3276"/>
    <w:rsid w:val="00725D4D"/>
    <w:rsid w:val="007334C5"/>
    <w:rsid w:val="00742607"/>
    <w:rsid w:val="007514F1"/>
    <w:rsid w:val="00753F9A"/>
    <w:rsid w:val="00771BAB"/>
    <w:rsid w:val="00775795"/>
    <w:rsid w:val="007B33D1"/>
    <w:rsid w:val="007B4C7E"/>
    <w:rsid w:val="007F10AA"/>
    <w:rsid w:val="008066C4"/>
    <w:rsid w:val="008079D4"/>
    <w:rsid w:val="00810D82"/>
    <w:rsid w:val="00820F82"/>
    <w:rsid w:val="00834026"/>
    <w:rsid w:val="00843019"/>
    <w:rsid w:val="00856355"/>
    <w:rsid w:val="008773ED"/>
    <w:rsid w:val="00881AF4"/>
    <w:rsid w:val="00892B82"/>
    <w:rsid w:val="008A295D"/>
    <w:rsid w:val="008A32D5"/>
    <w:rsid w:val="008E2DBC"/>
    <w:rsid w:val="008F457D"/>
    <w:rsid w:val="009006DC"/>
    <w:rsid w:val="009323C2"/>
    <w:rsid w:val="00971F4F"/>
    <w:rsid w:val="009764EF"/>
    <w:rsid w:val="00976A7D"/>
    <w:rsid w:val="009866CE"/>
    <w:rsid w:val="0099038C"/>
    <w:rsid w:val="009B5F55"/>
    <w:rsid w:val="00A02C2F"/>
    <w:rsid w:val="00A13660"/>
    <w:rsid w:val="00A33749"/>
    <w:rsid w:val="00A408C5"/>
    <w:rsid w:val="00A638B4"/>
    <w:rsid w:val="00A924DD"/>
    <w:rsid w:val="00AA113C"/>
    <w:rsid w:val="00AC0D45"/>
    <w:rsid w:val="00AC4EE6"/>
    <w:rsid w:val="00AD5969"/>
    <w:rsid w:val="00AE41B2"/>
    <w:rsid w:val="00AF13AE"/>
    <w:rsid w:val="00AF4952"/>
    <w:rsid w:val="00AF6645"/>
    <w:rsid w:val="00B00C09"/>
    <w:rsid w:val="00B125F9"/>
    <w:rsid w:val="00B13646"/>
    <w:rsid w:val="00B14DF1"/>
    <w:rsid w:val="00B247EF"/>
    <w:rsid w:val="00B556BD"/>
    <w:rsid w:val="00B70CAF"/>
    <w:rsid w:val="00BA64C5"/>
    <w:rsid w:val="00BB626D"/>
    <w:rsid w:val="00BC75B0"/>
    <w:rsid w:val="00BE239D"/>
    <w:rsid w:val="00BF62A4"/>
    <w:rsid w:val="00BF6473"/>
    <w:rsid w:val="00C01F49"/>
    <w:rsid w:val="00C03E27"/>
    <w:rsid w:val="00C266B4"/>
    <w:rsid w:val="00C83B29"/>
    <w:rsid w:val="00C91A97"/>
    <w:rsid w:val="00CB2C5E"/>
    <w:rsid w:val="00CC4B70"/>
    <w:rsid w:val="00CC7794"/>
    <w:rsid w:val="00CD6A44"/>
    <w:rsid w:val="00CE4A13"/>
    <w:rsid w:val="00CE5941"/>
    <w:rsid w:val="00D00C84"/>
    <w:rsid w:val="00D136B1"/>
    <w:rsid w:val="00D36A97"/>
    <w:rsid w:val="00D600C1"/>
    <w:rsid w:val="00D64BF6"/>
    <w:rsid w:val="00D72727"/>
    <w:rsid w:val="00D75A0F"/>
    <w:rsid w:val="00D85789"/>
    <w:rsid w:val="00D87E5B"/>
    <w:rsid w:val="00D95287"/>
    <w:rsid w:val="00DA3177"/>
    <w:rsid w:val="00DA41F4"/>
    <w:rsid w:val="00DB576F"/>
    <w:rsid w:val="00DD5FB3"/>
    <w:rsid w:val="00DF2460"/>
    <w:rsid w:val="00E55711"/>
    <w:rsid w:val="00E634E5"/>
    <w:rsid w:val="00E63F07"/>
    <w:rsid w:val="00EA0F42"/>
    <w:rsid w:val="00EB260C"/>
    <w:rsid w:val="00ED0355"/>
    <w:rsid w:val="00EE0B94"/>
    <w:rsid w:val="00EF35A7"/>
    <w:rsid w:val="00EF78AC"/>
    <w:rsid w:val="00F13993"/>
    <w:rsid w:val="00F20004"/>
    <w:rsid w:val="00F2317D"/>
    <w:rsid w:val="00F52BFC"/>
    <w:rsid w:val="00F57EB7"/>
    <w:rsid w:val="00F6263A"/>
    <w:rsid w:val="00F63DBC"/>
    <w:rsid w:val="00F74F6C"/>
    <w:rsid w:val="00F82D8A"/>
    <w:rsid w:val="00F84FA7"/>
    <w:rsid w:val="00F93E27"/>
    <w:rsid w:val="00F95B6E"/>
    <w:rsid w:val="00FB13AC"/>
    <w:rsid w:val="00FC7A3D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2DA2C14-9CF3-4C2D-8974-5448B8AC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2880"/>
      </w:tabs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spacing w:before="120" w:after="60" w:line="240" w:lineRule="exact"/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uiPriority w:val="99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rPr>
      <w:sz w:val="4"/>
      <w:szCs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rPr>
      <w:rFonts w:ascii="Times New Roman" w:hAnsi="Times New Roman" w:cs="Times New Roman"/>
    </w:rPr>
  </w:style>
  <w:style w:type="character" w:customStyle="1" w:styleId="CharDivNo">
    <w:name w:val="CharDivNo"/>
    <w:rPr>
      <w:rFonts w:ascii="Times New Roman" w:hAnsi="Times New Roman" w:cs="Times New Roman"/>
    </w:rPr>
  </w:style>
  <w:style w:type="character" w:customStyle="1" w:styleId="CharDivText">
    <w:name w:val="CharDivText"/>
    <w:rPr>
      <w:rFonts w:ascii="Times New Roman" w:hAnsi="Times New Roman" w:cs="Times New Roman"/>
    </w:rPr>
  </w:style>
  <w:style w:type="character" w:customStyle="1" w:styleId="CharPartNo">
    <w:name w:val="CharPartNo"/>
    <w:rPr>
      <w:rFonts w:ascii="Times New Roman" w:hAnsi="Times New Roman" w:cs="Times New Roman"/>
    </w:rPr>
  </w:style>
  <w:style w:type="paragraph" w:customStyle="1" w:styleId="Placeholder">
    <w:name w:val="Placeholder"/>
    <w:basedOn w:val="Normal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character" w:customStyle="1" w:styleId="CharChapNo">
    <w:name w:val="CharChapNo"/>
    <w:rPr>
      <w:rFonts w:ascii="Times New Roman" w:hAnsi="Times New Roman" w:cs="Times New Roman"/>
    </w:rPr>
  </w:style>
  <w:style w:type="character" w:customStyle="1" w:styleId="CharChapText">
    <w:name w:val="CharChapText"/>
    <w:rPr>
      <w:rFonts w:ascii="Times New Roman" w:hAnsi="Times New Roman" w:cs="Times New Roman"/>
    </w:rPr>
  </w:style>
  <w:style w:type="character" w:customStyle="1" w:styleId="CharPartText">
    <w:name w:val="CharPartText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39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39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39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39"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link w:val="Signatur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ctNo">
    <w:name w:val="ActNo"/>
    <w:basedOn w:val="BillBasicHeading"/>
    <w:pPr>
      <w:spacing w:before="240"/>
    </w:pPr>
    <w:rPr>
      <w:b/>
      <w:bCs/>
    </w:rPr>
  </w:style>
  <w:style w:type="paragraph" w:customStyle="1" w:styleId="aParaNote">
    <w:name w:val="aParaNote"/>
    <w:basedOn w:val="BillBasic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rPr>
      <w:i/>
      <w:iCs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uiPriority w:val="39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ind w:left="1400" w:hanging="1400"/>
    </w:pPr>
  </w:style>
  <w:style w:type="paragraph" w:styleId="TOC8">
    <w:name w:val="toc 8"/>
    <w:basedOn w:val="TOC3"/>
    <w:next w:val="Normal"/>
    <w:autoRedefine/>
    <w:uiPriority w:val="39"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 w:cs="Arial"/>
      <w:shadow/>
      <w:sz w:val="48"/>
      <w:szCs w:val="48"/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link w:val="Salutation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  <w:szCs w:val="20"/>
    </w:rPr>
  </w:style>
  <w:style w:type="character" w:customStyle="1" w:styleId="charBold">
    <w:name w:val="charBold"/>
    <w:rPr>
      <w:rFonts w:ascii="Times New Roman" w:hAnsi="Times New Roman" w:cs="Times New Roman"/>
      <w:b/>
      <w:bCs/>
    </w:rPr>
  </w:style>
  <w:style w:type="character" w:customStyle="1" w:styleId="charBoldItals">
    <w:name w:val="charBoldItals"/>
    <w:rPr>
      <w:rFonts w:ascii="Times New Roman" w:hAnsi="Times New Roman" w:cs="Times New Roman"/>
      <w:b/>
      <w:bCs/>
      <w:i/>
      <w:iCs/>
    </w:rPr>
  </w:style>
  <w:style w:type="character" w:customStyle="1" w:styleId="charItals">
    <w:name w:val="charItals"/>
    <w:rPr>
      <w:rFonts w:ascii="Times New Roman" w:hAnsi="Times New Roman" w:cs="Times New Roman"/>
      <w:i/>
      <w:iCs/>
    </w:rPr>
  </w:style>
  <w:style w:type="character" w:customStyle="1" w:styleId="charUnderline">
    <w:name w:val="charUnderline"/>
    <w:rPr>
      <w:rFonts w:ascii="Times New Roman" w:hAnsi="Times New Roman" w:cs="Times New Roman"/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39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pPr>
      <w:spacing w:before="200"/>
    </w:pPr>
    <w:rPr>
      <w:b/>
      <w:bCs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rPr>
      <w:b w:val="0"/>
      <w:bCs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rPr>
      <w:rFonts w:ascii="Times New Roman" w:hAnsi="Times New Roman" w:cs="Times New Roman"/>
    </w:rPr>
  </w:style>
  <w:style w:type="character" w:customStyle="1" w:styleId="charTableText">
    <w:name w:val="charTableText"/>
    <w:rPr>
      <w:rFonts w:ascii="Times New Roman" w:hAnsi="Times New Roman" w:cs="Times New Roman"/>
    </w:rPr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  <w:bCs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bCs/>
      <w:sz w:val="32"/>
      <w:szCs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52BFC"/>
    <w:pPr>
      <w:tabs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69F8-CF9F-46EC-BF69-CE764BB0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1524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Safety Regulations 2001</vt:lpstr>
    </vt:vector>
  </TitlesOfParts>
  <Manager>regulation</Manager>
  <Company>InTACT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Safety Regulations 2001</dc:title>
  <dc:subject/>
  <dc:creator>ACT Government</dc:creator>
  <cp:keywords>04</cp:keywords>
  <cp:lastModifiedBy>PCODCS</cp:lastModifiedBy>
  <cp:revision>4</cp:revision>
  <cp:lastPrinted>2014-11-03T00:37:00Z</cp:lastPrinted>
  <dcterms:created xsi:type="dcterms:W3CDTF">2018-12-21T01:05:00Z</dcterms:created>
  <dcterms:modified xsi:type="dcterms:W3CDTF">2018-12-21T01:05:00Z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Objective-Id">
    <vt:lpwstr>A18082694</vt:lpwstr>
  </property>
  <property fmtid="{D5CDD505-2E9C-101B-9397-08002B2CF9AE}" pid="6" name="Objective-Title">
    <vt:lpwstr>Race and Sports Bookmaking (Sports Bookmaking Venues) Determination 2018 (No 4) - ES</vt:lpwstr>
  </property>
  <property fmtid="{D5CDD505-2E9C-101B-9397-08002B2CF9AE}" pid="7" name="Objective-Comment">
    <vt:lpwstr/>
  </property>
  <property fmtid="{D5CDD505-2E9C-101B-9397-08002B2CF9AE}" pid="8" name="Objective-CreationStamp">
    <vt:filetime>2018-12-20T06:12:38Z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2018-12-20T06:32:46Z</vt:filetime>
  </property>
  <property fmtid="{D5CDD505-2E9C-101B-9397-08002B2CF9AE}" pid="12" name="Objective-ModificationStamp">
    <vt:filetime>2018-12-20T06:32:46Z</vt:filetime>
  </property>
  <property fmtid="{D5CDD505-2E9C-101B-9397-08002B2CF9AE}" pid="13" name="Objective-Owner">
    <vt:lpwstr>Matthew Miles</vt:lpwstr>
  </property>
  <property fmtid="{D5CDD505-2E9C-101B-9397-08002B2CF9AE}" pid="14" name="Objective-Path">
    <vt:lpwstr>Whole of ACT Government:AC - Access Canberra - NEW:10. BRANCH - Licensing &amp; Registrations:SECTION - Community &amp; Business Licensing:UNIT - Liquor &amp; Gaming Licensing:04 - Race &amp; Sports Bookmaking Act 2001 / Totalisator Act 2014 "Racing &amp; Wagering":01. Tabco</vt:lpwstr>
  </property>
  <property fmtid="{D5CDD505-2E9C-101B-9397-08002B2CF9AE}" pid="15" name="Objective-Parent">
    <vt:lpwstr>20181211 - Tabcorp Temporary Venue Approval</vt:lpwstr>
  </property>
  <property fmtid="{D5CDD505-2E9C-101B-9397-08002B2CF9AE}" pid="16" name="Objective-State">
    <vt:lpwstr>Published</vt:lpwstr>
  </property>
  <property fmtid="{D5CDD505-2E9C-101B-9397-08002B2CF9AE}" pid="17" name="Objective-Version">
    <vt:lpwstr>3.0</vt:lpwstr>
  </property>
  <property fmtid="{D5CDD505-2E9C-101B-9397-08002B2CF9AE}" pid="18" name="Objective-VersionNumber">
    <vt:r8>3</vt:r8>
  </property>
  <property fmtid="{D5CDD505-2E9C-101B-9397-08002B2CF9AE}" pid="19" name="Objective-VersionComment">
    <vt:lpwstr/>
  </property>
  <property fmtid="{D5CDD505-2E9C-101B-9397-08002B2CF9AE}" pid="20" name="Objective-FileNumber">
    <vt:lpwstr/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 [system]">
    <vt:lpwstr>ACCESS CANBERRA</vt:lpwstr>
  </property>
  <property fmtid="{D5CDD505-2E9C-101B-9397-08002B2CF9AE}" pid="24" name="Objective-Document Type [system]">
    <vt:lpwstr>0-Document</vt:lpwstr>
  </property>
  <property fmtid="{D5CDD505-2E9C-101B-9397-08002B2CF9AE}" pid="25" name="Objective-Language [system]">
    <vt:lpwstr>English (en)</vt:lpwstr>
  </property>
  <property fmtid="{D5CDD505-2E9C-101B-9397-08002B2CF9AE}" pid="26" name="Objective-Jurisdiction [system]">
    <vt:lpwstr>ACT</vt:lpwstr>
  </property>
  <property fmtid="{D5CDD505-2E9C-101B-9397-08002B2CF9AE}" pid="27" name="Objective-Customers [system]">
    <vt:lpwstr/>
  </property>
  <property fmtid="{D5CDD505-2E9C-101B-9397-08002B2CF9AE}" pid="28" name="Objective-Places [system]">
    <vt:lpwstr/>
  </property>
  <property fmtid="{D5CDD505-2E9C-101B-9397-08002B2CF9AE}" pid="29" name="Objective-Transaction Reference [system]">
    <vt:lpwstr/>
  </property>
  <property fmtid="{D5CDD505-2E9C-101B-9397-08002B2CF9AE}" pid="30" name="Objective-Document Created By [system]">
    <vt:lpwstr/>
  </property>
  <property fmtid="{D5CDD505-2E9C-101B-9397-08002B2CF9AE}" pid="31" name="Objective-Document Created On [system]">
    <vt:lpwstr/>
  </property>
  <property fmtid="{D5CDD505-2E9C-101B-9397-08002B2CF9AE}" pid="32" name="Objective-Covers Period From [system]">
    <vt:lpwstr/>
  </property>
  <property fmtid="{D5CDD505-2E9C-101B-9397-08002B2CF9AE}" pid="33" name="Objective-Covers Period To [system]">
    <vt:lpwstr/>
  </property>
</Properties>
</file>