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00F8D" w:rsidRDefault="00600F8D" w:rsidP="002F1A2A">
      <w:pPr>
        <w:pStyle w:val="Heading2"/>
        <w:rPr>
          <w:rFonts w:cs="Times New Roman"/>
          <w:bCs w:val="0"/>
          <w:sz w:val="40"/>
        </w:rPr>
      </w:pPr>
      <w:r w:rsidRPr="00600F8D">
        <w:rPr>
          <w:rFonts w:cs="Times New Roman"/>
          <w:bCs w:val="0"/>
          <w:sz w:val="40"/>
        </w:rPr>
        <w:t>Electricity Feed-in (</w:t>
      </w:r>
      <w:r w:rsidR="00592A66">
        <w:rPr>
          <w:rFonts w:cs="Times New Roman"/>
          <w:bCs w:val="0"/>
          <w:sz w:val="40"/>
        </w:rPr>
        <w:t>Renewable Energy Premium</w:t>
      </w:r>
      <w:r w:rsidRPr="00600F8D">
        <w:rPr>
          <w:rFonts w:cs="Times New Roman"/>
          <w:bCs w:val="0"/>
          <w:sz w:val="40"/>
        </w:rPr>
        <w:t>)</w:t>
      </w:r>
      <w:r w:rsidR="00592A66">
        <w:rPr>
          <w:rFonts w:cs="Times New Roman"/>
          <w:bCs w:val="0"/>
          <w:sz w:val="40"/>
        </w:rPr>
        <w:t xml:space="preserve"> Requirements of Audit</w:t>
      </w:r>
      <w:r w:rsidRPr="00600F8D">
        <w:rPr>
          <w:rFonts w:cs="Times New Roman"/>
          <w:bCs w:val="0"/>
          <w:sz w:val="40"/>
        </w:rPr>
        <w:t xml:space="preserve"> Determination 201</w:t>
      </w:r>
      <w:r w:rsidR="00687A38">
        <w:rPr>
          <w:rFonts w:cs="Times New Roman"/>
          <w:bCs w:val="0"/>
          <w:sz w:val="40"/>
        </w:rPr>
        <w:t>9</w:t>
      </w:r>
    </w:p>
    <w:p w:rsidR="005D70F1" w:rsidRPr="002F1A2A" w:rsidRDefault="005D70F1" w:rsidP="002F1A2A">
      <w:pPr>
        <w:pStyle w:val="Heading2"/>
      </w:pPr>
      <w:r w:rsidRPr="002F1A2A">
        <w:t xml:space="preserve">Disallowable instrument </w:t>
      </w:r>
      <w:r w:rsidRPr="00943324">
        <w:t>DI</w:t>
      </w:r>
      <w:r w:rsidR="00943324">
        <w:t>201</w:t>
      </w:r>
      <w:r w:rsidR="00687A38">
        <w:t>9</w:t>
      </w:r>
      <w:r w:rsidRPr="00943324">
        <w:t>–</w:t>
      </w:r>
      <w:r w:rsidR="00BD2BE6">
        <w:t>9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7C22D7" w:rsidRPr="00085D79" w:rsidRDefault="00600F8D" w:rsidP="00085D79">
      <w:pPr>
        <w:pStyle w:val="CoverActName"/>
        <w:jc w:val="left"/>
        <w:rPr>
          <w:rFonts w:cs="Arial"/>
          <w:sz w:val="20"/>
        </w:rPr>
      </w:pPr>
      <w:r w:rsidRPr="00085D79">
        <w:rPr>
          <w:rFonts w:cs="Arial"/>
          <w:sz w:val="20"/>
        </w:rPr>
        <w:t>Electricity Feed-in (Renewable Energy Premium) Act 2008</w:t>
      </w:r>
      <w:r w:rsidR="00085D79">
        <w:rPr>
          <w:rFonts w:cs="Arial"/>
          <w:sz w:val="20"/>
        </w:rPr>
        <w:t>, s</w:t>
      </w:r>
      <w:r w:rsidR="007C22D7" w:rsidRPr="00085D79">
        <w:rPr>
          <w:sz w:val="20"/>
        </w:rPr>
        <w:t>11</w:t>
      </w:r>
      <w:r w:rsidR="00B346FA">
        <w:rPr>
          <w:sz w:val="20"/>
        </w:rPr>
        <w:t>C</w:t>
      </w:r>
      <w:r w:rsidR="007C22D7" w:rsidRPr="00085D79">
        <w:rPr>
          <w:sz w:val="20"/>
        </w:rPr>
        <w:t xml:space="preserve"> (</w:t>
      </w:r>
      <w:r w:rsidR="00B346FA">
        <w:rPr>
          <w:sz w:val="20"/>
        </w:rPr>
        <w:t>Audit of information given to Minister</w:t>
      </w:r>
      <w:r w:rsidR="007C22D7" w:rsidRPr="00085D79">
        <w:rPr>
          <w:sz w:val="20"/>
        </w:rPr>
        <w:t>)</w:t>
      </w:r>
    </w:p>
    <w:p w:rsidR="005D70F1" w:rsidRPr="002F1A2A" w:rsidRDefault="005D70F1" w:rsidP="002F1A2A">
      <w:pPr>
        <w:pStyle w:val="Heading3"/>
      </w:pPr>
      <w:r w:rsidRPr="002F1A2A"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B346FA" w:rsidRDefault="00B346FA" w:rsidP="00B346FA">
      <w:pPr>
        <w:rPr>
          <w:rFonts w:cs="Arial"/>
          <w:szCs w:val="24"/>
        </w:rPr>
      </w:pPr>
      <w:r w:rsidRPr="00805048">
        <w:rPr>
          <w:rFonts w:cs="Arial"/>
          <w:szCs w:val="24"/>
        </w:rPr>
        <w:t xml:space="preserve">Under section 11C of the </w:t>
      </w:r>
      <w:r w:rsidR="007C22D7" w:rsidRPr="00805048">
        <w:rPr>
          <w:rFonts w:cs="Arial"/>
          <w:i/>
          <w:szCs w:val="24"/>
        </w:rPr>
        <w:t>Electricity Feed-in (Renewable Energy Premium) Act 2008</w:t>
      </w:r>
      <w:r w:rsidR="00A07706">
        <w:rPr>
          <w:rFonts w:cs="Arial"/>
          <w:i/>
          <w:szCs w:val="24"/>
        </w:rPr>
        <w:t xml:space="preserve"> </w:t>
      </w:r>
      <w:r w:rsidR="00A07706">
        <w:rPr>
          <w:rFonts w:cs="Arial"/>
          <w:szCs w:val="24"/>
        </w:rPr>
        <w:t>(the Act)</w:t>
      </w:r>
      <w:r w:rsidR="00DF2E75" w:rsidRPr="00805048">
        <w:rPr>
          <w:rFonts w:cs="Arial"/>
          <w:szCs w:val="24"/>
        </w:rPr>
        <w:t xml:space="preserve">, the Minister </w:t>
      </w:r>
      <w:r w:rsidRPr="00805048">
        <w:rPr>
          <w:rFonts w:cs="Arial"/>
          <w:szCs w:val="24"/>
        </w:rPr>
        <w:t>may require a reporting entity to undertake an audit of the information provided by the reporting entity under section 11B</w:t>
      </w:r>
      <w:r w:rsidR="0093394F">
        <w:rPr>
          <w:rFonts w:cs="Arial"/>
          <w:szCs w:val="24"/>
        </w:rPr>
        <w:t xml:space="preserve"> of the Act</w:t>
      </w:r>
      <w:r w:rsidRPr="00B346FA">
        <w:rPr>
          <w:rFonts w:cs="Arial"/>
          <w:szCs w:val="24"/>
        </w:rPr>
        <w:t>.</w:t>
      </w:r>
    </w:p>
    <w:p w:rsidR="00805048" w:rsidRDefault="00805048" w:rsidP="00B346FA">
      <w:pPr>
        <w:rPr>
          <w:rFonts w:cs="Arial"/>
          <w:szCs w:val="24"/>
        </w:rPr>
      </w:pPr>
    </w:p>
    <w:p w:rsidR="00395801" w:rsidRPr="00395801" w:rsidRDefault="001A2A25" w:rsidP="00395801">
      <w:pPr>
        <w:rPr>
          <w:rFonts w:cs="Arial"/>
          <w:szCs w:val="24"/>
        </w:rPr>
      </w:pPr>
      <w:r>
        <w:rPr>
          <w:rFonts w:cs="Arial"/>
          <w:szCs w:val="24"/>
        </w:rPr>
        <w:t>The reporting entity provides data to t</w:t>
      </w:r>
      <w:r w:rsidRPr="00FE599E">
        <w:rPr>
          <w:rFonts w:cs="Arial"/>
          <w:szCs w:val="24"/>
        </w:rPr>
        <w:t>he Environment, Planning and Sust</w:t>
      </w:r>
      <w:r>
        <w:rPr>
          <w:rFonts w:cs="Arial"/>
          <w:szCs w:val="24"/>
        </w:rPr>
        <w:t xml:space="preserve">ainable Development Directorate </w:t>
      </w:r>
      <w:r w:rsidR="00395801">
        <w:rPr>
          <w:rFonts w:cs="Arial"/>
          <w:szCs w:val="24"/>
        </w:rPr>
        <w:t xml:space="preserve">(EPSDD) under the Act. </w:t>
      </w:r>
      <w:r w:rsidR="00395801" w:rsidRPr="00395801">
        <w:rPr>
          <w:rFonts w:cs="Arial"/>
          <w:szCs w:val="24"/>
        </w:rPr>
        <w:t xml:space="preserve">The </w:t>
      </w:r>
      <w:r w:rsidR="00395801">
        <w:rPr>
          <w:rFonts w:cs="Arial"/>
          <w:szCs w:val="24"/>
        </w:rPr>
        <w:t xml:space="preserve">objectives of this audit are to ensure that the reporting entity </w:t>
      </w:r>
      <w:r w:rsidR="00395801" w:rsidRPr="00395801">
        <w:rPr>
          <w:rFonts w:cs="Arial"/>
          <w:szCs w:val="24"/>
        </w:rPr>
        <w:t>has appropriate data collection and collation processes in place for data being provided to EPSDD</w:t>
      </w:r>
      <w:r w:rsidR="00395801">
        <w:rPr>
          <w:rFonts w:cs="Arial"/>
          <w:szCs w:val="24"/>
        </w:rPr>
        <w:t xml:space="preserve"> </w:t>
      </w:r>
      <w:r w:rsidR="00395801" w:rsidRPr="00395801">
        <w:rPr>
          <w:rFonts w:cs="Arial"/>
          <w:szCs w:val="24"/>
        </w:rPr>
        <w:t>and</w:t>
      </w:r>
      <w:r w:rsidR="00395801">
        <w:rPr>
          <w:rFonts w:cs="Arial"/>
          <w:szCs w:val="24"/>
        </w:rPr>
        <w:t xml:space="preserve"> to e</w:t>
      </w:r>
      <w:r w:rsidR="00395801" w:rsidRPr="00395801">
        <w:rPr>
          <w:rFonts w:cs="Arial"/>
          <w:szCs w:val="24"/>
        </w:rPr>
        <w:t>nsure that the data being provided is accurate, reliable and timely.</w:t>
      </w:r>
    </w:p>
    <w:p w:rsidR="00395801" w:rsidRDefault="00395801" w:rsidP="001A2A25">
      <w:pPr>
        <w:rPr>
          <w:rFonts w:cs="Arial"/>
          <w:szCs w:val="24"/>
        </w:rPr>
      </w:pPr>
    </w:p>
    <w:p w:rsidR="00B346FA" w:rsidRPr="00B346FA" w:rsidRDefault="00805048" w:rsidP="00B346FA">
      <w:pPr>
        <w:rPr>
          <w:rFonts w:cs="Arial"/>
          <w:szCs w:val="24"/>
        </w:rPr>
      </w:pPr>
      <w:r>
        <w:rPr>
          <w:rFonts w:cs="Arial"/>
          <w:szCs w:val="24"/>
        </w:rPr>
        <w:t xml:space="preserve">Section 11C requires that the audit must be </w:t>
      </w:r>
      <w:r w:rsidR="00B346FA" w:rsidRPr="00B346FA">
        <w:rPr>
          <w:rFonts w:cs="Arial"/>
          <w:szCs w:val="24"/>
        </w:rPr>
        <w:t>paid for by the reporting entity</w:t>
      </w:r>
      <w:r>
        <w:rPr>
          <w:rFonts w:cs="Arial"/>
          <w:szCs w:val="24"/>
        </w:rPr>
        <w:t>,</w:t>
      </w:r>
      <w:r w:rsidR="00B346FA" w:rsidRPr="00B346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undertaken by a</w:t>
      </w:r>
      <w:r w:rsidR="00B346FA" w:rsidRPr="00B346FA">
        <w:rPr>
          <w:rFonts w:cs="Arial"/>
          <w:szCs w:val="24"/>
        </w:rPr>
        <w:t>n auditor appointed by the Minister</w:t>
      </w:r>
      <w:r>
        <w:rPr>
          <w:rFonts w:cs="Arial"/>
          <w:szCs w:val="24"/>
        </w:rPr>
        <w:t xml:space="preserve"> o</w:t>
      </w:r>
      <w:r w:rsidR="00B346FA" w:rsidRPr="00B346FA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 </w:t>
      </w:r>
      <w:r w:rsidR="00B346FA" w:rsidRPr="00B346FA">
        <w:rPr>
          <w:rFonts w:cs="Arial"/>
          <w:szCs w:val="24"/>
        </w:rPr>
        <w:t>an auditor that is independent of the reporting entity</w:t>
      </w:r>
      <w:r>
        <w:rPr>
          <w:rFonts w:cs="Arial"/>
          <w:szCs w:val="24"/>
        </w:rPr>
        <w:t>,</w:t>
      </w:r>
      <w:r w:rsidR="00B346FA" w:rsidRPr="00B346FA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</w:t>
      </w:r>
      <w:r w:rsidR="00B346FA" w:rsidRPr="00B346FA">
        <w:rPr>
          <w:rFonts w:cs="Arial"/>
          <w:szCs w:val="24"/>
        </w:rPr>
        <w:t>undertaken in accordance with requirements determined by the Minister.</w:t>
      </w:r>
    </w:p>
    <w:p w:rsidR="00B346FA" w:rsidRDefault="00B346FA" w:rsidP="00600F8D">
      <w:pPr>
        <w:rPr>
          <w:rFonts w:cs="Arial"/>
          <w:szCs w:val="24"/>
        </w:rPr>
      </w:pPr>
    </w:p>
    <w:p w:rsidR="007C22D7" w:rsidRDefault="001A2A25" w:rsidP="00E003B3">
      <w:pPr>
        <w:rPr>
          <w:rFonts w:cs="Arial"/>
          <w:szCs w:val="24"/>
        </w:rPr>
      </w:pPr>
      <w:r>
        <w:rPr>
          <w:rFonts w:cs="Arial"/>
          <w:szCs w:val="24"/>
        </w:rPr>
        <w:t xml:space="preserve">Schedule 1 </w:t>
      </w:r>
      <w:r w:rsidR="0093394F">
        <w:rPr>
          <w:rFonts w:cs="Arial"/>
          <w:szCs w:val="24"/>
        </w:rPr>
        <w:t>of the Disallowable Instrument</w:t>
      </w:r>
      <w:r>
        <w:rPr>
          <w:rFonts w:cs="Arial"/>
          <w:szCs w:val="24"/>
        </w:rPr>
        <w:t xml:space="preserve"> outlines the requirements for the audit</w:t>
      </w:r>
      <w:r w:rsidR="00BE6C32">
        <w:rPr>
          <w:rFonts w:cs="Arial"/>
          <w:szCs w:val="24"/>
        </w:rPr>
        <w:t xml:space="preserve"> determined by the Minister</w:t>
      </w:r>
      <w:r>
        <w:rPr>
          <w:rFonts w:cs="Arial"/>
          <w:szCs w:val="24"/>
        </w:rPr>
        <w:t>.</w:t>
      </w:r>
    </w:p>
    <w:p w:rsidR="0093394F" w:rsidRDefault="0093394F" w:rsidP="00E003B3">
      <w:pPr>
        <w:rPr>
          <w:rFonts w:cs="Arial"/>
          <w:szCs w:val="24"/>
        </w:rPr>
      </w:pPr>
    </w:p>
    <w:p w:rsidR="0093394F" w:rsidRPr="00805048" w:rsidRDefault="0093394F" w:rsidP="00E003B3">
      <w:pPr>
        <w:rPr>
          <w:rFonts w:cs="Arial"/>
          <w:szCs w:val="24"/>
        </w:rPr>
      </w:pPr>
      <w:r>
        <w:rPr>
          <w:rFonts w:cs="Arial"/>
          <w:szCs w:val="24"/>
        </w:rPr>
        <w:t>This audit of information does not impose any appreciable costs on the community, therefore a Regulatory Impact Statement is not required.</w:t>
      </w:r>
    </w:p>
    <w:p w:rsidR="007C22D7" w:rsidRPr="00B346FA" w:rsidRDefault="007C22D7" w:rsidP="00E003B3">
      <w:pPr>
        <w:rPr>
          <w:rFonts w:cs="Arial"/>
          <w:szCs w:val="24"/>
          <w:highlight w:val="yellow"/>
        </w:rPr>
      </w:pPr>
    </w:p>
    <w:p w:rsidR="00600F8D" w:rsidRPr="00DC2A75" w:rsidRDefault="00600F8D" w:rsidP="00600F8D">
      <w:pPr>
        <w:rPr>
          <w:rFonts w:cs="Arial"/>
          <w:b/>
          <w:szCs w:val="24"/>
          <w:u w:val="single"/>
        </w:rPr>
      </w:pPr>
      <w:r w:rsidRPr="00DC2A75">
        <w:rPr>
          <w:rFonts w:cs="Arial"/>
          <w:b/>
          <w:szCs w:val="24"/>
          <w:u w:val="single"/>
        </w:rPr>
        <w:t>Clause 1</w:t>
      </w:r>
    </w:p>
    <w:p w:rsidR="005D70F1" w:rsidRDefault="00600F8D" w:rsidP="00600F8D">
      <w:r>
        <w:t>This clause name</w:t>
      </w:r>
      <w:r w:rsidR="00085D79">
        <w:t>s</w:t>
      </w:r>
      <w:r>
        <w:t xml:space="preserve"> this instrument.</w:t>
      </w:r>
    </w:p>
    <w:p w:rsidR="00600F8D" w:rsidRDefault="00600F8D" w:rsidP="00600F8D"/>
    <w:p w:rsidR="00600F8D" w:rsidRPr="00DC2A75" w:rsidRDefault="00600F8D" w:rsidP="00600F8D">
      <w:pPr>
        <w:rPr>
          <w:rFonts w:cs="Arial"/>
          <w:b/>
          <w:szCs w:val="24"/>
          <w:u w:val="single"/>
        </w:rPr>
      </w:pPr>
      <w:r w:rsidRPr="00DC2A75">
        <w:rPr>
          <w:rFonts w:cs="Arial"/>
          <w:b/>
          <w:szCs w:val="24"/>
          <w:u w:val="single"/>
        </w:rPr>
        <w:t xml:space="preserve">Clause </w:t>
      </w:r>
      <w:r>
        <w:rPr>
          <w:rFonts w:cs="Arial"/>
          <w:b/>
          <w:szCs w:val="24"/>
          <w:u w:val="single"/>
        </w:rPr>
        <w:t>2</w:t>
      </w:r>
    </w:p>
    <w:p w:rsidR="00600F8D" w:rsidRDefault="00600F8D" w:rsidP="00600F8D">
      <w:r>
        <w:t xml:space="preserve">This clause </w:t>
      </w:r>
      <w:r w:rsidRPr="00231FB5">
        <w:t xml:space="preserve">provides for </w:t>
      </w:r>
      <w:r>
        <w:t>date of</w:t>
      </w:r>
      <w:r w:rsidRPr="00231FB5">
        <w:t xml:space="preserve"> commencement.</w:t>
      </w:r>
    </w:p>
    <w:p w:rsidR="00600F8D" w:rsidRDefault="00600F8D" w:rsidP="00600F8D"/>
    <w:p w:rsidR="009C4B08" w:rsidRPr="00DC2A75" w:rsidRDefault="009C4B08" w:rsidP="009C4B08">
      <w:pPr>
        <w:rPr>
          <w:rFonts w:cs="Arial"/>
          <w:b/>
          <w:szCs w:val="24"/>
          <w:u w:val="single"/>
        </w:rPr>
      </w:pPr>
      <w:r w:rsidRPr="00DC2A75">
        <w:rPr>
          <w:rFonts w:cs="Arial"/>
          <w:b/>
          <w:szCs w:val="24"/>
          <w:u w:val="single"/>
        </w:rPr>
        <w:t xml:space="preserve">Clause </w:t>
      </w:r>
      <w:r>
        <w:rPr>
          <w:rFonts w:cs="Arial"/>
          <w:b/>
          <w:szCs w:val="24"/>
          <w:u w:val="single"/>
        </w:rPr>
        <w:t>3</w:t>
      </w:r>
    </w:p>
    <w:p w:rsidR="009C4B08" w:rsidRDefault="00B346FA" w:rsidP="009C4B08">
      <w:r>
        <w:t xml:space="preserve">This clause </w:t>
      </w:r>
      <w:r w:rsidR="001A2A25">
        <w:t>outlines the requirements that the audit must be undertaken in accordance with</w:t>
      </w:r>
      <w:r w:rsidR="00BE6C32">
        <w:t>, as determined by the Minister</w:t>
      </w:r>
      <w:r w:rsidR="001A2A25">
        <w:t>.</w:t>
      </w:r>
    </w:p>
    <w:sectPr w:rsidR="009C4B08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6E" w:rsidRDefault="007E286E">
      <w:r>
        <w:separator/>
      </w:r>
    </w:p>
  </w:endnote>
  <w:endnote w:type="continuationSeparator" w:id="0">
    <w:p w:rsidR="007E286E" w:rsidRDefault="007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E" w:rsidRDefault="000D1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E" w:rsidRPr="000D1CDE" w:rsidRDefault="000D1CDE" w:rsidP="000D1CDE">
    <w:pPr>
      <w:pStyle w:val="Footer"/>
      <w:jc w:val="center"/>
      <w:rPr>
        <w:rFonts w:cs="Arial"/>
        <w:sz w:val="14"/>
      </w:rPr>
    </w:pPr>
    <w:r w:rsidRPr="000D1C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E" w:rsidRDefault="000D1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6E" w:rsidRDefault="007E286E">
      <w:r>
        <w:separator/>
      </w:r>
    </w:p>
  </w:footnote>
  <w:footnote w:type="continuationSeparator" w:id="0">
    <w:p w:rsidR="007E286E" w:rsidRDefault="007E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E" w:rsidRDefault="000D1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E" w:rsidRDefault="000D1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E" w:rsidRDefault="000D1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041F6"/>
    <w:multiLevelType w:val="hybridMultilevel"/>
    <w:tmpl w:val="82C2C1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265C8"/>
    <w:multiLevelType w:val="hybridMultilevel"/>
    <w:tmpl w:val="224E5074"/>
    <w:lvl w:ilvl="0" w:tplc="F6C45D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3CEE"/>
    <w:multiLevelType w:val="hybridMultilevel"/>
    <w:tmpl w:val="5DB2CD8E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1A0DFE"/>
    <w:multiLevelType w:val="multilevel"/>
    <w:tmpl w:val="1DBE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F"/>
    <w:rsid w:val="000157AA"/>
    <w:rsid w:val="00081CA7"/>
    <w:rsid w:val="00085D79"/>
    <w:rsid w:val="000B1BA3"/>
    <w:rsid w:val="000D1CDE"/>
    <w:rsid w:val="001753D8"/>
    <w:rsid w:val="001A2A25"/>
    <w:rsid w:val="001C773C"/>
    <w:rsid w:val="001D35F4"/>
    <w:rsid w:val="001E014C"/>
    <w:rsid w:val="001E10D9"/>
    <w:rsid w:val="0020118A"/>
    <w:rsid w:val="00223DC7"/>
    <w:rsid w:val="00231FB5"/>
    <w:rsid w:val="002513DB"/>
    <w:rsid w:val="00270322"/>
    <w:rsid w:val="00273263"/>
    <w:rsid w:val="002763E4"/>
    <w:rsid w:val="002D7064"/>
    <w:rsid w:val="002F1A2A"/>
    <w:rsid w:val="0032104D"/>
    <w:rsid w:val="0033038F"/>
    <w:rsid w:val="00357B09"/>
    <w:rsid w:val="00374BCD"/>
    <w:rsid w:val="00395801"/>
    <w:rsid w:val="003A49E0"/>
    <w:rsid w:val="003B13A6"/>
    <w:rsid w:val="003F381E"/>
    <w:rsid w:val="004368CD"/>
    <w:rsid w:val="00451090"/>
    <w:rsid w:val="00471C05"/>
    <w:rsid w:val="004C4A40"/>
    <w:rsid w:val="005341D8"/>
    <w:rsid w:val="005348DF"/>
    <w:rsid w:val="00550787"/>
    <w:rsid w:val="00592A66"/>
    <w:rsid w:val="005D70F1"/>
    <w:rsid w:val="00600F8D"/>
    <w:rsid w:val="006441D3"/>
    <w:rsid w:val="0064559B"/>
    <w:rsid w:val="006816AA"/>
    <w:rsid w:val="00687A38"/>
    <w:rsid w:val="006D6096"/>
    <w:rsid w:val="007C22D7"/>
    <w:rsid w:val="007D5FE3"/>
    <w:rsid w:val="007E286E"/>
    <w:rsid w:val="00805048"/>
    <w:rsid w:val="008A7EBC"/>
    <w:rsid w:val="00900190"/>
    <w:rsid w:val="0093394F"/>
    <w:rsid w:val="00943324"/>
    <w:rsid w:val="00944F13"/>
    <w:rsid w:val="009638C7"/>
    <w:rsid w:val="009673E2"/>
    <w:rsid w:val="009C4B08"/>
    <w:rsid w:val="00A07706"/>
    <w:rsid w:val="00A13E23"/>
    <w:rsid w:val="00A46A61"/>
    <w:rsid w:val="00B23ABA"/>
    <w:rsid w:val="00B346FA"/>
    <w:rsid w:val="00B54842"/>
    <w:rsid w:val="00B62A3E"/>
    <w:rsid w:val="00BD2BE6"/>
    <w:rsid w:val="00BE6C32"/>
    <w:rsid w:val="00C217A1"/>
    <w:rsid w:val="00C4252F"/>
    <w:rsid w:val="00C62DE1"/>
    <w:rsid w:val="00C95C32"/>
    <w:rsid w:val="00CD333A"/>
    <w:rsid w:val="00CE6807"/>
    <w:rsid w:val="00D62C8F"/>
    <w:rsid w:val="00DC2A75"/>
    <w:rsid w:val="00DF2E75"/>
    <w:rsid w:val="00E003B3"/>
    <w:rsid w:val="00E02450"/>
    <w:rsid w:val="00E44B91"/>
    <w:rsid w:val="00EE562E"/>
    <w:rsid w:val="00F06D39"/>
    <w:rsid w:val="00F11A8A"/>
    <w:rsid w:val="00F13D56"/>
    <w:rsid w:val="00FE599E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ACB87C-F218-4BFF-A961-B052E73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E4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63E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2763E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2763E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2763E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63E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63E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63E4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63E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63E4"/>
    <w:pPr>
      <w:tabs>
        <w:tab w:val="left" w:pos="2880"/>
      </w:tabs>
    </w:pPr>
  </w:style>
  <w:style w:type="paragraph" w:customStyle="1" w:styleId="Apara">
    <w:name w:val="A para"/>
    <w:basedOn w:val="Normal"/>
    <w:rsid w:val="002763E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63E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63E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63E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763E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2763E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63E4"/>
    <w:rPr>
      <w:rFonts w:cs="Times New Roman"/>
    </w:rPr>
  </w:style>
  <w:style w:type="paragraph" w:customStyle="1" w:styleId="CoverInForce">
    <w:name w:val="CoverInForce"/>
    <w:basedOn w:val="Normal"/>
    <w:rsid w:val="002763E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63E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63E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763E4"/>
    <w:rPr>
      <w:rFonts w:cs="Times New Roman"/>
    </w:rPr>
  </w:style>
  <w:style w:type="paragraph" w:customStyle="1" w:styleId="Aparabullet">
    <w:name w:val="A para bullet"/>
    <w:basedOn w:val="Normal"/>
    <w:rsid w:val="002763E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763E4"/>
  </w:style>
  <w:style w:type="paragraph" w:styleId="TOC2">
    <w:name w:val="toc 2"/>
    <w:basedOn w:val="Normal"/>
    <w:next w:val="Normal"/>
    <w:autoRedefine/>
    <w:uiPriority w:val="39"/>
    <w:semiHidden/>
    <w:rsid w:val="002763E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763E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763E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763E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763E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763E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763E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763E4"/>
    <w:pPr>
      <w:ind w:left="1920"/>
    </w:pPr>
  </w:style>
  <w:style w:type="character" w:styleId="Hyperlink">
    <w:name w:val="Hyperlink"/>
    <w:basedOn w:val="DefaultParagraphFont"/>
    <w:uiPriority w:val="99"/>
    <w:rsid w:val="002763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763E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2763E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63E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63E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763E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763E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763E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2763E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63E4"/>
    <w:rPr>
      <w:rFonts w:cs="Times New Roman"/>
    </w:rPr>
  </w:style>
  <w:style w:type="paragraph" w:customStyle="1" w:styleId="aNoteBulletsubpar">
    <w:name w:val="aNoteBulletsubpar"/>
    <w:basedOn w:val="Normal"/>
    <w:rsid w:val="00B346FA"/>
    <w:pPr>
      <w:numPr>
        <w:numId w:val="11"/>
      </w:numPr>
      <w:tabs>
        <w:tab w:val="left" w:pos="3240"/>
      </w:tabs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B25B24F7.dotm</Template>
  <TotalTime>0</TotalTime>
  <Pages>1</Pages>
  <Words>248</Words>
  <Characters>1408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dc:description/>
  <cp:lastModifiedBy>  </cp:lastModifiedBy>
  <cp:revision>2</cp:revision>
  <cp:lastPrinted>2015-07-30T04:33:00Z</cp:lastPrinted>
  <dcterms:created xsi:type="dcterms:W3CDTF">2019-02-07T03:42:00Z</dcterms:created>
  <dcterms:modified xsi:type="dcterms:W3CDTF">2019-02-07T03:42:00Z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A11015118</vt:lpwstr>
  </property>
  <property fmtid="{D5CDD505-2E9C-101B-9397-08002B2CF9AE}" pid="4" name="Objective-Title">
    <vt:lpwstr>Att A - DI FiT Reporting ES</vt:lpwstr>
  </property>
  <property fmtid="{D5CDD505-2E9C-101B-9397-08002B2CF9AE}" pid="5" name="Objective-Comment">
    <vt:lpwstr/>
  </property>
  <property fmtid="{D5CDD505-2E9C-101B-9397-08002B2CF9AE}" pid="6" name="Objective-CreationStamp">
    <vt:filetime>2015-07-23T13:00:00Z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2015-07-28T13:00:00Z</vt:filetime>
  </property>
  <property fmtid="{D5CDD505-2E9C-101B-9397-08002B2CF9AE}" pid="10" name="Objective-ModificationStamp">
    <vt:filetime>2015-07-28T13:00:00Z</vt:filetime>
  </property>
  <property fmtid="{D5CDD505-2E9C-101B-9397-08002B2CF9AE}" pid="11" name="Objective-Owner">
    <vt:lpwstr>Sean Das</vt:lpwstr>
  </property>
  <property fmtid="{D5CDD505-2E9C-101B-9397-08002B2CF9AE}" pid="12" name="Objective-Path">
    <vt:lpwstr>Whole of ACT Government:EPD - Environment and Planning Directorate:07. Ministerial, Cabinet and Government Relations:06. Ministerials:2015 - Ministerial and Chief Ministerial Correspondence:Sustainability and Climate Change:SCC - Information Briefs:15/100</vt:lpwstr>
  </property>
  <property fmtid="{D5CDD505-2E9C-101B-9397-08002B2CF9AE}" pid="13" name="Objective-Parent">
    <vt:lpwstr>15/17241 - Brief - Annual FiT Reporting Requirements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1-2015/17241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