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B" w:rsidRDefault="007A2A8B" w:rsidP="0072165A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A2A8B" w:rsidRDefault="007A2A8B" w:rsidP="0072165A">
      <w:pPr>
        <w:pStyle w:val="Billname"/>
        <w:tabs>
          <w:tab w:val="left" w:pos="3828"/>
        </w:tabs>
        <w:spacing w:before="700"/>
        <w:rPr>
          <w:szCs w:val="32"/>
        </w:rPr>
      </w:pPr>
      <w:r>
        <w:rPr>
          <w:szCs w:val="32"/>
        </w:rPr>
        <w:t xml:space="preserve">Construction Occupations </w:t>
      </w:r>
      <w:r w:rsidR="0072165A">
        <w:rPr>
          <w:szCs w:val="32"/>
        </w:rPr>
        <w:t>(</w:t>
      </w:r>
      <w:r>
        <w:rPr>
          <w:szCs w:val="32"/>
        </w:rPr>
        <w:t>Licensing</w:t>
      </w:r>
      <w:r w:rsidR="0072165A">
        <w:rPr>
          <w:szCs w:val="32"/>
        </w:rPr>
        <w:t>)</w:t>
      </w:r>
      <w:r>
        <w:rPr>
          <w:szCs w:val="32"/>
        </w:rPr>
        <w:t xml:space="preserve"> (</w:t>
      </w:r>
      <w:r w:rsidR="00393AEF">
        <w:t>Qualifications</w:t>
      </w:r>
      <w:r>
        <w:rPr>
          <w:szCs w:val="32"/>
        </w:rPr>
        <w:t>) De</w:t>
      </w:r>
      <w:r w:rsidR="00393AEF">
        <w:rPr>
          <w:szCs w:val="32"/>
        </w:rPr>
        <w:t xml:space="preserve">claration </w:t>
      </w:r>
      <w:r w:rsidR="00D165F1">
        <w:rPr>
          <w:szCs w:val="32"/>
        </w:rPr>
        <w:t>2019</w:t>
      </w:r>
    </w:p>
    <w:p w:rsidR="007A2A8B" w:rsidRDefault="008F4F49" w:rsidP="0072165A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7B6F7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964895">
        <w:rPr>
          <w:rFonts w:ascii="Arial" w:hAnsi="Arial" w:cs="Arial"/>
          <w:b/>
          <w:bCs/>
        </w:rPr>
        <w:t>1</w:t>
      </w:r>
      <w:r w:rsidR="00D165F1">
        <w:rPr>
          <w:rFonts w:ascii="Arial" w:hAnsi="Arial" w:cs="Arial"/>
          <w:b/>
          <w:bCs/>
        </w:rPr>
        <w:t>9</w:t>
      </w:r>
      <w:r w:rsidR="007A2A8B">
        <w:rPr>
          <w:rFonts w:ascii="Arial" w:hAnsi="Arial" w:cs="Arial"/>
          <w:b/>
          <w:bCs/>
        </w:rPr>
        <w:t>-</w:t>
      </w:r>
      <w:r w:rsidR="00EB0A3B">
        <w:rPr>
          <w:rFonts w:ascii="Arial" w:hAnsi="Arial" w:cs="Arial"/>
          <w:b/>
          <w:bCs/>
        </w:rPr>
        <w:t>15</w:t>
      </w:r>
    </w:p>
    <w:p w:rsidR="007A2A8B" w:rsidRDefault="007A2A8B" w:rsidP="0072165A">
      <w:pPr>
        <w:pStyle w:val="madeunder"/>
        <w:spacing w:before="300" w:after="0"/>
      </w:pPr>
      <w:r>
        <w:t>made under the</w:t>
      </w:r>
    </w:p>
    <w:p w:rsidR="00D868EC" w:rsidRDefault="007A2A8B" w:rsidP="007B6F70">
      <w:pPr>
        <w:pStyle w:val="CoverActName"/>
        <w:spacing w:before="320" w:after="0"/>
        <w:jc w:val="left"/>
        <w:rPr>
          <w:sz w:val="20"/>
          <w:szCs w:val="20"/>
        </w:rPr>
      </w:pPr>
      <w:r w:rsidRPr="00F20ABC">
        <w:rPr>
          <w:sz w:val="20"/>
          <w:szCs w:val="20"/>
        </w:rPr>
        <w:t>Construc</w:t>
      </w:r>
      <w:r w:rsidR="00BF49F8">
        <w:rPr>
          <w:sz w:val="20"/>
          <w:szCs w:val="20"/>
        </w:rPr>
        <w:t>tion Occupations (Licensing) Regulation</w:t>
      </w:r>
      <w:r w:rsidRPr="00F20ABC">
        <w:rPr>
          <w:sz w:val="20"/>
          <w:szCs w:val="20"/>
        </w:rPr>
        <w:t xml:space="preserve"> 2004</w:t>
      </w:r>
      <w:r>
        <w:rPr>
          <w:sz w:val="20"/>
          <w:szCs w:val="20"/>
        </w:rPr>
        <w:t>, s</w:t>
      </w:r>
      <w:r w:rsidR="00D868EC">
        <w:rPr>
          <w:sz w:val="20"/>
          <w:szCs w:val="20"/>
        </w:rPr>
        <w:t xml:space="preserve"> </w:t>
      </w:r>
      <w:r w:rsidR="00D868EC" w:rsidRPr="00D868EC">
        <w:rPr>
          <w:sz w:val="20"/>
          <w:szCs w:val="20"/>
        </w:rPr>
        <w:t>13 (Eligibility for licence—qualifications and financial requirements—Act, s 18</w:t>
      </w:r>
      <w:r w:rsidR="00D165F1">
        <w:rPr>
          <w:sz w:val="20"/>
          <w:szCs w:val="20"/>
        </w:rPr>
        <w:t xml:space="preserve"> and s 24A</w:t>
      </w:r>
      <w:r w:rsidR="00D868EC" w:rsidRPr="00D868EC">
        <w:rPr>
          <w:sz w:val="20"/>
          <w:szCs w:val="20"/>
        </w:rPr>
        <w:t>)</w:t>
      </w:r>
    </w:p>
    <w:p w:rsidR="007A2A8B" w:rsidRDefault="007A2A8B" w:rsidP="007B6F70">
      <w:pPr>
        <w:pStyle w:val="CoverActName"/>
        <w:spacing w:before="360" w:after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EXPLANATORY STATEMENT</w:t>
      </w:r>
    </w:p>
    <w:p w:rsidR="007A2A8B" w:rsidRPr="0072165A" w:rsidRDefault="007A2A8B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7A2A8B" w:rsidRPr="0072165A" w:rsidRDefault="007A2A8B">
      <w:pPr>
        <w:pStyle w:val="Header"/>
        <w:tabs>
          <w:tab w:val="clear" w:pos="4153"/>
          <w:tab w:val="clear" w:pos="8306"/>
        </w:tabs>
        <w:rPr>
          <w:bCs/>
        </w:rPr>
      </w:pPr>
    </w:p>
    <w:p w:rsidR="00F20ABC" w:rsidRDefault="00F20ABC" w:rsidP="007B6F70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EE5E1D">
        <w:rPr>
          <w:color w:val="000000"/>
        </w:rPr>
        <w:t>13</w:t>
      </w:r>
      <w:r>
        <w:rPr>
          <w:color w:val="000000"/>
        </w:rPr>
        <w:t xml:space="preserve"> of the </w:t>
      </w:r>
      <w:r>
        <w:rPr>
          <w:i/>
          <w:iCs/>
          <w:szCs w:val="20"/>
        </w:rPr>
        <w:t xml:space="preserve">Construction Occupations (Licensing) </w:t>
      </w:r>
      <w:r w:rsidR="00EE5E1D">
        <w:rPr>
          <w:i/>
          <w:iCs/>
          <w:szCs w:val="20"/>
        </w:rPr>
        <w:t>Regulation</w:t>
      </w:r>
      <w:r>
        <w:rPr>
          <w:i/>
          <w:iCs/>
          <w:szCs w:val="20"/>
        </w:rPr>
        <w:t xml:space="preserve"> 2004</w:t>
      </w:r>
      <w:r>
        <w:rPr>
          <w:rFonts w:ascii="Arial" w:hAnsi="Arial" w:cs="Arial"/>
          <w:szCs w:val="20"/>
        </w:rPr>
        <w:t xml:space="preserve"> </w:t>
      </w:r>
      <w:r>
        <w:rPr>
          <w:color w:val="000000"/>
        </w:rPr>
        <w:t xml:space="preserve">(the </w:t>
      </w:r>
      <w:r w:rsidR="00EE5E1D" w:rsidRPr="00D165F1">
        <w:rPr>
          <w:color w:val="000000"/>
        </w:rPr>
        <w:t>Regulation</w:t>
      </w:r>
      <w:r w:rsidRPr="00D165F1"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permits the Minister to </w:t>
      </w:r>
      <w:r w:rsidR="00EE5E1D" w:rsidRPr="00EE5E1D">
        <w:rPr>
          <w:color w:val="000000"/>
        </w:rPr>
        <w:t>declare the qualifications and financial</w:t>
      </w:r>
      <w:r w:rsidR="00EE5E1D">
        <w:rPr>
          <w:color w:val="000000"/>
        </w:rPr>
        <w:t xml:space="preserve"> </w:t>
      </w:r>
      <w:r w:rsidR="00EE5E1D" w:rsidRPr="00EE5E1D">
        <w:rPr>
          <w:color w:val="000000"/>
        </w:rPr>
        <w:t>requirements necessary for an entity to be eligible to be licensed in a</w:t>
      </w:r>
      <w:r w:rsidR="00EE5E1D">
        <w:rPr>
          <w:color w:val="000000"/>
        </w:rPr>
        <w:t xml:space="preserve"> </w:t>
      </w:r>
      <w:r w:rsidR="00EE5E1D" w:rsidRPr="00EE5E1D">
        <w:rPr>
          <w:color w:val="000000"/>
        </w:rPr>
        <w:t>construction occupation or occupation class</w:t>
      </w:r>
      <w:r>
        <w:rPr>
          <w:color w:val="000000"/>
        </w:rPr>
        <w:t>.</w:t>
      </w:r>
    </w:p>
    <w:p w:rsidR="00D165F1" w:rsidRDefault="00F20ABC" w:rsidP="00D165F1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>The purpose of this instrument is to d</w:t>
      </w:r>
      <w:r w:rsidR="00EE5E1D">
        <w:rPr>
          <w:color w:val="000000"/>
        </w:rPr>
        <w:t xml:space="preserve">eclare the qualifications </w:t>
      </w:r>
      <w:r w:rsidR="00EE5E1D" w:rsidRPr="00EE5E1D">
        <w:rPr>
          <w:color w:val="000000"/>
        </w:rPr>
        <w:t xml:space="preserve">necessary for an individual to be eligible to be licensed in </w:t>
      </w:r>
      <w:r w:rsidR="00295BC7">
        <w:rPr>
          <w:color w:val="000000"/>
        </w:rPr>
        <w:t>the construction occupations and associated</w:t>
      </w:r>
      <w:r w:rsidR="00EE5E1D" w:rsidRPr="00EE5E1D">
        <w:rPr>
          <w:color w:val="000000"/>
        </w:rPr>
        <w:t xml:space="preserve"> occupation class</w:t>
      </w:r>
      <w:r w:rsidR="00EE5E1D">
        <w:rPr>
          <w:color w:val="000000"/>
        </w:rPr>
        <w:t>es</w:t>
      </w:r>
      <w:r w:rsidR="00295BC7">
        <w:rPr>
          <w:color w:val="000000"/>
        </w:rPr>
        <w:t xml:space="preserve"> of</w:t>
      </w:r>
      <w:r w:rsidR="00E14670">
        <w:rPr>
          <w:color w:val="000000"/>
        </w:rPr>
        <w:t xml:space="preserve"> </w:t>
      </w:r>
      <w:r w:rsidR="00E14670" w:rsidRPr="00E14670">
        <w:rPr>
          <w:color w:val="000000"/>
        </w:rPr>
        <w:t xml:space="preserve">Building Assessor, Drainer, Electrician, Gasfitter, Gas Appliance Worker, Plumber, Plumbing Plan Certifier, </w:t>
      </w:r>
      <w:r w:rsidR="007B6F70">
        <w:rPr>
          <w:color w:val="000000"/>
        </w:rPr>
        <w:t xml:space="preserve">and </w:t>
      </w:r>
      <w:r w:rsidR="00E14670" w:rsidRPr="00E14670">
        <w:rPr>
          <w:color w:val="000000"/>
        </w:rPr>
        <w:t>Works Assessor Licences</w:t>
      </w:r>
      <w:r w:rsidR="00EE5E1D">
        <w:rPr>
          <w:color w:val="000000"/>
        </w:rPr>
        <w:t xml:space="preserve">. </w:t>
      </w:r>
      <w:r w:rsidR="00D165F1">
        <w:rPr>
          <w:color w:val="000000"/>
        </w:rPr>
        <w:t xml:space="preserve">It prescribes qualifications for particular applicants for new licences. It does not prescribe general requirements for renewing licensees or financial requirements. </w:t>
      </w:r>
    </w:p>
    <w:p w:rsidR="00C5103D" w:rsidRPr="00876B38" w:rsidRDefault="007B6F70" w:rsidP="007B6F70">
      <w:pPr>
        <w:pStyle w:val="LongTitle"/>
        <w:spacing w:before="0" w:after="120"/>
        <w:jc w:val="left"/>
        <w:rPr>
          <w:color w:val="000000"/>
          <w:u w:val="single"/>
        </w:rPr>
      </w:pPr>
      <w:r>
        <w:rPr>
          <w:color w:val="000000"/>
          <w:u w:val="single"/>
        </w:rPr>
        <w:t>Expired licences</w:t>
      </w:r>
    </w:p>
    <w:p w:rsidR="00876B38" w:rsidRDefault="00876B38" w:rsidP="007B6F70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>Th</w:t>
      </w:r>
      <w:r w:rsidR="00E14670">
        <w:rPr>
          <w:color w:val="000000"/>
        </w:rPr>
        <w:t>e previous declaration include</w:t>
      </w:r>
      <w:r w:rsidR="00F1076D">
        <w:rPr>
          <w:color w:val="000000"/>
        </w:rPr>
        <w:t>d</w:t>
      </w:r>
      <w:r w:rsidR="00E14670">
        <w:rPr>
          <w:color w:val="000000"/>
        </w:rPr>
        <w:t xml:space="preserve"> eligibility options for </w:t>
      </w:r>
      <w:r>
        <w:rPr>
          <w:color w:val="000000"/>
        </w:rPr>
        <w:t xml:space="preserve">people with previous licences </w:t>
      </w:r>
      <w:r w:rsidR="00E14670">
        <w:rPr>
          <w:color w:val="000000"/>
        </w:rPr>
        <w:t xml:space="preserve">if the </w:t>
      </w:r>
      <w:r>
        <w:rPr>
          <w:color w:val="000000"/>
        </w:rPr>
        <w:t xml:space="preserve">licence </w:t>
      </w:r>
      <w:r w:rsidRPr="001266FD">
        <w:rPr>
          <w:color w:val="000000"/>
        </w:rPr>
        <w:t>was not, or is not, the subject of cancellation or suspension</w:t>
      </w:r>
      <w:r w:rsidR="00E14670">
        <w:rPr>
          <w:color w:val="000000"/>
        </w:rPr>
        <w:t xml:space="preserve">. These pathways have been redrafted to include licences </w:t>
      </w:r>
      <w:r w:rsidRPr="001266FD">
        <w:rPr>
          <w:color w:val="000000"/>
        </w:rPr>
        <w:t>surrendered to avoid occupational discipline or another regulatory action against the licensee (however described)</w:t>
      </w:r>
      <w:r w:rsidR="00E14670">
        <w:rPr>
          <w:color w:val="000000"/>
        </w:rPr>
        <w:t>, as ineligible for those options. This is consistent with the policy intent of the exclusions</w:t>
      </w:r>
      <w:r>
        <w:rPr>
          <w:color w:val="000000"/>
        </w:rPr>
        <w:t xml:space="preserve">. </w:t>
      </w:r>
    </w:p>
    <w:p w:rsidR="00876B38" w:rsidRDefault="002B7DD8" w:rsidP="007B6F70">
      <w:pPr>
        <w:pStyle w:val="LongTitle"/>
        <w:spacing w:before="0" w:after="120"/>
        <w:jc w:val="left"/>
        <w:rPr>
          <w:color w:val="000000"/>
          <w:u w:val="single"/>
        </w:rPr>
      </w:pPr>
      <w:r>
        <w:rPr>
          <w:color w:val="000000"/>
          <w:u w:val="single"/>
        </w:rPr>
        <w:t>Plumbing plan certifier licences</w:t>
      </w:r>
    </w:p>
    <w:p w:rsidR="002B7DD8" w:rsidRPr="00931BE3" w:rsidRDefault="002B7DD8" w:rsidP="007B6F70">
      <w:pPr>
        <w:pStyle w:val="LongTitle"/>
        <w:spacing w:before="0" w:after="240"/>
        <w:jc w:val="left"/>
        <w:rPr>
          <w:color w:val="000000"/>
        </w:rPr>
      </w:pPr>
      <w:r w:rsidRPr="002B7DD8">
        <w:rPr>
          <w:color w:val="000000"/>
        </w:rPr>
        <w:t xml:space="preserve">This instrument updates Method 1 </w:t>
      </w:r>
      <w:r>
        <w:rPr>
          <w:color w:val="000000"/>
        </w:rPr>
        <w:t xml:space="preserve">for plumbing plan certifier licences </w:t>
      </w:r>
      <w:r w:rsidRPr="002B7DD8">
        <w:rPr>
          <w:color w:val="000000"/>
        </w:rPr>
        <w:t>to include the Plumbing Code of Australia</w:t>
      </w:r>
      <w:r>
        <w:rPr>
          <w:color w:val="000000"/>
        </w:rPr>
        <w:t xml:space="preserve"> (PCA)</w:t>
      </w:r>
      <w:r w:rsidRPr="002B7DD8">
        <w:rPr>
          <w:color w:val="000000"/>
        </w:rPr>
        <w:t xml:space="preserve"> as well as </w:t>
      </w:r>
      <w:r w:rsidRPr="002B7DD8">
        <w:rPr>
          <w:i/>
          <w:color w:val="000000"/>
        </w:rPr>
        <w:t>AS/NZS 3500 – Plumbing and Drainage</w:t>
      </w:r>
      <w:r w:rsidRPr="002B7DD8">
        <w:rPr>
          <w:color w:val="000000"/>
        </w:rPr>
        <w:t xml:space="preserve"> </w:t>
      </w:r>
      <w:r>
        <w:rPr>
          <w:color w:val="000000"/>
        </w:rPr>
        <w:t xml:space="preserve">as a document an applicant must demonstrate sufficient knowledge of to hold a licence. The PCA </w:t>
      </w:r>
      <w:r w:rsidR="00931BE3">
        <w:rPr>
          <w:color w:val="000000"/>
        </w:rPr>
        <w:t xml:space="preserve">is adopted as </w:t>
      </w:r>
      <w:r>
        <w:rPr>
          <w:color w:val="000000"/>
        </w:rPr>
        <w:t xml:space="preserve">part of the ACT plumbing code made under the </w:t>
      </w:r>
      <w:r w:rsidRPr="002B7DD8">
        <w:rPr>
          <w:i/>
          <w:color w:val="000000"/>
        </w:rPr>
        <w:t>Water and Sewerage Act 2000</w:t>
      </w:r>
      <w:r>
        <w:rPr>
          <w:color w:val="000000"/>
        </w:rPr>
        <w:t xml:space="preserve">. </w:t>
      </w:r>
      <w:r w:rsidRPr="002B7DD8">
        <w:rPr>
          <w:color w:val="000000"/>
        </w:rPr>
        <w:t xml:space="preserve"> </w:t>
      </w:r>
      <w:r w:rsidR="00931BE3">
        <w:rPr>
          <w:color w:val="000000"/>
        </w:rPr>
        <w:t xml:space="preserve">It references </w:t>
      </w:r>
      <w:r w:rsidR="00931BE3" w:rsidRPr="002B7DD8">
        <w:rPr>
          <w:i/>
          <w:color w:val="000000"/>
        </w:rPr>
        <w:t>AS/NZS 3500 – Plumbing and Drainage</w:t>
      </w:r>
      <w:r w:rsidR="00931BE3">
        <w:rPr>
          <w:i/>
          <w:color w:val="000000"/>
        </w:rPr>
        <w:t xml:space="preserve"> </w:t>
      </w:r>
      <w:r w:rsidR="00931BE3" w:rsidRPr="00931BE3">
        <w:rPr>
          <w:color w:val="000000"/>
        </w:rPr>
        <w:t>as a method of complying with relevant performance standards.</w:t>
      </w:r>
    </w:p>
    <w:p w:rsidR="00D165F1" w:rsidRDefault="00D165F1" w:rsidP="007B6F70">
      <w:pPr>
        <w:pStyle w:val="LongTitle"/>
        <w:spacing w:before="0" w:after="120"/>
        <w:jc w:val="left"/>
        <w:rPr>
          <w:color w:val="000000"/>
          <w:u w:val="single"/>
        </w:rPr>
      </w:pPr>
    </w:p>
    <w:p w:rsidR="00D165F1" w:rsidRDefault="00D165F1" w:rsidP="007B6F70">
      <w:pPr>
        <w:pStyle w:val="LongTitle"/>
        <w:spacing w:before="0" w:after="120"/>
        <w:jc w:val="left"/>
        <w:rPr>
          <w:color w:val="000000"/>
          <w:u w:val="single"/>
        </w:rPr>
      </w:pPr>
    </w:p>
    <w:p w:rsidR="00076C4F" w:rsidRPr="00A622A8" w:rsidRDefault="00076C4F" w:rsidP="007B6F70">
      <w:pPr>
        <w:pStyle w:val="LongTitle"/>
        <w:spacing w:before="0" w:after="120"/>
        <w:jc w:val="left"/>
        <w:rPr>
          <w:color w:val="000000"/>
          <w:u w:val="single"/>
        </w:rPr>
      </w:pPr>
      <w:r w:rsidRPr="00A622A8">
        <w:rPr>
          <w:color w:val="000000"/>
          <w:u w:val="single"/>
        </w:rPr>
        <w:lastRenderedPageBreak/>
        <w:t>Class A Works Assessor – planning and development</w:t>
      </w:r>
    </w:p>
    <w:p w:rsidR="00664497" w:rsidRPr="00A622A8" w:rsidRDefault="00664497" w:rsidP="007B6F70">
      <w:pPr>
        <w:pStyle w:val="LongTitle"/>
        <w:spacing w:before="0" w:after="240"/>
        <w:jc w:val="left"/>
        <w:rPr>
          <w:color w:val="000000"/>
        </w:rPr>
      </w:pPr>
      <w:r w:rsidRPr="00A622A8">
        <w:rPr>
          <w:color w:val="000000"/>
        </w:rPr>
        <w:t>The instrument also removes a pathway for a principal building surveyors licences by registration as a principal certifier-building ACT on Engineers Australia’s National Engineering Register. The registration is no longer offered. There are no other changes to qualifications for building surveyor licences in this instrument.</w:t>
      </w:r>
    </w:p>
    <w:p w:rsidR="002B7DD8" w:rsidRPr="002B7DD8" w:rsidRDefault="002B7DD8" w:rsidP="007B6F70">
      <w:pPr>
        <w:pStyle w:val="LongTitle"/>
        <w:spacing w:before="0" w:after="120"/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Class B Works Assessor – </w:t>
      </w:r>
      <w:r w:rsidRPr="002B7DD8">
        <w:rPr>
          <w:color w:val="000000"/>
          <w:u w:val="single"/>
        </w:rPr>
        <w:t>planning and development</w:t>
      </w:r>
    </w:p>
    <w:p w:rsidR="002B7DD8" w:rsidRPr="002B7DD8" w:rsidRDefault="002B7DD8" w:rsidP="007B6F70">
      <w:pPr>
        <w:pStyle w:val="LongTitle"/>
        <w:spacing w:before="0" w:after="240"/>
        <w:jc w:val="left"/>
        <w:rPr>
          <w:color w:val="000000"/>
        </w:rPr>
      </w:pPr>
      <w:r w:rsidRPr="002B7DD8">
        <w:rPr>
          <w:color w:val="000000"/>
        </w:rPr>
        <w:t xml:space="preserve">This instrument clarifies that </w:t>
      </w:r>
      <w:r>
        <w:rPr>
          <w:color w:val="000000"/>
        </w:rPr>
        <w:t xml:space="preserve">the levels of membership </w:t>
      </w:r>
      <w:r w:rsidRPr="002B7DD8">
        <w:rPr>
          <w:color w:val="000000"/>
        </w:rPr>
        <w:t xml:space="preserve">of the Planning Institute of Australia </w:t>
      </w:r>
      <w:r>
        <w:rPr>
          <w:color w:val="000000"/>
        </w:rPr>
        <w:t xml:space="preserve">that make an eligible under Method 1 </w:t>
      </w:r>
      <w:r w:rsidRPr="002B7DD8">
        <w:rPr>
          <w:color w:val="000000"/>
        </w:rPr>
        <w:t xml:space="preserve">does not </w:t>
      </w:r>
      <w:r>
        <w:rPr>
          <w:color w:val="000000"/>
        </w:rPr>
        <w:t xml:space="preserve">include </w:t>
      </w:r>
      <w:r w:rsidRPr="002B7DD8">
        <w:rPr>
          <w:color w:val="000000"/>
        </w:rPr>
        <w:t>student or associate members.</w:t>
      </w:r>
      <w:r>
        <w:rPr>
          <w:color w:val="000000"/>
        </w:rPr>
        <w:t xml:space="preserve">  </w:t>
      </w:r>
    </w:p>
    <w:p w:rsidR="002B7DD8" w:rsidRDefault="002B7DD8" w:rsidP="007B6F70">
      <w:pPr>
        <w:pStyle w:val="LongTitle"/>
        <w:spacing w:before="0" w:after="120"/>
        <w:jc w:val="left"/>
        <w:rPr>
          <w:color w:val="000000"/>
          <w:u w:val="single"/>
        </w:rPr>
      </w:pPr>
      <w:r>
        <w:rPr>
          <w:color w:val="000000"/>
          <w:u w:val="single"/>
        </w:rPr>
        <w:t>Other licences</w:t>
      </w:r>
    </w:p>
    <w:p w:rsidR="002B7DD8" w:rsidRPr="00076C4F" w:rsidRDefault="002B7DD8" w:rsidP="007B6F70">
      <w:pPr>
        <w:pStyle w:val="LongTitle"/>
        <w:spacing w:before="0" w:after="240"/>
        <w:jc w:val="left"/>
        <w:rPr>
          <w:color w:val="000000"/>
        </w:rPr>
      </w:pPr>
      <w:r w:rsidRPr="00076C4F">
        <w:rPr>
          <w:color w:val="000000"/>
        </w:rPr>
        <w:t>Eligibility pathways have been redrafted and reformatted for clarity and consistency in the document. This instrument also updates references to th</w:t>
      </w:r>
      <w:r w:rsidR="00076C4F" w:rsidRPr="00076C4F">
        <w:rPr>
          <w:color w:val="000000"/>
        </w:rPr>
        <w:t>e National Engineering Register.</w:t>
      </w:r>
    </w:p>
    <w:p w:rsidR="002B7DD8" w:rsidRPr="00076C4F" w:rsidRDefault="002B7DD8" w:rsidP="007B6F70">
      <w:pPr>
        <w:pStyle w:val="LongTitle"/>
        <w:spacing w:before="0" w:after="240"/>
        <w:jc w:val="left"/>
        <w:rPr>
          <w:color w:val="000000"/>
        </w:rPr>
      </w:pPr>
      <w:r w:rsidRPr="00076C4F">
        <w:rPr>
          <w:color w:val="000000"/>
        </w:rPr>
        <w:t xml:space="preserve">There are no other changes to qualification requirements for construction occupations and occupation classes in this instrument.   </w:t>
      </w:r>
    </w:p>
    <w:p w:rsidR="00876B38" w:rsidRPr="00876B38" w:rsidRDefault="00E14670" w:rsidP="007B6F70">
      <w:pPr>
        <w:pStyle w:val="LongTitle"/>
        <w:spacing w:before="0" w:after="120"/>
        <w:jc w:val="left"/>
        <w:rPr>
          <w:color w:val="000000"/>
          <w:u w:val="single"/>
        </w:rPr>
      </w:pPr>
      <w:r>
        <w:rPr>
          <w:color w:val="000000"/>
          <w:u w:val="single"/>
        </w:rPr>
        <w:t>C</w:t>
      </w:r>
      <w:r w:rsidR="00876B38" w:rsidRPr="00876B38">
        <w:rPr>
          <w:color w:val="000000"/>
          <w:u w:val="single"/>
        </w:rPr>
        <w:t xml:space="preserve">ommencement </w:t>
      </w:r>
    </w:p>
    <w:p w:rsidR="00F20ABC" w:rsidRDefault="00D31476" w:rsidP="007B6F70">
      <w:pPr>
        <w:pStyle w:val="Header"/>
        <w:tabs>
          <w:tab w:val="clear" w:pos="4153"/>
          <w:tab w:val="clear" w:pos="8306"/>
        </w:tabs>
        <w:spacing w:after="240"/>
      </w:pPr>
      <w:r>
        <w:t xml:space="preserve">The instrument commences on </w:t>
      </w:r>
      <w:r w:rsidR="00295BC7">
        <w:t>the day after its notification date</w:t>
      </w:r>
      <w:r>
        <w:t>.</w:t>
      </w:r>
    </w:p>
    <w:p w:rsidR="007644D3" w:rsidRDefault="00F20ABC" w:rsidP="007B6F70">
      <w:pPr>
        <w:pStyle w:val="LongTitle"/>
        <w:spacing w:before="0" w:after="240"/>
        <w:jc w:val="left"/>
        <w:rPr>
          <w:lang w:eastAsia="en-AU"/>
        </w:rPr>
      </w:pPr>
      <w:r>
        <w:t>Th</w:t>
      </w:r>
      <w:r w:rsidR="00837019">
        <w:t>is</w:t>
      </w:r>
      <w:r>
        <w:t xml:space="preserve"> de</w:t>
      </w:r>
      <w:r w:rsidR="00F53808">
        <w:t xml:space="preserve">claration </w:t>
      </w:r>
      <w:r w:rsidR="007644D3">
        <w:t xml:space="preserve">is a disallowable instrument </w:t>
      </w:r>
      <w:r w:rsidR="007644D3">
        <w:rPr>
          <w:lang w:eastAsia="en-AU"/>
        </w:rPr>
        <w:t xml:space="preserve">and must be presented to the Legislative Assembly within 6 sitting days after its notification pursuant to section 64 of the </w:t>
      </w:r>
      <w:r w:rsidR="007644D3">
        <w:rPr>
          <w:i/>
          <w:iCs/>
          <w:lang w:eastAsia="en-AU"/>
        </w:rPr>
        <w:t>Legislation Act 2001</w:t>
      </w:r>
      <w:r w:rsidR="007644D3">
        <w:rPr>
          <w:lang w:eastAsia="en-AU"/>
        </w:rPr>
        <w:t>.</w:t>
      </w:r>
    </w:p>
    <w:p w:rsidR="007644D3" w:rsidRDefault="007644D3" w:rsidP="007B6F70">
      <w:pPr>
        <w:keepNext/>
        <w:autoSpaceDE w:val="0"/>
        <w:autoSpaceDN w:val="0"/>
        <w:adjustRightInd w:val="0"/>
        <w:spacing w:after="120"/>
        <w:rPr>
          <w:b/>
          <w:lang w:eastAsia="en-AU"/>
        </w:rPr>
      </w:pPr>
      <w:r>
        <w:rPr>
          <w:b/>
          <w:lang w:eastAsia="en-AU"/>
        </w:rPr>
        <w:t>Regulatory Impact Statement (RIS)</w:t>
      </w:r>
    </w:p>
    <w:p w:rsidR="000978AF" w:rsidRDefault="001B2EE7" w:rsidP="007B6F70">
      <w:pPr>
        <w:autoSpaceDE w:val="0"/>
        <w:autoSpaceDN w:val="0"/>
        <w:adjustRightInd w:val="0"/>
        <w:spacing w:after="240"/>
        <w:rPr>
          <w:lang w:eastAsia="en-AU"/>
        </w:rPr>
      </w:pPr>
      <w:r>
        <w:rPr>
          <w:lang w:eastAsia="en-AU"/>
        </w:rPr>
        <w:t xml:space="preserve">Section 34 of the </w:t>
      </w:r>
      <w:r w:rsidRPr="00383F40">
        <w:rPr>
          <w:i/>
          <w:lang w:eastAsia="en-AU"/>
        </w:rPr>
        <w:t>Legislation Act 2001</w:t>
      </w:r>
      <w:r>
        <w:rPr>
          <w:lang w:eastAsia="en-AU"/>
        </w:rPr>
        <w:t xml:space="preserve"> provides that if a proposed subordinate law or disallowable instrument (the proposed law) is likely to impose appreciable costs on the community, or a part of the community, then, before the proposed law is made, the Minister administering the authorising law must arrange for a regulatory impact statement to be prepared for the proposed law.</w:t>
      </w:r>
    </w:p>
    <w:p w:rsidR="003C1595" w:rsidRDefault="002D3737" w:rsidP="007B6F70">
      <w:pPr>
        <w:autoSpaceDE w:val="0"/>
        <w:autoSpaceDN w:val="0"/>
        <w:adjustRightInd w:val="0"/>
        <w:spacing w:after="240"/>
        <w:rPr>
          <w:lang w:eastAsia="en-AU"/>
        </w:rPr>
      </w:pPr>
      <w:r>
        <w:rPr>
          <w:lang w:eastAsia="en-AU"/>
        </w:rPr>
        <w:t xml:space="preserve">A RIS is not required as this </w:t>
      </w:r>
      <w:r w:rsidR="003C1595">
        <w:rPr>
          <w:lang w:eastAsia="en-AU"/>
        </w:rPr>
        <w:t>instrument</w:t>
      </w:r>
      <w:r w:rsidR="001B2EE7">
        <w:rPr>
          <w:lang w:eastAsia="en-AU"/>
        </w:rPr>
        <w:t xml:space="preserve"> is not expected to impose appreciable costs on the community or part of the community. </w:t>
      </w:r>
    </w:p>
    <w:p w:rsidR="007644D3" w:rsidRDefault="007644D3" w:rsidP="007B6F70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Human Rights</w:t>
      </w:r>
    </w:p>
    <w:p w:rsidR="007A2A8B" w:rsidRDefault="007644D3" w:rsidP="007B6F70">
      <w:pPr>
        <w:pStyle w:val="Header"/>
        <w:tabs>
          <w:tab w:val="left" w:pos="720"/>
        </w:tabs>
        <w:spacing w:after="240"/>
      </w:pPr>
      <w:r>
        <w:t xml:space="preserve">The Standing Committee on Justice and Community Safety (Legislative Scrutiny Role) terms of reference require consideration of human rights impacts, among other matters. </w:t>
      </w:r>
      <w:r w:rsidR="000978AF">
        <w:t>T</w:t>
      </w:r>
      <w:r w:rsidR="00903411">
        <w:t xml:space="preserve">here are no </w:t>
      </w:r>
      <w:r>
        <w:t>human rights impact</w:t>
      </w:r>
      <w:r w:rsidR="00903411">
        <w:t>s</w:t>
      </w:r>
      <w:r w:rsidR="000978AF">
        <w:t xml:space="preserve"> related to </w:t>
      </w:r>
      <w:r w:rsidR="00FB7B69">
        <w:t>this instrument</w:t>
      </w:r>
      <w:r>
        <w:t>.</w:t>
      </w:r>
    </w:p>
    <w:p w:rsidR="00F230F9" w:rsidRDefault="00F230F9" w:rsidP="007B6F70">
      <w:pPr>
        <w:pStyle w:val="Header"/>
        <w:tabs>
          <w:tab w:val="left" w:pos="720"/>
        </w:tabs>
        <w:spacing w:after="240"/>
      </w:pPr>
      <w:r>
        <w:t xml:space="preserve">An applicant who is refused a licence may seek a review of the decision at the </w:t>
      </w:r>
      <w:r w:rsidR="00837019">
        <w:t>ACT Civil and Administrative Tribunal</w:t>
      </w:r>
      <w:r>
        <w:t xml:space="preserve">.  </w:t>
      </w:r>
    </w:p>
    <w:sectPr w:rsidR="00F230F9" w:rsidSect="00721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DD" w:rsidRDefault="003A04DD" w:rsidP="0072165A">
      <w:r>
        <w:separator/>
      </w:r>
    </w:p>
  </w:endnote>
  <w:endnote w:type="continuationSeparator" w:id="0">
    <w:p w:rsidR="003A04DD" w:rsidRDefault="003A04DD" w:rsidP="0072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2C" w:rsidRDefault="005F7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921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37E" w:rsidRDefault="00725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37E" w:rsidRPr="005F772C" w:rsidRDefault="005F772C" w:rsidP="005F772C">
    <w:pPr>
      <w:pStyle w:val="Footer"/>
      <w:jc w:val="center"/>
      <w:rPr>
        <w:rFonts w:ascii="Arial" w:hAnsi="Arial" w:cs="Arial"/>
        <w:sz w:val="14"/>
      </w:rPr>
    </w:pPr>
    <w:r w:rsidRPr="005F772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2C" w:rsidRDefault="005F7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DD" w:rsidRDefault="003A04DD" w:rsidP="0072165A">
      <w:r>
        <w:separator/>
      </w:r>
    </w:p>
  </w:footnote>
  <w:footnote w:type="continuationSeparator" w:id="0">
    <w:p w:rsidR="003A04DD" w:rsidRDefault="003A04DD" w:rsidP="0072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2C" w:rsidRDefault="005F7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2C" w:rsidRDefault="005F7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2C" w:rsidRDefault="005F7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F254853"/>
    <w:multiLevelType w:val="multilevel"/>
    <w:tmpl w:val="5AF4B74E"/>
    <w:lvl w:ilvl="0">
      <w:start w:val="1"/>
      <w:numFmt w:val="none"/>
      <w:pStyle w:val="condition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35872B8"/>
    <w:multiLevelType w:val="hybridMultilevel"/>
    <w:tmpl w:val="4C4A0FDC"/>
    <w:lvl w:ilvl="0" w:tplc="A63CC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6C3F30"/>
    <w:multiLevelType w:val="hybridMultilevel"/>
    <w:tmpl w:val="9D821FEE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3"/>
    <w:rsid w:val="00021B33"/>
    <w:rsid w:val="00060A33"/>
    <w:rsid w:val="0007102B"/>
    <w:rsid w:val="0007274D"/>
    <w:rsid w:val="00076C4F"/>
    <w:rsid w:val="000978AF"/>
    <w:rsid w:val="000A1A53"/>
    <w:rsid w:val="000D7A02"/>
    <w:rsid w:val="001266FD"/>
    <w:rsid w:val="00140735"/>
    <w:rsid w:val="0016000D"/>
    <w:rsid w:val="001673C6"/>
    <w:rsid w:val="001B2EE7"/>
    <w:rsid w:val="001C6B61"/>
    <w:rsid w:val="001F281B"/>
    <w:rsid w:val="00245CDA"/>
    <w:rsid w:val="00246ACC"/>
    <w:rsid w:val="002653F2"/>
    <w:rsid w:val="002675EF"/>
    <w:rsid w:val="00287BDE"/>
    <w:rsid w:val="00295BC7"/>
    <w:rsid w:val="002B0424"/>
    <w:rsid w:val="002B36FA"/>
    <w:rsid w:val="002B7DD8"/>
    <w:rsid w:val="002C16C9"/>
    <w:rsid w:val="002C7E2A"/>
    <w:rsid w:val="002D3737"/>
    <w:rsid w:val="00383F40"/>
    <w:rsid w:val="00393AEF"/>
    <w:rsid w:val="003A04DD"/>
    <w:rsid w:val="003C1595"/>
    <w:rsid w:val="003D00F2"/>
    <w:rsid w:val="00401091"/>
    <w:rsid w:val="00461F52"/>
    <w:rsid w:val="00490B20"/>
    <w:rsid w:val="004A10CE"/>
    <w:rsid w:val="00517DF8"/>
    <w:rsid w:val="00543F67"/>
    <w:rsid w:val="005F772C"/>
    <w:rsid w:val="006437A1"/>
    <w:rsid w:val="00664497"/>
    <w:rsid w:val="006C1CEC"/>
    <w:rsid w:val="006F3430"/>
    <w:rsid w:val="007154B0"/>
    <w:rsid w:val="0072165A"/>
    <w:rsid w:val="0072537E"/>
    <w:rsid w:val="007644D3"/>
    <w:rsid w:val="0077323E"/>
    <w:rsid w:val="007A2A8B"/>
    <w:rsid w:val="007B6F70"/>
    <w:rsid w:val="007D3D99"/>
    <w:rsid w:val="007D700D"/>
    <w:rsid w:val="0080286E"/>
    <w:rsid w:val="00832A81"/>
    <w:rsid w:val="00834048"/>
    <w:rsid w:val="00837019"/>
    <w:rsid w:val="00876B38"/>
    <w:rsid w:val="008B2BFA"/>
    <w:rsid w:val="008D062E"/>
    <w:rsid w:val="008D497B"/>
    <w:rsid w:val="008E00EA"/>
    <w:rsid w:val="008F0230"/>
    <w:rsid w:val="008F4F49"/>
    <w:rsid w:val="00902C4A"/>
    <w:rsid w:val="00903411"/>
    <w:rsid w:val="009152DB"/>
    <w:rsid w:val="009201A2"/>
    <w:rsid w:val="00931BE3"/>
    <w:rsid w:val="009504C2"/>
    <w:rsid w:val="009619DF"/>
    <w:rsid w:val="00964895"/>
    <w:rsid w:val="009B6376"/>
    <w:rsid w:val="009C616A"/>
    <w:rsid w:val="009D0355"/>
    <w:rsid w:val="009D0427"/>
    <w:rsid w:val="009E0F58"/>
    <w:rsid w:val="009F2336"/>
    <w:rsid w:val="00A23625"/>
    <w:rsid w:val="00A622A8"/>
    <w:rsid w:val="00A70C28"/>
    <w:rsid w:val="00A72282"/>
    <w:rsid w:val="00A82F19"/>
    <w:rsid w:val="00AE43BD"/>
    <w:rsid w:val="00B00A05"/>
    <w:rsid w:val="00B424AD"/>
    <w:rsid w:val="00B800EB"/>
    <w:rsid w:val="00BC7D82"/>
    <w:rsid w:val="00BD4042"/>
    <w:rsid w:val="00BF49F8"/>
    <w:rsid w:val="00C06F79"/>
    <w:rsid w:val="00C1504A"/>
    <w:rsid w:val="00C456D1"/>
    <w:rsid w:val="00C5103D"/>
    <w:rsid w:val="00C57E61"/>
    <w:rsid w:val="00C630EF"/>
    <w:rsid w:val="00C81A28"/>
    <w:rsid w:val="00C87BCD"/>
    <w:rsid w:val="00CC0DE5"/>
    <w:rsid w:val="00D165F1"/>
    <w:rsid w:val="00D26E38"/>
    <w:rsid w:val="00D31476"/>
    <w:rsid w:val="00D338A8"/>
    <w:rsid w:val="00D55293"/>
    <w:rsid w:val="00D61E80"/>
    <w:rsid w:val="00D868EC"/>
    <w:rsid w:val="00D9185A"/>
    <w:rsid w:val="00D9209D"/>
    <w:rsid w:val="00DA4B8A"/>
    <w:rsid w:val="00DA6664"/>
    <w:rsid w:val="00DE46BE"/>
    <w:rsid w:val="00DF73B1"/>
    <w:rsid w:val="00E14670"/>
    <w:rsid w:val="00E16EAE"/>
    <w:rsid w:val="00E21678"/>
    <w:rsid w:val="00E67F53"/>
    <w:rsid w:val="00E826C1"/>
    <w:rsid w:val="00E84A2C"/>
    <w:rsid w:val="00E865F5"/>
    <w:rsid w:val="00E94D2B"/>
    <w:rsid w:val="00EB0A3B"/>
    <w:rsid w:val="00EB11E5"/>
    <w:rsid w:val="00EC7D6A"/>
    <w:rsid w:val="00EE5E1D"/>
    <w:rsid w:val="00EF1AE9"/>
    <w:rsid w:val="00EF469F"/>
    <w:rsid w:val="00F1076D"/>
    <w:rsid w:val="00F20ABC"/>
    <w:rsid w:val="00F230F9"/>
    <w:rsid w:val="00F37D26"/>
    <w:rsid w:val="00F40C11"/>
    <w:rsid w:val="00F53808"/>
    <w:rsid w:val="00F64A07"/>
    <w:rsid w:val="00F837B6"/>
    <w:rsid w:val="00F86A70"/>
    <w:rsid w:val="00FA32A3"/>
    <w:rsid w:val="00FB312C"/>
    <w:rsid w:val="00FB7B69"/>
    <w:rsid w:val="00FD1726"/>
    <w:rsid w:val="00FD241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0A9EB1-C4AC-48EB-B926-6364395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ACC"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6ACC"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6ACC"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6ACC"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6ACC"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6AC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46ACC"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6ACC"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6ACC"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46ACC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6AC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46ACC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46ACC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46ACC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46ACC"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46ACC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46ACC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46ACC"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rsid w:val="00246ACC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0ABC"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rsid w:val="00246ACC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rsid w:val="00246ACC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rsid w:val="00246ACC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rsid w:val="00246ACC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rsid w:val="00246ACC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rsid w:val="00246ACC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246A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246ACC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246ACC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rsid w:val="00246ACC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246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ACC"/>
    <w:rPr>
      <w:rFonts w:cs="Times New Roman"/>
      <w:sz w:val="24"/>
      <w:szCs w:val="24"/>
      <w:lang w:val="x-none" w:eastAsia="en-US"/>
    </w:rPr>
  </w:style>
  <w:style w:type="paragraph" w:customStyle="1" w:styleId="ChronTableBold">
    <w:name w:val="ChronTableBold"/>
    <w:basedOn w:val="Normal"/>
    <w:rsid w:val="00246ACC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rsid w:val="00246ACC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rsid w:val="00246ACC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uiPriority w:val="35"/>
    <w:qFormat/>
    <w:rsid w:val="00246ACC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rsid w:val="0028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BDE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216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16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2165A"/>
    <w:rPr>
      <w:rFonts w:cs="Times New Roman"/>
      <w:b/>
      <w:bCs/>
      <w:lang w:val="x-none" w:eastAsia="en-US"/>
    </w:rPr>
  </w:style>
  <w:style w:type="character" w:styleId="Hyperlink">
    <w:name w:val="Hyperlink"/>
    <w:basedOn w:val="DefaultParagraphFont"/>
    <w:uiPriority w:val="99"/>
    <w:rsid w:val="0016000D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F538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3808"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F53808"/>
    <w:rPr>
      <w:rFonts w:cs="Times New Roman"/>
      <w:vertAlign w:val="superscript"/>
    </w:rPr>
  </w:style>
  <w:style w:type="character" w:customStyle="1" w:styleId="Calibri12">
    <w:name w:val="Calibri 12"/>
    <w:basedOn w:val="DefaultParagraphFont"/>
    <w:uiPriority w:val="1"/>
    <w:qFormat/>
    <w:rsid w:val="00664497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664497"/>
    <w:pPr>
      <w:widowControl w:val="0"/>
      <w:ind w:left="720"/>
      <w:contextualSpacing/>
    </w:pPr>
    <w:rPr>
      <w:iCs/>
      <w:lang w:val="en-US"/>
    </w:rPr>
  </w:style>
  <w:style w:type="paragraph" w:customStyle="1" w:styleId="Apara">
    <w:name w:val="A para"/>
    <w:basedOn w:val="Normal"/>
    <w:rsid w:val="002B7DD8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</w:style>
  <w:style w:type="paragraph" w:customStyle="1" w:styleId="condition">
    <w:name w:val="condition"/>
    <w:basedOn w:val="Normal"/>
    <w:rsid w:val="002B7DD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B79B-98C2-4C17-A73F-27153D0273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424680-7DFA-45FC-A764-AF648A54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3530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2017-11-15T21:11:00Z</cp:lastPrinted>
  <dcterms:created xsi:type="dcterms:W3CDTF">2019-02-20T22:59:00Z</dcterms:created>
  <dcterms:modified xsi:type="dcterms:W3CDTF">2019-02-20T22:59:00Z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A17865991</vt:lpwstr>
  </property>
  <property fmtid="{D5CDD505-2E9C-101B-9397-08002B2CF9AE}" pid="3" name="Objective-Comment">
    <vt:lpwstr/>
  </property>
  <property fmtid="{D5CDD505-2E9C-101B-9397-08002B2CF9AE}" pid="4" name="Objective-CreationStamp">
    <vt:filetime>2018-12-11T02:39:08Z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2019-02-14T04:00:39Z</vt:filetime>
  </property>
  <property fmtid="{D5CDD505-2E9C-101B-9397-08002B2CF9AE}" pid="8" name="Objective-ModificationStamp">
    <vt:filetime>2019-02-14T04:00:39Z</vt:filetime>
  </property>
  <property fmtid="{D5CDD505-2E9C-101B-9397-08002B2CF9AE}" pid="9" name="Objective-Owner">
    <vt:lpwstr>Vanessa Morris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Ministerials:2018 - Ministerial and Chief Ministerial Briefs / Correspondence:Building Policy:18/36655 - Min</vt:lpwstr>
  </property>
  <property fmtid="{D5CDD505-2E9C-101B-9397-08002B2CF9AE}" pid="11" name="Objective-Parent">
    <vt:lpwstr>18/36655 - Ministerial Information Brief - Regulation and Instruments - Builder licence exams</vt:lpwstr>
  </property>
  <property fmtid="{D5CDD505-2E9C-101B-9397-08002B2CF9AE}" pid="12" name="Objective-State">
    <vt:lpwstr>Published</vt:lpwstr>
  </property>
  <property fmtid="{D5CDD505-2E9C-101B-9397-08002B2CF9AE}" pid="13" name="Objective-Title">
    <vt:lpwstr>Attachment F - Explanatory Statement - DI Qualifications Declaration - All other occupations - COLA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1-2018/36655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623d6324-093d-4f46-a038-78c85457b607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