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EA5CD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11AB7441" w14:textId="5BDBD8DA" w:rsidR="00C17FAB" w:rsidRDefault="00224EA0">
      <w:pPr>
        <w:pStyle w:val="Billname"/>
        <w:spacing w:before="700"/>
      </w:pPr>
      <w:r>
        <w:t xml:space="preserve">Water Resources </w:t>
      </w:r>
      <w:r w:rsidR="00FD75CE">
        <w:t>(</w:t>
      </w:r>
      <w:r>
        <w:t>Water Available from Areas) Determination 201</w:t>
      </w:r>
      <w:r w:rsidR="008C79B3">
        <w:t>9</w:t>
      </w:r>
    </w:p>
    <w:p w14:paraId="79979FBA" w14:textId="7777640F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24EA0">
        <w:rPr>
          <w:rFonts w:ascii="Arial" w:hAnsi="Arial" w:cs="Arial"/>
          <w:b/>
          <w:bCs/>
        </w:rPr>
        <w:t>201</w:t>
      </w:r>
      <w:r w:rsidR="008C79B3">
        <w:rPr>
          <w:rFonts w:ascii="Arial" w:hAnsi="Arial" w:cs="Arial"/>
          <w:b/>
          <w:bCs/>
        </w:rPr>
        <w:t>9</w:t>
      </w:r>
      <w:r w:rsidR="00C17FAB">
        <w:rPr>
          <w:rFonts w:ascii="Arial" w:hAnsi="Arial" w:cs="Arial"/>
          <w:b/>
          <w:bCs/>
        </w:rPr>
        <w:t>–</w:t>
      </w:r>
      <w:r w:rsidR="00A76E8C">
        <w:rPr>
          <w:rFonts w:ascii="Arial" w:hAnsi="Arial" w:cs="Arial"/>
          <w:b/>
          <w:bCs/>
        </w:rPr>
        <w:t>39</w:t>
      </w:r>
    </w:p>
    <w:p w14:paraId="48D792AA" w14:textId="77777777" w:rsidR="00C17FAB" w:rsidRDefault="00224EA0" w:rsidP="00DA3B00">
      <w:pPr>
        <w:pStyle w:val="madeunder"/>
        <w:spacing w:before="300" w:after="0"/>
      </w:pPr>
      <w:r>
        <w:t xml:space="preserve">made under the </w:t>
      </w:r>
    </w:p>
    <w:p w14:paraId="11225369" w14:textId="77777777" w:rsidR="00C17FAB" w:rsidRDefault="00224EA0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Water Resources Act 2007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s17 (Amounts of water available from areas)</w:t>
      </w:r>
    </w:p>
    <w:p w14:paraId="6CE699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5A8BDDF" w14:textId="77777777" w:rsidR="00C17FAB" w:rsidRDefault="00C17FAB">
      <w:pPr>
        <w:pStyle w:val="N-line3"/>
        <w:pBdr>
          <w:bottom w:val="none" w:sz="0" w:space="0" w:color="auto"/>
        </w:pBdr>
      </w:pPr>
    </w:p>
    <w:p w14:paraId="1588FC17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33BBD4C" w14:textId="56B49A2C" w:rsidR="00AC2144" w:rsidRDefault="00CF2DBB" w:rsidP="00224EA0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Section 17 of the </w:t>
      </w:r>
      <w:r>
        <w:rPr>
          <w:i/>
          <w:color w:val="000000"/>
          <w:szCs w:val="24"/>
          <w:lang w:eastAsia="en-AU"/>
        </w:rPr>
        <w:t>Water Resources Act 20</w:t>
      </w:r>
      <w:r w:rsidR="008C79B3">
        <w:rPr>
          <w:i/>
          <w:color w:val="000000"/>
          <w:szCs w:val="24"/>
          <w:lang w:eastAsia="en-AU"/>
        </w:rPr>
        <w:t>0</w:t>
      </w:r>
      <w:r>
        <w:rPr>
          <w:i/>
          <w:color w:val="000000"/>
          <w:szCs w:val="24"/>
          <w:lang w:eastAsia="en-AU"/>
        </w:rPr>
        <w:t xml:space="preserve">7 </w:t>
      </w:r>
      <w:r>
        <w:rPr>
          <w:color w:val="000000"/>
          <w:szCs w:val="24"/>
          <w:lang w:eastAsia="en-AU"/>
        </w:rPr>
        <w:t>(</w:t>
      </w:r>
      <w:r>
        <w:rPr>
          <w:i/>
          <w:color w:val="000000"/>
          <w:szCs w:val="24"/>
          <w:lang w:eastAsia="en-AU"/>
        </w:rPr>
        <w:t xml:space="preserve">the </w:t>
      </w:r>
      <w:r w:rsidRPr="00CF2DBB">
        <w:rPr>
          <w:i/>
          <w:color w:val="000000"/>
          <w:szCs w:val="24"/>
          <w:lang w:eastAsia="en-AU"/>
        </w:rPr>
        <w:t>Act</w:t>
      </w:r>
      <w:r w:rsidRPr="008C79B3">
        <w:rPr>
          <w:color w:val="000000"/>
          <w:szCs w:val="24"/>
          <w:lang w:eastAsia="en-AU"/>
        </w:rPr>
        <w:t>)</w:t>
      </w:r>
      <w:r>
        <w:rPr>
          <w:i/>
          <w:color w:val="000000"/>
          <w:szCs w:val="24"/>
          <w:lang w:eastAsia="en-AU"/>
        </w:rPr>
        <w:t xml:space="preserve"> </w:t>
      </w:r>
      <w:r w:rsidR="008C79B3">
        <w:rPr>
          <w:color w:val="000000"/>
          <w:szCs w:val="24"/>
          <w:lang w:eastAsia="en-AU"/>
        </w:rPr>
        <w:t>requires</w:t>
      </w:r>
      <w:r>
        <w:rPr>
          <w:color w:val="000000"/>
          <w:szCs w:val="24"/>
          <w:lang w:eastAsia="en-AU"/>
        </w:rPr>
        <w:t xml:space="preserve"> the Minister to determine the amounts of </w:t>
      </w:r>
      <w:r w:rsidR="00AC2144">
        <w:rPr>
          <w:color w:val="000000"/>
          <w:szCs w:val="24"/>
          <w:lang w:eastAsia="en-AU"/>
        </w:rPr>
        <w:t xml:space="preserve">surface and ground </w:t>
      </w:r>
      <w:r>
        <w:rPr>
          <w:color w:val="000000"/>
          <w:szCs w:val="24"/>
          <w:lang w:eastAsia="en-AU"/>
        </w:rPr>
        <w:t>water available from areas supplying water for the Australian Capital Territory</w:t>
      </w:r>
      <w:r w:rsidR="00AC2144">
        <w:rPr>
          <w:color w:val="000000"/>
          <w:szCs w:val="24"/>
          <w:lang w:eastAsia="en-AU"/>
        </w:rPr>
        <w:t>.</w:t>
      </w:r>
      <w:r w:rsidR="00FD7394">
        <w:rPr>
          <w:color w:val="000000"/>
          <w:szCs w:val="24"/>
          <w:lang w:eastAsia="en-AU"/>
        </w:rPr>
        <w:t xml:space="preserve"> </w:t>
      </w:r>
      <w:r>
        <w:rPr>
          <w:color w:val="000000"/>
          <w:szCs w:val="24"/>
          <w:lang w:eastAsia="en-AU"/>
        </w:rPr>
        <w:t>The determination is also required to meet the Territory’s obligations under the Basin Plan</w:t>
      </w:r>
      <w:r w:rsidR="008C79B3">
        <w:rPr>
          <w:color w:val="000000"/>
          <w:szCs w:val="24"/>
          <w:lang w:eastAsia="en-AU"/>
        </w:rPr>
        <w:t xml:space="preserve">, made under the </w:t>
      </w:r>
      <w:r w:rsidR="008C79B3" w:rsidRPr="008C79B3">
        <w:rPr>
          <w:i/>
          <w:color w:val="000000"/>
          <w:szCs w:val="24"/>
          <w:lang w:eastAsia="en-AU"/>
        </w:rPr>
        <w:t>Water Act 2007</w:t>
      </w:r>
      <w:r w:rsidR="008C79B3">
        <w:rPr>
          <w:color w:val="000000"/>
          <w:szCs w:val="24"/>
          <w:lang w:eastAsia="en-AU"/>
        </w:rPr>
        <w:t xml:space="preserve"> (Cwlth)</w:t>
      </w:r>
      <w:r>
        <w:rPr>
          <w:color w:val="000000"/>
          <w:szCs w:val="24"/>
          <w:lang w:eastAsia="en-AU"/>
        </w:rPr>
        <w:t>.</w:t>
      </w:r>
    </w:p>
    <w:p w14:paraId="65D9D643" w14:textId="77777777" w:rsidR="00AC2144" w:rsidRDefault="00AC2144" w:rsidP="00224EA0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70FDB762" w14:textId="77777777" w:rsidR="00CF2DBB" w:rsidRDefault="00AC2144" w:rsidP="00224EA0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When making the determination, the Minister must take the following into account:</w:t>
      </w:r>
    </w:p>
    <w:p w14:paraId="50710BC8" w14:textId="77777777" w:rsidR="00AC2144" w:rsidRPr="00AC2144" w:rsidRDefault="00AC2144" w:rsidP="00AC214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AC2144">
        <w:rPr>
          <w:color w:val="000000"/>
          <w:szCs w:val="24"/>
          <w:lang w:eastAsia="en-AU"/>
        </w:rPr>
        <w:t>the Environment Flow Guidelines;</w:t>
      </w:r>
    </w:p>
    <w:p w14:paraId="1BDDE820" w14:textId="77777777" w:rsidR="00AC2144" w:rsidRPr="00AC2144" w:rsidRDefault="00AC2144" w:rsidP="00AC214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AC2144">
        <w:rPr>
          <w:color w:val="000000"/>
          <w:szCs w:val="24"/>
          <w:lang w:eastAsia="en-AU"/>
        </w:rPr>
        <w:t>the total water resources of the Territory;</w:t>
      </w:r>
    </w:p>
    <w:p w14:paraId="2B1EDFC1" w14:textId="22C3AFDD" w:rsidR="00AC2144" w:rsidRPr="00AC2144" w:rsidRDefault="00AC2144" w:rsidP="00AC2144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AC2144">
        <w:rPr>
          <w:color w:val="000000"/>
          <w:szCs w:val="24"/>
          <w:lang w:eastAsia="en-AU"/>
        </w:rPr>
        <w:t xml:space="preserve">any </w:t>
      </w:r>
      <w:r w:rsidR="0099602C">
        <w:rPr>
          <w:color w:val="000000"/>
          <w:szCs w:val="24"/>
          <w:lang w:eastAsia="en-AU"/>
        </w:rPr>
        <w:t xml:space="preserve">studies and research </w:t>
      </w:r>
      <w:r w:rsidRPr="00AC2144">
        <w:rPr>
          <w:color w:val="000000"/>
          <w:szCs w:val="24"/>
          <w:lang w:eastAsia="en-AU"/>
        </w:rPr>
        <w:t xml:space="preserve">undertaken by the </w:t>
      </w:r>
      <w:r w:rsidR="0099602C">
        <w:rPr>
          <w:color w:val="000000"/>
          <w:szCs w:val="24"/>
          <w:lang w:eastAsia="en-AU"/>
        </w:rPr>
        <w:t xml:space="preserve">ACT Government </w:t>
      </w:r>
      <w:r w:rsidRPr="00AC2144">
        <w:rPr>
          <w:color w:val="000000"/>
          <w:szCs w:val="24"/>
          <w:lang w:eastAsia="en-AU"/>
        </w:rPr>
        <w:t>to establish sustainable yields for the water management area.</w:t>
      </w:r>
    </w:p>
    <w:p w14:paraId="5A7AB791" w14:textId="77777777" w:rsidR="00CF2DBB" w:rsidRDefault="00CF2DBB" w:rsidP="00224EA0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30E12851" w14:textId="2886F848" w:rsidR="00224EA0" w:rsidRPr="00083DBF" w:rsidRDefault="00224EA0" w:rsidP="00224EA0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CF2DBB">
        <w:rPr>
          <w:color w:val="000000"/>
          <w:szCs w:val="24"/>
          <w:lang w:eastAsia="en-AU"/>
        </w:rPr>
        <w:t>This</w:t>
      </w:r>
      <w:r w:rsidR="00CF2DBB">
        <w:rPr>
          <w:color w:val="000000"/>
          <w:szCs w:val="24"/>
          <w:lang w:eastAsia="en-AU"/>
        </w:rPr>
        <w:t xml:space="preserve"> i</w:t>
      </w:r>
      <w:r>
        <w:rPr>
          <w:color w:val="000000"/>
          <w:szCs w:val="24"/>
          <w:lang w:eastAsia="en-AU"/>
        </w:rPr>
        <w:t xml:space="preserve">nstrument determines </w:t>
      </w:r>
      <w:r w:rsidR="00CF2DBB">
        <w:rPr>
          <w:color w:val="000000"/>
          <w:szCs w:val="24"/>
          <w:lang w:eastAsia="en-AU"/>
        </w:rPr>
        <w:t xml:space="preserve">the total </w:t>
      </w:r>
      <w:r w:rsidR="008F5135">
        <w:rPr>
          <w:color w:val="000000"/>
          <w:szCs w:val="24"/>
          <w:lang w:eastAsia="en-AU"/>
        </w:rPr>
        <w:t xml:space="preserve">annual </w:t>
      </w:r>
      <w:r w:rsidR="00CF2DBB">
        <w:rPr>
          <w:color w:val="000000"/>
          <w:szCs w:val="24"/>
          <w:lang w:eastAsia="en-AU"/>
        </w:rPr>
        <w:t xml:space="preserve">water available from water </w:t>
      </w:r>
      <w:r w:rsidR="00552392">
        <w:rPr>
          <w:color w:val="000000"/>
          <w:szCs w:val="24"/>
          <w:lang w:eastAsia="en-AU"/>
        </w:rPr>
        <w:t xml:space="preserve">and sub-water </w:t>
      </w:r>
      <w:r w:rsidR="00CF2DBB">
        <w:rPr>
          <w:color w:val="000000"/>
          <w:szCs w:val="24"/>
          <w:lang w:eastAsia="en-AU"/>
        </w:rPr>
        <w:t>management a</w:t>
      </w:r>
      <w:r>
        <w:rPr>
          <w:color w:val="000000"/>
          <w:szCs w:val="24"/>
          <w:lang w:eastAsia="en-AU"/>
        </w:rPr>
        <w:t xml:space="preserve">reas available to the ACT </w:t>
      </w:r>
      <w:r w:rsidRPr="00224EA0">
        <w:rPr>
          <w:color w:val="000000"/>
          <w:szCs w:val="24"/>
          <w:lang w:eastAsia="en-AU"/>
        </w:rPr>
        <w:t>and</w:t>
      </w:r>
      <w:r w:rsidRPr="00083DBF">
        <w:rPr>
          <w:color w:val="000000"/>
          <w:szCs w:val="24"/>
          <w:lang w:eastAsia="en-AU"/>
        </w:rPr>
        <w:t xml:space="preserve"> </w:t>
      </w:r>
      <w:r w:rsidR="0033095F">
        <w:rPr>
          <w:color w:val="000000"/>
          <w:szCs w:val="24"/>
          <w:lang w:eastAsia="en-AU"/>
        </w:rPr>
        <w:t>reflect</w:t>
      </w:r>
      <w:r w:rsidR="008C79B3">
        <w:rPr>
          <w:color w:val="000000"/>
          <w:szCs w:val="24"/>
          <w:lang w:eastAsia="en-AU"/>
        </w:rPr>
        <w:t>s</w:t>
      </w:r>
      <w:r w:rsidR="0033095F">
        <w:rPr>
          <w:color w:val="000000"/>
          <w:szCs w:val="24"/>
          <w:lang w:eastAsia="en-AU"/>
        </w:rPr>
        <w:t xml:space="preserve"> the </w:t>
      </w:r>
      <w:r w:rsidR="00D610EA">
        <w:rPr>
          <w:color w:val="000000"/>
          <w:szCs w:val="24"/>
          <w:lang w:eastAsia="en-AU"/>
        </w:rPr>
        <w:t>current</w:t>
      </w:r>
      <w:r>
        <w:rPr>
          <w:color w:val="000000"/>
          <w:szCs w:val="24"/>
          <w:lang w:eastAsia="en-AU"/>
        </w:rPr>
        <w:t xml:space="preserve"> </w:t>
      </w:r>
      <w:r w:rsidRPr="00083DBF">
        <w:rPr>
          <w:color w:val="000000"/>
          <w:szCs w:val="24"/>
          <w:lang w:eastAsia="en-AU"/>
        </w:rPr>
        <w:t>Environmental Flow Guidelines.</w:t>
      </w:r>
    </w:p>
    <w:p w14:paraId="48D481D1" w14:textId="77777777" w:rsidR="00224EA0" w:rsidRPr="00083DBF" w:rsidRDefault="00224EA0" w:rsidP="00224EA0">
      <w:pPr>
        <w:autoSpaceDE w:val="0"/>
        <w:autoSpaceDN w:val="0"/>
        <w:adjustRightInd w:val="0"/>
        <w:ind w:left="709" w:hanging="709"/>
        <w:rPr>
          <w:color w:val="000000"/>
          <w:szCs w:val="24"/>
          <w:lang w:eastAsia="en-AU"/>
        </w:rPr>
      </w:pPr>
    </w:p>
    <w:p w14:paraId="1B851954" w14:textId="5CEFA42B" w:rsidR="00224EA0" w:rsidRPr="00083DBF" w:rsidRDefault="00CF2DBB" w:rsidP="00224EA0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For all water </w:t>
      </w:r>
      <w:r w:rsidR="00552392">
        <w:rPr>
          <w:color w:val="000000"/>
          <w:szCs w:val="24"/>
          <w:lang w:eastAsia="en-AU"/>
        </w:rPr>
        <w:t xml:space="preserve">and sub-water </w:t>
      </w:r>
      <w:r>
        <w:rPr>
          <w:color w:val="000000"/>
          <w:szCs w:val="24"/>
          <w:lang w:eastAsia="en-AU"/>
        </w:rPr>
        <w:t>management a</w:t>
      </w:r>
      <w:r w:rsidR="00224EA0" w:rsidRPr="00083DBF">
        <w:rPr>
          <w:color w:val="000000"/>
          <w:szCs w:val="24"/>
          <w:lang w:eastAsia="en-AU"/>
        </w:rPr>
        <w:t>reas except Cotter and Googong, maximum surface water available for taking is 10% of the flow greater than the 80th percentile</w:t>
      </w:r>
      <w:r w:rsidR="00224EA0" w:rsidRPr="008F5135">
        <w:rPr>
          <w:color w:val="000000"/>
          <w:szCs w:val="24"/>
          <w:lang w:eastAsia="en-AU"/>
        </w:rPr>
        <w:t>. In the Cotter and Googong</w:t>
      </w:r>
      <w:r w:rsidR="0079469B" w:rsidRPr="008F5135">
        <w:rPr>
          <w:color w:val="000000"/>
          <w:szCs w:val="24"/>
          <w:lang w:eastAsia="en-AU"/>
        </w:rPr>
        <w:t xml:space="preserve"> water management areas</w:t>
      </w:r>
      <w:r w:rsidR="00224EA0" w:rsidRPr="008F5135">
        <w:rPr>
          <w:color w:val="000000"/>
          <w:szCs w:val="24"/>
          <w:lang w:eastAsia="en-AU"/>
        </w:rPr>
        <w:t>, the 80th percentile is protected and available take is total flow less the 80th percentile flow.</w:t>
      </w:r>
      <w:r w:rsidR="00EC3E20">
        <w:rPr>
          <w:color w:val="000000"/>
          <w:szCs w:val="24"/>
          <w:lang w:eastAsia="en-AU"/>
        </w:rPr>
        <w:t xml:space="preserve"> </w:t>
      </w:r>
    </w:p>
    <w:p w14:paraId="5C295C4B" w14:textId="77777777" w:rsidR="00224EA0" w:rsidRPr="00083DBF" w:rsidRDefault="00224EA0" w:rsidP="00224EA0">
      <w:pPr>
        <w:autoSpaceDE w:val="0"/>
        <w:autoSpaceDN w:val="0"/>
        <w:adjustRightInd w:val="0"/>
        <w:ind w:left="709" w:hanging="709"/>
        <w:rPr>
          <w:color w:val="000000"/>
          <w:szCs w:val="24"/>
          <w:lang w:eastAsia="en-AU"/>
        </w:rPr>
      </w:pPr>
    </w:p>
    <w:p w14:paraId="39C68C9A" w14:textId="66BFA263" w:rsidR="00224EA0" w:rsidRPr="00083DBF" w:rsidRDefault="00224EA0" w:rsidP="00224EA0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083DBF">
        <w:rPr>
          <w:color w:val="000000"/>
          <w:szCs w:val="24"/>
          <w:lang w:eastAsia="en-AU"/>
        </w:rPr>
        <w:t>In the Lower M</w:t>
      </w:r>
      <w:r w:rsidR="007838B7">
        <w:rPr>
          <w:color w:val="000000"/>
          <w:szCs w:val="24"/>
          <w:lang w:eastAsia="en-AU"/>
        </w:rPr>
        <w:t>olonglo</w:t>
      </w:r>
      <w:r w:rsidRPr="00083DBF">
        <w:rPr>
          <w:color w:val="000000"/>
          <w:szCs w:val="24"/>
          <w:lang w:eastAsia="en-AU"/>
        </w:rPr>
        <w:t xml:space="preserve"> and Central Molonglo water management areas, water available for take can include, respectively, the Canberra treated sewage effluent returned to river </w:t>
      </w:r>
      <w:r w:rsidR="00552392">
        <w:rPr>
          <w:color w:val="000000"/>
          <w:szCs w:val="24"/>
          <w:lang w:eastAsia="en-AU"/>
        </w:rPr>
        <w:t xml:space="preserve">from the Molonglo Water Quality Control Centre </w:t>
      </w:r>
      <w:r w:rsidRPr="00083DBF">
        <w:rPr>
          <w:color w:val="000000"/>
          <w:szCs w:val="24"/>
          <w:lang w:eastAsia="en-AU"/>
        </w:rPr>
        <w:t>(a</w:t>
      </w:r>
      <w:r w:rsidR="00552392">
        <w:rPr>
          <w:color w:val="000000"/>
          <w:szCs w:val="24"/>
          <w:lang w:eastAsia="en-AU"/>
        </w:rPr>
        <w:t>pproximately</w:t>
      </w:r>
      <w:r w:rsidRPr="00083DBF">
        <w:rPr>
          <w:color w:val="000000"/>
          <w:szCs w:val="24"/>
          <w:lang w:eastAsia="en-AU"/>
        </w:rPr>
        <w:t xml:space="preserve"> 30,</w:t>
      </w:r>
      <w:r w:rsidR="00FD7394">
        <w:rPr>
          <w:color w:val="000000"/>
          <w:szCs w:val="24"/>
          <w:lang w:eastAsia="en-AU"/>
        </w:rPr>
        <w:t>6</w:t>
      </w:r>
      <w:r w:rsidRPr="00083DBF">
        <w:rPr>
          <w:color w:val="000000"/>
          <w:szCs w:val="24"/>
          <w:lang w:eastAsia="en-AU"/>
        </w:rPr>
        <w:t>00ML</w:t>
      </w:r>
      <w:r w:rsidR="00955B4D">
        <w:rPr>
          <w:color w:val="000000"/>
          <w:szCs w:val="24"/>
          <w:lang w:eastAsia="en-AU"/>
        </w:rPr>
        <w:t>/yr</w:t>
      </w:r>
      <w:r>
        <w:rPr>
          <w:rStyle w:val="FootnoteReference"/>
          <w:color w:val="000000"/>
          <w:lang w:eastAsia="en-AU"/>
        </w:rPr>
        <w:footnoteReference w:id="1"/>
      </w:r>
      <w:r w:rsidRPr="00083DBF">
        <w:rPr>
          <w:color w:val="000000"/>
          <w:szCs w:val="24"/>
          <w:lang w:eastAsia="en-AU"/>
        </w:rPr>
        <w:t xml:space="preserve">) and Queanbeyan’s effluent returned to river </w:t>
      </w:r>
      <w:r w:rsidR="00552392">
        <w:rPr>
          <w:color w:val="000000"/>
          <w:szCs w:val="24"/>
          <w:lang w:eastAsia="en-AU"/>
        </w:rPr>
        <w:t xml:space="preserve">from the Queanbeyan Sewage Treatment Plant </w:t>
      </w:r>
      <w:r w:rsidRPr="00083DBF">
        <w:rPr>
          <w:color w:val="000000"/>
          <w:szCs w:val="24"/>
          <w:lang w:eastAsia="en-AU"/>
        </w:rPr>
        <w:t>(a</w:t>
      </w:r>
      <w:r w:rsidR="00552392">
        <w:rPr>
          <w:color w:val="000000"/>
          <w:szCs w:val="24"/>
          <w:lang w:eastAsia="en-AU"/>
        </w:rPr>
        <w:t>pproximately</w:t>
      </w:r>
      <w:r w:rsidRPr="00083DBF">
        <w:rPr>
          <w:color w:val="000000"/>
          <w:szCs w:val="24"/>
          <w:lang w:eastAsia="en-AU"/>
        </w:rPr>
        <w:t xml:space="preserve"> 3,</w:t>
      </w:r>
      <w:r w:rsidR="00FD7394">
        <w:rPr>
          <w:color w:val="000000"/>
          <w:szCs w:val="24"/>
          <w:lang w:eastAsia="en-AU"/>
        </w:rPr>
        <w:t>25</w:t>
      </w:r>
      <w:r w:rsidRPr="00083DBF">
        <w:rPr>
          <w:color w:val="000000"/>
          <w:szCs w:val="24"/>
          <w:lang w:eastAsia="en-AU"/>
        </w:rPr>
        <w:t>0ML</w:t>
      </w:r>
      <w:r w:rsidR="00955B4D">
        <w:rPr>
          <w:color w:val="000000"/>
          <w:szCs w:val="24"/>
          <w:lang w:eastAsia="en-AU"/>
        </w:rPr>
        <w:t>/yr</w:t>
      </w:r>
      <w:r w:rsidRPr="00083DBF">
        <w:rPr>
          <w:color w:val="000000"/>
          <w:szCs w:val="24"/>
          <w:lang w:eastAsia="en-AU"/>
        </w:rPr>
        <w:t>), subject to total net water</w:t>
      </w:r>
      <w:r w:rsidR="00CF2DBB">
        <w:rPr>
          <w:color w:val="000000"/>
          <w:szCs w:val="24"/>
          <w:lang w:eastAsia="en-AU"/>
        </w:rPr>
        <w:t xml:space="preserve"> take remaining below the ACT </w:t>
      </w:r>
      <w:r w:rsidR="00955B4D">
        <w:rPr>
          <w:color w:val="000000"/>
          <w:szCs w:val="24"/>
          <w:lang w:eastAsia="en-AU"/>
        </w:rPr>
        <w:t xml:space="preserve">net </w:t>
      </w:r>
      <w:r w:rsidR="00CF2DBB">
        <w:rPr>
          <w:color w:val="000000"/>
          <w:szCs w:val="24"/>
          <w:lang w:eastAsia="en-AU"/>
        </w:rPr>
        <w:t>Sustainable Diversion Limit.</w:t>
      </w:r>
    </w:p>
    <w:p w14:paraId="110CC43E" w14:textId="77777777" w:rsidR="00224EA0" w:rsidRPr="00083DBF" w:rsidRDefault="00224EA0" w:rsidP="00224EA0">
      <w:pPr>
        <w:autoSpaceDE w:val="0"/>
        <w:autoSpaceDN w:val="0"/>
        <w:adjustRightInd w:val="0"/>
        <w:ind w:left="709" w:hanging="709"/>
        <w:rPr>
          <w:color w:val="000000"/>
          <w:szCs w:val="24"/>
          <w:lang w:eastAsia="en-AU"/>
        </w:rPr>
      </w:pPr>
    </w:p>
    <w:p w14:paraId="31D13F43" w14:textId="77777777" w:rsidR="008C7F52" w:rsidRDefault="008C7F52" w:rsidP="008C7F52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083DBF">
        <w:rPr>
          <w:color w:val="000000"/>
          <w:szCs w:val="24"/>
          <w:lang w:eastAsia="en-AU"/>
        </w:rPr>
        <w:lastRenderedPageBreak/>
        <w:t>Maximum groundwater available for taking is equal to 10% of the estimated recharge to groundwater.</w:t>
      </w:r>
    </w:p>
    <w:p w14:paraId="4374C4C8" w14:textId="60C5A17B" w:rsidR="008C7F52" w:rsidRPr="00083DBF" w:rsidRDefault="00CF2DBB" w:rsidP="008C79B3">
      <w:pPr>
        <w:autoSpaceDE w:val="0"/>
        <w:autoSpaceDN w:val="0"/>
        <w:adjustRightInd w:val="0"/>
        <w:spacing w:before="240"/>
        <w:rPr>
          <w:szCs w:val="24"/>
        </w:rPr>
      </w:pPr>
      <w:r>
        <w:rPr>
          <w:szCs w:val="24"/>
        </w:rPr>
        <w:t xml:space="preserve">The amounts in </w:t>
      </w:r>
      <w:r w:rsidR="008C79B3">
        <w:rPr>
          <w:szCs w:val="24"/>
        </w:rPr>
        <w:t>s</w:t>
      </w:r>
      <w:r w:rsidR="008C7F52" w:rsidRPr="00083DBF">
        <w:rPr>
          <w:szCs w:val="24"/>
        </w:rPr>
        <w:t xml:space="preserve">chedule 1 have been </w:t>
      </w:r>
      <w:r w:rsidR="004A68B1">
        <w:rPr>
          <w:szCs w:val="24"/>
        </w:rPr>
        <w:t xml:space="preserve">developed through </w:t>
      </w:r>
      <w:r w:rsidR="0079469B">
        <w:rPr>
          <w:szCs w:val="24"/>
        </w:rPr>
        <w:t xml:space="preserve">the </w:t>
      </w:r>
      <w:r w:rsidR="0079469B" w:rsidRPr="0079469B">
        <w:rPr>
          <w:szCs w:val="24"/>
        </w:rPr>
        <w:t xml:space="preserve">ACT </w:t>
      </w:r>
      <w:r w:rsidR="004A68B1" w:rsidRPr="0079469B">
        <w:rPr>
          <w:szCs w:val="24"/>
        </w:rPr>
        <w:t>Source model</w:t>
      </w:r>
      <w:r w:rsidR="004A68B1">
        <w:rPr>
          <w:szCs w:val="24"/>
        </w:rPr>
        <w:t xml:space="preserve"> and</w:t>
      </w:r>
      <w:r w:rsidR="008C7F52" w:rsidRPr="00083DBF">
        <w:rPr>
          <w:szCs w:val="24"/>
        </w:rPr>
        <w:t xml:space="preserve"> </w:t>
      </w:r>
      <w:r w:rsidR="00552392">
        <w:rPr>
          <w:szCs w:val="24"/>
        </w:rPr>
        <w:t xml:space="preserve">are </w:t>
      </w:r>
      <w:r w:rsidR="0079469B">
        <w:rPr>
          <w:szCs w:val="24"/>
        </w:rPr>
        <w:t>based on the rules in</w:t>
      </w:r>
      <w:r w:rsidR="008C7F52" w:rsidRPr="00083DBF">
        <w:rPr>
          <w:szCs w:val="24"/>
        </w:rPr>
        <w:t xml:space="preserve"> the </w:t>
      </w:r>
      <w:r w:rsidR="00D610EA">
        <w:rPr>
          <w:szCs w:val="24"/>
        </w:rPr>
        <w:t>current</w:t>
      </w:r>
      <w:r w:rsidR="008C7F52" w:rsidRPr="00083DBF">
        <w:rPr>
          <w:szCs w:val="24"/>
        </w:rPr>
        <w:t xml:space="preserve"> environmental flow guidelines, the total water resources of the Territory, the requirements of the Basin Plan and specific investigations undertaken by the </w:t>
      </w:r>
      <w:r w:rsidR="008C7F52">
        <w:rPr>
          <w:szCs w:val="24"/>
        </w:rPr>
        <w:t>ACT Government</w:t>
      </w:r>
      <w:r w:rsidR="008C7F52" w:rsidRPr="00083DBF">
        <w:rPr>
          <w:szCs w:val="24"/>
        </w:rPr>
        <w:t xml:space="preserve"> to establish sustainable yields of surface and groundwater within catchments under ACT responsibility.</w:t>
      </w:r>
      <w:r w:rsidR="00EC5C08">
        <w:rPr>
          <w:szCs w:val="24"/>
        </w:rPr>
        <w:t xml:space="preserve">  </w:t>
      </w:r>
    </w:p>
    <w:p w14:paraId="6D20B611" w14:textId="77777777" w:rsidR="00D610EA" w:rsidRDefault="00D610EA" w:rsidP="00AC2144">
      <w:pPr>
        <w:autoSpaceDE w:val="0"/>
        <w:autoSpaceDN w:val="0"/>
        <w:adjustRightInd w:val="0"/>
        <w:spacing w:after="120"/>
        <w:rPr>
          <w:color w:val="000000"/>
          <w:szCs w:val="24"/>
          <w:lang w:eastAsia="en-AU"/>
        </w:rPr>
      </w:pPr>
    </w:p>
    <w:p w14:paraId="705261BA" w14:textId="77777777" w:rsidR="00AC2144" w:rsidRPr="00AC2144" w:rsidRDefault="00AC2144" w:rsidP="00AC2144">
      <w:pPr>
        <w:autoSpaceDE w:val="0"/>
        <w:autoSpaceDN w:val="0"/>
        <w:adjustRightInd w:val="0"/>
        <w:spacing w:after="12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instrument revokes the </w:t>
      </w:r>
      <w:r w:rsidRPr="00AC2144">
        <w:rPr>
          <w:i/>
          <w:color w:val="000000"/>
          <w:szCs w:val="24"/>
          <w:lang w:eastAsia="en-AU"/>
        </w:rPr>
        <w:t>Water Resources (Water available from areas) Determination 2007 (No 1)</w:t>
      </w:r>
      <w:r>
        <w:rPr>
          <w:color w:val="000000"/>
          <w:szCs w:val="24"/>
          <w:lang w:eastAsia="en-AU"/>
        </w:rPr>
        <w:t xml:space="preserve"> (DI2007-191).</w:t>
      </w:r>
    </w:p>
    <w:sectPr w:rsidR="00AC2144" w:rsidRPr="00AC2144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7243" w14:textId="77777777" w:rsidR="00A177DD" w:rsidRDefault="00A177DD" w:rsidP="00C17FAB">
      <w:r>
        <w:separator/>
      </w:r>
    </w:p>
  </w:endnote>
  <w:endnote w:type="continuationSeparator" w:id="0">
    <w:p w14:paraId="47FF1C04" w14:textId="77777777" w:rsidR="00A177DD" w:rsidRDefault="00A177DD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E57D9" w14:textId="77777777" w:rsidR="00E74400" w:rsidRDefault="00E74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24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F1ADB" w14:textId="7F585F36" w:rsidR="00A76E8C" w:rsidRDefault="00A76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133B2" w14:textId="14232B6E" w:rsidR="00A76E8C" w:rsidRPr="00E74400" w:rsidRDefault="00E74400" w:rsidP="00E74400">
    <w:pPr>
      <w:pStyle w:val="Footer"/>
      <w:jc w:val="center"/>
      <w:rPr>
        <w:rFonts w:cs="Arial"/>
        <w:sz w:val="14"/>
      </w:rPr>
    </w:pPr>
    <w:r w:rsidRPr="00E7440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BD69" w14:textId="77777777" w:rsidR="00E74400" w:rsidRDefault="00E74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A7DB5" w14:textId="77777777" w:rsidR="00A177DD" w:rsidRDefault="00A177DD" w:rsidP="00C17FAB">
      <w:r>
        <w:separator/>
      </w:r>
    </w:p>
  </w:footnote>
  <w:footnote w:type="continuationSeparator" w:id="0">
    <w:p w14:paraId="1448011F" w14:textId="77777777" w:rsidR="00A177DD" w:rsidRDefault="00A177DD" w:rsidP="00C17FAB">
      <w:r>
        <w:continuationSeparator/>
      </w:r>
    </w:p>
  </w:footnote>
  <w:footnote w:id="1">
    <w:p w14:paraId="706C5466" w14:textId="105D1DF9" w:rsidR="00224EA0" w:rsidRDefault="00224EA0" w:rsidP="008C79B3">
      <w:pPr>
        <w:autoSpaceDE w:val="0"/>
        <w:autoSpaceDN w:val="0"/>
        <w:adjustRightInd w:val="0"/>
      </w:pPr>
      <w:r w:rsidRPr="0033095F">
        <w:rPr>
          <w:rStyle w:val="FootnoteReference"/>
        </w:rPr>
        <w:footnoteRef/>
      </w:r>
      <w:r w:rsidRPr="0033095F">
        <w:t xml:space="preserve"> </w:t>
      </w:r>
      <w:r w:rsidRPr="0033095F">
        <w:rPr>
          <w:color w:val="000000"/>
          <w:szCs w:val="24"/>
          <w:lang w:eastAsia="en-AU"/>
        </w:rPr>
        <w:t>ML denotes megalitres, i.e.</w:t>
      </w:r>
      <w:r w:rsidR="008C7F52" w:rsidRPr="0033095F">
        <w:rPr>
          <w:color w:val="000000"/>
          <w:szCs w:val="24"/>
          <w:lang w:eastAsia="en-AU"/>
        </w:rPr>
        <w:t xml:space="preserve"> 1,000,000 litres</w:t>
      </w:r>
      <w:r w:rsidR="00552392">
        <w:rPr>
          <w:color w:val="000000"/>
          <w:szCs w:val="24"/>
          <w:lang w:eastAsia="en-AU"/>
        </w:rPr>
        <w:t>, 1 GL equals 1000 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DF1E" w14:textId="77777777" w:rsidR="00E74400" w:rsidRDefault="00E74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9C3F" w14:textId="77777777" w:rsidR="00E74400" w:rsidRDefault="00E74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A9CD" w14:textId="77777777" w:rsidR="00E74400" w:rsidRDefault="00E74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B821963"/>
    <w:multiLevelType w:val="hybridMultilevel"/>
    <w:tmpl w:val="60D2F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B22112"/>
    <w:multiLevelType w:val="hybridMultilevel"/>
    <w:tmpl w:val="FB30F62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142A14"/>
    <w:rsid w:val="001E3D78"/>
    <w:rsid w:val="00217799"/>
    <w:rsid w:val="00224EA0"/>
    <w:rsid w:val="002D7C60"/>
    <w:rsid w:val="003026BE"/>
    <w:rsid w:val="0033095F"/>
    <w:rsid w:val="00340B7E"/>
    <w:rsid w:val="003733B3"/>
    <w:rsid w:val="0037393C"/>
    <w:rsid w:val="003B744E"/>
    <w:rsid w:val="003D4132"/>
    <w:rsid w:val="004A68B1"/>
    <w:rsid w:val="004E6058"/>
    <w:rsid w:val="00502B7B"/>
    <w:rsid w:val="00552392"/>
    <w:rsid w:val="007346AC"/>
    <w:rsid w:val="007838B7"/>
    <w:rsid w:val="00791C6C"/>
    <w:rsid w:val="0079469B"/>
    <w:rsid w:val="007B6356"/>
    <w:rsid w:val="00807323"/>
    <w:rsid w:val="008820F1"/>
    <w:rsid w:val="008C79B3"/>
    <w:rsid w:val="008C7F52"/>
    <w:rsid w:val="008D5B5C"/>
    <w:rsid w:val="008E511E"/>
    <w:rsid w:val="008F5135"/>
    <w:rsid w:val="009508A5"/>
    <w:rsid w:val="00955B4D"/>
    <w:rsid w:val="0099287D"/>
    <w:rsid w:val="00992C8A"/>
    <w:rsid w:val="0099602C"/>
    <w:rsid w:val="009F00FC"/>
    <w:rsid w:val="00A177DD"/>
    <w:rsid w:val="00A76E8C"/>
    <w:rsid w:val="00AC2144"/>
    <w:rsid w:val="00AD4CB7"/>
    <w:rsid w:val="00C06ACC"/>
    <w:rsid w:val="00C17FAB"/>
    <w:rsid w:val="00CE599C"/>
    <w:rsid w:val="00CF2DBB"/>
    <w:rsid w:val="00D610EA"/>
    <w:rsid w:val="00DA3B00"/>
    <w:rsid w:val="00E74400"/>
    <w:rsid w:val="00EC3E20"/>
    <w:rsid w:val="00EC5C08"/>
    <w:rsid w:val="00F16C9E"/>
    <w:rsid w:val="00F17E56"/>
    <w:rsid w:val="00F46AC6"/>
    <w:rsid w:val="00F860CF"/>
    <w:rsid w:val="00FD7394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EE48F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aliases w:val="table text"/>
    <w:basedOn w:val="Normal"/>
    <w:link w:val="ListParagraphChar"/>
    <w:uiPriority w:val="34"/>
    <w:qFormat/>
    <w:rsid w:val="004A68B1"/>
    <w:pPr>
      <w:ind w:left="720"/>
      <w:contextualSpacing/>
    </w:pPr>
  </w:style>
  <w:style w:type="character" w:customStyle="1" w:styleId="ListParagraphChar">
    <w:name w:val="List Paragraph Char"/>
    <w:aliases w:val="table text Char"/>
    <w:link w:val="ListParagraph"/>
    <w:uiPriority w:val="34"/>
    <w:rsid w:val="00F16C9E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B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5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1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1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11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6E8C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F6A4-7A84-4341-968C-ACAD94F6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2051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2019-04-09T02:18:00Z</dcterms:created>
  <dcterms:modified xsi:type="dcterms:W3CDTF">2019-04-09T02:18:00Z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A17669387</vt:lpwstr>
  </property>
  <property fmtid="{D5CDD505-2E9C-101B-9397-08002B2CF9AE}" pid="4" name="Objective-Title">
    <vt:lpwstr>Attachmetn B5 - Explanatory Statement Water Resources (Water Available from Areas) Determination</vt:lpwstr>
  </property>
  <property fmtid="{D5CDD505-2E9C-101B-9397-08002B2CF9AE}" pid="5" name="Objective-Comment">
    <vt:lpwstr/>
  </property>
  <property fmtid="{D5CDD505-2E9C-101B-9397-08002B2CF9AE}" pid="6" name="Objective-CreationStamp">
    <vt:filetime>2018-11-26T23:49:06Z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2019-03-28T01:37:59Z</vt:filetime>
  </property>
  <property fmtid="{D5CDD505-2E9C-101B-9397-08002B2CF9AE}" pid="10" name="Objective-ModificationStamp">
    <vt:filetime>2019-04-03T01:44:50Z</vt:filetime>
  </property>
  <property fmtid="{D5CDD505-2E9C-101B-9397-08002B2CF9AE}" pid="11" name="Objective-Owner">
    <vt:lpwstr>John Feint</vt:lpwstr>
  </property>
  <property fmtid="{D5CDD505-2E9C-101B-9397-08002B2CF9AE}" pid="12" name="Objective-Path">
    <vt:lpwstr>Whole of ACT Government:EPSDD - Environment Planning and Sustainable Development Directorate:DIVISION - Environment:BRANCH - Catchment Management and Water Policy:06. Legislation, Regulation and Guidelines:ACT:Water Resources Act:Revised water resources A</vt:lpwstr>
  </property>
  <property fmtid="{D5CDD505-2E9C-101B-9397-08002B2CF9AE}" pid="13" name="Objective-Parent">
    <vt:lpwstr>Water Resources (Water Available from Areas) Determination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21.0</vt:lpwstr>
  </property>
  <property fmtid="{D5CDD505-2E9C-101B-9397-08002B2CF9AE}" pid="16" name="Objective-VersionNumber">
    <vt:r8>22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