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3A74" w14:textId="77777777" w:rsidR="00836BCB" w:rsidRDefault="00836BCB" w:rsidP="00836BC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FF57578" w14:textId="03903DA6" w:rsidR="00836BCB" w:rsidRPr="002F1A2A" w:rsidRDefault="00836BCB" w:rsidP="00836BCB">
      <w:pPr>
        <w:pStyle w:val="Heading1"/>
      </w:pPr>
      <w:r>
        <w:t>Road Transport</w:t>
      </w:r>
      <w:r w:rsidRPr="002F1A2A">
        <w:t xml:space="preserve"> (</w:t>
      </w:r>
      <w:r>
        <w:t>General</w:t>
      </w:r>
      <w:r w:rsidRPr="002F1A2A">
        <w:t xml:space="preserve">) </w:t>
      </w:r>
      <w:r w:rsidR="008E2F5F">
        <w:t>Autonomous Vehicle</w:t>
      </w:r>
      <w:r w:rsidR="0076598F">
        <w:t xml:space="preserve"> Trial</w:t>
      </w:r>
      <w:r>
        <w:t xml:space="preserve"> Declaration</w:t>
      </w:r>
      <w:r w:rsidR="000B54BD">
        <w:t xml:space="preserve"> and Order</w:t>
      </w:r>
      <w:r>
        <w:t xml:space="preserve"> 2019 </w:t>
      </w:r>
      <w:r w:rsidRPr="002F1A2A">
        <w:t xml:space="preserve">(No </w:t>
      </w:r>
      <w:r w:rsidR="003F28C2">
        <w:t>1</w:t>
      </w:r>
      <w:r w:rsidRPr="002F1A2A">
        <w:t>)</w:t>
      </w:r>
    </w:p>
    <w:p w14:paraId="76A843D9" w14:textId="01439CA0" w:rsidR="00836BCB" w:rsidRPr="002F1A2A" w:rsidRDefault="00836BCB" w:rsidP="00836BCB">
      <w:pPr>
        <w:pStyle w:val="Heading2"/>
      </w:pPr>
      <w:r w:rsidRPr="002F1A2A">
        <w:t>Disallowable instrument DI</w:t>
      </w:r>
      <w:r>
        <w:t>2019</w:t>
      </w:r>
      <w:r w:rsidRPr="002F1A2A">
        <w:t>–</w:t>
      </w:r>
      <w:r w:rsidR="00DC39B1">
        <w:t>43</w:t>
      </w:r>
    </w:p>
    <w:p w14:paraId="303FD212" w14:textId="77777777" w:rsidR="00836BCB" w:rsidRDefault="00836BCB" w:rsidP="00836BCB">
      <w:pPr>
        <w:pStyle w:val="madeunder"/>
        <w:spacing w:before="240" w:after="120"/>
      </w:pPr>
      <w:r>
        <w:t xml:space="preserve">made under the  </w:t>
      </w:r>
    </w:p>
    <w:p w14:paraId="1B6AC84B" w14:textId="14E6DF00" w:rsidR="00836BCB" w:rsidRDefault="00836BCB" w:rsidP="00836BCB">
      <w:pPr>
        <w:pStyle w:val="CoverActName"/>
        <w:rPr>
          <w:rFonts w:cs="Arial"/>
          <w:sz w:val="20"/>
        </w:rPr>
      </w:pPr>
      <w:r w:rsidRPr="006B70E5">
        <w:rPr>
          <w:rFonts w:cs="Arial"/>
          <w:i/>
          <w:sz w:val="20"/>
        </w:rPr>
        <w:t>Road Transport (General) Act 1999,</w:t>
      </w:r>
      <w:r>
        <w:rPr>
          <w:rFonts w:cs="Arial"/>
          <w:sz w:val="20"/>
        </w:rPr>
        <w:t xml:space="preserve"> section 1</w:t>
      </w:r>
      <w:r w:rsidR="007A218D">
        <w:rPr>
          <w:rFonts w:cs="Arial"/>
          <w:sz w:val="20"/>
        </w:rPr>
        <w:t>3</w:t>
      </w:r>
      <w:r w:rsidR="000B54B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(Power to </w:t>
      </w:r>
      <w:r w:rsidR="007A218D">
        <w:rPr>
          <w:rFonts w:cs="Arial"/>
          <w:sz w:val="20"/>
        </w:rPr>
        <w:t>exclude vehicles, persons or animals from</w:t>
      </w:r>
      <w:r>
        <w:rPr>
          <w:rFonts w:cs="Arial"/>
          <w:sz w:val="20"/>
        </w:rPr>
        <w:t xml:space="preserve"> road transport legislation)</w:t>
      </w:r>
      <w:r w:rsidR="000B54BD">
        <w:rPr>
          <w:rFonts w:cs="Arial"/>
          <w:sz w:val="20"/>
        </w:rPr>
        <w:t xml:space="preserve"> and section 14 (1) (b) (Application orders and emergency orders)</w:t>
      </w:r>
    </w:p>
    <w:p w14:paraId="6A92B139" w14:textId="77777777" w:rsidR="00836BCB" w:rsidRPr="002F1A2A" w:rsidRDefault="00836BCB" w:rsidP="00836BCB">
      <w:pPr>
        <w:pStyle w:val="Heading3"/>
      </w:pPr>
      <w:r w:rsidRPr="002F1A2A">
        <w:t>EXPLANATORY STATEMENT</w:t>
      </w:r>
    </w:p>
    <w:p w14:paraId="18A5B898" w14:textId="77777777" w:rsidR="00836BCB" w:rsidRDefault="00836BCB" w:rsidP="00836BCB">
      <w:pPr>
        <w:pStyle w:val="N-line3"/>
        <w:pBdr>
          <w:bottom w:val="none" w:sz="0" w:space="0" w:color="auto"/>
        </w:pBdr>
      </w:pPr>
    </w:p>
    <w:p w14:paraId="28A74D60" w14:textId="77777777" w:rsidR="00836BCB" w:rsidRDefault="00836BCB" w:rsidP="00836BC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6CAE785" w14:textId="77777777" w:rsidR="007A218D" w:rsidRPr="008B414A" w:rsidRDefault="007A218D" w:rsidP="007A218D">
      <w:pPr>
        <w:rPr>
          <w:b/>
          <w:sz w:val="28"/>
          <w:szCs w:val="28"/>
        </w:rPr>
      </w:pPr>
      <w:r w:rsidRPr="008B414A">
        <w:rPr>
          <w:b/>
          <w:sz w:val="28"/>
          <w:szCs w:val="28"/>
        </w:rPr>
        <w:t>Overview</w:t>
      </w:r>
    </w:p>
    <w:p w14:paraId="1120D70D" w14:textId="77777777" w:rsidR="007A218D" w:rsidRDefault="007A218D" w:rsidP="00836BCB"/>
    <w:p w14:paraId="06BC2A7E" w14:textId="402E958B" w:rsidR="007A218D" w:rsidRDefault="007A218D" w:rsidP="00836BCB">
      <w:r>
        <w:t>This i</w:t>
      </w:r>
      <w:r w:rsidR="000B54BD">
        <w:t xml:space="preserve">nstrument is made under sections </w:t>
      </w:r>
      <w:r>
        <w:t>13</w:t>
      </w:r>
      <w:r w:rsidR="000B54BD">
        <w:t xml:space="preserve"> and 14</w:t>
      </w:r>
      <w:r>
        <w:t xml:space="preserve"> of the </w:t>
      </w:r>
      <w:r>
        <w:rPr>
          <w:i/>
        </w:rPr>
        <w:t>Road Transport (General) Act 1999</w:t>
      </w:r>
      <w:r w:rsidR="000B54BD">
        <w:t xml:space="preserve"> (the Act). Section 13 </w:t>
      </w:r>
      <w:r>
        <w:t>allows the Minister to exclude vehicles, persons or animals from the operation of the road transport legislation, or a provision of that legislation, by disallowable instrument. Under section 13 (1) of the Act, an exclusion operates in the circumstances and/or places declared in the instrument.</w:t>
      </w:r>
    </w:p>
    <w:p w14:paraId="562BCAEA" w14:textId="77777777" w:rsidR="000B54BD" w:rsidRDefault="000B54BD" w:rsidP="00836BCB"/>
    <w:p w14:paraId="69144F8B" w14:textId="0B79A2B6" w:rsidR="000B54BD" w:rsidRDefault="000B54BD" w:rsidP="00836BCB">
      <w:r>
        <w:t>Section 14 (1) allows the Minister to order that the operation of regulations made under the road transport legislation, or a provision of such regulations is suspended for a stated period or varied in the way stated in the order. An order under subsection (1) is a disallowable instrument.</w:t>
      </w:r>
    </w:p>
    <w:p w14:paraId="30227450" w14:textId="77777777" w:rsidR="007A218D" w:rsidRDefault="007A218D" w:rsidP="00836BCB"/>
    <w:p w14:paraId="093E1D28" w14:textId="56C1E5EE" w:rsidR="007A218D" w:rsidRPr="000B54BD" w:rsidRDefault="007A218D" w:rsidP="00836BCB">
      <w:pPr>
        <w:rPr>
          <w:i/>
        </w:rPr>
      </w:pPr>
      <w:r>
        <w:t xml:space="preserve">Road transport legislation is defined in section 6 of the Act and includes the </w:t>
      </w:r>
      <w:r>
        <w:rPr>
          <w:i/>
        </w:rPr>
        <w:t xml:space="preserve">Road </w:t>
      </w:r>
      <w:r w:rsidRPr="000B54BD">
        <w:rPr>
          <w:i/>
        </w:rPr>
        <w:t>Transport (Road Rules) Regulation 2017</w:t>
      </w:r>
      <w:r w:rsidR="00AE076A" w:rsidRPr="000B54BD">
        <w:t xml:space="preserve">, the </w:t>
      </w:r>
      <w:r w:rsidR="00AE076A" w:rsidRPr="000B54BD">
        <w:rPr>
          <w:i/>
        </w:rPr>
        <w:t>Road Transport (Third-Party Insurance) Act 2008</w:t>
      </w:r>
      <w:r w:rsidR="00AE076A" w:rsidRPr="000B54BD">
        <w:t xml:space="preserve"> and the </w:t>
      </w:r>
      <w:r w:rsidR="00AE076A" w:rsidRPr="000B54BD">
        <w:rPr>
          <w:i/>
        </w:rPr>
        <w:t>Road Transport (Third-Party Insurance) Regulation 2008</w:t>
      </w:r>
      <w:r w:rsidRPr="000B54BD">
        <w:rPr>
          <w:i/>
        </w:rPr>
        <w:t>.</w:t>
      </w:r>
      <w:r w:rsidRPr="000B54BD">
        <w:t xml:space="preserve"> This instrument exempts a vehicle undertaking an autonomous vehicle trial from certain offences in the </w:t>
      </w:r>
      <w:r w:rsidRPr="000B54BD">
        <w:rPr>
          <w:i/>
        </w:rPr>
        <w:t>Road Transport (Road Rules) Regulation 2017</w:t>
      </w:r>
      <w:r w:rsidR="00AE076A" w:rsidRPr="000B54BD">
        <w:t xml:space="preserve"> and from the</w:t>
      </w:r>
      <w:r w:rsidR="00AE076A" w:rsidRPr="000B54BD">
        <w:rPr>
          <w:i/>
        </w:rPr>
        <w:t xml:space="preserve"> Road Transport (Third-Party Insurance) Act 2008</w:t>
      </w:r>
      <w:r w:rsidR="00AE076A" w:rsidRPr="000B54BD">
        <w:t xml:space="preserve"> and the </w:t>
      </w:r>
      <w:r w:rsidR="00AE076A" w:rsidRPr="000B54BD">
        <w:rPr>
          <w:i/>
        </w:rPr>
        <w:t>Road Transport (Third-Party Insurance) Regulation 2008.</w:t>
      </w:r>
      <w:r w:rsidR="000B54BD" w:rsidRPr="000B54BD">
        <w:rPr>
          <w:i/>
        </w:rPr>
        <w:t xml:space="preserve"> </w:t>
      </w:r>
      <w:r w:rsidR="000B54BD" w:rsidRPr="000B54BD">
        <w:t xml:space="preserve">It also varies a provision of the </w:t>
      </w:r>
      <w:r w:rsidR="000B54BD" w:rsidRPr="000B54BD">
        <w:rPr>
          <w:i/>
        </w:rPr>
        <w:t>Road Transport (Road Rules) Regulation 2017.</w:t>
      </w:r>
    </w:p>
    <w:p w14:paraId="3F4186BB" w14:textId="77777777" w:rsidR="00AE076A" w:rsidRDefault="00AE076A" w:rsidP="00836BCB">
      <w:pPr>
        <w:rPr>
          <w:i/>
        </w:rPr>
      </w:pPr>
    </w:p>
    <w:p w14:paraId="7835049A" w14:textId="5AA1633B" w:rsidR="007A218D" w:rsidRDefault="007A218D" w:rsidP="00836BCB">
      <w:r>
        <w:t>The ACT Government is committed to measures that shape a vibrant and sustainable city that continues to attract people to live, work and study in Canberra. This includes supporting modern, innovative and sustainable modes of transport.</w:t>
      </w:r>
    </w:p>
    <w:p w14:paraId="3E7301F4" w14:textId="77777777" w:rsidR="007A218D" w:rsidRPr="007A218D" w:rsidRDefault="007A218D" w:rsidP="00836BCB"/>
    <w:p w14:paraId="19DC273F" w14:textId="77777777" w:rsidR="000B54BD" w:rsidRDefault="000B54B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EF86EF" w14:textId="7DBEC017" w:rsidR="007A218D" w:rsidRPr="008E3865" w:rsidRDefault="007A218D" w:rsidP="007A218D">
      <w:pPr>
        <w:spacing w:before="120" w:after="120"/>
        <w:rPr>
          <w:b/>
          <w:sz w:val="28"/>
          <w:szCs w:val="28"/>
        </w:rPr>
      </w:pPr>
      <w:r w:rsidRPr="008E3865">
        <w:rPr>
          <w:b/>
          <w:sz w:val="28"/>
          <w:szCs w:val="28"/>
        </w:rPr>
        <w:lastRenderedPageBreak/>
        <w:t xml:space="preserve">Clause notes </w:t>
      </w:r>
    </w:p>
    <w:p w14:paraId="69187F53" w14:textId="77777777" w:rsidR="007A218D" w:rsidRDefault="007A218D" w:rsidP="007A218D">
      <w:pPr>
        <w:spacing w:before="120" w:after="120"/>
      </w:pPr>
      <w:r>
        <w:t>Clauses 1 and 2 are formal provisions that deal with the name and commencement of the instrument.</w:t>
      </w:r>
    </w:p>
    <w:p w14:paraId="6BD980C5" w14:textId="6814D9C0" w:rsidR="007A218D" w:rsidRDefault="007A218D" w:rsidP="007A218D">
      <w:pPr>
        <w:spacing w:before="120" w:after="120"/>
      </w:pPr>
      <w:r>
        <w:t xml:space="preserve">Clause 3 declares that sections 264 and 265 of the </w:t>
      </w:r>
      <w:r>
        <w:rPr>
          <w:i/>
        </w:rPr>
        <w:t xml:space="preserve">Road Transport (Road Rules) Regulation 2017 </w:t>
      </w:r>
      <w:r w:rsidR="00A80679">
        <w:t>will not apply to the</w:t>
      </w:r>
      <w:r w:rsidR="00A75F25">
        <w:t xml:space="preserve"> </w:t>
      </w:r>
      <w:r w:rsidR="00897FDA">
        <w:t>autonomous vehicle in the are</w:t>
      </w:r>
      <w:r w:rsidR="00A80679">
        <w:t xml:space="preserve">a identified in </w:t>
      </w:r>
      <w:r w:rsidR="00A75F25">
        <w:t>schedule 1 for</w:t>
      </w:r>
      <w:r w:rsidR="00897FDA">
        <w:t xml:space="preserve"> the purposes of an approved autonomous vehicle trial durin</w:t>
      </w:r>
      <w:r w:rsidR="000B54BD">
        <w:t>g the period set out in clause 5</w:t>
      </w:r>
      <w:r w:rsidR="00897FDA">
        <w:t>.</w:t>
      </w:r>
    </w:p>
    <w:p w14:paraId="122DFBCE" w14:textId="2520F350" w:rsidR="007A218D" w:rsidRPr="00401E0F" w:rsidRDefault="007A218D" w:rsidP="007A218D">
      <w:pPr>
        <w:spacing w:before="120" w:after="120"/>
      </w:pPr>
      <w:r w:rsidRPr="00401E0F">
        <w:t xml:space="preserve">Section </w:t>
      </w:r>
      <w:r w:rsidR="00897FDA">
        <w:t>264</w:t>
      </w:r>
      <w:r w:rsidRPr="00401E0F">
        <w:t xml:space="preserve"> of the </w:t>
      </w:r>
      <w:r w:rsidRPr="00401E0F">
        <w:rPr>
          <w:i/>
        </w:rPr>
        <w:t>Road Transport (Road Rules) Regulation 2017</w:t>
      </w:r>
      <w:r w:rsidR="00897FDA">
        <w:t xml:space="preserve"> provides that a driver of a motor vehicle that is moving or is stationary but not parked, and the driver</w:t>
      </w:r>
      <w:r w:rsidR="00A75F25">
        <w:t>’s</w:t>
      </w:r>
      <w:r w:rsidR="00897FDA">
        <w:t xml:space="preserve"> seating position is fitted with an approved seatbelt must wear the seatbelt properly adjusted and fastened.</w:t>
      </w:r>
    </w:p>
    <w:p w14:paraId="0921D998" w14:textId="620049E3" w:rsidR="007A218D" w:rsidRPr="00DA5E07" w:rsidRDefault="00897FDA" w:rsidP="007A218D">
      <w:pPr>
        <w:spacing w:before="120" w:after="120"/>
      </w:pPr>
      <w:r>
        <w:t>Section 265</w:t>
      </w:r>
      <w:r w:rsidR="007A218D" w:rsidRPr="00401E0F">
        <w:t xml:space="preserve"> of the </w:t>
      </w:r>
      <w:r w:rsidR="007A218D" w:rsidRPr="00401E0F">
        <w:rPr>
          <w:i/>
        </w:rPr>
        <w:t>Road Transport (Road Rules) Regulation 2017</w:t>
      </w:r>
      <w:r w:rsidR="007A218D" w:rsidRPr="00401E0F">
        <w:t xml:space="preserve"> provides that a </w:t>
      </w:r>
      <w:r>
        <w:t>passenger (that is 16 years or old</w:t>
      </w:r>
      <w:r w:rsidR="00E874C2">
        <w:t>er</w:t>
      </w:r>
      <w:r>
        <w:t>) must occupy a seating position that is fitted with an approved seatbelt, not occupy the same seating position as another passenger and must wear the seatbelt properly adjusted and fastened</w:t>
      </w:r>
      <w:r w:rsidR="007A218D" w:rsidRPr="00401E0F">
        <w:t>.</w:t>
      </w:r>
    </w:p>
    <w:p w14:paraId="6CDEC70F" w14:textId="12498662" w:rsidR="00897FDA" w:rsidRDefault="00897FDA" w:rsidP="00897FDA">
      <w:r>
        <w:t>The effect of the declaration is that the</w:t>
      </w:r>
      <w:r w:rsidR="00364C64">
        <w:t xml:space="preserve"> chaperon</w:t>
      </w:r>
      <w:r w:rsidR="00000C0A">
        <w:t>e</w:t>
      </w:r>
      <w:r w:rsidR="00542A42">
        <w:t xml:space="preserve"> </w:t>
      </w:r>
      <w:r>
        <w:t xml:space="preserve">of the autonomous vehicle, and passengers aged 16 years or older, are exempt from the requirements under the </w:t>
      </w:r>
      <w:r>
        <w:rPr>
          <w:i/>
        </w:rPr>
        <w:t xml:space="preserve">Road Transport (Road Rules) Regulation 2017 </w:t>
      </w:r>
      <w:r>
        <w:t>to wear a seat belt.</w:t>
      </w:r>
    </w:p>
    <w:p w14:paraId="08DEC325" w14:textId="09D8184F" w:rsidR="00AE076A" w:rsidRDefault="00AE076A" w:rsidP="00AE076A">
      <w:pPr>
        <w:spacing w:before="120" w:after="120"/>
      </w:pPr>
      <w:r w:rsidRPr="000B54BD">
        <w:t xml:space="preserve">Clause 3 also declares that the </w:t>
      </w:r>
      <w:r w:rsidRPr="000B54BD">
        <w:rPr>
          <w:i/>
        </w:rPr>
        <w:t>Road Transport (Third-Party Insurance) Act 2008</w:t>
      </w:r>
      <w:r w:rsidRPr="000B54BD">
        <w:t xml:space="preserve"> and the </w:t>
      </w:r>
      <w:r w:rsidRPr="000B54BD">
        <w:rPr>
          <w:i/>
        </w:rPr>
        <w:t>Road Transport (Third-Party Insurance) Regulation 2008</w:t>
      </w:r>
      <w:r w:rsidRPr="000B54BD">
        <w:t xml:space="preserve"> will not apply to the autonomous vehicle in the area identified in schedule 1 for the purposes of an approved autonomous vehicle trial durin</w:t>
      </w:r>
      <w:r w:rsidR="000B54BD" w:rsidRPr="000B54BD">
        <w:t>g the period set out in clause 5</w:t>
      </w:r>
      <w:r w:rsidRPr="000B54BD">
        <w:t>.</w:t>
      </w:r>
      <w:r w:rsidR="00B70976">
        <w:t xml:space="preserve"> The operator has in place public liability and product liability insurance that covers any property damage or personal injury claims resulting from the approved autonomous vehicle trial.</w:t>
      </w:r>
    </w:p>
    <w:p w14:paraId="5E558529" w14:textId="62336268" w:rsidR="000B54BD" w:rsidRDefault="000B54BD" w:rsidP="00AE076A">
      <w:pPr>
        <w:spacing w:before="120" w:after="120"/>
      </w:pPr>
      <w:r>
        <w:t xml:space="preserve">Clause 4 varies the application of section 297 (1) of the </w:t>
      </w:r>
      <w:r>
        <w:rPr>
          <w:i/>
        </w:rPr>
        <w:t>Road Transport (Road Rules) Regulation 2017</w:t>
      </w:r>
      <w:r>
        <w:t xml:space="preserve"> to identify who the driver of the vehicle is when the autonomous vehicle is in automatic mode and when in manual mode.</w:t>
      </w:r>
    </w:p>
    <w:p w14:paraId="50B0E3D9" w14:textId="7FD31112" w:rsidR="00364C64" w:rsidRPr="000B54BD" w:rsidRDefault="00364C64" w:rsidP="00AE076A">
      <w:pPr>
        <w:spacing w:before="120" w:after="120"/>
      </w:pPr>
      <w:r>
        <w:t xml:space="preserve">Section 297 (1) states that a driver must not drive a vehicle unless the driver has proper control of the vehicle. Drive is defined as includes be in control of. A driver is defined as the person who is driving a vehicle (except a motorbike, bicycle, animal or animal-drawn vehicle or a person pushing a motorised wheelchair). </w:t>
      </w:r>
    </w:p>
    <w:p w14:paraId="6FD2FDED" w14:textId="192E2229" w:rsidR="00897FDA" w:rsidRDefault="00897FDA" w:rsidP="007A218D">
      <w:pPr>
        <w:spacing w:before="120" w:after="120"/>
      </w:pPr>
      <w:r>
        <w:t>C</w:t>
      </w:r>
      <w:r w:rsidR="000B54BD">
        <w:t>lause 5</w:t>
      </w:r>
      <w:r w:rsidR="007A218D">
        <w:t xml:space="preserve"> sets out the </w:t>
      </w:r>
      <w:r>
        <w:t xml:space="preserve">period for which the declaration in clause 3 </w:t>
      </w:r>
      <w:r w:rsidR="000B54BD">
        <w:t xml:space="preserve">and the application order in clause 4 </w:t>
      </w:r>
      <w:r>
        <w:t>applies.</w:t>
      </w:r>
    </w:p>
    <w:p w14:paraId="48DB6943" w14:textId="4639A50A" w:rsidR="007A218D" w:rsidRDefault="000B54BD" w:rsidP="007A218D">
      <w:pPr>
        <w:spacing w:before="120" w:after="120"/>
      </w:pPr>
      <w:r>
        <w:t>Clause 6</w:t>
      </w:r>
      <w:r w:rsidR="00897FDA" w:rsidRPr="00542A42">
        <w:t xml:space="preserve"> states that this instrument expires on </w:t>
      </w:r>
      <w:r w:rsidR="00A3397A">
        <w:t>25 May</w:t>
      </w:r>
      <w:r w:rsidR="00A75F25" w:rsidRPr="00542A42">
        <w:t xml:space="preserve"> 2019</w:t>
      </w:r>
      <w:r w:rsidR="007A218D" w:rsidRPr="00542A42">
        <w:t>.</w:t>
      </w:r>
    </w:p>
    <w:p w14:paraId="1FC4D0A5" w14:textId="54A57C4B" w:rsidR="000B54BD" w:rsidRPr="00542A42" w:rsidRDefault="000B54BD" w:rsidP="007A218D">
      <w:pPr>
        <w:spacing w:before="120" w:after="120"/>
      </w:pPr>
      <w:r>
        <w:t>Clause 7 contains definitions for the instrument.</w:t>
      </w:r>
    </w:p>
    <w:p w14:paraId="3C8C834D" w14:textId="51C7AF93" w:rsidR="00897FDA" w:rsidRDefault="00897FDA" w:rsidP="007A218D">
      <w:pPr>
        <w:spacing w:before="120" w:after="120"/>
      </w:pPr>
      <w:r>
        <w:t>Schedule 1 contains a map showing the areas where the autonomous vehicle trial will be conducted.</w:t>
      </w:r>
    </w:p>
    <w:p w14:paraId="246203F0" w14:textId="77777777" w:rsidR="007A218D" w:rsidRPr="008E3865" w:rsidRDefault="007A218D" w:rsidP="007A218D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Human rights</w:t>
      </w:r>
      <w:r w:rsidRPr="008E3865">
        <w:rPr>
          <w:b/>
          <w:sz w:val="28"/>
          <w:szCs w:val="28"/>
        </w:rPr>
        <w:t xml:space="preserve"> implications</w:t>
      </w:r>
    </w:p>
    <w:p w14:paraId="5F3DC46F" w14:textId="77777777" w:rsidR="007A218D" w:rsidRDefault="007A218D" w:rsidP="007A218D">
      <w:pPr>
        <w:spacing w:before="120" w:after="120"/>
      </w:pPr>
      <w:r>
        <w:t>There are no human rights implications arising from this instrument.</w:t>
      </w:r>
    </w:p>
    <w:p w14:paraId="5FA5C3A5" w14:textId="77777777" w:rsidR="007A218D" w:rsidRPr="008E3865" w:rsidRDefault="007A218D" w:rsidP="007A218D">
      <w:pPr>
        <w:spacing w:before="120" w:after="120"/>
        <w:rPr>
          <w:b/>
          <w:sz w:val="28"/>
          <w:szCs w:val="28"/>
        </w:rPr>
      </w:pPr>
      <w:r w:rsidRPr="008E3865">
        <w:rPr>
          <w:b/>
          <w:sz w:val="28"/>
          <w:szCs w:val="28"/>
        </w:rPr>
        <w:t>Climate change implications</w:t>
      </w:r>
    </w:p>
    <w:p w14:paraId="205D7F19" w14:textId="422957C1" w:rsidR="007A218D" w:rsidRDefault="007A218D" w:rsidP="00B70976">
      <w:pPr>
        <w:spacing w:before="120" w:after="120"/>
      </w:pPr>
      <w:r>
        <w:t>There are no climate change implications arising from this instrument.</w:t>
      </w:r>
    </w:p>
    <w:sectPr w:rsidR="007A218D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37C17" w14:textId="77777777" w:rsidR="00E126EA" w:rsidRDefault="00E126EA">
      <w:r>
        <w:separator/>
      </w:r>
    </w:p>
  </w:endnote>
  <w:endnote w:type="continuationSeparator" w:id="0">
    <w:p w14:paraId="35C4B7CD" w14:textId="77777777" w:rsidR="00E126EA" w:rsidRDefault="00E1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475C" w14:textId="77777777" w:rsidR="00870729" w:rsidRDefault="00870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8783" w14:textId="4E16C0AC" w:rsidR="00487B60" w:rsidRPr="00333CB9" w:rsidRDefault="00333CB9" w:rsidP="00333CB9">
    <w:pPr>
      <w:pStyle w:val="Footer"/>
      <w:spacing w:before="0" w:after="0" w:line="240" w:lineRule="auto"/>
      <w:jc w:val="center"/>
      <w:rPr>
        <w:rFonts w:cs="Arial"/>
        <w:sz w:val="14"/>
      </w:rPr>
    </w:pPr>
    <w:r w:rsidRPr="00333C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37B4" w14:textId="77777777" w:rsidR="00870729" w:rsidRDefault="00870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D4A5" w14:textId="77777777" w:rsidR="00E126EA" w:rsidRDefault="00E126EA">
      <w:r>
        <w:separator/>
      </w:r>
    </w:p>
  </w:footnote>
  <w:footnote w:type="continuationSeparator" w:id="0">
    <w:p w14:paraId="5C9AF0DA" w14:textId="77777777" w:rsidR="00E126EA" w:rsidRDefault="00E1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AFB3" w14:textId="77777777" w:rsidR="00870729" w:rsidRDefault="0087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92C8" w14:textId="77777777" w:rsidR="00870729" w:rsidRDefault="00870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CFFA7" w14:textId="77777777" w:rsidR="00870729" w:rsidRDefault="00870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CB"/>
    <w:rsid w:val="00000C0A"/>
    <w:rsid w:val="000B54BD"/>
    <w:rsid w:val="000C3C48"/>
    <w:rsid w:val="00274826"/>
    <w:rsid w:val="002B6382"/>
    <w:rsid w:val="00302116"/>
    <w:rsid w:val="00333CB9"/>
    <w:rsid w:val="00364C64"/>
    <w:rsid w:val="003F28C2"/>
    <w:rsid w:val="00474C12"/>
    <w:rsid w:val="00542A42"/>
    <w:rsid w:val="005B1AF1"/>
    <w:rsid w:val="005E07D1"/>
    <w:rsid w:val="005F5E3D"/>
    <w:rsid w:val="006C411A"/>
    <w:rsid w:val="00745EB4"/>
    <w:rsid w:val="0076598F"/>
    <w:rsid w:val="0077389D"/>
    <w:rsid w:val="00791B77"/>
    <w:rsid w:val="007A218D"/>
    <w:rsid w:val="007E35BA"/>
    <w:rsid w:val="007E4EDA"/>
    <w:rsid w:val="00836BCB"/>
    <w:rsid w:val="00841B88"/>
    <w:rsid w:val="008706E2"/>
    <w:rsid w:val="00870729"/>
    <w:rsid w:val="00897FDA"/>
    <w:rsid w:val="008B0575"/>
    <w:rsid w:val="008E2F5F"/>
    <w:rsid w:val="00922784"/>
    <w:rsid w:val="00924258"/>
    <w:rsid w:val="00A3397A"/>
    <w:rsid w:val="00A75F25"/>
    <w:rsid w:val="00A80679"/>
    <w:rsid w:val="00AA2C1C"/>
    <w:rsid w:val="00AE076A"/>
    <w:rsid w:val="00B70976"/>
    <w:rsid w:val="00CE611B"/>
    <w:rsid w:val="00DC39B1"/>
    <w:rsid w:val="00E126EA"/>
    <w:rsid w:val="00E5021F"/>
    <w:rsid w:val="00E731C6"/>
    <w:rsid w:val="00E874C2"/>
    <w:rsid w:val="00E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7B63"/>
  <w15:chartTrackingRefBased/>
  <w15:docId w15:val="{B8CAEEEB-067F-431C-8119-973DC4C9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36BCB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836BC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36BCB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BCB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836BCB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36BCB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836BC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836BC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836BC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36BCB"/>
    <w:pPr>
      <w:spacing w:before="180" w:after="60"/>
      <w:jc w:val="both"/>
    </w:pPr>
  </w:style>
  <w:style w:type="paragraph" w:customStyle="1" w:styleId="CoverActName">
    <w:name w:val="CoverActName"/>
    <w:basedOn w:val="Normal"/>
    <w:rsid w:val="00836BC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rsid w:val="00836B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6BC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3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C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C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7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3927</Characters>
  <Application>Microsoft Office Word</Application>
  <DocSecurity>0</DocSecurity>
  <Lines>81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Sarah-Anne</dc:creator>
  <cp:keywords>2</cp:keywords>
  <dc:description/>
  <cp:lastModifiedBy>PCODCS</cp:lastModifiedBy>
  <cp:revision>4</cp:revision>
  <dcterms:created xsi:type="dcterms:W3CDTF">2019-04-17T23:35:00Z</dcterms:created>
  <dcterms:modified xsi:type="dcterms:W3CDTF">2019-04-17T23:35:00Z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1036221</vt:lpwstr>
  </property>
  <property fmtid="{D5CDD505-2E9C-101B-9397-08002B2CF9AE}" pid="4" name="JMSREQUIREDCHECKIN">
    <vt:lpwstr/>
  </property>
</Properties>
</file>