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EF34F" w14:textId="77777777" w:rsidR="005D70F1" w:rsidRPr="001B59B2" w:rsidRDefault="005D70F1">
      <w:pPr>
        <w:spacing w:before="120"/>
        <w:rPr>
          <w:rFonts w:ascii="Arial" w:hAnsi="Arial" w:cs="Arial"/>
        </w:rPr>
      </w:pPr>
      <w:bookmarkStart w:id="0" w:name="_Toc44738651"/>
      <w:bookmarkStart w:id="1" w:name="_GoBack"/>
      <w:bookmarkEnd w:id="1"/>
      <w:r w:rsidRPr="001B59B2">
        <w:rPr>
          <w:rFonts w:ascii="Arial" w:hAnsi="Arial" w:cs="Arial"/>
        </w:rPr>
        <w:t>Australian Capital Territory</w:t>
      </w:r>
    </w:p>
    <w:p w14:paraId="5F88F13E" w14:textId="5887515B" w:rsidR="00FD13E7" w:rsidRPr="001B59B2" w:rsidRDefault="00EB460C" w:rsidP="00FD13E7">
      <w:pPr>
        <w:pStyle w:val="Billname"/>
        <w:spacing w:before="700"/>
      </w:pPr>
      <w:r w:rsidRPr="001B59B2">
        <w:t>Taxation Administration (Amounts Payable—</w:t>
      </w:r>
      <w:r w:rsidR="003E4633">
        <w:t>Duty)</w:t>
      </w:r>
      <w:r w:rsidR="00F96354" w:rsidRPr="001B59B2">
        <w:t xml:space="preserve"> Determination </w:t>
      </w:r>
      <w:r w:rsidR="00D361E5" w:rsidRPr="001B59B2">
        <w:t>201</w:t>
      </w:r>
      <w:r w:rsidR="00D361E5">
        <w:t>9</w:t>
      </w:r>
      <w:r w:rsidR="00D361E5" w:rsidRPr="001B59B2">
        <w:t xml:space="preserve"> </w:t>
      </w:r>
      <w:r w:rsidR="00F96354" w:rsidRPr="001B59B2">
        <w:t xml:space="preserve">(No </w:t>
      </w:r>
      <w:r w:rsidR="003E4633">
        <w:t>1</w:t>
      </w:r>
      <w:r w:rsidRPr="001B59B2">
        <w:t>)</w:t>
      </w:r>
    </w:p>
    <w:p w14:paraId="239BC5AC" w14:textId="14399283" w:rsidR="00FD13E7" w:rsidRPr="001B59B2" w:rsidRDefault="005D70F1" w:rsidP="00FD13E7">
      <w:pPr>
        <w:spacing w:before="240" w:after="60"/>
        <w:rPr>
          <w:rFonts w:ascii="Arial" w:hAnsi="Arial" w:cs="Arial"/>
          <w:b/>
          <w:bCs/>
          <w:szCs w:val="26"/>
          <w:vertAlign w:val="superscript"/>
        </w:rPr>
      </w:pPr>
      <w:r w:rsidRPr="001B59B2">
        <w:rPr>
          <w:rFonts w:ascii="Arial" w:hAnsi="Arial" w:cs="Arial"/>
          <w:b/>
          <w:bCs/>
          <w:szCs w:val="26"/>
        </w:rPr>
        <w:t xml:space="preserve">Disallowable instrument </w:t>
      </w:r>
      <w:r w:rsidR="00D361E5" w:rsidRPr="001B59B2">
        <w:rPr>
          <w:rFonts w:ascii="Arial" w:hAnsi="Arial" w:cs="Arial"/>
          <w:b/>
          <w:bCs/>
          <w:szCs w:val="26"/>
        </w:rPr>
        <w:t>DI</w:t>
      </w:r>
      <w:r w:rsidR="00D361E5" w:rsidRPr="001B59B2">
        <w:rPr>
          <w:rFonts w:ascii="Arial" w:hAnsi="Arial" w:cs="Arial"/>
          <w:b/>
          <w:bCs/>
          <w:iCs/>
          <w:szCs w:val="26"/>
        </w:rPr>
        <w:t>201</w:t>
      </w:r>
      <w:r w:rsidR="00D361E5">
        <w:rPr>
          <w:rFonts w:ascii="Arial" w:hAnsi="Arial" w:cs="Arial"/>
          <w:b/>
          <w:bCs/>
          <w:iCs/>
          <w:szCs w:val="26"/>
        </w:rPr>
        <w:t>9</w:t>
      </w:r>
      <w:r w:rsidR="007276F9" w:rsidRPr="001B59B2">
        <w:rPr>
          <w:rFonts w:ascii="Arial" w:hAnsi="Arial" w:cs="Arial"/>
          <w:b/>
          <w:bCs/>
          <w:szCs w:val="26"/>
        </w:rPr>
        <w:t>–</w:t>
      </w:r>
      <w:r w:rsidR="00112C90">
        <w:rPr>
          <w:rFonts w:ascii="Arial" w:hAnsi="Arial" w:cs="Arial"/>
          <w:b/>
          <w:bCs/>
          <w:szCs w:val="26"/>
        </w:rPr>
        <w:t>69</w:t>
      </w:r>
    </w:p>
    <w:p w14:paraId="29FB0B69" w14:textId="77777777" w:rsidR="005D70F1" w:rsidRPr="001B59B2" w:rsidRDefault="005D70F1" w:rsidP="00FD13E7">
      <w:pPr>
        <w:spacing w:before="240" w:after="60"/>
      </w:pPr>
      <w:r w:rsidRPr="001B59B2">
        <w:t xml:space="preserve">made under the  </w:t>
      </w:r>
    </w:p>
    <w:p w14:paraId="1EF19044" w14:textId="77777777" w:rsidR="005D70F1" w:rsidRPr="001B59B2" w:rsidRDefault="00EB460C" w:rsidP="00644E63">
      <w:pPr>
        <w:pStyle w:val="CoverActName"/>
        <w:rPr>
          <w:rFonts w:cs="Arial"/>
          <w:sz w:val="20"/>
        </w:rPr>
      </w:pPr>
      <w:r w:rsidRPr="001B59B2">
        <w:rPr>
          <w:rFonts w:cs="Arial"/>
          <w:i/>
          <w:sz w:val="20"/>
        </w:rPr>
        <w:t xml:space="preserve">Taxation Administration Act 1999, </w:t>
      </w:r>
      <w:r w:rsidR="00F6527A" w:rsidRPr="001B59B2">
        <w:rPr>
          <w:rFonts w:cs="Arial"/>
          <w:sz w:val="20"/>
        </w:rPr>
        <w:t>s</w:t>
      </w:r>
      <w:r w:rsidRPr="001B59B2">
        <w:rPr>
          <w:rFonts w:cs="Arial"/>
          <w:sz w:val="20"/>
        </w:rPr>
        <w:t xml:space="preserve"> 139 (Determination of amounts payable under tax laws)</w:t>
      </w:r>
    </w:p>
    <w:p w14:paraId="3438415E" w14:textId="77777777" w:rsidR="005D70F1" w:rsidRPr="001B59B2" w:rsidRDefault="005D70F1">
      <w:pPr>
        <w:spacing w:before="360"/>
        <w:ind w:right="565"/>
        <w:rPr>
          <w:rFonts w:ascii="Arial" w:hAnsi="Arial" w:cs="Arial"/>
          <w:b/>
          <w:bCs/>
          <w:sz w:val="28"/>
          <w:szCs w:val="28"/>
        </w:rPr>
      </w:pPr>
      <w:r w:rsidRPr="001B59B2">
        <w:rPr>
          <w:rFonts w:ascii="Arial" w:hAnsi="Arial" w:cs="Arial"/>
          <w:b/>
          <w:bCs/>
          <w:sz w:val="28"/>
          <w:szCs w:val="28"/>
        </w:rPr>
        <w:t>EXPLANATORY STATEMENT</w:t>
      </w:r>
    </w:p>
    <w:p w14:paraId="6D30839E" w14:textId="77777777" w:rsidR="005D70F1" w:rsidRPr="001B59B2" w:rsidRDefault="005D70F1">
      <w:pPr>
        <w:pStyle w:val="N-line3"/>
        <w:pBdr>
          <w:bottom w:val="none" w:sz="0" w:space="0" w:color="auto"/>
        </w:pBdr>
      </w:pPr>
    </w:p>
    <w:p w14:paraId="793647BF" w14:textId="77777777" w:rsidR="005D70F1" w:rsidRPr="001B59B2" w:rsidRDefault="005D70F1">
      <w:pPr>
        <w:pStyle w:val="N-line3"/>
        <w:pBdr>
          <w:top w:val="single" w:sz="12" w:space="1" w:color="auto"/>
          <w:bottom w:val="none" w:sz="0" w:space="0" w:color="auto"/>
        </w:pBdr>
      </w:pPr>
    </w:p>
    <w:bookmarkEnd w:id="0"/>
    <w:p w14:paraId="326B5443" w14:textId="720117FC" w:rsidR="003E4633" w:rsidRDefault="003E4633" w:rsidP="003E4633">
      <w:r>
        <w:t xml:space="preserve">This instrument commences on </w:t>
      </w:r>
      <w:r w:rsidR="005F778F">
        <w:t>1</w:t>
      </w:r>
      <w:r w:rsidR="00D361E5">
        <w:t xml:space="preserve"> </w:t>
      </w:r>
      <w:r>
        <w:t>Ju</w:t>
      </w:r>
      <w:r w:rsidR="005F778F">
        <w:t>ly</w:t>
      </w:r>
      <w:r>
        <w:t xml:space="preserve"> </w:t>
      </w:r>
      <w:r w:rsidR="00D361E5">
        <w:t>2019</w:t>
      </w:r>
      <w:r>
        <w:t>.</w:t>
      </w:r>
    </w:p>
    <w:p w14:paraId="5A8C5B24" w14:textId="77777777" w:rsidR="003E4633" w:rsidRDefault="003E4633" w:rsidP="003E4633"/>
    <w:p w14:paraId="559154E2" w14:textId="48C1B5EE" w:rsidR="00D3550A" w:rsidRDefault="00D3550A" w:rsidP="00D3550A">
      <w:r>
        <w:t xml:space="preserve">Under section 139 of the </w:t>
      </w:r>
      <w:r w:rsidRPr="003E4633">
        <w:rPr>
          <w:i/>
        </w:rPr>
        <w:t>Taxation Administration Act 1999</w:t>
      </w:r>
      <w:r>
        <w:t xml:space="preserve">, the Minister may determine by disallowable instrument the rate or differential rates, or the method by which, an amount of duty payable under the </w:t>
      </w:r>
      <w:r w:rsidRPr="003E4633">
        <w:rPr>
          <w:i/>
        </w:rPr>
        <w:t>Duties Act 1999</w:t>
      </w:r>
      <w:r>
        <w:t xml:space="preserve"> (Duties Act) is to be calculated.</w:t>
      </w:r>
    </w:p>
    <w:p w14:paraId="43725604" w14:textId="77777777" w:rsidR="00D3550A" w:rsidRDefault="00D3550A" w:rsidP="00D3550A"/>
    <w:p w14:paraId="145AB138" w14:textId="77777777" w:rsidR="00D3550A" w:rsidRDefault="00D3550A" w:rsidP="00D3550A">
      <w:r>
        <w:t>This instrument determines for the purposes of the Duties Act differential rates of duty, or the method by which, an amount of duty is payable for different types of dutiable transactions.</w:t>
      </w:r>
      <w:r w:rsidRPr="00D3550A">
        <w:t xml:space="preserve"> </w:t>
      </w:r>
      <w:r>
        <w:t>Part 2 of this instrument determines the transfer rates of duty for the purposes of section 31 of the Duties Act. Part 3 determines commercial transfer rates of duty for the purposes of sections 31 and 90 of the Duties Act. Part 4 determines the rate of duty for the purposes of section 33 of the Duties Act.</w:t>
      </w:r>
    </w:p>
    <w:p w14:paraId="764D7C0B" w14:textId="77777777" w:rsidR="00D3550A" w:rsidRDefault="00D3550A" w:rsidP="00D3550A"/>
    <w:p w14:paraId="159CB5DF" w14:textId="4EB3E7E5" w:rsidR="00D3550A" w:rsidRPr="004F3B84" w:rsidRDefault="00D3550A" w:rsidP="00D3550A">
      <w:pPr>
        <w:keepNext/>
        <w:rPr>
          <w:rFonts w:ascii="Arial" w:hAnsi="Arial" w:cs="Arial"/>
          <w:b/>
          <w:sz w:val="26"/>
          <w:szCs w:val="26"/>
        </w:rPr>
      </w:pPr>
      <w:r w:rsidRPr="004F3B84">
        <w:rPr>
          <w:rFonts w:ascii="Arial" w:hAnsi="Arial" w:cs="Arial"/>
          <w:b/>
          <w:sz w:val="26"/>
          <w:szCs w:val="26"/>
        </w:rPr>
        <w:t>Updates</w:t>
      </w:r>
    </w:p>
    <w:p w14:paraId="37F9F9DD" w14:textId="77777777" w:rsidR="00D3550A" w:rsidRDefault="00D3550A" w:rsidP="00D3550A"/>
    <w:p w14:paraId="0BF36290" w14:textId="75446CFF" w:rsidR="003E4633" w:rsidRPr="00D3550A" w:rsidRDefault="003E4633" w:rsidP="00C5498C">
      <w:r>
        <w:t xml:space="preserve">As part of the </w:t>
      </w:r>
      <w:r w:rsidR="00D361E5">
        <w:t>2019</w:t>
      </w:r>
      <w:r>
        <w:t>-</w:t>
      </w:r>
      <w:r w:rsidR="00D361E5">
        <w:t xml:space="preserve">20 </w:t>
      </w:r>
      <w:r>
        <w:t>Budget, the Government is continuing its implementation of reform to the Territory’s taxation system. This instrument reduces conveyance duty rates for transact</w:t>
      </w:r>
      <w:r w:rsidR="00AC2749">
        <w:t xml:space="preserve">ions of residential properties as </w:t>
      </w:r>
      <w:r>
        <w:t xml:space="preserve">part of the Government’s reform program to reduce </w:t>
      </w:r>
      <w:r w:rsidR="00D3550A">
        <w:t xml:space="preserve">conveyance duty rates </w:t>
      </w:r>
      <w:r w:rsidR="00AC2749">
        <w:t>each year</w:t>
      </w:r>
      <w:r w:rsidR="00D3550A">
        <w:t>. This instrument maintain</w:t>
      </w:r>
      <w:r w:rsidR="00002445">
        <w:t>s</w:t>
      </w:r>
      <w:r w:rsidR="00C5498C">
        <w:t xml:space="preserve"> a</w:t>
      </w:r>
      <w:r w:rsidR="00D3550A">
        <w:t xml:space="preserve"> </w:t>
      </w:r>
      <w:r>
        <w:t>flat 5</w:t>
      </w:r>
      <w:r w:rsidR="00002445">
        <w:t> </w:t>
      </w:r>
      <w:r>
        <w:t xml:space="preserve">per cent duty rate for commercial transactions above </w:t>
      </w:r>
      <w:r w:rsidR="00D361E5">
        <w:t>$1.5 million</w:t>
      </w:r>
      <w:r w:rsidR="00C5498C">
        <w:t>.</w:t>
      </w:r>
      <w:r w:rsidR="00C5498C" w:rsidRPr="005F778F">
        <w:t xml:space="preserve"> </w:t>
      </w:r>
      <w:r w:rsidR="005F778F">
        <w:t>These duty rates for 2019-20 were first announced in the 2016-17 Budget.</w:t>
      </w:r>
      <w:r w:rsidR="005F778F">
        <w:rPr>
          <w:highlight w:val="yellow"/>
        </w:rPr>
        <w:t xml:space="preserve"> </w:t>
      </w:r>
    </w:p>
    <w:p w14:paraId="1318E889" w14:textId="77777777" w:rsidR="003E4633" w:rsidRDefault="003E4633" w:rsidP="003E4633"/>
    <w:p w14:paraId="3D9D886A" w14:textId="77777777" w:rsidR="00D3550A" w:rsidRPr="001B59B2" w:rsidRDefault="00D3550A" w:rsidP="00D3550A">
      <w:pPr>
        <w:rPr>
          <w:rFonts w:ascii="Arial" w:hAnsi="Arial" w:cs="Arial"/>
          <w:b/>
          <w:sz w:val="26"/>
          <w:szCs w:val="26"/>
        </w:rPr>
      </w:pPr>
      <w:r>
        <w:rPr>
          <w:rFonts w:ascii="Arial" w:hAnsi="Arial" w:cs="Arial"/>
          <w:b/>
          <w:sz w:val="26"/>
          <w:szCs w:val="26"/>
        </w:rPr>
        <w:t>Transfer rate (part 2)</w:t>
      </w:r>
    </w:p>
    <w:p w14:paraId="5F8730A2" w14:textId="77777777" w:rsidR="003E4633" w:rsidRDefault="003E4633" w:rsidP="003E4633"/>
    <w:p w14:paraId="6061A6CB" w14:textId="087E7755" w:rsidR="003E4633" w:rsidRDefault="003E4633" w:rsidP="003E4633">
      <w:r>
        <w:t xml:space="preserve">Part </w:t>
      </w:r>
      <w:r w:rsidR="00D3550A">
        <w:t xml:space="preserve">2 </w:t>
      </w:r>
      <w:r>
        <w:t>applies to a dutiable transaction of dutiable property used, or that will be used, wholly for purposes other than a commercial purpose. For example, for a residential purpose (such as a house, a unit,</w:t>
      </w:r>
      <w:r w:rsidR="00D3550A">
        <w:t xml:space="preserve"> or</w:t>
      </w:r>
      <w:r>
        <w:t xml:space="preserve"> a block of apartments), a primary production purpose (such as</w:t>
      </w:r>
      <w:r w:rsidR="00D3550A">
        <w:t xml:space="preserve"> farm land or</w:t>
      </w:r>
      <w:r>
        <w:t xml:space="preserve"> grazing la</w:t>
      </w:r>
      <w:r w:rsidR="00D3550A">
        <w:t>nd) or a home business (such as</w:t>
      </w:r>
      <w:r>
        <w:t xml:space="preserve"> a bookkeeping business or florist working from home). This is irrespective of the permitted uses of the property as may be specified in a Crown lease.</w:t>
      </w:r>
    </w:p>
    <w:p w14:paraId="1D48A1D3" w14:textId="77777777" w:rsidR="003E4633" w:rsidRDefault="003E4633" w:rsidP="003E4633"/>
    <w:p w14:paraId="15BDAA86" w14:textId="77777777" w:rsidR="00D545E6" w:rsidRDefault="003E4633" w:rsidP="003E4633">
      <w:r>
        <w:lastRenderedPageBreak/>
        <w:t>Table 1 sets out the differential rates of duty, and the method by which, an amount of duty is payable for a dutiable transaction that is not for a commercial purpose.</w:t>
      </w:r>
      <w:r w:rsidR="00D545E6">
        <w:t xml:space="preserve"> </w:t>
      </w:r>
    </w:p>
    <w:p w14:paraId="45A44956" w14:textId="77777777" w:rsidR="00D545E6" w:rsidRDefault="00D545E6" w:rsidP="003E4633"/>
    <w:p w14:paraId="0674DA99" w14:textId="6A3F74DD" w:rsidR="003E4633" w:rsidRDefault="00D545E6" w:rsidP="003E4633">
      <w:r>
        <w:t xml:space="preserve">The previous and new rates (effective </w:t>
      </w:r>
      <w:r w:rsidR="009A2623">
        <w:t>5</w:t>
      </w:r>
      <w:r w:rsidR="00D361E5">
        <w:t xml:space="preserve"> </w:t>
      </w:r>
      <w:r>
        <w:t xml:space="preserve">June </w:t>
      </w:r>
      <w:r w:rsidR="00D361E5">
        <w:t>2019</w:t>
      </w:r>
      <w:r>
        <w:t>) are listed below for comparison.</w:t>
      </w:r>
    </w:p>
    <w:p w14:paraId="5BD21784" w14:textId="77777777" w:rsidR="00D545E6" w:rsidRDefault="00D545E6" w:rsidP="003E4633"/>
    <w:tbl>
      <w:tblPr>
        <w:tblStyle w:val="TableGrid"/>
        <w:tblW w:w="8201" w:type="dxa"/>
        <w:tblLook w:val="04A0" w:firstRow="1" w:lastRow="0" w:firstColumn="1" w:lastColumn="0" w:noHBand="0" w:noVBand="1"/>
      </w:tblPr>
      <w:tblGrid>
        <w:gridCol w:w="4709"/>
        <w:gridCol w:w="1665"/>
        <w:gridCol w:w="1827"/>
      </w:tblGrid>
      <w:tr w:rsidR="00D361E5" w:rsidRPr="0036212E" w14:paraId="213BF41D" w14:textId="77777777" w:rsidTr="009A2623">
        <w:tc>
          <w:tcPr>
            <w:tcW w:w="0" w:type="auto"/>
            <w:shd w:val="clear" w:color="auto" w:fill="FFFFFF" w:themeFill="background1"/>
          </w:tcPr>
          <w:p w14:paraId="500AFE5B" w14:textId="18107B39" w:rsidR="00D361E5" w:rsidRPr="0036212E" w:rsidRDefault="00D361E5" w:rsidP="00D361E5">
            <w:pPr>
              <w:rPr>
                <w:b/>
              </w:rPr>
            </w:pPr>
            <w:r>
              <w:rPr>
                <w:b/>
              </w:rPr>
              <w:t>Dutiable value</w:t>
            </w:r>
          </w:p>
        </w:tc>
        <w:tc>
          <w:tcPr>
            <w:tcW w:w="1665" w:type="dxa"/>
            <w:shd w:val="clear" w:color="auto" w:fill="FFFFFF" w:themeFill="background1"/>
          </w:tcPr>
          <w:p w14:paraId="218ECA4E" w14:textId="71161AC2" w:rsidR="00D361E5" w:rsidRPr="0036212E" w:rsidRDefault="00D361E5" w:rsidP="00D361E5">
            <w:pPr>
              <w:rPr>
                <w:b/>
              </w:rPr>
            </w:pPr>
            <w:r w:rsidRPr="0036212E">
              <w:rPr>
                <w:b/>
              </w:rPr>
              <w:t>201</w:t>
            </w:r>
            <w:r>
              <w:rPr>
                <w:b/>
              </w:rPr>
              <w:t>8-19 (%)</w:t>
            </w:r>
          </w:p>
        </w:tc>
        <w:tc>
          <w:tcPr>
            <w:tcW w:w="1827" w:type="dxa"/>
            <w:shd w:val="clear" w:color="auto" w:fill="FFFFFF" w:themeFill="background1"/>
          </w:tcPr>
          <w:p w14:paraId="50CCB8DB" w14:textId="087B3A4F" w:rsidR="00D361E5" w:rsidRPr="0036212E" w:rsidRDefault="00D361E5" w:rsidP="00D361E5">
            <w:pPr>
              <w:rPr>
                <w:b/>
              </w:rPr>
            </w:pPr>
            <w:r w:rsidRPr="0036212E">
              <w:rPr>
                <w:b/>
              </w:rPr>
              <w:t>201</w:t>
            </w:r>
            <w:r>
              <w:rPr>
                <w:b/>
              </w:rPr>
              <w:t>9</w:t>
            </w:r>
            <w:r w:rsidRPr="0036212E">
              <w:rPr>
                <w:b/>
              </w:rPr>
              <w:t>-</w:t>
            </w:r>
            <w:r>
              <w:rPr>
                <w:b/>
              </w:rPr>
              <w:t>20 (%)</w:t>
            </w:r>
          </w:p>
        </w:tc>
      </w:tr>
      <w:tr w:rsidR="00D361E5" w14:paraId="0ACE5C03" w14:textId="77777777" w:rsidTr="009A2623">
        <w:tc>
          <w:tcPr>
            <w:tcW w:w="0" w:type="auto"/>
            <w:shd w:val="clear" w:color="auto" w:fill="FFFFFF" w:themeFill="background1"/>
          </w:tcPr>
          <w:p w14:paraId="1410BEED" w14:textId="5DC5A516" w:rsidR="00D361E5" w:rsidRDefault="00D361E5" w:rsidP="00D361E5">
            <w:r>
              <w:t>Less than or equal to $200,000</w:t>
            </w:r>
          </w:p>
        </w:tc>
        <w:tc>
          <w:tcPr>
            <w:tcW w:w="1665" w:type="dxa"/>
            <w:shd w:val="clear" w:color="auto" w:fill="FFFFFF" w:themeFill="background1"/>
          </w:tcPr>
          <w:p w14:paraId="0E7F5124" w14:textId="780D8A85" w:rsidR="00D361E5" w:rsidRDefault="00D361E5" w:rsidP="00D361E5">
            <w:r>
              <w:t>1.30</w:t>
            </w:r>
          </w:p>
        </w:tc>
        <w:tc>
          <w:tcPr>
            <w:tcW w:w="1827" w:type="dxa"/>
            <w:shd w:val="clear" w:color="auto" w:fill="FFFFFF" w:themeFill="background1"/>
          </w:tcPr>
          <w:p w14:paraId="61793B06" w14:textId="7A78992D" w:rsidR="00D361E5" w:rsidRDefault="00D361E5" w:rsidP="00D361E5">
            <w:r>
              <w:t>1.20</w:t>
            </w:r>
          </w:p>
        </w:tc>
      </w:tr>
      <w:tr w:rsidR="00D361E5" w14:paraId="2BF7817F" w14:textId="77777777" w:rsidTr="009A2623">
        <w:tc>
          <w:tcPr>
            <w:tcW w:w="0" w:type="auto"/>
            <w:shd w:val="clear" w:color="auto" w:fill="FFFFFF" w:themeFill="background1"/>
          </w:tcPr>
          <w:p w14:paraId="29ACA095" w14:textId="1244A642" w:rsidR="00D361E5" w:rsidRDefault="00D361E5" w:rsidP="00D361E5">
            <w:r>
              <w:t>More than $200,000 but not more than $300,000</w:t>
            </w:r>
          </w:p>
        </w:tc>
        <w:tc>
          <w:tcPr>
            <w:tcW w:w="1665" w:type="dxa"/>
            <w:shd w:val="clear" w:color="auto" w:fill="FFFFFF" w:themeFill="background1"/>
          </w:tcPr>
          <w:p w14:paraId="6EFFF627" w14:textId="3A880EDF" w:rsidR="00D361E5" w:rsidRDefault="00D361E5" w:rsidP="00D361E5">
            <w:r>
              <w:t>2.30</w:t>
            </w:r>
          </w:p>
        </w:tc>
        <w:tc>
          <w:tcPr>
            <w:tcW w:w="1827" w:type="dxa"/>
            <w:shd w:val="clear" w:color="auto" w:fill="FFFFFF" w:themeFill="background1"/>
          </w:tcPr>
          <w:p w14:paraId="5E993528" w14:textId="7F994130" w:rsidR="00D361E5" w:rsidRDefault="00D361E5" w:rsidP="00D361E5">
            <w:r>
              <w:t>2.20</w:t>
            </w:r>
          </w:p>
        </w:tc>
      </w:tr>
      <w:tr w:rsidR="00D361E5" w14:paraId="4C827700" w14:textId="77777777" w:rsidTr="009A2623">
        <w:tc>
          <w:tcPr>
            <w:tcW w:w="0" w:type="auto"/>
            <w:shd w:val="clear" w:color="auto" w:fill="FFFFFF" w:themeFill="background1"/>
          </w:tcPr>
          <w:p w14:paraId="512FA19A" w14:textId="0E6C440A" w:rsidR="00D361E5" w:rsidRDefault="00D361E5" w:rsidP="00D361E5">
            <w:r>
              <w:t>More than $300,000 but not more than $500,000</w:t>
            </w:r>
          </w:p>
        </w:tc>
        <w:tc>
          <w:tcPr>
            <w:tcW w:w="1665" w:type="dxa"/>
            <w:shd w:val="clear" w:color="auto" w:fill="FFFFFF" w:themeFill="background1"/>
          </w:tcPr>
          <w:p w14:paraId="65DBF4CB" w14:textId="10AF52E9" w:rsidR="00D361E5" w:rsidRDefault="00D361E5" w:rsidP="00D361E5">
            <w:r>
              <w:t>3.60</w:t>
            </w:r>
          </w:p>
        </w:tc>
        <w:tc>
          <w:tcPr>
            <w:tcW w:w="1827" w:type="dxa"/>
            <w:shd w:val="clear" w:color="auto" w:fill="FFFFFF" w:themeFill="background1"/>
          </w:tcPr>
          <w:p w14:paraId="2B578131" w14:textId="3566D9BB" w:rsidR="00D361E5" w:rsidRDefault="00D361E5" w:rsidP="00D361E5">
            <w:r>
              <w:t>3.40</w:t>
            </w:r>
          </w:p>
        </w:tc>
      </w:tr>
      <w:tr w:rsidR="00D361E5" w14:paraId="55C9340F" w14:textId="77777777" w:rsidTr="009A2623">
        <w:tc>
          <w:tcPr>
            <w:tcW w:w="0" w:type="auto"/>
            <w:shd w:val="clear" w:color="auto" w:fill="FFFFFF" w:themeFill="background1"/>
          </w:tcPr>
          <w:p w14:paraId="441C0627" w14:textId="21E265AD" w:rsidR="00D361E5" w:rsidRDefault="00D361E5" w:rsidP="00D361E5">
            <w:r>
              <w:t>More than $500,000 but not more than $750,000</w:t>
            </w:r>
          </w:p>
        </w:tc>
        <w:tc>
          <w:tcPr>
            <w:tcW w:w="1665" w:type="dxa"/>
            <w:shd w:val="clear" w:color="auto" w:fill="FFFFFF" w:themeFill="background1"/>
          </w:tcPr>
          <w:p w14:paraId="50711FD5" w14:textId="310C7C94" w:rsidR="00D361E5" w:rsidRDefault="00D361E5" w:rsidP="00D361E5">
            <w:r>
              <w:t>4.56</w:t>
            </w:r>
          </w:p>
        </w:tc>
        <w:tc>
          <w:tcPr>
            <w:tcW w:w="1827" w:type="dxa"/>
            <w:shd w:val="clear" w:color="auto" w:fill="FFFFFF" w:themeFill="background1"/>
          </w:tcPr>
          <w:p w14:paraId="0224E721" w14:textId="45BBA82F" w:rsidR="00D361E5" w:rsidRDefault="00D361E5" w:rsidP="00D361E5">
            <w:r>
              <w:t>4.32</w:t>
            </w:r>
          </w:p>
        </w:tc>
      </w:tr>
      <w:tr w:rsidR="00D361E5" w14:paraId="71B0055C" w14:textId="77777777" w:rsidTr="009A2623">
        <w:tc>
          <w:tcPr>
            <w:tcW w:w="0" w:type="auto"/>
            <w:shd w:val="clear" w:color="auto" w:fill="FFFFFF" w:themeFill="background1"/>
          </w:tcPr>
          <w:p w14:paraId="22DF05E8" w14:textId="015DA558" w:rsidR="00D361E5" w:rsidRDefault="00D361E5" w:rsidP="00D361E5">
            <w:r>
              <w:t>More than $750,000 but not more than $1,000,000</w:t>
            </w:r>
          </w:p>
        </w:tc>
        <w:tc>
          <w:tcPr>
            <w:tcW w:w="1665" w:type="dxa"/>
            <w:shd w:val="clear" w:color="auto" w:fill="FFFFFF" w:themeFill="background1"/>
          </w:tcPr>
          <w:p w14:paraId="70B4F6B3" w14:textId="4713FBA1" w:rsidR="00D361E5" w:rsidRDefault="00D361E5" w:rsidP="00D361E5">
            <w:r>
              <w:t>6.10</w:t>
            </w:r>
          </w:p>
        </w:tc>
        <w:tc>
          <w:tcPr>
            <w:tcW w:w="1827" w:type="dxa"/>
            <w:shd w:val="clear" w:color="auto" w:fill="FFFFFF" w:themeFill="background1"/>
          </w:tcPr>
          <w:p w14:paraId="60F262AE" w14:textId="4B2FF754" w:rsidR="00D361E5" w:rsidRDefault="00D361E5" w:rsidP="00D361E5">
            <w:r>
              <w:t>5.90</w:t>
            </w:r>
          </w:p>
        </w:tc>
      </w:tr>
      <w:tr w:rsidR="00D361E5" w14:paraId="64F48375" w14:textId="77777777" w:rsidTr="009A2623">
        <w:tc>
          <w:tcPr>
            <w:tcW w:w="0" w:type="auto"/>
            <w:shd w:val="clear" w:color="auto" w:fill="FFFFFF" w:themeFill="background1"/>
          </w:tcPr>
          <w:p w14:paraId="6CAE888E" w14:textId="1F6699A7" w:rsidR="00D361E5" w:rsidRDefault="00D361E5" w:rsidP="009A2623">
            <w:r>
              <w:t xml:space="preserve">More than $1,000,000 but </w:t>
            </w:r>
            <w:r w:rsidR="009A2623">
              <w:t>not more than</w:t>
            </w:r>
            <w:r w:rsidR="004F5D8A">
              <w:t xml:space="preserve"> </w:t>
            </w:r>
            <w:r>
              <w:t>$1,455,000</w:t>
            </w:r>
          </w:p>
        </w:tc>
        <w:tc>
          <w:tcPr>
            <w:tcW w:w="1665" w:type="dxa"/>
            <w:shd w:val="clear" w:color="auto" w:fill="FFFFFF" w:themeFill="background1"/>
          </w:tcPr>
          <w:p w14:paraId="7FBB6268" w14:textId="64A91C5D" w:rsidR="00D361E5" w:rsidRDefault="00D361E5" w:rsidP="00D361E5">
            <w:r>
              <w:t>6.60</w:t>
            </w:r>
          </w:p>
        </w:tc>
        <w:tc>
          <w:tcPr>
            <w:tcW w:w="1827" w:type="dxa"/>
            <w:shd w:val="clear" w:color="auto" w:fill="FFFFFF" w:themeFill="background1"/>
          </w:tcPr>
          <w:p w14:paraId="7EB9A405" w14:textId="752FD166" w:rsidR="00D361E5" w:rsidRDefault="00D361E5" w:rsidP="00D361E5">
            <w:r>
              <w:t>6.40</w:t>
            </w:r>
          </w:p>
        </w:tc>
      </w:tr>
      <w:tr w:rsidR="00D361E5" w14:paraId="19FC4C6B" w14:textId="77777777" w:rsidTr="009A2623">
        <w:tc>
          <w:tcPr>
            <w:tcW w:w="0" w:type="auto"/>
            <w:shd w:val="clear" w:color="auto" w:fill="FFFFFF" w:themeFill="background1"/>
          </w:tcPr>
          <w:p w14:paraId="08CA9D8D" w14:textId="63E7CE40" w:rsidR="00D361E5" w:rsidRDefault="00D361E5" w:rsidP="00D361E5">
            <w:r>
              <w:t>More than $1,455,000*</w:t>
            </w:r>
          </w:p>
        </w:tc>
        <w:tc>
          <w:tcPr>
            <w:tcW w:w="1665" w:type="dxa"/>
            <w:shd w:val="clear" w:color="auto" w:fill="FFFFFF" w:themeFill="background1"/>
          </w:tcPr>
          <w:p w14:paraId="71A58E4B" w14:textId="46B20390" w:rsidR="00D361E5" w:rsidRDefault="00D361E5" w:rsidP="00D361E5">
            <w:r>
              <w:t>4.73</w:t>
            </w:r>
          </w:p>
        </w:tc>
        <w:tc>
          <w:tcPr>
            <w:tcW w:w="1827" w:type="dxa"/>
            <w:shd w:val="clear" w:color="auto" w:fill="FFFFFF" w:themeFill="background1"/>
          </w:tcPr>
          <w:p w14:paraId="600AD8E7" w14:textId="4681385B" w:rsidR="00D361E5" w:rsidRDefault="00D361E5" w:rsidP="00D361E5">
            <w:r>
              <w:t>4.54</w:t>
            </w:r>
          </w:p>
        </w:tc>
      </w:tr>
    </w:tbl>
    <w:p w14:paraId="0A13A7DF" w14:textId="0038D1D5" w:rsidR="00D545E6" w:rsidRDefault="00D545E6" w:rsidP="003B27A5">
      <w:r>
        <w:t xml:space="preserve">*This rate is a flat rate on the entire value of the transaction. </w:t>
      </w:r>
    </w:p>
    <w:p w14:paraId="03FE123B" w14:textId="77777777" w:rsidR="003B27A5" w:rsidRDefault="003B27A5" w:rsidP="003B27A5"/>
    <w:p w14:paraId="3B2AD40E" w14:textId="0BFC1549" w:rsidR="003E4633" w:rsidRPr="00D3550A" w:rsidRDefault="003E4633" w:rsidP="003E4633">
      <w:pPr>
        <w:rPr>
          <w:rFonts w:ascii="Arial" w:hAnsi="Arial" w:cs="Arial"/>
          <w:b/>
          <w:sz w:val="26"/>
          <w:szCs w:val="26"/>
        </w:rPr>
      </w:pPr>
      <w:r w:rsidRPr="00D3550A">
        <w:rPr>
          <w:rFonts w:ascii="Arial" w:hAnsi="Arial" w:cs="Arial"/>
          <w:b/>
          <w:sz w:val="26"/>
          <w:szCs w:val="26"/>
        </w:rPr>
        <w:t xml:space="preserve">Commercial </w:t>
      </w:r>
      <w:r w:rsidR="00D3550A" w:rsidRPr="00D3550A">
        <w:rPr>
          <w:rFonts w:ascii="Arial" w:hAnsi="Arial" w:cs="Arial"/>
          <w:b/>
          <w:sz w:val="26"/>
          <w:szCs w:val="26"/>
        </w:rPr>
        <w:t>t</w:t>
      </w:r>
      <w:r w:rsidR="00D3550A">
        <w:rPr>
          <w:rFonts w:ascii="Arial" w:hAnsi="Arial" w:cs="Arial"/>
          <w:b/>
          <w:sz w:val="26"/>
          <w:szCs w:val="26"/>
        </w:rPr>
        <w:t>ransfer rate (p</w:t>
      </w:r>
      <w:r w:rsidRPr="00D3550A">
        <w:rPr>
          <w:rFonts w:ascii="Arial" w:hAnsi="Arial" w:cs="Arial"/>
          <w:b/>
          <w:sz w:val="26"/>
          <w:szCs w:val="26"/>
        </w:rPr>
        <w:t>art 3)</w:t>
      </w:r>
    </w:p>
    <w:p w14:paraId="7515FE44" w14:textId="77777777" w:rsidR="00D3550A" w:rsidRDefault="00D3550A" w:rsidP="003E4633"/>
    <w:p w14:paraId="67C86718" w14:textId="68A88C58" w:rsidR="003E4633" w:rsidRDefault="003E4633" w:rsidP="003E4633">
      <w:r>
        <w:t>Part</w:t>
      </w:r>
      <w:r w:rsidR="00D3550A">
        <w:t xml:space="preserve"> 3</w:t>
      </w:r>
      <w:r>
        <w:t xml:space="preserve"> applies to a dutiable transaction of dutiable property used, or that will be used, partly or wholly for a commercial purpose.</w:t>
      </w:r>
    </w:p>
    <w:p w14:paraId="0E27EF3F" w14:textId="77777777" w:rsidR="003E4633" w:rsidRDefault="003E4633" w:rsidP="003E4633"/>
    <w:p w14:paraId="2D11EA1A" w14:textId="0D44FF7A" w:rsidR="003E4633" w:rsidRDefault="003E4633" w:rsidP="003E4633">
      <w:r>
        <w:t>‘Commercial purpose’ means a purpose other than a</w:t>
      </w:r>
      <w:r w:rsidR="00C5498C">
        <w:t xml:space="preserve"> residential purpose, a primary </w:t>
      </w:r>
      <w:r>
        <w:t>production purpose or a home business. This defi</w:t>
      </w:r>
      <w:r w:rsidR="00C5498C">
        <w:t>nition has its basis in section </w:t>
      </w:r>
      <w:r>
        <w:t xml:space="preserve">6 of the Duties Act and (for a home business) section 247 (3) of the </w:t>
      </w:r>
      <w:r w:rsidRPr="00D3550A">
        <w:rPr>
          <w:i/>
        </w:rPr>
        <w:t>Planning and Development Act 2007</w:t>
      </w:r>
      <w:r>
        <w:t>.</w:t>
      </w:r>
    </w:p>
    <w:p w14:paraId="234EB35A" w14:textId="77777777" w:rsidR="003E4633" w:rsidRDefault="003E4633" w:rsidP="003E4633"/>
    <w:p w14:paraId="1D433740" w14:textId="251CE9C8" w:rsidR="003E4633" w:rsidRDefault="003E4633" w:rsidP="003E4633">
      <w:r>
        <w:t xml:space="preserve">For the purposes of this </w:t>
      </w:r>
      <w:r w:rsidR="00D3550A">
        <w:t>i</w:t>
      </w:r>
      <w:r>
        <w:t xml:space="preserve">nstrument, a property that is used or that will be used, partly or wholly for commercial purposes includes, but is not limited to: </w:t>
      </w:r>
    </w:p>
    <w:p w14:paraId="012B24C9" w14:textId="77777777" w:rsidR="00C5498C" w:rsidRDefault="00C5498C" w:rsidP="003E4633"/>
    <w:p w14:paraId="36AB4487" w14:textId="77777777" w:rsidR="003E4633" w:rsidRDefault="003E4633" w:rsidP="00D3550A">
      <w:pPr>
        <w:pStyle w:val="ListParagraph"/>
        <w:numPr>
          <w:ilvl w:val="0"/>
          <w:numId w:val="23"/>
        </w:numPr>
      </w:pPr>
      <w:r>
        <w:t>mixed-use land, or land with mixed-use buildings where part of the land or the building is used or will be used for a commercial purpose and the other part for a residential or primary production purpose, for example:</w:t>
      </w:r>
    </w:p>
    <w:p w14:paraId="2B09B128" w14:textId="77777777" w:rsidR="00C5498C" w:rsidRDefault="00C5498C" w:rsidP="00C5498C">
      <w:pPr>
        <w:pStyle w:val="ListParagraph"/>
      </w:pPr>
    </w:p>
    <w:p w14:paraId="6370C44F" w14:textId="77777777" w:rsidR="003E4633" w:rsidRDefault="003E4633" w:rsidP="00D3550A">
      <w:pPr>
        <w:pStyle w:val="ListParagraph"/>
        <w:numPr>
          <w:ilvl w:val="1"/>
          <w:numId w:val="23"/>
        </w:numPr>
      </w:pPr>
      <w:r>
        <w:t>land that is or will be used partly for the owner’s bed and breakfast business and partly as a farm; or</w:t>
      </w:r>
    </w:p>
    <w:p w14:paraId="7827FFA9" w14:textId="0A12DA4E" w:rsidR="003E4633" w:rsidRDefault="003E4633" w:rsidP="00D3550A">
      <w:pPr>
        <w:pStyle w:val="ListParagraph"/>
        <w:numPr>
          <w:ilvl w:val="1"/>
          <w:numId w:val="23"/>
        </w:numPr>
      </w:pPr>
      <w:r>
        <w:t>a building with a shop on the ground floor and a residenti</w:t>
      </w:r>
      <w:r w:rsidR="00D3550A">
        <w:t>al apartment on the first floor</w:t>
      </w:r>
      <w:r w:rsidR="00383EFD">
        <w:t>.</w:t>
      </w:r>
    </w:p>
    <w:p w14:paraId="6F2EF1E2" w14:textId="77777777" w:rsidR="00C5498C" w:rsidRDefault="00C5498C" w:rsidP="00C5498C">
      <w:pPr>
        <w:pStyle w:val="ListParagraph"/>
        <w:ind w:left="1440"/>
      </w:pPr>
    </w:p>
    <w:p w14:paraId="3187E4FD" w14:textId="77777777" w:rsidR="003E4633" w:rsidRDefault="003E4633" w:rsidP="00D3550A">
      <w:pPr>
        <w:pStyle w:val="ListParagraph"/>
        <w:numPr>
          <w:ilvl w:val="0"/>
          <w:numId w:val="23"/>
        </w:numPr>
      </w:pPr>
      <w:r>
        <w:t>vacant land on which a building or buildings will be constructed or developed wholly for a commercial purpose, for example:</w:t>
      </w:r>
    </w:p>
    <w:p w14:paraId="2DDE1599" w14:textId="77777777" w:rsidR="00C5498C" w:rsidRDefault="00C5498C" w:rsidP="00C5498C">
      <w:pPr>
        <w:pStyle w:val="ListParagraph"/>
      </w:pPr>
    </w:p>
    <w:p w14:paraId="45689BA5" w14:textId="77777777" w:rsidR="003E4633" w:rsidRDefault="003E4633" w:rsidP="00D3550A">
      <w:pPr>
        <w:pStyle w:val="ListParagraph"/>
        <w:numPr>
          <w:ilvl w:val="1"/>
          <w:numId w:val="23"/>
        </w:numPr>
      </w:pPr>
      <w:r>
        <w:t xml:space="preserve">vacant land on which an office building will be constructed; or </w:t>
      </w:r>
    </w:p>
    <w:p w14:paraId="5927EBB2" w14:textId="77777777" w:rsidR="003E4633" w:rsidRDefault="003E4633" w:rsidP="00D3550A">
      <w:pPr>
        <w:pStyle w:val="ListParagraph"/>
        <w:numPr>
          <w:ilvl w:val="1"/>
          <w:numId w:val="23"/>
        </w:numPr>
      </w:pPr>
      <w:r>
        <w:t>vacant land on which a hotel will be constructed.</w:t>
      </w:r>
    </w:p>
    <w:p w14:paraId="77025426" w14:textId="77777777" w:rsidR="00C5498C" w:rsidRDefault="00C5498C" w:rsidP="00C5498C">
      <w:pPr>
        <w:pStyle w:val="ListParagraph"/>
        <w:ind w:left="1440"/>
      </w:pPr>
    </w:p>
    <w:p w14:paraId="6B89F4F0" w14:textId="77777777" w:rsidR="003E4633" w:rsidRDefault="003E4633" w:rsidP="00D3550A">
      <w:pPr>
        <w:pStyle w:val="ListParagraph"/>
        <w:numPr>
          <w:ilvl w:val="0"/>
          <w:numId w:val="23"/>
        </w:numPr>
      </w:pPr>
      <w:r>
        <w:lastRenderedPageBreak/>
        <w:t>land with an existing building or buildings that will be wholly or partly developed, refurbished, converted or re-purposed by the transferee for commercial purposes, for example:</w:t>
      </w:r>
    </w:p>
    <w:p w14:paraId="3BEF6A68" w14:textId="77777777" w:rsidR="00C5498C" w:rsidRDefault="00C5498C" w:rsidP="00C5498C">
      <w:pPr>
        <w:pStyle w:val="ListParagraph"/>
      </w:pPr>
    </w:p>
    <w:p w14:paraId="26867CE5" w14:textId="77777777" w:rsidR="003E4633" w:rsidRDefault="003E4633" w:rsidP="00D3550A">
      <w:pPr>
        <w:pStyle w:val="ListParagraph"/>
        <w:numPr>
          <w:ilvl w:val="1"/>
          <w:numId w:val="23"/>
        </w:numPr>
      </w:pPr>
      <w:r>
        <w:t>a row of shops on top of which apartments will be built and the apartments individually on-sold to others;</w:t>
      </w:r>
    </w:p>
    <w:p w14:paraId="107231A4" w14:textId="77777777" w:rsidR="003E4633" w:rsidRDefault="00D3550A" w:rsidP="00D3550A">
      <w:pPr>
        <w:pStyle w:val="ListParagraph"/>
        <w:numPr>
          <w:ilvl w:val="1"/>
          <w:numId w:val="23"/>
        </w:numPr>
      </w:pPr>
      <w:r>
        <w:t>a</w:t>
      </w:r>
      <w:r w:rsidR="003E4633">
        <w:t xml:space="preserve"> warehouse conversion into a hotel and shopping complex; or </w:t>
      </w:r>
    </w:p>
    <w:p w14:paraId="07E708E5" w14:textId="77777777" w:rsidR="003E4633" w:rsidRDefault="003E4633" w:rsidP="00D3550A">
      <w:pPr>
        <w:pStyle w:val="ListParagraph"/>
        <w:numPr>
          <w:ilvl w:val="1"/>
          <w:numId w:val="23"/>
        </w:numPr>
      </w:pPr>
      <w:r>
        <w:t>a single shop refurbishment where the ground floor will be used as an office and the first floor will be converted into a residence.</w:t>
      </w:r>
    </w:p>
    <w:p w14:paraId="454CE207" w14:textId="77777777" w:rsidR="00D3550A" w:rsidRDefault="00D3550A" w:rsidP="003E4633"/>
    <w:p w14:paraId="31880029" w14:textId="68FB952E" w:rsidR="003E4633" w:rsidRDefault="003E4633" w:rsidP="003E4633">
      <w:r>
        <w:t xml:space="preserve">This </w:t>
      </w:r>
      <w:r w:rsidR="00D3550A">
        <w:t>p</w:t>
      </w:r>
      <w:r>
        <w:t>art also applies to a chapter 3 transaction (land</w:t>
      </w:r>
      <w:r w:rsidR="00D3550A">
        <w:t>holder provisions of the Duties </w:t>
      </w:r>
      <w:r>
        <w:t>Act</w:t>
      </w:r>
      <w:r w:rsidR="00D3550A">
        <w:t xml:space="preserve">) for which duty is payable at the </w:t>
      </w:r>
      <w:r w:rsidR="00C5498C">
        <w:t xml:space="preserve">determined </w:t>
      </w:r>
      <w:r w:rsidR="00D3550A">
        <w:t xml:space="preserve">rate </w:t>
      </w:r>
      <w:r w:rsidR="00C5498C">
        <w:t>in accordance</w:t>
      </w:r>
      <w:r w:rsidR="00D3550A">
        <w:t xml:space="preserve"> </w:t>
      </w:r>
      <w:r w:rsidR="00C5498C">
        <w:t xml:space="preserve">with </w:t>
      </w:r>
      <w:r w:rsidR="00D3550A">
        <w:t>section 90 of the Duties Act.</w:t>
      </w:r>
    </w:p>
    <w:p w14:paraId="497AE1A9" w14:textId="77777777" w:rsidR="00D3550A" w:rsidRDefault="00D3550A" w:rsidP="003E4633"/>
    <w:p w14:paraId="0A2FF627" w14:textId="4A5BF230" w:rsidR="003E4633" w:rsidRDefault="00D361E5" w:rsidP="003E4633">
      <w:r>
        <w:t>T</w:t>
      </w:r>
      <w:r w:rsidR="003E4633">
        <w:t>he differential rates of duty, and the method by which, an amount of duty is payable for a dutiable transaction that is for a commercial purpose</w:t>
      </w:r>
      <w:r>
        <w:t xml:space="preserve"> are unchanged from the previous instrument.</w:t>
      </w:r>
    </w:p>
    <w:p w14:paraId="0AEEADEA" w14:textId="77777777" w:rsidR="001607E0" w:rsidRDefault="001607E0" w:rsidP="003E4633"/>
    <w:p w14:paraId="21E1869A" w14:textId="37A01826" w:rsidR="003E4633" w:rsidRPr="00D3550A" w:rsidRDefault="00D3550A" w:rsidP="00C5498C">
      <w:pPr>
        <w:keepNext/>
        <w:rPr>
          <w:rFonts w:ascii="Arial" w:hAnsi="Arial" w:cs="Arial"/>
          <w:b/>
          <w:sz w:val="26"/>
          <w:szCs w:val="26"/>
        </w:rPr>
      </w:pPr>
      <w:r w:rsidRPr="00D3550A">
        <w:rPr>
          <w:rFonts w:ascii="Arial" w:hAnsi="Arial" w:cs="Arial"/>
          <w:b/>
          <w:sz w:val="26"/>
          <w:szCs w:val="26"/>
        </w:rPr>
        <w:t xml:space="preserve">Certain business assets (part 4) </w:t>
      </w:r>
    </w:p>
    <w:p w14:paraId="63F57F03" w14:textId="77777777" w:rsidR="00D3550A" w:rsidRDefault="00D3550A" w:rsidP="00C5498C">
      <w:pPr>
        <w:keepNext/>
      </w:pPr>
    </w:p>
    <w:p w14:paraId="5C16715A" w14:textId="798CCFFD" w:rsidR="003E4633" w:rsidRDefault="003E4633" w:rsidP="003E4633">
      <w:r>
        <w:t>This Part applies t</w:t>
      </w:r>
      <w:r w:rsidR="00D3550A">
        <w:t xml:space="preserve">o </w:t>
      </w:r>
      <w:r w:rsidR="00C5498C">
        <w:t>determine</w:t>
      </w:r>
      <w:r w:rsidR="00D3550A">
        <w:t xml:space="preserve"> the duty rate for </w:t>
      </w:r>
      <w:r>
        <w:t>section</w:t>
      </w:r>
      <w:r w:rsidR="00D3550A">
        <w:t xml:space="preserve"> 33</w:t>
      </w:r>
      <w:r>
        <w:t xml:space="preserve"> of the Duties Act.</w:t>
      </w:r>
      <w:r w:rsidR="00A51D00">
        <w:t xml:space="preserve"> The rate is unchanged from the previous instrument.</w:t>
      </w:r>
    </w:p>
    <w:p w14:paraId="64076CAC" w14:textId="77777777" w:rsidR="00D3550A" w:rsidRDefault="00D3550A" w:rsidP="003E4633"/>
    <w:p w14:paraId="0BE100AB" w14:textId="77777777" w:rsidR="00D3550A" w:rsidRPr="0053158D" w:rsidRDefault="00D3550A" w:rsidP="00832D9E">
      <w:pPr>
        <w:keepNext/>
        <w:rPr>
          <w:rFonts w:ascii="Arial" w:hAnsi="Arial" w:cs="Arial"/>
          <w:b/>
          <w:sz w:val="26"/>
          <w:szCs w:val="26"/>
        </w:rPr>
      </w:pPr>
      <w:r w:rsidRPr="0053158D">
        <w:rPr>
          <w:rFonts w:ascii="Arial" w:hAnsi="Arial" w:cs="Arial"/>
          <w:b/>
          <w:sz w:val="26"/>
          <w:szCs w:val="26"/>
        </w:rPr>
        <w:t>Revocation</w:t>
      </w:r>
    </w:p>
    <w:p w14:paraId="51E34F1A" w14:textId="77777777" w:rsidR="00D3550A" w:rsidRPr="0053158D" w:rsidRDefault="00D3550A" w:rsidP="00832D9E">
      <w:pPr>
        <w:keepNext/>
      </w:pPr>
    </w:p>
    <w:p w14:paraId="185E6E04" w14:textId="25938130" w:rsidR="00D3550A" w:rsidRPr="0053158D" w:rsidRDefault="00D3550A" w:rsidP="00D3550A">
      <w:r w:rsidRPr="0053158D">
        <w:t>This instrument revokes</w:t>
      </w:r>
      <w:r w:rsidRPr="0053158D">
        <w:rPr>
          <w:i/>
        </w:rPr>
        <w:t xml:space="preserve"> Taxation Administration (Amounts Payable—</w:t>
      </w:r>
      <w:r>
        <w:rPr>
          <w:i/>
        </w:rPr>
        <w:t>Duty</w:t>
      </w:r>
      <w:r w:rsidRPr="0053158D">
        <w:rPr>
          <w:i/>
        </w:rPr>
        <w:t>) Determination 2017 (No 1)</w:t>
      </w:r>
      <w:r w:rsidRPr="0053158D">
        <w:t xml:space="preserve"> </w:t>
      </w:r>
      <w:r w:rsidR="00D361E5" w:rsidRPr="0053158D">
        <w:t>DI201</w:t>
      </w:r>
      <w:r w:rsidR="00D361E5">
        <w:t>8</w:t>
      </w:r>
      <w:r w:rsidRPr="0053158D">
        <w:t>-</w:t>
      </w:r>
      <w:r w:rsidR="00D361E5">
        <w:t>116</w:t>
      </w:r>
      <w:r w:rsidRPr="0053158D">
        <w:t xml:space="preserve">. </w:t>
      </w:r>
    </w:p>
    <w:p w14:paraId="79AF538F" w14:textId="77777777" w:rsidR="00D3550A" w:rsidRPr="0053158D" w:rsidRDefault="00D3550A" w:rsidP="00D3550A"/>
    <w:p w14:paraId="5625996C" w14:textId="49753448" w:rsidR="00D3550A" w:rsidRDefault="00D361E5" w:rsidP="00D3550A">
      <w:pPr>
        <w:rPr>
          <w:lang w:val="en-US"/>
        </w:rPr>
      </w:pPr>
      <w:r w:rsidRPr="0053158D">
        <w:t>DI201</w:t>
      </w:r>
      <w:r>
        <w:t>8</w:t>
      </w:r>
      <w:r w:rsidR="00D3550A" w:rsidRPr="0053158D">
        <w:t>-</w:t>
      </w:r>
      <w:r>
        <w:t>116</w:t>
      </w:r>
      <w:r w:rsidR="00D3550A" w:rsidRPr="0053158D">
        <w:rPr>
          <w:lang w:val="en-US"/>
        </w:rPr>
        <w:t xml:space="preserve"> continues to apply to a </w:t>
      </w:r>
      <w:r w:rsidR="00D3550A">
        <w:rPr>
          <w:lang w:val="en-US"/>
        </w:rPr>
        <w:t xml:space="preserve">transaction </w:t>
      </w:r>
      <w:r w:rsidR="00D3550A" w:rsidRPr="0053158D">
        <w:rPr>
          <w:lang w:val="en-US"/>
        </w:rPr>
        <w:t xml:space="preserve">in the period </w:t>
      </w:r>
      <w:r>
        <w:rPr>
          <w:lang w:val="en-US"/>
        </w:rPr>
        <w:t>6</w:t>
      </w:r>
      <w:r w:rsidRPr="0053158D">
        <w:rPr>
          <w:lang w:val="en-US"/>
        </w:rPr>
        <w:t xml:space="preserve"> </w:t>
      </w:r>
      <w:r w:rsidR="00D3550A" w:rsidRPr="0053158D">
        <w:rPr>
          <w:lang w:val="en-US"/>
        </w:rPr>
        <w:t xml:space="preserve">June </w:t>
      </w:r>
      <w:r w:rsidRPr="0053158D">
        <w:rPr>
          <w:lang w:val="en-US"/>
        </w:rPr>
        <w:t>201</w:t>
      </w:r>
      <w:r>
        <w:rPr>
          <w:lang w:val="en-US"/>
        </w:rPr>
        <w:t>8</w:t>
      </w:r>
      <w:r w:rsidRPr="0053158D">
        <w:rPr>
          <w:lang w:val="en-US"/>
        </w:rPr>
        <w:t xml:space="preserve"> </w:t>
      </w:r>
      <w:r w:rsidR="00D3550A" w:rsidRPr="0053158D">
        <w:rPr>
          <w:lang w:val="en-US"/>
        </w:rPr>
        <w:t xml:space="preserve">to </w:t>
      </w:r>
      <w:r w:rsidR="005F778F">
        <w:rPr>
          <w:lang w:val="en-US"/>
        </w:rPr>
        <w:t>30</w:t>
      </w:r>
      <w:r>
        <w:rPr>
          <w:lang w:val="en-US"/>
        </w:rPr>
        <w:t> </w:t>
      </w:r>
      <w:r w:rsidR="00D3550A">
        <w:rPr>
          <w:lang w:val="en-US"/>
        </w:rPr>
        <w:t>June </w:t>
      </w:r>
      <w:r w:rsidRPr="0053158D">
        <w:rPr>
          <w:lang w:val="en-US"/>
        </w:rPr>
        <w:t>201</w:t>
      </w:r>
      <w:r>
        <w:rPr>
          <w:lang w:val="en-US"/>
        </w:rPr>
        <w:t>9</w:t>
      </w:r>
      <w:r w:rsidR="00D3550A" w:rsidRPr="0053158D">
        <w:rPr>
          <w:lang w:val="en-US"/>
        </w:rPr>
        <w:t>, inclusive.</w:t>
      </w:r>
    </w:p>
    <w:p w14:paraId="7B7BA377" w14:textId="77777777" w:rsidR="00D3550A" w:rsidRPr="0053158D" w:rsidRDefault="00D3550A" w:rsidP="00D3550A">
      <w:pPr>
        <w:rPr>
          <w:rFonts w:ascii="Arial" w:hAnsi="Arial" w:cs="Arial"/>
          <w:b/>
          <w:sz w:val="22"/>
          <w:szCs w:val="22"/>
        </w:rPr>
      </w:pPr>
    </w:p>
    <w:p w14:paraId="513B0743" w14:textId="77777777" w:rsidR="00D3550A" w:rsidRPr="0053158D" w:rsidRDefault="00D3550A" w:rsidP="00D3550A">
      <w:pPr>
        <w:rPr>
          <w:rFonts w:ascii="Arial" w:hAnsi="Arial" w:cs="Arial"/>
          <w:b/>
          <w:sz w:val="22"/>
          <w:szCs w:val="22"/>
        </w:rPr>
      </w:pPr>
    </w:p>
    <w:p w14:paraId="60927911" w14:textId="77777777" w:rsidR="00D3550A" w:rsidRPr="0053158D" w:rsidRDefault="00D3550A" w:rsidP="00D3550A">
      <w:pPr>
        <w:rPr>
          <w:rFonts w:ascii="Arial" w:hAnsi="Arial" w:cs="Arial"/>
          <w:b/>
          <w:sz w:val="22"/>
          <w:szCs w:val="22"/>
        </w:rPr>
      </w:pPr>
    </w:p>
    <w:p w14:paraId="6E3B784F" w14:textId="77777777" w:rsidR="00D3550A" w:rsidRPr="0053158D" w:rsidRDefault="00D3550A" w:rsidP="00D3550A">
      <w:r w:rsidRPr="0053158D">
        <w:t>Authorised by the Treasurer</w:t>
      </w:r>
    </w:p>
    <w:p w14:paraId="16405D9E" w14:textId="432BDEC2" w:rsidR="00BF1888" w:rsidRDefault="00D3550A" w:rsidP="00D3550A">
      <w:r w:rsidRPr="0053158D">
        <w:t>Andrew Barr MLA</w:t>
      </w:r>
    </w:p>
    <w:sectPr w:rsidR="00BF1888"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CCA25" w14:textId="77777777" w:rsidR="007256B0" w:rsidRDefault="007256B0">
      <w:r>
        <w:separator/>
      </w:r>
    </w:p>
  </w:endnote>
  <w:endnote w:type="continuationSeparator" w:id="0">
    <w:p w14:paraId="75AB9D50" w14:textId="77777777" w:rsidR="007256B0" w:rsidRDefault="007256B0">
      <w:r>
        <w:continuationSeparator/>
      </w:r>
    </w:p>
  </w:endnote>
  <w:endnote w:type="continuationNotice" w:id="1">
    <w:p w14:paraId="1D40D428" w14:textId="77777777" w:rsidR="007256B0" w:rsidRDefault="00725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B4C9" w14:textId="77777777" w:rsidR="00A968A8" w:rsidRDefault="00A9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0613" w14:textId="4580F5F5" w:rsidR="00A968A8" w:rsidRPr="00A968A8" w:rsidRDefault="00A968A8" w:rsidP="00A968A8">
    <w:pPr>
      <w:pStyle w:val="Footer"/>
      <w:jc w:val="center"/>
      <w:rPr>
        <w:rFonts w:cs="Arial"/>
        <w:sz w:val="14"/>
      </w:rPr>
    </w:pPr>
    <w:r w:rsidRPr="00A968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5565" w14:textId="77777777" w:rsidR="00A968A8" w:rsidRDefault="00A9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FA0F" w14:textId="77777777" w:rsidR="007256B0" w:rsidRDefault="007256B0">
      <w:r>
        <w:separator/>
      </w:r>
    </w:p>
  </w:footnote>
  <w:footnote w:type="continuationSeparator" w:id="0">
    <w:p w14:paraId="2D4D9976" w14:textId="77777777" w:rsidR="007256B0" w:rsidRDefault="007256B0">
      <w:r>
        <w:continuationSeparator/>
      </w:r>
    </w:p>
  </w:footnote>
  <w:footnote w:type="continuationNotice" w:id="1">
    <w:p w14:paraId="5CB60BB5" w14:textId="77777777" w:rsidR="007256B0" w:rsidRDefault="00725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07F1" w14:textId="77777777" w:rsidR="00A968A8" w:rsidRDefault="00A9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A9AF" w14:textId="77777777" w:rsidR="00A968A8" w:rsidRDefault="00A9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A08F" w14:textId="77777777" w:rsidR="00A968A8" w:rsidRDefault="00A9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61C122C"/>
    <w:multiLevelType w:val="hybridMultilevel"/>
    <w:tmpl w:val="67D26F66"/>
    <w:lvl w:ilvl="0" w:tplc="41502554">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818220B"/>
    <w:multiLevelType w:val="hybridMultilevel"/>
    <w:tmpl w:val="8C784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41728"/>
    <w:multiLevelType w:val="hybridMultilevel"/>
    <w:tmpl w:val="17C2B0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95950"/>
    <w:multiLevelType w:val="hybridMultilevel"/>
    <w:tmpl w:val="30D6E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0" w15:restartNumberingAfterBreak="0">
    <w:nsid w:val="697D2F88"/>
    <w:multiLevelType w:val="hybridMultilevel"/>
    <w:tmpl w:val="A5E26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706E0664"/>
    <w:multiLevelType w:val="hybridMultilevel"/>
    <w:tmpl w:val="BA3A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2"/>
  </w:num>
  <w:num w:numId="5">
    <w:abstractNumId w:val="22"/>
  </w:num>
  <w:num w:numId="6">
    <w:abstractNumId w:val="3"/>
  </w:num>
  <w:num w:numId="7">
    <w:abstractNumId w:val="9"/>
  </w:num>
  <w:num w:numId="8">
    <w:abstractNumId w:val="11"/>
  </w:num>
  <w:num w:numId="9">
    <w:abstractNumId w:val="5"/>
  </w:num>
  <w:num w:numId="10">
    <w:abstractNumId w:val="19"/>
  </w:num>
  <w:num w:numId="11">
    <w:abstractNumId w:val="17"/>
  </w:num>
  <w:num w:numId="12">
    <w:abstractNumId w:val="7"/>
  </w:num>
  <w:num w:numId="13">
    <w:abstractNumId w:val="21"/>
  </w:num>
  <w:num w:numId="14">
    <w:abstractNumId w:val="2"/>
  </w:num>
  <w:num w:numId="15">
    <w:abstractNumId w:val="8"/>
  </w:num>
  <w:num w:numId="16">
    <w:abstractNumId w:val="24"/>
  </w:num>
  <w:num w:numId="17">
    <w:abstractNumId w:val="16"/>
  </w:num>
  <w:num w:numId="18">
    <w:abstractNumId w:val="18"/>
  </w:num>
  <w:num w:numId="19">
    <w:abstractNumId w:val="1"/>
  </w:num>
  <w:num w:numId="20">
    <w:abstractNumId w:val="13"/>
  </w:num>
  <w:num w:numId="21">
    <w:abstractNumId w:val="15"/>
  </w:num>
  <w:num w:numId="22">
    <w:abstractNumId w:val="23"/>
  </w:num>
  <w:num w:numId="23">
    <w:abstractNumId w:val="20"/>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2F"/>
    <w:rsid w:val="00002445"/>
    <w:rsid w:val="000047EC"/>
    <w:rsid w:val="00010513"/>
    <w:rsid w:val="00010C58"/>
    <w:rsid w:val="000120FF"/>
    <w:rsid w:val="00014EBD"/>
    <w:rsid w:val="00016452"/>
    <w:rsid w:val="0001776D"/>
    <w:rsid w:val="0002039D"/>
    <w:rsid w:val="000273CE"/>
    <w:rsid w:val="0002754B"/>
    <w:rsid w:val="00032ADD"/>
    <w:rsid w:val="000341B5"/>
    <w:rsid w:val="00043265"/>
    <w:rsid w:val="00044B22"/>
    <w:rsid w:val="00046F8A"/>
    <w:rsid w:val="000506D6"/>
    <w:rsid w:val="00055EB0"/>
    <w:rsid w:val="0006646F"/>
    <w:rsid w:val="0007010A"/>
    <w:rsid w:val="00073331"/>
    <w:rsid w:val="000747D0"/>
    <w:rsid w:val="00074EA7"/>
    <w:rsid w:val="00081CA7"/>
    <w:rsid w:val="00081EAB"/>
    <w:rsid w:val="00084553"/>
    <w:rsid w:val="00086ABC"/>
    <w:rsid w:val="00093172"/>
    <w:rsid w:val="00093E81"/>
    <w:rsid w:val="000A0EC2"/>
    <w:rsid w:val="000B0911"/>
    <w:rsid w:val="000B16CC"/>
    <w:rsid w:val="000C1050"/>
    <w:rsid w:val="000C183A"/>
    <w:rsid w:val="000D2BF5"/>
    <w:rsid w:val="000F0E2A"/>
    <w:rsid w:val="000F2ADA"/>
    <w:rsid w:val="000F6766"/>
    <w:rsid w:val="001115D3"/>
    <w:rsid w:val="00112C90"/>
    <w:rsid w:val="00127894"/>
    <w:rsid w:val="00127FE1"/>
    <w:rsid w:val="00136F26"/>
    <w:rsid w:val="00137EAD"/>
    <w:rsid w:val="00140BB9"/>
    <w:rsid w:val="00143744"/>
    <w:rsid w:val="0014451E"/>
    <w:rsid w:val="0015545B"/>
    <w:rsid w:val="00155DFE"/>
    <w:rsid w:val="001600E7"/>
    <w:rsid w:val="001607E0"/>
    <w:rsid w:val="00160FF7"/>
    <w:rsid w:val="00162E21"/>
    <w:rsid w:val="00167A7D"/>
    <w:rsid w:val="00170015"/>
    <w:rsid w:val="001755E2"/>
    <w:rsid w:val="00177FE4"/>
    <w:rsid w:val="00184665"/>
    <w:rsid w:val="001934DF"/>
    <w:rsid w:val="00195FA1"/>
    <w:rsid w:val="00197020"/>
    <w:rsid w:val="001976CC"/>
    <w:rsid w:val="001A1EC2"/>
    <w:rsid w:val="001A23DC"/>
    <w:rsid w:val="001A508B"/>
    <w:rsid w:val="001A6800"/>
    <w:rsid w:val="001B2DFC"/>
    <w:rsid w:val="001B3414"/>
    <w:rsid w:val="001B5822"/>
    <w:rsid w:val="001B59B2"/>
    <w:rsid w:val="001C249D"/>
    <w:rsid w:val="001C287B"/>
    <w:rsid w:val="001C6349"/>
    <w:rsid w:val="001C7CB7"/>
    <w:rsid w:val="001D2184"/>
    <w:rsid w:val="001D337D"/>
    <w:rsid w:val="001E3DBA"/>
    <w:rsid w:val="001E54D9"/>
    <w:rsid w:val="001E6C23"/>
    <w:rsid w:val="001F0EC4"/>
    <w:rsid w:val="001F1F9A"/>
    <w:rsid w:val="002022D8"/>
    <w:rsid w:val="0021279A"/>
    <w:rsid w:val="002137D3"/>
    <w:rsid w:val="00217E47"/>
    <w:rsid w:val="00220CC0"/>
    <w:rsid w:val="00221FF1"/>
    <w:rsid w:val="0022498A"/>
    <w:rsid w:val="002261A5"/>
    <w:rsid w:val="00230217"/>
    <w:rsid w:val="00231897"/>
    <w:rsid w:val="00235291"/>
    <w:rsid w:val="0024204A"/>
    <w:rsid w:val="002421A1"/>
    <w:rsid w:val="00243D4E"/>
    <w:rsid w:val="00252748"/>
    <w:rsid w:val="002541D3"/>
    <w:rsid w:val="002564DE"/>
    <w:rsid w:val="0026459A"/>
    <w:rsid w:val="00267EB9"/>
    <w:rsid w:val="002726D4"/>
    <w:rsid w:val="00275B52"/>
    <w:rsid w:val="00276D30"/>
    <w:rsid w:val="0028758A"/>
    <w:rsid w:val="002A2370"/>
    <w:rsid w:val="002A6A04"/>
    <w:rsid w:val="002A74F7"/>
    <w:rsid w:val="002C10B2"/>
    <w:rsid w:val="002D113F"/>
    <w:rsid w:val="002D7C60"/>
    <w:rsid w:val="002F00D8"/>
    <w:rsid w:val="002F5593"/>
    <w:rsid w:val="00303391"/>
    <w:rsid w:val="00307B74"/>
    <w:rsid w:val="00307E9E"/>
    <w:rsid w:val="003143D2"/>
    <w:rsid w:val="00314A44"/>
    <w:rsid w:val="0031510D"/>
    <w:rsid w:val="00316AF2"/>
    <w:rsid w:val="0032040C"/>
    <w:rsid w:val="003251F9"/>
    <w:rsid w:val="0033454A"/>
    <w:rsid w:val="00337EDE"/>
    <w:rsid w:val="00340BC4"/>
    <w:rsid w:val="0034132B"/>
    <w:rsid w:val="0034365E"/>
    <w:rsid w:val="0035370D"/>
    <w:rsid w:val="003607F6"/>
    <w:rsid w:val="00367B6F"/>
    <w:rsid w:val="0037075D"/>
    <w:rsid w:val="00381723"/>
    <w:rsid w:val="00382D93"/>
    <w:rsid w:val="00383AF1"/>
    <w:rsid w:val="00383EFD"/>
    <w:rsid w:val="00384DC8"/>
    <w:rsid w:val="00390519"/>
    <w:rsid w:val="00395117"/>
    <w:rsid w:val="00396D64"/>
    <w:rsid w:val="00397849"/>
    <w:rsid w:val="003A30E6"/>
    <w:rsid w:val="003A49BE"/>
    <w:rsid w:val="003A5656"/>
    <w:rsid w:val="003A5919"/>
    <w:rsid w:val="003B2059"/>
    <w:rsid w:val="003B27A5"/>
    <w:rsid w:val="003C1C8E"/>
    <w:rsid w:val="003C202B"/>
    <w:rsid w:val="003C24D1"/>
    <w:rsid w:val="003C5A55"/>
    <w:rsid w:val="003D34E1"/>
    <w:rsid w:val="003D4909"/>
    <w:rsid w:val="003D799F"/>
    <w:rsid w:val="003E0FC2"/>
    <w:rsid w:val="003E2C0F"/>
    <w:rsid w:val="003E4633"/>
    <w:rsid w:val="003E68EE"/>
    <w:rsid w:val="003F25A2"/>
    <w:rsid w:val="003F6177"/>
    <w:rsid w:val="004057D7"/>
    <w:rsid w:val="00423E29"/>
    <w:rsid w:val="00424FED"/>
    <w:rsid w:val="0042518B"/>
    <w:rsid w:val="00425BFA"/>
    <w:rsid w:val="00430507"/>
    <w:rsid w:val="00430C49"/>
    <w:rsid w:val="00432A7C"/>
    <w:rsid w:val="00435AC5"/>
    <w:rsid w:val="00447305"/>
    <w:rsid w:val="00447E90"/>
    <w:rsid w:val="00454973"/>
    <w:rsid w:val="00454ED4"/>
    <w:rsid w:val="00455F01"/>
    <w:rsid w:val="00466BFC"/>
    <w:rsid w:val="00467874"/>
    <w:rsid w:val="00471C05"/>
    <w:rsid w:val="00473020"/>
    <w:rsid w:val="0047541C"/>
    <w:rsid w:val="00480684"/>
    <w:rsid w:val="0048298E"/>
    <w:rsid w:val="00485436"/>
    <w:rsid w:val="00490980"/>
    <w:rsid w:val="00492B5C"/>
    <w:rsid w:val="004958BF"/>
    <w:rsid w:val="00495E28"/>
    <w:rsid w:val="004A1015"/>
    <w:rsid w:val="004A527C"/>
    <w:rsid w:val="004B0351"/>
    <w:rsid w:val="004B2710"/>
    <w:rsid w:val="004B7D92"/>
    <w:rsid w:val="004C1346"/>
    <w:rsid w:val="004C4075"/>
    <w:rsid w:val="004C4333"/>
    <w:rsid w:val="004C4A40"/>
    <w:rsid w:val="004D2F75"/>
    <w:rsid w:val="004D34F6"/>
    <w:rsid w:val="004D6A9F"/>
    <w:rsid w:val="004D7F8A"/>
    <w:rsid w:val="004E148F"/>
    <w:rsid w:val="004E544A"/>
    <w:rsid w:val="004F056A"/>
    <w:rsid w:val="004F3B84"/>
    <w:rsid w:val="004F3D11"/>
    <w:rsid w:val="004F5D8A"/>
    <w:rsid w:val="00511DB8"/>
    <w:rsid w:val="005137B1"/>
    <w:rsid w:val="005137DC"/>
    <w:rsid w:val="0053158D"/>
    <w:rsid w:val="005318FD"/>
    <w:rsid w:val="0053433F"/>
    <w:rsid w:val="00535BF4"/>
    <w:rsid w:val="00544385"/>
    <w:rsid w:val="00551DF2"/>
    <w:rsid w:val="00552F5C"/>
    <w:rsid w:val="005559DE"/>
    <w:rsid w:val="00557CA6"/>
    <w:rsid w:val="00557EA2"/>
    <w:rsid w:val="005675E6"/>
    <w:rsid w:val="00573795"/>
    <w:rsid w:val="00573AD1"/>
    <w:rsid w:val="005759AF"/>
    <w:rsid w:val="00576B28"/>
    <w:rsid w:val="005833A1"/>
    <w:rsid w:val="0058482F"/>
    <w:rsid w:val="005915FB"/>
    <w:rsid w:val="00597EC2"/>
    <w:rsid w:val="005A5B0C"/>
    <w:rsid w:val="005A6002"/>
    <w:rsid w:val="005B0106"/>
    <w:rsid w:val="005B6486"/>
    <w:rsid w:val="005B6658"/>
    <w:rsid w:val="005C5ABD"/>
    <w:rsid w:val="005C64EE"/>
    <w:rsid w:val="005C6DF8"/>
    <w:rsid w:val="005D70F1"/>
    <w:rsid w:val="005E41F6"/>
    <w:rsid w:val="005E5043"/>
    <w:rsid w:val="005F112C"/>
    <w:rsid w:val="005F3944"/>
    <w:rsid w:val="005F597E"/>
    <w:rsid w:val="005F778F"/>
    <w:rsid w:val="00606085"/>
    <w:rsid w:val="00615AE7"/>
    <w:rsid w:val="00625061"/>
    <w:rsid w:val="00626A08"/>
    <w:rsid w:val="0063087D"/>
    <w:rsid w:val="00634A71"/>
    <w:rsid w:val="00636BA4"/>
    <w:rsid w:val="00644E63"/>
    <w:rsid w:val="006463CF"/>
    <w:rsid w:val="00655FD4"/>
    <w:rsid w:val="0065667A"/>
    <w:rsid w:val="006619A2"/>
    <w:rsid w:val="0066239F"/>
    <w:rsid w:val="00664489"/>
    <w:rsid w:val="00667425"/>
    <w:rsid w:val="00670FE9"/>
    <w:rsid w:val="006737EE"/>
    <w:rsid w:val="00674852"/>
    <w:rsid w:val="006753FB"/>
    <w:rsid w:val="00676B34"/>
    <w:rsid w:val="00682893"/>
    <w:rsid w:val="006829B3"/>
    <w:rsid w:val="00687728"/>
    <w:rsid w:val="00687B20"/>
    <w:rsid w:val="00687D65"/>
    <w:rsid w:val="00690854"/>
    <w:rsid w:val="00692872"/>
    <w:rsid w:val="006929F8"/>
    <w:rsid w:val="006933AD"/>
    <w:rsid w:val="006A0B99"/>
    <w:rsid w:val="006A45B1"/>
    <w:rsid w:val="006A5211"/>
    <w:rsid w:val="006B61FD"/>
    <w:rsid w:val="006C1A8C"/>
    <w:rsid w:val="006D3197"/>
    <w:rsid w:val="006D4D80"/>
    <w:rsid w:val="006E1F6D"/>
    <w:rsid w:val="006E1FE1"/>
    <w:rsid w:val="006E259A"/>
    <w:rsid w:val="006F706F"/>
    <w:rsid w:val="007010A6"/>
    <w:rsid w:val="00704196"/>
    <w:rsid w:val="00707D6A"/>
    <w:rsid w:val="0071093C"/>
    <w:rsid w:val="007141C0"/>
    <w:rsid w:val="007153E3"/>
    <w:rsid w:val="00720F3B"/>
    <w:rsid w:val="007256B0"/>
    <w:rsid w:val="00725F6A"/>
    <w:rsid w:val="007276F9"/>
    <w:rsid w:val="00727EB3"/>
    <w:rsid w:val="00733641"/>
    <w:rsid w:val="007346AC"/>
    <w:rsid w:val="00736BDE"/>
    <w:rsid w:val="00741E37"/>
    <w:rsid w:val="0075065A"/>
    <w:rsid w:val="0075146E"/>
    <w:rsid w:val="00751663"/>
    <w:rsid w:val="00753175"/>
    <w:rsid w:val="00756875"/>
    <w:rsid w:val="00765235"/>
    <w:rsid w:val="0076763A"/>
    <w:rsid w:val="007705F4"/>
    <w:rsid w:val="007713FF"/>
    <w:rsid w:val="0077353B"/>
    <w:rsid w:val="00774235"/>
    <w:rsid w:val="00775043"/>
    <w:rsid w:val="00781752"/>
    <w:rsid w:val="0078326B"/>
    <w:rsid w:val="0078611C"/>
    <w:rsid w:val="007868C2"/>
    <w:rsid w:val="00787170"/>
    <w:rsid w:val="00795DEF"/>
    <w:rsid w:val="007A30B0"/>
    <w:rsid w:val="007B764D"/>
    <w:rsid w:val="007B785B"/>
    <w:rsid w:val="007C2BF5"/>
    <w:rsid w:val="007D1C64"/>
    <w:rsid w:val="007D767A"/>
    <w:rsid w:val="007E392B"/>
    <w:rsid w:val="007F2FEC"/>
    <w:rsid w:val="008018EC"/>
    <w:rsid w:val="008020EC"/>
    <w:rsid w:val="00803578"/>
    <w:rsid w:val="00805C04"/>
    <w:rsid w:val="00820FC7"/>
    <w:rsid w:val="008215FE"/>
    <w:rsid w:val="00824ABD"/>
    <w:rsid w:val="00827C8A"/>
    <w:rsid w:val="00832D9E"/>
    <w:rsid w:val="00833E28"/>
    <w:rsid w:val="008402EB"/>
    <w:rsid w:val="00841F92"/>
    <w:rsid w:val="008457E3"/>
    <w:rsid w:val="00845D84"/>
    <w:rsid w:val="0084757F"/>
    <w:rsid w:val="00847A8D"/>
    <w:rsid w:val="0085514F"/>
    <w:rsid w:val="0086012E"/>
    <w:rsid w:val="00860244"/>
    <w:rsid w:val="008602C8"/>
    <w:rsid w:val="00861DDD"/>
    <w:rsid w:val="0086473D"/>
    <w:rsid w:val="008706CF"/>
    <w:rsid w:val="00870CD6"/>
    <w:rsid w:val="00871C90"/>
    <w:rsid w:val="00874E3D"/>
    <w:rsid w:val="00877C10"/>
    <w:rsid w:val="008847BF"/>
    <w:rsid w:val="00885558"/>
    <w:rsid w:val="008928E5"/>
    <w:rsid w:val="00893A36"/>
    <w:rsid w:val="00895A98"/>
    <w:rsid w:val="00895FC2"/>
    <w:rsid w:val="008977AE"/>
    <w:rsid w:val="008A2D73"/>
    <w:rsid w:val="008A47C3"/>
    <w:rsid w:val="008A6077"/>
    <w:rsid w:val="008A68F4"/>
    <w:rsid w:val="008B1C8A"/>
    <w:rsid w:val="008B7EE9"/>
    <w:rsid w:val="008C0E36"/>
    <w:rsid w:val="008D11D3"/>
    <w:rsid w:val="008D2B6B"/>
    <w:rsid w:val="008D3095"/>
    <w:rsid w:val="008E2D9E"/>
    <w:rsid w:val="008E390E"/>
    <w:rsid w:val="008E3CEB"/>
    <w:rsid w:val="008F249F"/>
    <w:rsid w:val="008F5D18"/>
    <w:rsid w:val="00900305"/>
    <w:rsid w:val="00900E6E"/>
    <w:rsid w:val="0091239B"/>
    <w:rsid w:val="0091367D"/>
    <w:rsid w:val="009169D6"/>
    <w:rsid w:val="00921538"/>
    <w:rsid w:val="00921ACE"/>
    <w:rsid w:val="00921FEC"/>
    <w:rsid w:val="0092609B"/>
    <w:rsid w:val="009302CD"/>
    <w:rsid w:val="0094192A"/>
    <w:rsid w:val="00954609"/>
    <w:rsid w:val="00965AED"/>
    <w:rsid w:val="00967574"/>
    <w:rsid w:val="00967DFE"/>
    <w:rsid w:val="0098194C"/>
    <w:rsid w:val="00985DD4"/>
    <w:rsid w:val="00990F91"/>
    <w:rsid w:val="00993EDA"/>
    <w:rsid w:val="009961A4"/>
    <w:rsid w:val="009A2623"/>
    <w:rsid w:val="009A60B7"/>
    <w:rsid w:val="009B1D13"/>
    <w:rsid w:val="009B227E"/>
    <w:rsid w:val="009B4B0F"/>
    <w:rsid w:val="009C4E0C"/>
    <w:rsid w:val="009D6C58"/>
    <w:rsid w:val="009D772B"/>
    <w:rsid w:val="009F01B7"/>
    <w:rsid w:val="009F19E0"/>
    <w:rsid w:val="009F2AF8"/>
    <w:rsid w:val="00A04CF1"/>
    <w:rsid w:val="00A059CE"/>
    <w:rsid w:val="00A05DD3"/>
    <w:rsid w:val="00A12147"/>
    <w:rsid w:val="00A14D58"/>
    <w:rsid w:val="00A21390"/>
    <w:rsid w:val="00A223DC"/>
    <w:rsid w:val="00A23C8D"/>
    <w:rsid w:val="00A30C49"/>
    <w:rsid w:val="00A31AF5"/>
    <w:rsid w:val="00A335E2"/>
    <w:rsid w:val="00A40A52"/>
    <w:rsid w:val="00A4203C"/>
    <w:rsid w:val="00A42310"/>
    <w:rsid w:val="00A44506"/>
    <w:rsid w:val="00A51D00"/>
    <w:rsid w:val="00A61F7C"/>
    <w:rsid w:val="00A66DF2"/>
    <w:rsid w:val="00A7286F"/>
    <w:rsid w:val="00A74B57"/>
    <w:rsid w:val="00A7575D"/>
    <w:rsid w:val="00A837D0"/>
    <w:rsid w:val="00A9138D"/>
    <w:rsid w:val="00A968A8"/>
    <w:rsid w:val="00AA78B9"/>
    <w:rsid w:val="00AB04D5"/>
    <w:rsid w:val="00AB5A08"/>
    <w:rsid w:val="00AB5F08"/>
    <w:rsid w:val="00AC2098"/>
    <w:rsid w:val="00AC2749"/>
    <w:rsid w:val="00AC3EEF"/>
    <w:rsid w:val="00AD1237"/>
    <w:rsid w:val="00AD2319"/>
    <w:rsid w:val="00AD2D1D"/>
    <w:rsid w:val="00AE1C91"/>
    <w:rsid w:val="00AE2061"/>
    <w:rsid w:val="00AE276F"/>
    <w:rsid w:val="00AE2EF9"/>
    <w:rsid w:val="00AF2B52"/>
    <w:rsid w:val="00B1067A"/>
    <w:rsid w:val="00B10A80"/>
    <w:rsid w:val="00B3183A"/>
    <w:rsid w:val="00B4364E"/>
    <w:rsid w:val="00B4403B"/>
    <w:rsid w:val="00B47BDE"/>
    <w:rsid w:val="00B5383D"/>
    <w:rsid w:val="00B54842"/>
    <w:rsid w:val="00B556B3"/>
    <w:rsid w:val="00B61659"/>
    <w:rsid w:val="00B62CD3"/>
    <w:rsid w:val="00B7333E"/>
    <w:rsid w:val="00B74DC0"/>
    <w:rsid w:val="00B810E6"/>
    <w:rsid w:val="00B8375B"/>
    <w:rsid w:val="00B83CE5"/>
    <w:rsid w:val="00B95532"/>
    <w:rsid w:val="00BA4D26"/>
    <w:rsid w:val="00BB75B1"/>
    <w:rsid w:val="00BC0C93"/>
    <w:rsid w:val="00BC1954"/>
    <w:rsid w:val="00BC3838"/>
    <w:rsid w:val="00BD0719"/>
    <w:rsid w:val="00BD289E"/>
    <w:rsid w:val="00BD2B50"/>
    <w:rsid w:val="00BE1E2A"/>
    <w:rsid w:val="00BF1888"/>
    <w:rsid w:val="00C103E2"/>
    <w:rsid w:val="00C12024"/>
    <w:rsid w:val="00C173DD"/>
    <w:rsid w:val="00C17FAB"/>
    <w:rsid w:val="00C207D4"/>
    <w:rsid w:val="00C23D01"/>
    <w:rsid w:val="00C251D8"/>
    <w:rsid w:val="00C36972"/>
    <w:rsid w:val="00C36C86"/>
    <w:rsid w:val="00C37042"/>
    <w:rsid w:val="00C37233"/>
    <w:rsid w:val="00C4252F"/>
    <w:rsid w:val="00C4330C"/>
    <w:rsid w:val="00C44343"/>
    <w:rsid w:val="00C52F82"/>
    <w:rsid w:val="00C547DA"/>
    <w:rsid w:val="00C5498C"/>
    <w:rsid w:val="00C5596A"/>
    <w:rsid w:val="00C64E19"/>
    <w:rsid w:val="00C66E2A"/>
    <w:rsid w:val="00C87908"/>
    <w:rsid w:val="00C92459"/>
    <w:rsid w:val="00C94386"/>
    <w:rsid w:val="00C95221"/>
    <w:rsid w:val="00CA4BB3"/>
    <w:rsid w:val="00CB2BE9"/>
    <w:rsid w:val="00CB60CA"/>
    <w:rsid w:val="00CC1F17"/>
    <w:rsid w:val="00CD35F9"/>
    <w:rsid w:val="00CE4899"/>
    <w:rsid w:val="00CE599C"/>
    <w:rsid w:val="00CF0F89"/>
    <w:rsid w:val="00CF236C"/>
    <w:rsid w:val="00CF2A8F"/>
    <w:rsid w:val="00D04C00"/>
    <w:rsid w:val="00D05FA4"/>
    <w:rsid w:val="00D073E0"/>
    <w:rsid w:val="00D133FC"/>
    <w:rsid w:val="00D20B07"/>
    <w:rsid w:val="00D2391E"/>
    <w:rsid w:val="00D239E1"/>
    <w:rsid w:val="00D26A88"/>
    <w:rsid w:val="00D3550A"/>
    <w:rsid w:val="00D361E5"/>
    <w:rsid w:val="00D45D80"/>
    <w:rsid w:val="00D46FD7"/>
    <w:rsid w:val="00D51F77"/>
    <w:rsid w:val="00D545E6"/>
    <w:rsid w:val="00D55BF6"/>
    <w:rsid w:val="00D64350"/>
    <w:rsid w:val="00D667B4"/>
    <w:rsid w:val="00D70EE3"/>
    <w:rsid w:val="00D71F0A"/>
    <w:rsid w:val="00D845B5"/>
    <w:rsid w:val="00D85AC6"/>
    <w:rsid w:val="00D96ECB"/>
    <w:rsid w:val="00DA1245"/>
    <w:rsid w:val="00DA3B00"/>
    <w:rsid w:val="00DA6CBE"/>
    <w:rsid w:val="00DC01DB"/>
    <w:rsid w:val="00DD56BC"/>
    <w:rsid w:val="00DE30A5"/>
    <w:rsid w:val="00DE3BD4"/>
    <w:rsid w:val="00DE70DC"/>
    <w:rsid w:val="00DE7C6D"/>
    <w:rsid w:val="00DF5A48"/>
    <w:rsid w:val="00E00A27"/>
    <w:rsid w:val="00E067C6"/>
    <w:rsid w:val="00E13BEA"/>
    <w:rsid w:val="00E1644F"/>
    <w:rsid w:val="00E2131B"/>
    <w:rsid w:val="00E21F0A"/>
    <w:rsid w:val="00E2418C"/>
    <w:rsid w:val="00E25029"/>
    <w:rsid w:val="00E3305D"/>
    <w:rsid w:val="00E33A69"/>
    <w:rsid w:val="00E3677A"/>
    <w:rsid w:val="00E40DF5"/>
    <w:rsid w:val="00E40E10"/>
    <w:rsid w:val="00E4756B"/>
    <w:rsid w:val="00E56A18"/>
    <w:rsid w:val="00E57B43"/>
    <w:rsid w:val="00E71999"/>
    <w:rsid w:val="00E723B8"/>
    <w:rsid w:val="00E831C8"/>
    <w:rsid w:val="00E90002"/>
    <w:rsid w:val="00E909BF"/>
    <w:rsid w:val="00EB1F99"/>
    <w:rsid w:val="00EB2D2F"/>
    <w:rsid w:val="00EB460C"/>
    <w:rsid w:val="00EB63C6"/>
    <w:rsid w:val="00EC0510"/>
    <w:rsid w:val="00EC2FE3"/>
    <w:rsid w:val="00EC5EE2"/>
    <w:rsid w:val="00EC61F6"/>
    <w:rsid w:val="00ED3316"/>
    <w:rsid w:val="00EE0144"/>
    <w:rsid w:val="00EE456C"/>
    <w:rsid w:val="00EE62B4"/>
    <w:rsid w:val="00F124AC"/>
    <w:rsid w:val="00F12AFE"/>
    <w:rsid w:val="00F15686"/>
    <w:rsid w:val="00F262EB"/>
    <w:rsid w:val="00F32946"/>
    <w:rsid w:val="00F46DE4"/>
    <w:rsid w:val="00F52FE5"/>
    <w:rsid w:val="00F5506B"/>
    <w:rsid w:val="00F62799"/>
    <w:rsid w:val="00F6527A"/>
    <w:rsid w:val="00F7337E"/>
    <w:rsid w:val="00F76F78"/>
    <w:rsid w:val="00F87CBD"/>
    <w:rsid w:val="00F9052D"/>
    <w:rsid w:val="00F93432"/>
    <w:rsid w:val="00F96354"/>
    <w:rsid w:val="00FA221C"/>
    <w:rsid w:val="00FA674D"/>
    <w:rsid w:val="00FB0E7F"/>
    <w:rsid w:val="00FB44D8"/>
    <w:rsid w:val="00FC3818"/>
    <w:rsid w:val="00FD13E7"/>
    <w:rsid w:val="00FD5B56"/>
    <w:rsid w:val="00FD75CE"/>
    <w:rsid w:val="00FE4F84"/>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DAAA9"/>
  <w14:defaultImageDpi w14:val="0"/>
  <w15:docId w15:val="{43305D29-F9AC-41A8-8149-8A05A4C1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customStyle="1" w:styleId="Bodycopy">
    <w:name w:val="Body copy"/>
    <w:qFormat/>
    <w:rsid w:val="00841F92"/>
    <w:pPr>
      <w:widowControl w:val="0"/>
      <w:tabs>
        <w:tab w:val="left" w:pos="1276"/>
      </w:tabs>
      <w:spacing w:before="240" w:after="240" w:line="300" w:lineRule="exact"/>
    </w:pPr>
    <w:rPr>
      <w:rFonts w:ascii="Calibri" w:hAnsi="Calibri" w:cs="Calibri"/>
      <w:color w:val="000000"/>
      <w:sz w:val="22"/>
      <w:lang w:val="en-US"/>
    </w:rPr>
  </w:style>
  <w:style w:type="character" w:styleId="PlaceholderText">
    <w:name w:val="Placeholder Text"/>
    <w:basedOn w:val="DefaultParagraphFont"/>
    <w:uiPriority w:val="99"/>
    <w:semiHidden/>
    <w:rsid w:val="00DF5A48"/>
    <w:rPr>
      <w:rFonts w:cs="Times New Roman"/>
      <w:color w:val="808080"/>
    </w:rPr>
  </w:style>
  <w:style w:type="paragraph" w:styleId="BalloonText">
    <w:name w:val="Balloon Text"/>
    <w:basedOn w:val="Normal"/>
    <w:link w:val="BalloonTextChar"/>
    <w:uiPriority w:val="99"/>
    <w:rsid w:val="00DF5A48"/>
    <w:rPr>
      <w:rFonts w:ascii="Tahoma" w:hAnsi="Tahoma" w:cs="Tahoma"/>
      <w:sz w:val="16"/>
      <w:szCs w:val="16"/>
    </w:rPr>
  </w:style>
  <w:style w:type="character" w:customStyle="1" w:styleId="BalloonTextChar">
    <w:name w:val="Balloon Text Char"/>
    <w:basedOn w:val="DefaultParagraphFont"/>
    <w:link w:val="BalloonText"/>
    <w:uiPriority w:val="99"/>
    <w:locked/>
    <w:rsid w:val="00DF5A48"/>
    <w:rPr>
      <w:rFonts w:ascii="Tahoma" w:hAnsi="Tahoma" w:cs="Tahoma"/>
      <w:sz w:val="16"/>
      <w:szCs w:val="16"/>
      <w:lang w:val="x-none" w:eastAsia="en-US"/>
    </w:rPr>
  </w:style>
  <w:style w:type="character" w:styleId="CommentReference">
    <w:name w:val="annotation reference"/>
    <w:basedOn w:val="DefaultParagraphFont"/>
    <w:uiPriority w:val="99"/>
    <w:rsid w:val="00AB5A08"/>
    <w:rPr>
      <w:rFonts w:cs="Times New Roman"/>
      <w:sz w:val="16"/>
      <w:szCs w:val="16"/>
    </w:rPr>
  </w:style>
  <w:style w:type="paragraph" w:styleId="CommentText">
    <w:name w:val="annotation text"/>
    <w:basedOn w:val="Normal"/>
    <w:link w:val="CommentTextChar"/>
    <w:uiPriority w:val="99"/>
    <w:rsid w:val="00AB5A08"/>
    <w:rPr>
      <w:sz w:val="20"/>
    </w:rPr>
  </w:style>
  <w:style w:type="character" w:customStyle="1" w:styleId="CommentTextChar">
    <w:name w:val="Comment Text Char"/>
    <w:basedOn w:val="DefaultParagraphFont"/>
    <w:link w:val="CommentText"/>
    <w:uiPriority w:val="99"/>
    <w:locked/>
    <w:rsid w:val="00AB5A08"/>
    <w:rPr>
      <w:rFonts w:cs="Times New Roman"/>
      <w:lang w:val="x-none" w:eastAsia="en-US"/>
    </w:rPr>
  </w:style>
  <w:style w:type="paragraph" w:styleId="CommentSubject">
    <w:name w:val="annotation subject"/>
    <w:basedOn w:val="CommentText"/>
    <w:next w:val="CommentText"/>
    <w:link w:val="CommentSubjectChar"/>
    <w:uiPriority w:val="99"/>
    <w:rsid w:val="00AB5A08"/>
    <w:rPr>
      <w:b/>
      <w:bCs/>
    </w:rPr>
  </w:style>
  <w:style w:type="character" w:customStyle="1" w:styleId="CommentSubjectChar">
    <w:name w:val="Comment Subject Char"/>
    <w:basedOn w:val="CommentTextChar"/>
    <w:link w:val="CommentSubject"/>
    <w:uiPriority w:val="99"/>
    <w:locked/>
    <w:rsid w:val="00AB5A08"/>
    <w:rPr>
      <w:rFonts w:cs="Times New Roman"/>
      <w:b/>
      <w:bCs/>
      <w:lang w:val="x-none" w:eastAsia="en-US"/>
    </w:rPr>
  </w:style>
  <w:style w:type="character" w:customStyle="1" w:styleId="Calibri12">
    <w:name w:val="Calibri 12"/>
    <w:basedOn w:val="DefaultParagraphFont"/>
    <w:uiPriority w:val="1"/>
    <w:qFormat/>
    <w:rsid w:val="003B2059"/>
    <w:rPr>
      <w:rFonts w:ascii="Calibri" w:hAnsi="Calibri" w:cs="Times New Roman"/>
      <w:sz w:val="24"/>
    </w:rPr>
  </w:style>
  <w:style w:type="table" w:styleId="TableGrid">
    <w:name w:val="Table Grid"/>
    <w:basedOn w:val="TableNormal"/>
    <w:uiPriority w:val="59"/>
    <w:rsid w:val="00D545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62111-5123-4BC7-8DCE-D70DBA60492A}">
  <ds:schemaRefs>
    <ds:schemaRef ds:uri="http://schemas.microsoft.com/sharepoint/v3/contenttype/forms"/>
  </ds:schemaRefs>
</ds:datastoreItem>
</file>

<file path=customXml/itemProps2.xml><?xml version="1.0" encoding="utf-8"?>
<ds:datastoreItem xmlns:ds="http://schemas.openxmlformats.org/officeDocument/2006/customXml" ds:itemID="{F9E77BE9-6C0A-4499-9F8D-C039E203E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BFAF52-A4AC-4E44-A1E8-ECA44B18D61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6B7203C-2CD8-4BAD-BB8A-2E2A08AC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4413</Characters>
  <Application>Microsoft Office Word</Application>
  <DocSecurity>0</DocSecurity>
  <Lines>141</Lines>
  <Paragraphs>63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2017-05-23T06:52:00Z</cp:lastPrinted>
  <dcterms:created xsi:type="dcterms:W3CDTF">2019-05-24T02:32:00Z</dcterms:created>
  <dcterms:modified xsi:type="dcterms:W3CDTF">2019-05-24T02:32:00Z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