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55" w:rsidRDefault="00547155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11414A" w:rsidRDefault="0011414A" w:rsidP="0011414A">
      <w:pPr>
        <w:pStyle w:val="Billname"/>
        <w:spacing w:before="700"/>
      </w:pPr>
      <w:r>
        <w:t>Official Visitor</w:t>
      </w:r>
      <w:r w:rsidR="00C66D66">
        <w:t xml:space="preserve"> (Homelessness Services) </w:t>
      </w:r>
      <w:r w:rsidR="00C66D66">
        <w:br/>
      </w:r>
      <w:r>
        <w:t>Visit and Complaint Guidelines 201</w:t>
      </w:r>
      <w:r w:rsidR="000A47D6">
        <w:t>9</w:t>
      </w:r>
      <w:r>
        <w:t xml:space="preserve"> </w:t>
      </w:r>
      <w:r w:rsidR="00C24FAB">
        <w:t>(No 1)</w:t>
      </w:r>
    </w:p>
    <w:p w:rsidR="0011414A" w:rsidRDefault="0011414A" w:rsidP="0011414A">
      <w:pPr>
        <w:spacing w:before="240" w:after="60"/>
        <w:ind w:right="-198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</w:t>
      </w:r>
      <w:r w:rsidR="000A47D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905FA4">
        <w:rPr>
          <w:rFonts w:ascii="Arial" w:hAnsi="Arial" w:cs="Arial"/>
          <w:b/>
          <w:bCs/>
        </w:rPr>
        <w:t>146</w:t>
      </w:r>
    </w:p>
    <w:p w:rsidR="0011414A" w:rsidRDefault="0011414A" w:rsidP="0011414A">
      <w:pPr>
        <w:pStyle w:val="madeunder"/>
        <w:spacing w:before="240" w:after="120"/>
      </w:pPr>
      <w:r>
        <w:t xml:space="preserve">made under the  </w:t>
      </w:r>
    </w:p>
    <w:p w:rsidR="0011414A" w:rsidRDefault="0011414A" w:rsidP="0011414A">
      <w:pPr>
        <w:pStyle w:val="CoverActName"/>
      </w:pPr>
      <w:r>
        <w:rPr>
          <w:i/>
          <w:sz w:val="20"/>
        </w:rPr>
        <w:t>Official Visitor Act 2012</w:t>
      </w:r>
      <w:r w:rsidR="00C75AE6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C66D66">
        <w:rPr>
          <w:sz w:val="20"/>
        </w:rPr>
        <w:t xml:space="preserve">section 23 </w:t>
      </w:r>
      <w:r w:rsidR="00C75AE6">
        <w:rPr>
          <w:sz w:val="20"/>
        </w:rPr>
        <w:t>(</w:t>
      </w:r>
      <w:r w:rsidRPr="00C66D66">
        <w:rPr>
          <w:sz w:val="20"/>
        </w:rPr>
        <w:t xml:space="preserve">Visit and </w:t>
      </w:r>
      <w:r w:rsidR="00C66D66">
        <w:rPr>
          <w:sz w:val="20"/>
        </w:rPr>
        <w:t>c</w:t>
      </w:r>
      <w:r w:rsidR="00C66D66" w:rsidRPr="00C66D66">
        <w:rPr>
          <w:sz w:val="20"/>
        </w:rPr>
        <w:t xml:space="preserve">omplaint </w:t>
      </w:r>
      <w:r w:rsidR="00C66D66">
        <w:rPr>
          <w:sz w:val="20"/>
        </w:rPr>
        <w:t>g</w:t>
      </w:r>
      <w:r w:rsidR="00C66D66" w:rsidRPr="00C66D66">
        <w:rPr>
          <w:sz w:val="20"/>
        </w:rPr>
        <w:t>uidelines</w:t>
      </w:r>
      <w:r w:rsidR="00C75AE6">
        <w:rPr>
          <w:sz w:val="20"/>
        </w:rPr>
        <w:t>)</w:t>
      </w:r>
    </w:p>
    <w:p w:rsidR="00547155" w:rsidRDefault="00547155">
      <w:pPr>
        <w:pStyle w:val="CoverActName"/>
        <w:pBdr>
          <w:bottom w:val="single" w:sz="4" w:space="1" w:color="auto"/>
        </w:pBdr>
        <w:rPr>
          <w:b w:val="0"/>
          <w:bCs w:val="0"/>
          <w:sz w:val="20"/>
          <w:szCs w:val="20"/>
        </w:rPr>
      </w:pPr>
    </w:p>
    <w:p w:rsidR="00547155" w:rsidRPr="00DF041D" w:rsidRDefault="00547155">
      <w:pPr>
        <w:pStyle w:val="Heading5"/>
        <w:tabs>
          <w:tab w:val="left" w:pos="709"/>
        </w:tabs>
        <w:rPr>
          <w:rFonts w:ascii="Times New Roman" w:hAnsi="Times New Roman" w:cs="Times New Roman"/>
        </w:rPr>
      </w:pPr>
      <w:r w:rsidRPr="00DF041D">
        <w:rPr>
          <w:rFonts w:ascii="Times New Roman" w:hAnsi="Times New Roman" w:cs="Times New Roman"/>
        </w:rPr>
        <w:t>EXPLANATORY STATEMENT</w:t>
      </w:r>
    </w:p>
    <w:bookmarkEnd w:id="0"/>
    <w:p w:rsidR="00547155" w:rsidRPr="00DF041D" w:rsidRDefault="00547155"/>
    <w:p w:rsidR="00085A8A" w:rsidRPr="00DF041D" w:rsidRDefault="00085A8A">
      <w:pPr>
        <w:rPr>
          <w:b/>
        </w:rPr>
      </w:pPr>
      <w:r w:rsidRPr="00DF041D">
        <w:rPr>
          <w:b/>
        </w:rPr>
        <w:t>Background</w:t>
      </w:r>
    </w:p>
    <w:p w:rsidR="00085A8A" w:rsidRPr="00DF041D" w:rsidRDefault="00085A8A">
      <w:pPr>
        <w:rPr>
          <w:b/>
        </w:rPr>
      </w:pPr>
    </w:p>
    <w:p w:rsidR="00547155" w:rsidRDefault="00C66D66">
      <w:pPr>
        <w:pStyle w:val="TOC1"/>
        <w:rPr>
          <w:lang w:eastAsia="en-AU"/>
        </w:rPr>
      </w:pPr>
      <w:r>
        <w:t>Section</w:t>
      </w:r>
      <w:r w:rsidR="0011414A">
        <w:t xml:space="preserve"> 23 of the </w:t>
      </w:r>
      <w:r w:rsidR="0011414A">
        <w:rPr>
          <w:i/>
        </w:rPr>
        <w:t xml:space="preserve">Official Visitor Act 2012 </w:t>
      </w:r>
      <w:r w:rsidR="0011414A">
        <w:t xml:space="preserve">allows the Minister to, after consulting the Operational Minister for </w:t>
      </w:r>
      <w:r w:rsidR="00166B9E">
        <w:t>an Operational</w:t>
      </w:r>
      <w:r w:rsidR="0011414A">
        <w:t xml:space="preserve"> Act, </w:t>
      </w:r>
      <w:r w:rsidR="0011414A">
        <w:rPr>
          <w:lang w:eastAsia="en-AU"/>
        </w:rPr>
        <w:t xml:space="preserve">make guidelines about visits by an official visitor, </w:t>
      </w:r>
      <w:r w:rsidR="00202371">
        <w:rPr>
          <w:lang w:eastAsia="en-AU"/>
        </w:rPr>
        <w:t>handling</w:t>
      </w:r>
      <w:r w:rsidR="0011414A">
        <w:rPr>
          <w:lang w:eastAsia="en-AU"/>
        </w:rPr>
        <w:t xml:space="preserve"> of complaints, and referral of complaints to investigative entities.</w:t>
      </w:r>
    </w:p>
    <w:p w:rsidR="00E20B82" w:rsidRDefault="00E20B82">
      <w:pPr>
        <w:rPr>
          <w:iCs/>
        </w:rPr>
      </w:pPr>
    </w:p>
    <w:p w:rsidR="0011414A" w:rsidRPr="0011414A" w:rsidRDefault="0011414A">
      <w:pPr>
        <w:rPr>
          <w:iCs/>
        </w:rPr>
      </w:pPr>
      <w:r>
        <w:rPr>
          <w:iCs/>
        </w:rPr>
        <w:t xml:space="preserve">The Operational Act for the Official Visitor for Homelessness Services is the </w:t>
      </w:r>
      <w:r w:rsidR="00BB0955">
        <w:rPr>
          <w:iCs/>
        </w:rPr>
        <w:br/>
      </w:r>
      <w:r>
        <w:rPr>
          <w:i/>
          <w:iCs/>
        </w:rPr>
        <w:t xml:space="preserve">Housing Assistance Act 2007. </w:t>
      </w:r>
      <w:r>
        <w:rPr>
          <w:iCs/>
        </w:rPr>
        <w:t>The Operational Minister for the Act is the Minister for Housing.</w:t>
      </w:r>
    </w:p>
    <w:p w:rsidR="0011414A" w:rsidRPr="00DF041D" w:rsidRDefault="0011414A">
      <w:pPr>
        <w:rPr>
          <w:iCs/>
        </w:rPr>
      </w:pPr>
    </w:p>
    <w:p w:rsidR="00085A8A" w:rsidRPr="00DF041D" w:rsidRDefault="003B40AF">
      <w:pPr>
        <w:rPr>
          <w:b/>
          <w:iCs/>
        </w:rPr>
      </w:pPr>
      <w:r>
        <w:rPr>
          <w:b/>
          <w:iCs/>
        </w:rPr>
        <w:t>Provisions of the Official Visitor – Visit and Complaint Guidelines</w:t>
      </w:r>
    </w:p>
    <w:p w:rsidR="00085A8A" w:rsidRPr="00DF041D" w:rsidRDefault="00085A8A">
      <w:pPr>
        <w:rPr>
          <w:b/>
          <w:iCs/>
        </w:rPr>
      </w:pPr>
    </w:p>
    <w:p w:rsidR="003B40AF" w:rsidRDefault="0011414A" w:rsidP="003B40AF">
      <w:pPr>
        <w:pStyle w:val="TOC1"/>
        <w:rPr>
          <w:lang w:eastAsia="en-AU"/>
        </w:rPr>
      </w:pPr>
      <w:r>
        <w:t xml:space="preserve">The Official Visitor </w:t>
      </w:r>
      <w:r w:rsidR="00B61AB8">
        <w:t xml:space="preserve">(Homelessness Services) </w:t>
      </w:r>
      <w:r>
        <w:t xml:space="preserve">Visit and Complaint Guidelines </w:t>
      </w:r>
      <w:r>
        <w:rPr>
          <w:lang w:eastAsia="en-AU"/>
        </w:rPr>
        <w:t xml:space="preserve">provide a schedule of each visitable place that an official visitor must visit and how often the </w:t>
      </w:r>
      <w:r w:rsidR="00C66D66">
        <w:rPr>
          <w:lang w:eastAsia="en-AU"/>
        </w:rPr>
        <w:t xml:space="preserve">official visitor </w:t>
      </w:r>
      <w:r>
        <w:rPr>
          <w:lang w:eastAsia="en-AU"/>
        </w:rPr>
        <w:t xml:space="preserve">must visit the place. </w:t>
      </w:r>
    </w:p>
    <w:p w:rsidR="003B40AF" w:rsidRDefault="003B40AF" w:rsidP="003B40AF">
      <w:pPr>
        <w:pStyle w:val="TOC1"/>
        <w:rPr>
          <w:lang w:eastAsia="en-AU"/>
        </w:rPr>
      </w:pPr>
    </w:p>
    <w:p w:rsidR="003B40AF" w:rsidRDefault="003B40AF" w:rsidP="003B40AF">
      <w:pPr>
        <w:pStyle w:val="TOC1"/>
      </w:pPr>
      <w:r>
        <w:t xml:space="preserve">The Guidelines also detail procedures that the </w:t>
      </w:r>
      <w:r w:rsidR="00C66D66">
        <w:t xml:space="preserve">official visitor </w:t>
      </w:r>
      <w:r>
        <w:t xml:space="preserve">and the </w:t>
      </w:r>
      <w:r w:rsidR="00C66D66">
        <w:t xml:space="preserve">operating entity </w:t>
      </w:r>
      <w:r>
        <w:t xml:space="preserve">must follow during a visit by the </w:t>
      </w:r>
      <w:r w:rsidR="00C66D66">
        <w:t>official visitor</w:t>
      </w:r>
      <w:r>
        <w:t xml:space="preserve">, and during any subsequent follow up of matters identified during by the </w:t>
      </w:r>
      <w:r w:rsidR="00C66D66">
        <w:t xml:space="preserve">official visitor </w:t>
      </w:r>
      <w:r>
        <w:t xml:space="preserve">or an </w:t>
      </w:r>
      <w:r w:rsidR="00C66D66">
        <w:t xml:space="preserve">entitled person </w:t>
      </w:r>
      <w:r>
        <w:t>under the Act.</w:t>
      </w:r>
    </w:p>
    <w:p w:rsidR="0011414A" w:rsidRDefault="0011414A">
      <w:pPr>
        <w:rPr>
          <w:lang w:eastAsia="en-AU"/>
        </w:rPr>
      </w:pPr>
    </w:p>
    <w:p w:rsidR="0011414A" w:rsidRDefault="0011414A" w:rsidP="0011414A">
      <w:r>
        <w:t xml:space="preserve">The Guidelines also </w:t>
      </w:r>
      <w:r w:rsidR="00C24FAB">
        <w:t>detail the frequency of</w:t>
      </w:r>
      <w:r>
        <w:t xml:space="preserve"> reporting by the </w:t>
      </w:r>
      <w:r w:rsidR="00C66D66">
        <w:t xml:space="preserve">official visitor </w:t>
      </w:r>
      <w:r>
        <w:t>to the Operational Minister for the Act.</w:t>
      </w:r>
    </w:p>
    <w:p w:rsidR="0011414A" w:rsidRDefault="0011414A" w:rsidP="0011414A"/>
    <w:p w:rsidR="0011414A" w:rsidRDefault="0011414A" w:rsidP="0011414A">
      <w:r>
        <w:t xml:space="preserve">The Guidelines set out procedures to be followed in the case of complaint and in cases where a complaint or matter raised by the </w:t>
      </w:r>
      <w:r w:rsidR="00C66D66">
        <w:t xml:space="preserve">official visitor </w:t>
      </w:r>
      <w:r>
        <w:t xml:space="preserve">or an </w:t>
      </w:r>
      <w:r w:rsidR="00C66D66">
        <w:t xml:space="preserve">entitled person </w:t>
      </w:r>
      <w:r>
        <w:t xml:space="preserve">cannot be resolved. </w:t>
      </w:r>
      <w:r w:rsidR="006E23EF">
        <w:t>They also</w:t>
      </w:r>
      <w:r>
        <w:t xml:space="preserve"> prescribe how a complaint may be received, actioned and closed by the </w:t>
      </w:r>
      <w:r w:rsidR="00C66D66">
        <w:t xml:space="preserve">official visitor </w:t>
      </w:r>
      <w:r>
        <w:t xml:space="preserve">and how an </w:t>
      </w:r>
      <w:r w:rsidR="00C66D66">
        <w:t xml:space="preserve">entitled person </w:t>
      </w:r>
      <w:r>
        <w:t>may withdraw a complaint if they so wish.</w:t>
      </w:r>
    </w:p>
    <w:p w:rsidR="00447A26" w:rsidRDefault="00447A26" w:rsidP="0011414A"/>
    <w:p w:rsidR="00447A26" w:rsidRDefault="00166B9E" w:rsidP="0011414A">
      <w:pPr>
        <w:rPr>
          <w:iCs/>
        </w:rPr>
      </w:pPr>
      <w:r>
        <w:t xml:space="preserve">As required under </w:t>
      </w:r>
      <w:r w:rsidR="00447A26">
        <w:t xml:space="preserve">section 23(2) of the </w:t>
      </w:r>
      <w:r w:rsidR="001E68F5" w:rsidRPr="001E68F5">
        <w:rPr>
          <w:i/>
        </w:rPr>
        <w:t>Official Visitor Act 2012</w:t>
      </w:r>
      <w:r w:rsidR="00447A26">
        <w:t xml:space="preserve">, the </w:t>
      </w:r>
      <w:r w:rsidR="00B61AB8">
        <w:t>G</w:t>
      </w:r>
      <w:r w:rsidR="00447A26">
        <w:t>uidelines include a schedule that sets out each visitable place that the official visitor must visit and how often the official visitor must visit the place.</w:t>
      </w:r>
    </w:p>
    <w:p w:rsidR="009376C9" w:rsidRDefault="009376C9" w:rsidP="009E06F2">
      <w:pPr>
        <w:rPr>
          <w:b/>
          <w:iCs/>
        </w:rPr>
      </w:pPr>
    </w:p>
    <w:p w:rsidR="000A47D6" w:rsidRPr="00C956A0" w:rsidRDefault="000A47D6" w:rsidP="009E06F2">
      <w:pPr>
        <w:rPr>
          <w:iCs/>
        </w:rPr>
      </w:pPr>
      <w:r w:rsidRPr="00C956A0">
        <w:rPr>
          <w:iCs/>
        </w:rPr>
        <w:lastRenderedPageBreak/>
        <w:t xml:space="preserve">The Guidelines have been updated to reflect an increase in the number of visitable places. </w:t>
      </w:r>
    </w:p>
    <w:sectPr w:rsidR="000A47D6" w:rsidRPr="00C956A0" w:rsidSect="00976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F9" w:rsidRDefault="00A558F9">
      <w:r>
        <w:separator/>
      </w:r>
    </w:p>
  </w:endnote>
  <w:endnote w:type="continuationSeparator" w:id="0">
    <w:p w:rsidR="00A558F9" w:rsidRDefault="00A5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AF" w:rsidRDefault="003B40AF" w:rsidP="00526A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0AF" w:rsidRDefault="003B40AF" w:rsidP="00D76F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AF" w:rsidRPr="00DE246F" w:rsidRDefault="00DE246F" w:rsidP="00DE246F">
    <w:pPr>
      <w:pStyle w:val="Footer"/>
      <w:ind w:right="360"/>
      <w:jc w:val="center"/>
      <w:rPr>
        <w:sz w:val="14"/>
      </w:rPr>
    </w:pPr>
    <w:r w:rsidRPr="00DE246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6F" w:rsidRDefault="00DE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F9" w:rsidRDefault="00A558F9">
      <w:r>
        <w:separator/>
      </w:r>
    </w:p>
  </w:footnote>
  <w:footnote w:type="continuationSeparator" w:id="0">
    <w:p w:rsidR="00A558F9" w:rsidRDefault="00A5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6F" w:rsidRDefault="00DE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6F" w:rsidRDefault="00DE2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6F" w:rsidRDefault="00DE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943C3"/>
    <w:multiLevelType w:val="hybridMultilevel"/>
    <w:tmpl w:val="924CFDE0"/>
    <w:lvl w:ilvl="0" w:tplc="1BF29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97F"/>
    <w:multiLevelType w:val="multilevel"/>
    <w:tmpl w:val="C0A2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3F57B44"/>
    <w:multiLevelType w:val="hybridMultilevel"/>
    <w:tmpl w:val="F8CE83A0"/>
    <w:lvl w:ilvl="0" w:tplc="AF90AA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A2527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014D430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5"/>
    <w:rsid w:val="00032568"/>
    <w:rsid w:val="00071FC6"/>
    <w:rsid w:val="00085A8A"/>
    <w:rsid w:val="00090F24"/>
    <w:rsid w:val="00091091"/>
    <w:rsid w:val="000A47D6"/>
    <w:rsid w:val="000B21A7"/>
    <w:rsid w:val="000B7E56"/>
    <w:rsid w:val="000E0D27"/>
    <w:rsid w:val="000E49B7"/>
    <w:rsid w:val="001101EE"/>
    <w:rsid w:val="0011414A"/>
    <w:rsid w:val="00116C46"/>
    <w:rsid w:val="00135291"/>
    <w:rsid w:val="00145F49"/>
    <w:rsid w:val="00156FB4"/>
    <w:rsid w:val="0016282D"/>
    <w:rsid w:val="00166B9E"/>
    <w:rsid w:val="0016750D"/>
    <w:rsid w:val="001970A1"/>
    <w:rsid w:val="001971F4"/>
    <w:rsid w:val="001A1C77"/>
    <w:rsid w:val="001B0781"/>
    <w:rsid w:val="001D1B9D"/>
    <w:rsid w:val="001E68F5"/>
    <w:rsid w:val="00202371"/>
    <w:rsid w:val="00204D0A"/>
    <w:rsid w:val="0023035B"/>
    <w:rsid w:val="00261FDD"/>
    <w:rsid w:val="002C3A73"/>
    <w:rsid w:val="002D23AF"/>
    <w:rsid w:val="00320AF2"/>
    <w:rsid w:val="00327F3C"/>
    <w:rsid w:val="00361926"/>
    <w:rsid w:val="00366175"/>
    <w:rsid w:val="003A34AF"/>
    <w:rsid w:val="003B2665"/>
    <w:rsid w:val="003B2F84"/>
    <w:rsid w:val="003B40AF"/>
    <w:rsid w:val="003B5216"/>
    <w:rsid w:val="003C1D88"/>
    <w:rsid w:val="003C2262"/>
    <w:rsid w:val="003F30FA"/>
    <w:rsid w:val="003F3B33"/>
    <w:rsid w:val="00417571"/>
    <w:rsid w:val="00447A26"/>
    <w:rsid w:val="00447F56"/>
    <w:rsid w:val="0047587F"/>
    <w:rsid w:val="00480455"/>
    <w:rsid w:val="00483127"/>
    <w:rsid w:val="004B138C"/>
    <w:rsid w:val="00510E2E"/>
    <w:rsid w:val="00526ACE"/>
    <w:rsid w:val="00545D1B"/>
    <w:rsid w:val="00547155"/>
    <w:rsid w:val="00570718"/>
    <w:rsid w:val="0058415E"/>
    <w:rsid w:val="00590826"/>
    <w:rsid w:val="005942B2"/>
    <w:rsid w:val="005A2CB8"/>
    <w:rsid w:val="005A69D5"/>
    <w:rsid w:val="005B1A88"/>
    <w:rsid w:val="005D1942"/>
    <w:rsid w:val="005F3C5A"/>
    <w:rsid w:val="00606807"/>
    <w:rsid w:val="00682A23"/>
    <w:rsid w:val="006A0BCE"/>
    <w:rsid w:val="006B5463"/>
    <w:rsid w:val="006C19E6"/>
    <w:rsid w:val="006D5D4F"/>
    <w:rsid w:val="006E1231"/>
    <w:rsid w:val="006E23EF"/>
    <w:rsid w:val="007069F4"/>
    <w:rsid w:val="0079389D"/>
    <w:rsid w:val="00795F9C"/>
    <w:rsid w:val="007B61A4"/>
    <w:rsid w:val="007C4F5E"/>
    <w:rsid w:val="007E303C"/>
    <w:rsid w:val="008172CE"/>
    <w:rsid w:val="008358C5"/>
    <w:rsid w:val="00840BDD"/>
    <w:rsid w:val="00862101"/>
    <w:rsid w:val="00865B4F"/>
    <w:rsid w:val="00881A8F"/>
    <w:rsid w:val="00883A17"/>
    <w:rsid w:val="00883B18"/>
    <w:rsid w:val="0088708A"/>
    <w:rsid w:val="008B0678"/>
    <w:rsid w:val="008F60CA"/>
    <w:rsid w:val="00905FA4"/>
    <w:rsid w:val="00906DEC"/>
    <w:rsid w:val="009376C9"/>
    <w:rsid w:val="00940180"/>
    <w:rsid w:val="00951BA6"/>
    <w:rsid w:val="00951FC9"/>
    <w:rsid w:val="00952B5A"/>
    <w:rsid w:val="00976861"/>
    <w:rsid w:val="009C54A4"/>
    <w:rsid w:val="009D1D42"/>
    <w:rsid w:val="009E06F2"/>
    <w:rsid w:val="00A00CAE"/>
    <w:rsid w:val="00A51321"/>
    <w:rsid w:val="00A51EEB"/>
    <w:rsid w:val="00A558F9"/>
    <w:rsid w:val="00A94B8C"/>
    <w:rsid w:val="00AA0486"/>
    <w:rsid w:val="00AE0AAB"/>
    <w:rsid w:val="00AE5D1A"/>
    <w:rsid w:val="00AF1294"/>
    <w:rsid w:val="00B17322"/>
    <w:rsid w:val="00B4799A"/>
    <w:rsid w:val="00B545F2"/>
    <w:rsid w:val="00B61AB8"/>
    <w:rsid w:val="00B75D3B"/>
    <w:rsid w:val="00B9094D"/>
    <w:rsid w:val="00BA0668"/>
    <w:rsid w:val="00BB0955"/>
    <w:rsid w:val="00BB1982"/>
    <w:rsid w:val="00BD656B"/>
    <w:rsid w:val="00BF2895"/>
    <w:rsid w:val="00C03B15"/>
    <w:rsid w:val="00C163E6"/>
    <w:rsid w:val="00C24FAB"/>
    <w:rsid w:val="00C36241"/>
    <w:rsid w:val="00C46D20"/>
    <w:rsid w:val="00C548D9"/>
    <w:rsid w:val="00C5535E"/>
    <w:rsid w:val="00C6224D"/>
    <w:rsid w:val="00C66D66"/>
    <w:rsid w:val="00C75AE6"/>
    <w:rsid w:val="00C80602"/>
    <w:rsid w:val="00C80652"/>
    <w:rsid w:val="00C84C5E"/>
    <w:rsid w:val="00C956A0"/>
    <w:rsid w:val="00D10F0C"/>
    <w:rsid w:val="00D50D2D"/>
    <w:rsid w:val="00D76FEE"/>
    <w:rsid w:val="00DB4E1E"/>
    <w:rsid w:val="00DB7AA0"/>
    <w:rsid w:val="00DC6289"/>
    <w:rsid w:val="00DE246F"/>
    <w:rsid w:val="00DE4584"/>
    <w:rsid w:val="00DE778C"/>
    <w:rsid w:val="00DF041D"/>
    <w:rsid w:val="00E104CF"/>
    <w:rsid w:val="00E20B82"/>
    <w:rsid w:val="00E46D9F"/>
    <w:rsid w:val="00E54D95"/>
    <w:rsid w:val="00E61570"/>
    <w:rsid w:val="00E61622"/>
    <w:rsid w:val="00E65A9B"/>
    <w:rsid w:val="00E842DD"/>
    <w:rsid w:val="00E92F2C"/>
    <w:rsid w:val="00EA5177"/>
    <w:rsid w:val="00F1219A"/>
    <w:rsid w:val="00F44BEE"/>
    <w:rsid w:val="00F702EA"/>
    <w:rsid w:val="00F83089"/>
    <w:rsid w:val="00F95D46"/>
    <w:rsid w:val="00F964C2"/>
    <w:rsid w:val="00FA2C7B"/>
    <w:rsid w:val="00FA612F"/>
    <w:rsid w:val="00FC09A6"/>
    <w:rsid w:val="00FC60F2"/>
    <w:rsid w:val="00FC6860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CD5CEE-F30B-46F2-96E4-417D829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D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86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86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86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86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6861"/>
    <w:pPr>
      <w:keepNext/>
      <w:spacing w:before="360"/>
      <w:ind w:right="565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86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86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686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686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6861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97686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76861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76861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861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97686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97686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976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7686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7686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97686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976861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976861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976861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976861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97686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861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976861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976861"/>
    <w:rPr>
      <w:rFonts w:cs="Times New Roman"/>
    </w:rPr>
  </w:style>
  <w:style w:type="paragraph" w:customStyle="1" w:styleId="CoverInForce">
    <w:name w:val="CoverInForce"/>
    <w:basedOn w:val="Normal"/>
    <w:uiPriority w:val="99"/>
    <w:rsid w:val="00976861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976861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976861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976861"/>
    <w:rPr>
      <w:rFonts w:cs="Times New Roman"/>
    </w:rPr>
  </w:style>
  <w:style w:type="paragraph" w:customStyle="1" w:styleId="Aparabullet">
    <w:name w:val="A para bullet"/>
    <w:basedOn w:val="Normal"/>
    <w:uiPriority w:val="99"/>
    <w:rsid w:val="0097686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976861"/>
  </w:style>
  <w:style w:type="paragraph" w:styleId="TOC2">
    <w:name w:val="toc 2"/>
    <w:basedOn w:val="Normal"/>
    <w:next w:val="Normal"/>
    <w:autoRedefine/>
    <w:uiPriority w:val="99"/>
    <w:semiHidden/>
    <w:rsid w:val="0097686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7686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7686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7686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7686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7686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7686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76861"/>
    <w:pPr>
      <w:ind w:left="1920"/>
    </w:pPr>
  </w:style>
  <w:style w:type="character" w:styleId="Hyperlink">
    <w:name w:val="Hyperlink"/>
    <w:basedOn w:val="DefaultParagraphFont"/>
    <w:uiPriority w:val="99"/>
    <w:rsid w:val="0097686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686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861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uiPriority w:val="99"/>
    <w:rsid w:val="00976861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976861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976861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97686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7686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6861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861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97686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976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41D"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D1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A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1AB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1AB8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CF2D-7E90-40FB-92CB-D28D7C2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1727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2019-03-29T03:11:00Z</cp:lastPrinted>
  <dcterms:created xsi:type="dcterms:W3CDTF">2019-06-26T23:44:00Z</dcterms:created>
  <dcterms:modified xsi:type="dcterms:W3CDTF">2019-06-26T23:44:00Z</dcterms:modified>
</cp:coreProperties>
</file>