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7C1959" w:rsidRDefault="007C1959" w:rsidP="007C1959">
      <w:pPr>
        <w:pStyle w:val="Billname"/>
        <w:spacing w:before="700"/>
      </w:pPr>
      <w:r>
        <w:t>Unit Titles (Manag</w:t>
      </w:r>
      <w:r w:rsidR="00845FBE">
        <w:t xml:space="preserve">ement) (Fees) Determination </w:t>
      </w:r>
      <w:r w:rsidR="00B057F7">
        <w:t>2019</w:t>
      </w:r>
      <w:r>
        <w:t xml:space="preserve"> </w:t>
      </w:r>
    </w:p>
    <w:p w:rsidR="007C1959" w:rsidRDefault="007C1959" w:rsidP="007C1959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Pr="00BA6001">
        <w:rPr>
          <w:rFonts w:ascii="Arial" w:hAnsi="Arial" w:cs="Arial"/>
          <w:b/>
          <w:bCs/>
        </w:rPr>
        <w:t xml:space="preserve">instrument </w:t>
      </w:r>
      <w:r w:rsidR="00B24B91" w:rsidRPr="00BA6001">
        <w:rPr>
          <w:rFonts w:ascii="Arial" w:hAnsi="Arial" w:cs="Arial"/>
          <w:b/>
          <w:bCs/>
        </w:rPr>
        <w:t>DI</w:t>
      </w:r>
      <w:r w:rsidR="00B24B91" w:rsidRPr="00BA6001">
        <w:rPr>
          <w:rFonts w:ascii="Arial" w:hAnsi="Arial" w:cs="Arial"/>
          <w:b/>
          <w:bCs/>
          <w:iCs/>
        </w:rPr>
        <w:t>2019</w:t>
      </w:r>
      <w:r w:rsidR="00B24B91" w:rsidRPr="00BA6001">
        <w:rPr>
          <w:rFonts w:ascii="Arial" w:hAnsi="Arial" w:cs="Arial"/>
          <w:b/>
          <w:bCs/>
        </w:rPr>
        <w:t>–</w:t>
      </w:r>
      <w:r w:rsidR="00771D4A">
        <w:rPr>
          <w:rFonts w:ascii="Arial" w:hAnsi="Arial" w:cs="Arial"/>
          <w:b/>
          <w:bCs/>
        </w:rPr>
        <w:t>168</w:t>
      </w:r>
    </w:p>
    <w:p w:rsidR="007C1959" w:rsidRDefault="007C1959" w:rsidP="009F6B43">
      <w:pPr>
        <w:pStyle w:val="madeunder"/>
        <w:spacing w:before="240" w:after="120"/>
        <w:jc w:val="left"/>
      </w:pPr>
      <w:r>
        <w:t xml:space="preserve">made under the  </w:t>
      </w:r>
    </w:p>
    <w:p w:rsidR="007C1959" w:rsidRDefault="007C1959" w:rsidP="009F6B43">
      <w:pPr>
        <w:pStyle w:val="CoverActName"/>
        <w:jc w:val="left"/>
        <w:rPr>
          <w:rFonts w:cs="Arial"/>
          <w:sz w:val="20"/>
        </w:rPr>
      </w:pPr>
      <w:r>
        <w:rPr>
          <w:rFonts w:cs="Arial"/>
          <w:sz w:val="20"/>
        </w:rPr>
        <w:t>Unit Titles (Management) Act 2011, s119 (Unit title certificate and access to owners corporation records)</w:t>
      </w:r>
    </w:p>
    <w:p w:rsidR="002657B4" w:rsidRPr="002657B4" w:rsidRDefault="002657B4" w:rsidP="002657B4">
      <w:pPr>
        <w:pStyle w:val="CoverActName"/>
        <w:spacing w:before="360" w:after="0"/>
        <w:rPr>
          <w:sz w:val="28"/>
          <w:szCs w:val="28"/>
        </w:rPr>
      </w:pPr>
      <w:r w:rsidRPr="002657B4">
        <w:rPr>
          <w:rFonts w:cs="Arial"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B24B91" w:rsidRDefault="007C1959">
      <w:r w:rsidRPr="00B057F7">
        <w:t xml:space="preserve">Section 119(5) of the </w:t>
      </w:r>
      <w:r w:rsidRPr="00B057F7">
        <w:rPr>
          <w:i/>
        </w:rPr>
        <w:t>Unit Titles (Management) Act 2011</w:t>
      </w:r>
      <w:r w:rsidR="00EA7C14" w:rsidRPr="00B057F7">
        <w:t xml:space="preserve"> provides that a request by an eligible person for a unit or common property for a unit title certificate under section 119 must be in writing and accompanied by a fee determined by the owners</w:t>
      </w:r>
    </w:p>
    <w:p w:rsidR="00EA7C14" w:rsidRPr="00B057F7" w:rsidRDefault="00EA7C14">
      <w:r w:rsidRPr="00B057F7">
        <w:t>corporation of not more than an amount determined by the Minister.</w:t>
      </w:r>
    </w:p>
    <w:p w:rsidR="00EA7C14" w:rsidRPr="00AE6DDC" w:rsidRDefault="00EA7C14">
      <w:pPr>
        <w:rPr>
          <w:highlight w:val="yellow"/>
        </w:rPr>
      </w:pPr>
    </w:p>
    <w:p w:rsidR="00EA7C14" w:rsidRDefault="00EA7C14">
      <w:r w:rsidRPr="00595C5F">
        <w:t>The purpose of this instrument is to revoke Di</w:t>
      </w:r>
      <w:r w:rsidR="00845FBE" w:rsidRPr="00595C5F">
        <w:t xml:space="preserve">sallowable </w:t>
      </w:r>
      <w:r w:rsidR="00845FBE" w:rsidRPr="00317EB5">
        <w:t>Instrument DI201</w:t>
      </w:r>
      <w:r w:rsidR="00317EB5" w:rsidRPr="00317EB5">
        <w:t>8</w:t>
      </w:r>
      <w:r w:rsidR="00845FBE" w:rsidRPr="00317EB5">
        <w:t>-</w:t>
      </w:r>
      <w:r w:rsidR="00317EB5" w:rsidRPr="00317EB5">
        <w:t>200</w:t>
      </w:r>
      <w:r w:rsidR="00845FBE" w:rsidRPr="00317EB5">
        <w:t xml:space="preserve"> </w:t>
      </w:r>
      <w:r w:rsidR="00845FBE" w:rsidRPr="00595C5F">
        <w:t>which set fees for the 201</w:t>
      </w:r>
      <w:r w:rsidR="00B057F7" w:rsidRPr="00595C5F">
        <w:t xml:space="preserve">8-19 </w:t>
      </w:r>
      <w:r w:rsidR="00B24B91">
        <w:t>f</w:t>
      </w:r>
      <w:r w:rsidRPr="00595C5F">
        <w:t xml:space="preserve">inancial </w:t>
      </w:r>
      <w:r w:rsidR="00B24B91">
        <w:t>y</w:t>
      </w:r>
      <w:r w:rsidRPr="00595C5F">
        <w:t xml:space="preserve">ear and to determine fees for the </w:t>
      </w:r>
      <w:r w:rsidR="00845FBE" w:rsidRPr="00595C5F">
        <w:t>201</w:t>
      </w:r>
      <w:r w:rsidR="00B057F7" w:rsidRPr="00595C5F">
        <w:t>9-20</w:t>
      </w:r>
      <w:r w:rsidRPr="00595C5F">
        <w:t xml:space="preserve"> </w:t>
      </w:r>
      <w:r w:rsidR="00B24B91">
        <w:t>f</w:t>
      </w:r>
      <w:r w:rsidRPr="00595C5F">
        <w:t xml:space="preserve">inancial </w:t>
      </w:r>
      <w:r w:rsidR="00B24B91">
        <w:t>y</w:t>
      </w:r>
      <w:r w:rsidRPr="00595C5F">
        <w:t>ear.</w:t>
      </w:r>
    </w:p>
    <w:p w:rsidR="00EA7C14" w:rsidRDefault="00EA7C14"/>
    <w:p w:rsidR="00317EB5" w:rsidRDefault="00317EB5" w:rsidP="00317EB5">
      <w:pPr>
        <w:autoSpaceDE w:val="0"/>
        <w:autoSpaceDN w:val="0"/>
        <w:adjustRightInd w:val="0"/>
        <w:jc w:val="both"/>
        <w:rPr>
          <w:szCs w:val="24"/>
          <w:lang w:eastAsia="en-AU"/>
        </w:rPr>
      </w:pPr>
      <w:r>
        <w:rPr>
          <w:szCs w:val="24"/>
          <w:lang w:eastAsia="en-AU"/>
        </w:rPr>
        <w:t xml:space="preserve">The new determination (the 2019 determination) sets the fees that will apply from </w:t>
      </w:r>
      <w:r w:rsidRPr="00C02976">
        <w:t>1</w:t>
      </w:r>
      <w:r>
        <w:t> </w:t>
      </w:r>
      <w:r w:rsidRPr="00C02976">
        <w:t>July</w:t>
      </w:r>
      <w:r>
        <w:rPr>
          <w:szCs w:val="24"/>
          <w:lang w:eastAsia="en-AU"/>
        </w:rPr>
        <w:t xml:space="preserve"> 2019, and repeals the </w:t>
      </w:r>
      <w:r>
        <w:rPr>
          <w:i/>
          <w:szCs w:val="24"/>
          <w:lang w:eastAsia="en-AU"/>
        </w:rPr>
        <w:t>Unit Titles (Management)</w:t>
      </w:r>
      <w:r w:rsidRPr="00C02976">
        <w:rPr>
          <w:i/>
          <w:szCs w:val="24"/>
          <w:lang w:eastAsia="en-AU"/>
        </w:rPr>
        <w:t xml:space="preserve"> (Fees) Determination 201</w:t>
      </w:r>
      <w:r>
        <w:rPr>
          <w:i/>
          <w:szCs w:val="24"/>
          <w:lang w:eastAsia="en-AU"/>
        </w:rPr>
        <w:t>8</w:t>
      </w:r>
      <w:r>
        <w:rPr>
          <w:szCs w:val="24"/>
          <w:lang w:eastAsia="en-AU"/>
        </w:rPr>
        <w:t xml:space="preserve"> (the</w:t>
      </w:r>
      <w:r w:rsidR="00FA7A15">
        <w:rPr>
          <w:szCs w:val="24"/>
          <w:lang w:eastAsia="en-AU"/>
        </w:rPr>
        <w:t> </w:t>
      </w:r>
      <w:r>
        <w:rPr>
          <w:szCs w:val="24"/>
          <w:lang w:eastAsia="en-AU"/>
        </w:rPr>
        <w:t xml:space="preserve">2018 determination). </w:t>
      </w:r>
      <w:r w:rsidR="00B24B91">
        <w:rPr>
          <w:szCs w:val="24"/>
          <w:lang w:eastAsia="en-AU"/>
        </w:rPr>
        <w:t>It</w:t>
      </w:r>
      <w:r>
        <w:rPr>
          <w:szCs w:val="24"/>
          <w:lang w:eastAsia="en-AU"/>
        </w:rPr>
        <w:t xml:space="preserve"> provid</w:t>
      </w:r>
      <w:r w:rsidR="00B24B91">
        <w:rPr>
          <w:szCs w:val="24"/>
          <w:lang w:eastAsia="en-AU"/>
        </w:rPr>
        <w:t>es</w:t>
      </w:r>
      <w:r>
        <w:rPr>
          <w:szCs w:val="24"/>
          <w:lang w:eastAsia="en-AU"/>
        </w:rPr>
        <w:t xml:space="preserve"> for fee increases in line with annual adjustments to the Wages Price Index (WPI) o</w:t>
      </w:r>
      <w:r w:rsidRPr="00061DD6">
        <w:rPr>
          <w:szCs w:val="24"/>
          <w:lang w:eastAsia="en-AU"/>
        </w:rPr>
        <w:t>f 2.5%</w:t>
      </w:r>
      <w:r>
        <w:rPr>
          <w:szCs w:val="24"/>
          <w:lang w:eastAsia="en-AU"/>
        </w:rPr>
        <w:t>, rounded down to the nearest dollar.</w:t>
      </w:r>
      <w:r w:rsidR="008606FE">
        <w:rPr>
          <w:szCs w:val="24"/>
          <w:lang w:eastAsia="en-AU"/>
        </w:rPr>
        <w:t xml:space="preserve"> </w:t>
      </w:r>
      <w:r w:rsidR="008606FE">
        <w:t>This gives</w:t>
      </w:r>
      <w:r w:rsidR="00295AEF">
        <w:t> </w:t>
      </w:r>
      <w:r w:rsidR="008606FE">
        <w:t>effect to the Government’s policy decision to limit growth in government fees and charges for households to no more than the Wage Price Index in 2019-20 as was announced in the 2019-20 ACT Budget. This approach also aligns with the 2018 Treasury Guidelines for Fees and Charges.</w:t>
      </w:r>
    </w:p>
    <w:p w:rsidR="00EA7C14" w:rsidRPr="00B057F7" w:rsidRDefault="00EA7C14" w:rsidP="00EA7C14"/>
    <w:p w:rsidR="00EA7C14" w:rsidRPr="00B057F7" w:rsidRDefault="00EA7C14" w:rsidP="00EA7C14">
      <w:r w:rsidRPr="00B057F7">
        <w:t>Item numbers, included in the schedule, column 2, enable the comparison of past fees set under the Act with those set by this instrument.</w:t>
      </w:r>
    </w:p>
    <w:p w:rsidR="00EA7C14" w:rsidRPr="00B057F7" w:rsidRDefault="00EA7C14" w:rsidP="00EA7C14"/>
    <w:p w:rsidR="00EA7C14" w:rsidRDefault="00EA7C14" w:rsidP="00EA7C14">
      <w:r w:rsidRPr="00B057F7">
        <w:t xml:space="preserve">The instrument contains further explanatory notes about the fee for various items in the past </w:t>
      </w:r>
      <w:r w:rsidR="00B24B91">
        <w:t>f</w:t>
      </w:r>
      <w:r w:rsidRPr="00B057F7">
        <w:t xml:space="preserve">inancial </w:t>
      </w:r>
      <w:r w:rsidR="00B24B91">
        <w:t>y</w:t>
      </w:r>
      <w:r w:rsidRPr="00B057F7">
        <w:t>ear.</w:t>
      </w:r>
    </w:p>
    <w:p w:rsidR="005D70F1" w:rsidRDefault="00EA7C14">
      <w:r>
        <w:t xml:space="preserve"> </w:t>
      </w:r>
    </w:p>
    <w:sectPr w:rsidR="005D70F1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F9" w:rsidRDefault="004C4DF9">
      <w:r>
        <w:separator/>
      </w:r>
    </w:p>
  </w:endnote>
  <w:endnote w:type="continuationSeparator" w:id="0">
    <w:p w:rsidR="004C4DF9" w:rsidRDefault="004C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79" w:rsidRDefault="00965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9E" w:rsidRPr="00965379" w:rsidRDefault="00965379" w:rsidP="00965379">
    <w:pPr>
      <w:pStyle w:val="Footer"/>
      <w:jc w:val="center"/>
      <w:rPr>
        <w:rFonts w:cs="Arial"/>
        <w:sz w:val="14"/>
      </w:rPr>
    </w:pPr>
    <w:r w:rsidRPr="009653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79" w:rsidRDefault="00965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F9" w:rsidRDefault="004C4DF9">
      <w:r>
        <w:separator/>
      </w:r>
    </w:p>
  </w:footnote>
  <w:footnote w:type="continuationSeparator" w:id="0">
    <w:p w:rsidR="004C4DF9" w:rsidRDefault="004C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79" w:rsidRDefault="00965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79" w:rsidRDefault="00965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79" w:rsidRDefault="00965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64C2BEE"/>
    <w:multiLevelType w:val="multilevel"/>
    <w:tmpl w:val="F12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20B12"/>
    <w:rsid w:val="00026E60"/>
    <w:rsid w:val="00033E8D"/>
    <w:rsid w:val="00061DD6"/>
    <w:rsid w:val="00081CA7"/>
    <w:rsid w:val="000C6F4B"/>
    <w:rsid w:val="00131DD5"/>
    <w:rsid w:val="001665B6"/>
    <w:rsid w:val="0017170F"/>
    <w:rsid w:val="001F4DB7"/>
    <w:rsid w:val="00221BB7"/>
    <w:rsid w:val="002657B4"/>
    <w:rsid w:val="00274137"/>
    <w:rsid w:val="00293E7B"/>
    <w:rsid w:val="00295AEF"/>
    <w:rsid w:val="003011B2"/>
    <w:rsid w:val="00317EB5"/>
    <w:rsid w:val="00367274"/>
    <w:rsid w:val="003A0D69"/>
    <w:rsid w:val="003F1729"/>
    <w:rsid w:val="00471C05"/>
    <w:rsid w:val="004C4A40"/>
    <w:rsid w:val="004C4DF9"/>
    <w:rsid w:val="00595C5F"/>
    <w:rsid w:val="005A35CD"/>
    <w:rsid w:val="005D70F1"/>
    <w:rsid w:val="005F4AEA"/>
    <w:rsid w:val="00640842"/>
    <w:rsid w:val="00692C6B"/>
    <w:rsid w:val="006B609E"/>
    <w:rsid w:val="00735725"/>
    <w:rsid w:val="00764A33"/>
    <w:rsid w:val="007653B9"/>
    <w:rsid w:val="00771D4A"/>
    <w:rsid w:val="007B0BE5"/>
    <w:rsid w:val="007C1959"/>
    <w:rsid w:val="00845FBE"/>
    <w:rsid w:val="008606FE"/>
    <w:rsid w:val="008B0B1D"/>
    <w:rsid w:val="00965379"/>
    <w:rsid w:val="009A7B1F"/>
    <w:rsid w:val="009B55B7"/>
    <w:rsid w:val="009F6B43"/>
    <w:rsid w:val="00A81472"/>
    <w:rsid w:val="00AE6DDC"/>
    <w:rsid w:val="00B057F7"/>
    <w:rsid w:val="00B24B91"/>
    <w:rsid w:val="00B402FC"/>
    <w:rsid w:val="00B54842"/>
    <w:rsid w:val="00B63E10"/>
    <w:rsid w:val="00BA6001"/>
    <w:rsid w:val="00C02976"/>
    <w:rsid w:val="00C221A0"/>
    <w:rsid w:val="00C36A2B"/>
    <w:rsid w:val="00C4252F"/>
    <w:rsid w:val="00C4480B"/>
    <w:rsid w:val="00C527DE"/>
    <w:rsid w:val="00CB4F98"/>
    <w:rsid w:val="00D723F7"/>
    <w:rsid w:val="00DB0A17"/>
    <w:rsid w:val="00E95B44"/>
    <w:rsid w:val="00EA141E"/>
    <w:rsid w:val="00EA7C14"/>
    <w:rsid w:val="00EC3EA9"/>
    <w:rsid w:val="00F2657C"/>
    <w:rsid w:val="00FA6F77"/>
    <w:rsid w:val="00FA7A1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9002D6-4981-4906-A14D-58D2BF45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6F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F4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6F4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6F4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C6F4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C6F4B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C6F4B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C6F4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C6F4B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0C6F4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C6F4B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0C6F4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F4B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0C6F4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0C6F4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0C6F4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C6F4B"/>
    <w:pPr>
      <w:spacing w:before="180" w:after="60"/>
      <w:jc w:val="both"/>
    </w:pPr>
  </w:style>
  <w:style w:type="paragraph" w:customStyle="1" w:styleId="CoverActName">
    <w:name w:val="CoverActName"/>
    <w:basedOn w:val="Normal"/>
    <w:rsid w:val="000C6F4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0C6F4B"/>
    <w:pPr>
      <w:tabs>
        <w:tab w:val="left" w:pos="2880"/>
      </w:tabs>
    </w:pPr>
  </w:style>
  <w:style w:type="paragraph" w:customStyle="1" w:styleId="Apara">
    <w:name w:val="A para"/>
    <w:basedOn w:val="Normal"/>
    <w:rsid w:val="000C6F4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0C6F4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0C6F4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0C6F4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C6F4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6F4B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0C6F4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0C6F4B"/>
    <w:rPr>
      <w:rFonts w:cs="Times New Roman"/>
    </w:rPr>
  </w:style>
  <w:style w:type="paragraph" w:customStyle="1" w:styleId="CoverInForce">
    <w:name w:val="CoverInForce"/>
    <w:basedOn w:val="Normal"/>
    <w:rsid w:val="000C6F4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0C6F4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0C6F4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C6F4B"/>
    <w:rPr>
      <w:rFonts w:cs="Times New Roman"/>
    </w:rPr>
  </w:style>
  <w:style w:type="paragraph" w:customStyle="1" w:styleId="Aparabullet">
    <w:name w:val="A para bullet"/>
    <w:basedOn w:val="Normal"/>
    <w:rsid w:val="000C6F4B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0C6F4B"/>
  </w:style>
  <w:style w:type="paragraph" w:styleId="TOC2">
    <w:name w:val="toc 2"/>
    <w:basedOn w:val="Normal"/>
    <w:next w:val="Normal"/>
    <w:autoRedefine/>
    <w:uiPriority w:val="39"/>
    <w:semiHidden/>
    <w:rsid w:val="000C6F4B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0C6F4B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C6F4B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C6F4B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C6F4B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C6F4B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C6F4B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C6F4B"/>
    <w:pPr>
      <w:ind w:left="1920"/>
    </w:pPr>
  </w:style>
  <w:style w:type="character" w:styleId="Hyperlink">
    <w:name w:val="Hyperlink"/>
    <w:basedOn w:val="DefaultParagraphFont"/>
    <w:uiPriority w:val="99"/>
    <w:rsid w:val="000C6F4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C6F4B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6F4B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0C6F4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0C6F4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0C6F4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C6F4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C6F4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C6F4B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6F4B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0C6F4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0C6F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F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4DB7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1369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2016-06-15T01:35:00Z</cp:lastPrinted>
  <dcterms:created xsi:type="dcterms:W3CDTF">2019-06-27T06:21:00Z</dcterms:created>
  <dcterms:modified xsi:type="dcterms:W3CDTF">2019-06-27T06:21:00Z</dcterms:modified>
</cp:coreProperties>
</file>