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A0E80" w14:textId="77777777" w:rsidR="007A2A8B" w:rsidRDefault="007A2A8B" w:rsidP="0072165A">
      <w:pPr>
        <w:pStyle w:val="Header"/>
        <w:spacing w:before="120"/>
        <w:rPr>
          <w:rFonts w:ascii="Arial" w:hAnsi="Arial" w:cs="Arial"/>
        </w:rPr>
      </w:pPr>
      <w:bookmarkStart w:id="0" w:name="_GoBack"/>
      <w:bookmarkEnd w:id="0"/>
      <w:smartTag w:uri="urn:schemas-microsoft-com:office:smarttags" w:element="place">
        <w:smartTag w:uri="urn:schemas-microsoft-com:office:smarttags" w:element="State">
          <w:r>
            <w:rPr>
              <w:rFonts w:ascii="Arial" w:hAnsi="Arial" w:cs="Arial"/>
            </w:rPr>
            <w:t>Australian Capital Territory</w:t>
          </w:r>
        </w:smartTag>
      </w:smartTag>
    </w:p>
    <w:p w14:paraId="244B30EC" w14:textId="4E0C9594" w:rsidR="00884A32" w:rsidRDefault="004B5FA2" w:rsidP="00884A32">
      <w:pPr>
        <w:pStyle w:val="Billname"/>
        <w:spacing w:before="700"/>
      </w:pPr>
      <w:r>
        <w:t>Construction Occupations (Licensing) Building Surveyors Code of Practice 2019</w:t>
      </w:r>
    </w:p>
    <w:p w14:paraId="73A0A134" w14:textId="05D24BF9" w:rsidR="007A2A8B" w:rsidRDefault="008F4F49" w:rsidP="0072165A">
      <w:pPr>
        <w:spacing w:before="340"/>
        <w:outlineLvl w:val="0"/>
        <w:rPr>
          <w:rFonts w:ascii="Arial" w:hAnsi="Arial" w:cs="Arial"/>
          <w:b/>
          <w:bCs/>
          <w:vertAlign w:val="superscript"/>
        </w:rPr>
      </w:pPr>
      <w:r>
        <w:rPr>
          <w:rFonts w:ascii="Arial" w:hAnsi="Arial" w:cs="Arial"/>
          <w:b/>
          <w:bCs/>
        </w:rPr>
        <w:t xml:space="preserve">Disallowable </w:t>
      </w:r>
      <w:r w:rsidR="0038751C">
        <w:rPr>
          <w:rFonts w:ascii="Arial" w:hAnsi="Arial" w:cs="Arial"/>
          <w:b/>
          <w:bCs/>
        </w:rPr>
        <w:t>i</w:t>
      </w:r>
      <w:r>
        <w:rPr>
          <w:rFonts w:ascii="Arial" w:hAnsi="Arial" w:cs="Arial"/>
          <w:b/>
          <w:bCs/>
        </w:rPr>
        <w:t>nstrument DI20</w:t>
      </w:r>
      <w:r w:rsidR="00964895">
        <w:rPr>
          <w:rFonts w:ascii="Arial" w:hAnsi="Arial" w:cs="Arial"/>
          <w:b/>
          <w:bCs/>
        </w:rPr>
        <w:t>1</w:t>
      </w:r>
      <w:r w:rsidR="00811D4E">
        <w:rPr>
          <w:rFonts w:ascii="Arial" w:hAnsi="Arial" w:cs="Arial"/>
          <w:b/>
          <w:bCs/>
        </w:rPr>
        <w:t>9</w:t>
      </w:r>
      <w:r w:rsidR="00DB7942">
        <w:rPr>
          <w:rFonts w:ascii="Arial" w:hAnsi="Arial" w:cs="Arial"/>
          <w:b/>
          <w:bCs/>
        </w:rPr>
        <w:t>-</w:t>
      </w:r>
      <w:r w:rsidR="00152B42">
        <w:rPr>
          <w:rFonts w:ascii="Arial" w:hAnsi="Arial" w:cs="Arial"/>
          <w:b/>
          <w:bCs/>
        </w:rPr>
        <w:t>174</w:t>
      </w:r>
    </w:p>
    <w:p w14:paraId="74552F10" w14:textId="77777777" w:rsidR="007A2A8B" w:rsidRDefault="007A2A8B" w:rsidP="0072165A">
      <w:pPr>
        <w:pStyle w:val="madeunder"/>
        <w:spacing w:before="300" w:after="0"/>
      </w:pPr>
      <w:r>
        <w:t>made under the</w:t>
      </w:r>
    </w:p>
    <w:p w14:paraId="3561BFD7" w14:textId="1BABFF3E" w:rsidR="00A155EE" w:rsidRDefault="00BA68F2" w:rsidP="00A155EE">
      <w:pPr>
        <w:pStyle w:val="CoverActName"/>
        <w:spacing w:before="320" w:after="0"/>
        <w:jc w:val="left"/>
        <w:rPr>
          <w:iCs/>
          <w:sz w:val="20"/>
          <w:szCs w:val="20"/>
        </w:rPr>
      </w:pPr>
      <w:r>
        <w:rPr>
          <w:sz w:val="20"/>
          <w:szCs w:val="20"/>
        </w:rPr>
        <w:t xml:space="preserve">Construction Occupations (Licensing) Act 2004, </w:t>
      </w:r>
      <w:r w:rsidR="008836A6">
        <w:rPr>
          <w:sz w:val="20"/>
          <w:szCs w:val="20"/>
        </w:rPr>
        <w:t>12</w:t>
      </w:r>
      <w:r>
        <w:rPr>
          <w:sz w:val="20"/>
          <w:szCs w:val="20"/>
        </w:rPr>
        <w:t>6A (Codes of practice)</w:t>
      </w:r>
    </w:p>
    <w:p w14:paraId="05109830" w14:textId="020964C4" w:rsidR="007A2A8B" w:rsidRDefault="007A2A8B" w:rsidP="00A155EE">
      <w:pPr>
        <w:pStyle w:val="CoverActName"/>
        <w:spacing w:before="320" w:after="0"/>
        <w:jc w:val="left"/>
        <w:rPr>
          <w:b w:val="0"/>
          <w:bCs w:val="0"/>
          <w:sz w:val="28"/>
          <w:szCs w:val="28"/>
        </w:rPr>
      </w:pPr>
      <w:r>
        <w:rPr>
          <w:sz w:val="28"/>
          <w:szCs w:val="28"/>
        </w:rPr>
        <w:t>EXPLANATORY STATEMENT</w:t>
      </w:r>
    </w:p>
    <w:p w14:paraId="68AB0A1B" w14:textId="77777777" w:rsidR="007A2A8B" w:rsidRPr="0072165A" w:rsidRDefault="007A2A8B">
      <w:pPr>
        <w:pStyle w:val="Header"/>
        <w:pBdr>
          <w:bottom w:val="single" w:sz="12" w:space="1" w:color="auto"/>
        </w:pBdr>
        <w:tabs>
          <w:tab w:val="clear" w:pos="4153"/>
          <w:tab w:val="clear" w:pos="8306"/>
        </w:tabs>
        <w:rPr>
          <w:rFonts w:ascii="Arial" w:hAnsi="Arial" w:cs="Arial"/>
          <w:bCs/>
        </w:rPr>
      </w:pPr>
    </w:p>
    <w:p w14:paraId="04AFA623" w14:textId="77777777" w:rsidR="007A2A8B" w:rsidRPr="0072165A" w:rsidRDefault="007A2A8B">
      <w:pPr>
        <w:pStyle w:val="Header"/>
        <w:tabs>
          <w:tab w:val="clear" w:pos="4153"/>
          <w:tab w:val="clear" w:pos="8306"/>
        </w:tabs>
        <w:rPr>
          <w:bCs/>
        </w:rPr>
      </w:pPr>
    </w:p>
    <w:p w14:paraId="28684DA3" w14:textId="02A3C2F7" w:rsidR="00A155EE" w:rsidRDefault="00A155EE" w:rsidP="00A155EE">
      <w:pPr>
        <w:pStyle w:val="LongTitle"/>
        <w:spacing w:before="0" w:after="240"/>
        <w:jc w:val="left"/>
        <w:rPr>
          <w:color w:val="000000"/>
          <w:highlight w:val="yellow"/>
        </w:rPr>
      </w:pPr>
      <w:r>
        <w:rPr>
          <w:color w:val="000000"/>
        </w:rPr>
        <w:t>In June 2016, the ACT Government announced t</w:t>
      </w:r>
      <w:r w:rsidRPr="002675EF">
        <w:rPr>
          <w:color w:val="000000"/>
        </w:rPr>
        <w:t xml:space="preserve">he </w:t>
      </w:r>
      <w:r w:rsidRPr="003F5FDA">
        <w:rPr>
          <w:i/>
          <w:color w:val="000000"/>
        </w:rPr>
        <w:t>Improving the ACT Building Regulatory System</w:t>
      </w:r>
      <w:r w:rsidRPr="002675EF">
        <w:rPr>
          <w:color w:val="000000"/>
        </w:rPr>
        <w:t xml:space="preserve"> reforms. </w:t>
      </w:r>
      <w:hyperlink r:id="rId9" w:history="1">
        <w:r w:rsidR="00401C6F">
          <w:rPr>
            <w:rStyle w:val="Hyperlink"/>
            <w:rFonts w:eastAsiaTheme="majorEastAsia"/>
          </w:rPr>
          <w:t>https://www.planning.act.gov.au/build-buy-renovate/reviews-and-reforms/building-reforms</w:t>
        </w:r>
      </w:hyperlink>
      <w:r>
        <w:rPr>
          <w:color w:val="000000"/>
        </w:rPr>
        <w:t xml:space="preserve"> (link current at time of publication).</w:t>
      </w:r>
    </w:p>
    <w:p w14:paraId="53B4AE1C" w14:textId="09A80902" w:rsidR="004B5FA2" w:rsidRDefault="004B5FA2" w:rsidP="004B5FA2">
      <w:pPr>
        <w:autoSpaceDE w:val="0"/>
        <w:autoSpaceDN w:val="0"/>
        <w:adjustRightInd w:val="0"/>
        <w:ind w:right="-356"/>
      </w:pPr>
      <w:r>
        <w:t xml:space="preserve">Reform 4 is to develop new provisions in the </w:t>
      </w:r>
      <w:r w:rsidRPr="00401C6F">
        <w:rPr>
          <w:i/>
        </w:rPr>
        <w:t xml:space="preserve">Building Act </w:t>
      </w:r>
      <w:r w:rsidR="0082676F" w:rsidRPr="00401C6F">
        <w:rPr>
          <w:i/>
        </w:rPr>
        <w:t xml:space="preserve">2004 </w:t>
      </w:r>
      <w:r w:rsidR="0082676F">
        <w:t xml:space="preserve">(Building Act) </w:t>
      </w:r>
      <w:r>
        <w:t xml:space="preserve">outlining the functions of the </w:t>
      </w:r>
      <w:r w:rsidRPr="005D14A9">
        <w:t>certif</w:t>
      </w:r>
      <w:r w:rsidR="00552A74" w:rsidRPr="005D14A9">
        <w:t>ier,</w:t>
      </w:r>
      <w:r w:rsidRPr="005D14A9">
        <w:t xml:space="preserve"> the purpose</w:t>
      </w:r>
      <w:r>
        <w:t xml:space="preserve"> and scope of stage inspections, and supporting codes of practice. </w:t>
      </w:r>
    </w:p>
    <w:p w14:paraId="3194C227" w14:textId="77777777" w:rsidR="004B5FA2" w:rsidRDefault="004B5FA2" w:rsidP="004B5FA2">
      <w:pPr>
        <w:autoSpaceDE w:val="0"/>
        <w:autoSpaceDN w:val="0"/>
        <w:adjustRightInd w:val="0"/>
        <w:ind w:right="-356"/>
      </w:pPr>
    </w:p>
    <w:p w14:paraId="510FA5C5" w14:textId="73A4E3BC" w:rsidR="004B5FA2" w:rsidRDefault="004B5FA2" w:rsidP="004B5FA2">
      <w:pPr>
        <w:autoSpaceDE w:val="0"/>
        <w:autoSpaceDN w:val="0"/>
        <w:adjustRightInd w:val="0"/>
        <w:ind w:right="-356"/>
      </w:pPr>
      <w:r>
        <w:t xml:space="preserve">Codes of practice may be made under section 126A of the </w:t>
      </w:r>
      <w:r w:rsidRPr="004B5FA2">
        <w:rPr>
          <w:i/>
        </w:rPr>
        <w:t xml:space="preserve">Construction Occupations (Licensing) Act 2004 </w:t>
      </w:r>
      <w:r w:rsidR="006C78BD">
        <w:t xml:space="preserve">(COLA) </w:t>
      </w:r>
      <w:r>
        <w:t>and consist of a code, standard, rule, specification or provision relating to the construction occupation or occupation class, or a construction service, and may apply, adopt or incorporate a law or instrument, or a provision of a law or instrument, as in force from time to time. A breach of a code of practice under that Act, is an offence.</w:t>
      </w:r>
    </w:p>
    <w:p w14:paraId="0F16D9D0" w14:textId="77777777" w:rsidR="004B5FA2" w:rsidRDefault="004B5FA2" w:rsidP="004B5FA2">
      <w:pPr>
        <w:jc w:val="both"/>
      </w:pPr>
    </w:p>
    <w:p w14:paraId="6BF47C2C" w14:textId="53D3326B" w:rsidR="004B5FA2" w:rsidRPr="00570E04" w:rsidRDefault="004B5FA2" w:rsidP="004B5FA2">
      <w:pPr>
        <w:jc w:val="both"/>
      </w:pPr>
      <w:r w:rsidRPr="00570E04">
        <w:rPr>
          <w:lang w:eastAsia="en-AU"/>
        </w:rPr>
        <w:t>The</w:t>
      </w:r>
      <w:r>
        <w:rPr>
          <w:lang w:eastAsia="en-AU"/>
        </w:rPr>
        <w:t xml:space="preserve"> object of the</w:t>
      </w:r>
      <w:r w:rsidRPr="00570E04">
        <w:rPr>
          <w:lang w:eastAsia="en-AU"/>
        </w:rPr>
        <w:t xml:space="preserve"> </w:t>
      </w:r>
      <w:r w:rsidRPr="004B5FA2">
        <w:rPr>
          <w:i/>
          <w:lang w:eastAsia="en-AU"/>
        </w:rPr>
        <w:t>Construction Occupations (Licensing) Building Surveyors Code of Practice 2019</w:t>
      </w:r>
      <w:r>
        <w:rPr>
          <w:lang w:eastAsia="en-AU"/>
        </w:rPr>
        <w:t xml:space="preserve"> i</w:t>
      </w:r>
      <w:r w:rsidRPr="00570E04">
        <w:rPr>
          <w:lang w:eastAsia="en-AU"/>
        </w:rPr>
        <w:t xml:space="preserve">s to </w:t>
      </w:r>
      <w:r>
        <w:rPr>
          <w:lang w:eastAsia="en-AU"/>
        </w:rPr>
        <w:t xml:space="preserve">set out minimum standards of practice </w:t>
      </w:r>
      <w:r w:rsidRPr="00570E04">
        <w:rPr>
          <w:lang w:eastAsia="en-AU"/>
        </w:rPr>
        <w:t>for licensed build</w:t>
      </w:r>
      <w:r>
        <w:rPr>
          <w:lang w:eastAsia="en-AU"/>
        </w:rPr>
        <w:t>ing surveyors.</w:t>
      </w:r>
      <w:r>
        <w:t xml:space="preserve"> This includes </w:t>
      </w:r>
      <w:r>
        <w:rPr>
          <w:lang w:eastAsia="en-AU"/>
        </w:rPr>
        <w:t>specific requirements in relation to</w:t>
      </w:r>
      <w:r w:rsidRPr="00570E04">
        <w:rPr>
          <w:lang w:eastAsia="en-AU"/>
        </w:rPr>
        <w:t>—</w:t>
      </w:r>
    </w:p>
    <w:p w14:paraId="1D4C9B0C" w14:textId="77777777" w:rsidR="004B5FA2" w:rsidRPr="00570E04" w:rsidRDefault="004B5FA2" w:rsidP="004B5FA2">
      <w:pPr>
        <w:autoSpaceDE w:val="0"/>
        <w:autoSpaceDN w:val="0"/>
        <w:adjustRightInd w:val="0"/>
        <w:ind w:left="273" w:firstLine="720"/>
        <w:jc w:val="both"/>
        <w:rPr>
          <w:sz w:val="16"/>
          <w:szCs w:val="16"/>
          <w:lang w:eastAsia="en-AU"/>
        </w:rPr>
      </w:pPr>
    </w:p>
    <w:p w14:paraId="1EE4E6F7" w14:textId="77777777" w:rsidR="004B5FA2" w:rsidRPr="00570E04" w:rsidRDefault="004B5FA2" w:rsidP="004B5FA2">
      <w:pPr>
        <w:numPr>
          <w:ilvl w:val="0"/>
          <w:numId w:val="19"/>
        </w:numPr>
        <w:tabs>
          <w:tab w:val="clear" w:pos="1578"/>
          <w:tab w:val="num" w:pos="1701"/>
        </w:tabs>
        <w:ind w:left="1701" w:hanging="567"/>
        <w:jc w:val="both"/>
        <w:rPr>
          <w:lang w:eastAsia="en-AU"/>
        </w:rPr>
      </w:pPr>
      <w:r w:rsidRPr="00570E04">
        <w:rPr>
          <w:lang w:eastAsia="en-AU"/>
        </w:rPr>
        <w:t xml:space="preserve">building certification </w:t>
      </w:r>
      <w:r>
        <w:rPr>
          <w:lang w:eastAsia="en-AU"/>
        </w:rPr>
        <w:t>services</w:t>
      </w:r>
      <w:r w:rsidRPr="00570E04">
        <w:rPr>
          <w:lang w:eastAsia="en-AU"/>
        </w:rPr>
        <w:t xml:space="preserve">; </w:t>
      </w:r>
    </w:p>
    <w:p w14:paraId="4E7D4FC5" w14:textId="77777777" w:rsidR="004B5FA2" w:rsidRPr="00570E04" w:rsidRDefault="004B5FA2" w:rsidP="004B5FA2">
      <w:pPr>
        <w:tabs>
          <w:tab w:val="num" w:pos="1701"/>
        </w:tabs>
        <w:ind w:left="1701" w:hanging="567"/>
        <w:jc w:val="both"/>
        <w:rPr>
          <w:sz w:val="16"/>
          <w:szCs w:val="16"/>
          <w:lang w:eastAsia="en-AU"/>
        </w:rPr>
      </w:pPr>
    </w:p>
    <w:p w14:paraId="386A21B1" w14:textId="77777777" w:rsidR="004B5FA2" w:rsidRDefault="004B5FA2" w:rsidP="004B5FA2">
      <w:pPr>
        <w:numPr>
          <w:ilvl w:val="0"/>
          <w:numId w:val="19"/>
        </w:numPr>
        <w:tabs>
          <w:tab w:val="clear" w:pos="1578"/>
          <w:tab w:val="num" w:pos="1701"/>
        </w:tabs>
        <w:ind w:left="1701" w:hanging="567"/>
        <w:jc w:val="both"/>
        <w:rPr>
          <w:lang w:eastAsia="en-AU"/>
        </w:rPr>
      </w:pPr>
      <w:r w:rsidRPr="007C71E4">
        <w:rPr>
          <w:lang w:eastAsia="en-AU"/>
        </w:rPr>
        <w:t>exemption assessment services; and</w:t>
      </w:r>
    </w:p>
    <w:p w14:paraId="5A9B5712" w14:textId="77777777" w:rsidR="004B5FA2" w:rsidRDefault="004B5FA2" w:rsidP="004B5FA2">
      <w:pPr>
        <w:pStyle w:val="ListParagraph"/>
        <w:rPr>
          <w:lang w:eastAsia="en-AU"/>
        </w:rPr>
      </w:pPr>
    </w:p>
    <w:p w14:paraId="14682A3A" w14:textId="77777777" w:rsidR="004B5FA2" w:rsidRPr="008E3A1E" w:rsidRDefault="004B5FA2" w:rsidP="004B5FA2">
      <w:pPr>
        <w:numPr>
          <w:ilvl w:val="0"/>
          <w:numId w:val="19"/>
        </w:numPr>
        <w:tabs>
          <w:tab w:val="clear" w:pos="1578"/>
          <w:tab w:val="num" w:pos="1701"/>
        </w:tabs>
        <w:ind w:left="1701" w:hanging="567"/>
        <w:jc w:val="both"/>
        <w:rPr>
          <w:lang w:eastAsia="en-AU"/>
        </w:rPr>
      </w:pPr>
      <w:r w:rsidRPr="008E3A1E">
        <w:rPr>
          <w:lang w:eastAsia="en-AU"/>
        </w:rPr>
        <w:t xml:space="preserve">advice and other services that may be provided by a licensed building surveyor in relation to a service in (a) or (b). </w:t>
      </w:r>
    </w:p>
    <w:p w14:paraId="7B28C0FE" w14:textId="77777777" w:rsidR="004B5FA2" w:rsidRPr="00570E04" w:rsidRDefault="004B5FA2" w:rsidP="004B5FA2">
      <w:pPr>
        <w:autoSpaceDE w:val="0"/>
        <w:autoSpaceDN w:val="0"/>
        <w:adjustRightInd w:val="0"/>
        <w:ind w:left="273" w:firstLine="720"/>
        <w:jc w:val="both"/>
        <w:rPr>
          <w:sz w:val="20"/>
          <w:lang w:eastAsia="en-AU"/>
        </w:rPr>
      </w:pPr>
    </w:p>
    <w:p w14:paraId="61B753C8" w14:textId="3E5B81D7" w:rsidR="004B5FA2" w:rsidRPr="004B5FA2" w:rsidRDefault="004B5FA2" w:rsidP="004B5FA2">
      <w:pPr>
        <w:autoSpaceDE w:val="0"/>
        <w:autoSpaceDN w:val="0"/>
        <w:adjustRightInd w:val="0"/>
        <w:jc w:val="both"/>
        <w:rPr>
          <w:rStyle w:val="charItals"/>
          <w:i w:val="0"/>
          <w:lang w:eastAsia="en-AU"/>
        </w:rPr>
      </w:pPr>
      <w:r w:rsidRPr="004B5FA2">
        <w:rPr>
          <w:lang w:eastAsia="en-AU"/>
        </w:rPr>
        <w:t xml:space="preserve">The code does not include practice requirements for works assessments services that may be provided by a licensed building surveyor. </w:t>
      </w:r>
      <w:r w:rsidRPr="004B5FA2">
        <w:rPr>
          <w:rStyle w:val="charItals"/>
          <w:i w:val="0"/>
        </w:rPr>
        <w:t xml:space="preserve">Codes of practice relating to works assessment services can be found at </w:t>
      </w:r>
      <w:hyperlink r:id="rId10" w:history="1">
        <w:r w:rsidRPr="004B5FA2">
          <w:rPr>
            <w:rStyle w:val="Hyperlink"/>
          </w:rPr>
          <w:t>https://www.legislation.act.gov.au/a/2004-12/</w:t>
        </w:r>
      </w:hyperlink>
      <w:r w:rsidRPr="004B5FA2">
        <w:rPr>
          <w:rStyle w:val="charItals"/>
          <w:i w:val="0"/>
        </w:rPr>
        <w:t xml:space="preserve"> under the Regulations &amp; Instruments tab.</w:t>
      </w:r>
    </w:p>
    <w:p w14:paraId="5115FE24" w14:textId="77777777" w:rsidR="004B5FA2" w:rsidRPr="004B5FA2" w:rsidRDefault="004B5FA2" w:rsidP="004B5FA2">
      <w:pPr>
        <w:autoSpaceDE w:val="0"/>
        <w:autoSpaceDN w:val="0"/>
        <w:adjustRightInd w:val="0"/>
        <w:ind w:left="1134"/>
        <w:jc w:val="both"/>
        <w:rPr>
          <w:lang w:eastAsia="en-AU"/>
        </w:rPr>
      </w:pPr>
    </w:p>
    <w:p w14:paraId="644341A5" w14:textId="37A36D57" w:rsidR="004B5FA2" w:rsidRDefault="004B5FA2" w:rsidP="004B5FA2">
      <w:pPr>
        <w:autoSpaceDE w:val="0"/>
        <w:autoSpaceDN w:val="0"/>
        <w:adjustRightInd w:val="0"/>
        <w:jc w:val="both"/>
        <w:rPr>
          <w:lang w:eastAsia="en-AU"/>
        </w:rPr>
      </w:pPr>
      <w:r>
        <w:rPr>
          <w:lang w:eastAsia="en-AU"/>
        </w:rPr>
        <w:t xml:space="preserve">The code also informs land owners engaging the services of a building surveyor, and the community, about the standards of practice </w:t>
      </w:r>
      <w:r w:rsidR="00552A74">
        <w:rPr>
          <w:lang w:eastAsia="en-AU"/>
        </w:rPr>
        <w:t xml:space="preserve">to be </w:t>
      </w:r>
      <w:r>
        <w:rPr>
          <w:lang w:eastAsia="en-AU"/>
        </w:rPr>
        <w:t>expected from a building surveyor.</w:t>
      </w:r>
    </w:p>
    <w:p w14:paraId="53C386CA" w14:textId="033A549A" w:rsidR="004B5FA2" w:rsidRPr="00570E04" w:rsidRDefault="004B5FA2" w:rsidP="004B5FA2">
      <w:pPr>
        <w:autoSpaceDE w:val="0"/>
        <w:autoSpaceDN w:val="0"/>
        <w:adjustRightInd w:val="0"/>
        <w:jc w:val="both"/>
        <w:rPr>
          <w:lang w:eastAsia="en-AU"/>
        </w:rPr>
      </w:pPr>
      <w:r>
        <w:rPr>
          <w:lang w:eastAsia="en-AU"/>
        </w:rPr>
        <w:lastRenderedPageBreak/>
        <w:t xml:space="preserve"> </w:t>
      </w:r>
    </w:p>
    <w:p w14:paraId="6E45A92C" w14:textId="30ADEA6B" w:rsidR="00DB7942" w:rsidRPr="00F6336F" w:rsidRDefault="00F51AF3" w:rsidP="003A396F">
      <w:pPr>
        <w:autoSpaceDE w:val="0"/>
        <w:autoSpaceDN w:val="0"/>
        <w:adjustRightInd w:val="0"/>
        <w:ind w:right="-356"/>
        <w:rPr>
          <w:b/>
        </w:rPr>
      </w:pPr>
      <w:r>
        <w:rPr>
          <w:b/>
        </w:rPr>
        <w:t>Disapplication of Legislation Act 2001, section 47(3)</w:t>
      </w:r>
    </w:p>
    <w:p w14:paraId="519203CF" w14:textId="60052515" w:rsidR="00BA68F2" w:rsidRDefault="00F51AF3" w:rsidP="00F51AF3">
      <w:pPr>
        <w:autoSpaceDE w:val="0"/>
        <w:autoSpaceDN w:val="0"/>
        <w:adjustRightInd w:val="0"/>
        <w:ind w:right="-356"/>
      </w:pPr>
      <w:r w:rsidRPr="00F51AF3">
        <w:t>The</w:t>
      </w:r>
      <w:r>
        <w:t xml:space="preserve"> instrument applies, adopts or incorporates the Australian Standards or other instruments into the code of practice. Section 47(3) of the </w:t>
      </w:r>
      <w:r>
        <w:rPr>
          <w:i/>
        </w:rPr>
        <w:t>Legislation Act 2001</w:t>
      </w:r>
      <w:r>
        <w:t xml:space="preserve"> (Legislation Act) does not apply to the Australian Standards or other instruments applied, adopted or incorporated into the code of practice, meaning that they are not required to be notifiable instruments and published on the Legislation Register.</w:t>
      </w:r>
    </w:p>
    <w:p w14:paraId="129D5324" w14:textId="77777777" w:rsidR="00BA68F2" w:rsidRDefault="00BA68F2" w:rsidP="003A396F">
      <w:pPr>
        <w:autoSpaceDE w:val="0"/>
        <w:autoSpaceDN w:val="0"/>
        <w:adjustRightInd w:val="0"/>
        <w:ind w:right="-356"/>
      </w:pPr>
    </w:p>
    <w:p w14:paraId="2595DF90" w14:textId="6104F9E0" w:rsidR="00BA68F2" w:rsidRDefault="00BA68F2" w:rsidP="00BA68F2">
      <w:pPr>
        <w:autoSpaceDE w:val="0"/>
        <w:autoSpaceDN w:val="0"/>
        <w:adjustRightInd w:val="0"/>
        <w:ind w:right="-356"/>
      </w:pPr>
      <w:r>
        <w:t>Section 126A (4) of COLA provides that the Legislation Act, section</w:t>
      </w:r>
      <w:r w:rsidR="008836A6">
        <w:t>s</w:t>
      </w:r>
      <w:r>
        <w:t xml:space="preserve"> 47 (5) or (6) do not apply in relation to a law or instrument referred to, incorporated or adopted in an approved code of practice</w:t>
      </w:r>
      <w:r w:rsidR="008836A6">
        <w:t>, and are therefore not required to be notifiable instruments registered on the Legislation Register</w:t>
      </w:r>
      <w:r>
        <w:t xml:space="preserve">. </w:t>
      </w:r>
    </w:p>
    <w:p w14:paraId="097BE8F7" w14:textId="77777777" w:rsidR="004B5FA2" w:rsidRDefault="004B5FA2" w:rsidP="003A396F">
      <w:pPr>
        <w:autoSpaceDE w:val="0"/>
        <w:autoSpaceDN w:val="0"/>
        <w:adjustRightInd w:val="0"/>
        <w:ind w:right="-356"/>
      </w:pPr>
    </w:p>
    <w:p w14:paraId="0177F480" w14:textId="19EEA24E" w:rsidR="00192F90" w:rsidRDefault="00654E91" w:rsidP="003A396F">
      <w:pPr>
        <w:autoSpaceDE w:val="0"/>
        <w:autoSpaceDN w:val="0"/>
        <w:adjustRightInd w:val="0"/>
        <w:ind w:right="-356"/>
      </w:pPr>
      <w:r>
        <w:t>C</w:t>
      </w:r>
      <w:r w:rsidR="00192F90">
        <w:t xml:space="preserve">opyright </w:t>
      </w:r>
      <w:r>
        <w:t xml:space="preserve">to the </w:t>
      </w:r>
      <w:r w:rsidR="000D4008">
        <w:t>Building Code of Australia (</w:t>
      </w:r>
      <w:r>
        <w:t>BCA</w:t>
      </w:r>
      <w:r w:rsidR="000D4008">
        <w:t>)</w:t>
      </w:r>
      <w:r>
        <w:t xml:space="preserve"> is collectively owned by the Australian Government and the states and territories. The arrangement between jurisdictions is that the BCA will be published on behalf of the jurisdictions in a single place by the Australian Building Codes Board (ABCB). It would not be appropriate </w:t>
      </w:r>
      <w:r w:rsidR="00192F90">
        <w:t xml:space="preserve">to publicly notify the code on an ACT Government website. Section </w:t>
      </w:r>
      <w:r w:rsidR="00D60846">
        <w:t>6</w:t>
      </w:r>
      <w:r w:rsidR="00192F90">
        <w:t xml:space="preserve"> of the instrument provides for alternative access to the BCA as it is not being notified on the Legislation Register.</w:t>
      </w:r>
    </w:p>
    <w:p w14:paraId="71EB7B2F" w14:textId="77777777" w:rsidR="00DB7942" w:rsidRDefault="00DB7942" w:rsidP="003A396F">
      <w:pPr>
        <w:autoSpaceDE w:val="0"/>
        <w:autoSpaceDN w:val="0"/>
        <w:adjustRightInd w:val="0"/>
        <w:ind w:right="-356"/>
      </w:pPr>
    </w:p>
    <w:p w14:paraId="5C4DB871" w14:textId="1ED3FB9E" w:rsidR="00DB7942" w:rsidRDefault="00DB7942" w:rsidP="003A396F">
      <w:pPr>
        <w:autoSpaceDE w:val="0"/>
        <w:autoSpaceDN w:val="0"/>
        <w:adjustRightInd w:val="0"/>
        <w:ind w:right="-356"/>
      </w:pPr>
      <w:r>
        <w:t xml:space="preserve">The </w:t>
      </w:r>
      <w:r w:rsidR="00D60846">
        <w:t>code</w:t>
      </w:r>
      <w:r>
        <w:t xml:space="preserve"> also makes </w:t>
      </w:r>
      <w:r w:rsidR="00D60846">
        <w:t xml:space="preserve">general </w:t>
      </w:r>
      <w:r>
        <w:t xml:space="preserve">reference to Australian Standards already adopted under the BCA. Australian Standards are subject to copyright, and cannot be republished by the ACT Government. Adopted standards are available for inspection at the </w:t>
      </w:r>
      <w:r w:rsidRPr="007F0E1F">
        <w:t>ACT Environment</w:t>
      </w:r>
      <w:r>
        <w:t>, Planning</w:t>
      </w:r>
      <w:r w:rsidRPr="007F0E1F">
        <w:t xml:space="preserve"> and Sustainable Development Directorate shopfront</w:t>
      </w:r>
      <w:r>
        <w:t xml:space="preserve"> during business hours and can be purchased at www.standards.org.au. </w:t>
      </w:r>
    </w:p>
    <w:p w14:paraId="2CA9B3C6" w14:textId="77777777" w:rsidR="00470AC0" w:rsidRDefault="00470AC0" w:rsidP="003A396F">
      <w:pPr>
        <w:autoSpaceDE w:val="0"/>
        <w:autoSpaceDN w:val="0"/>
        <w:adjustRightInd w:val="0"/>
        <w:ind w:right="-356"/>
      </w:pPr>
    </w:p>
    <w:p w14:paraId="463A7326" w14:textId="77777777" w:rsidR="00470AC0" w:rsidRDefault="00470AC0" w:rsidP="003A396F">
      <w:pPr>
        <w:autoSpaceDE w:val="0"/>
        <w:autoSpaceDN w:val="0"/>
        <w:adjustRightInd w:val="0"/>
        <w:ind w:right="-356"/>
      </w:pPr>
      <w:r>
        <w:t xml:space="preserve">The breadth of subjects and the level of expertise required to develop standards means that not all standards are developed by governments or to be </w:t>
      </w:r>
      <w:r w:rsidR="007B45A6">
        <w:t xml:space="preserve">provided </w:t>
      </w:r>
      <w:r>
        <w:t xml:space="preserve">available without cost. Adoption of </w:t>
      </w:r>
      <w:r w:rsidR="007B45A6">
        <w:t>technical s</w:t>
      </w:r>
      <w:r>
        <w:t xml:space="preserve">tandards is important to the effective functioning of </w:t>
      </w:r>
      <w:r w:rsidR="007B45A6">
        <w:t>building regulation</w:t>
      </w:r>
      <w:r>
        <w:t>.</w:t>
      </w:r>
      <w:r w:rsidR="007B45A6">
        <w:t xml:space="preserve"> Where it is not possible to publish a standard, the instrument and schedule provide information on where to access standards. </w:t>
      </w:r>
    </w:p>
    <w:p w14:paraId="4B6065D3" w14:textId="77777777" w:rsidR="00DB7942" w:rsidRDefault="00DB7942" w:rsidP="003A396F">
      <w:pPr>
        <w:autoSpaceDE w:val="0"/>
        <w:autoSpaceDN w:val="0"/>
        <w:adjustRightInd w:val="0"/>
        <w:ind w:right="-356"/>
      </w:pPr>
    </w:p>
    <w:p w14:paraId="49FE256F" w14:textId="77777777" w:rsidR="004F5844" w:rsidRDefault="004F5844" w:rsidP="00B2532B">
      <w:pPr>
        <w:keepNext/>
        <w:autoSpaceDE w:val="0"/>
        <w:autoSpaceDN w:val="0"/>
        <w:adjustRightInd w:val="0"/>
        <w:spacing w:after="160"/>
        <w:rPr>
          <w:b/>
          <w:lang w:eastAsia="en-AU"/>
        </w:rPr>
      </w:pPr>
      <w:r>
        <w:rPr>
          <w:b/>
          <w:lang w:eastAsia="en-AU"/>
        </w:rPr>
        <w:t>Regulatory Impact Statement (RIS)</w:t>
      </w:r>
    </w:p>
    <w:p w14:paraId="35EEF4BB" w14:textId="77777777" w:rsidR="004F5844" w:rsidRDefault="004F5844" w:rsidP="003A396F">
      <w:pPr>
        <w:autoSpaceDE w:val="0"/>
        <w:autoSpaceDN w:val="0"/>
        <w:adjustRightInd w:val="0"/>
        <w:spacing w:after="240"/>
        <w:ind w:right="-334"/>
        <w:rPr>
          <w:lang w:eastAsia="en-AU"/>
        </w:rPr>
      </w:pPr>
      <w:r>
        <w:rPr>
          <w:lang w:eastAsia="en-AU"/>
        </w:rPr>
        <w:t xml:space="preserve">Section 34 of the </w:t>
      </w:r>
      <w:r w:rsidRPr="004F6272">
        <w:rPr>
          <w:i/>
          <w:lang w:eastAsia="en-AU"/>
        </w:rPr>
        <w:t>Legislation Act 2001</w:t>
      </w:r>
      <w:r>
        <w:rPr>
          <w:lang w:eastAsia="en-AU"/>
        </w:rPr>
        <w:t xml:space="preserve"> provides that if a proposed subordinate law or disallowable instrument (the proposed law) is likely to impose appreciable costs on the community, or a part of the community, then, before the proposed law is made, the Minister administering the authorising law (the administering Minister) must arrange for a regulatory impact statement to be prepared for the proposed law.</w:t>
      </w:r>
    </w:p>
    <w:p w14:paraId="61A1919A" w14:textId="0DA004A4" w:rsidR="00B4259E" w:rsidRPr="00B4259E" w:rsidRDefault="0062297D" w:rsidP="00B4259E">
      <w:pPr>
        <w:autoSpaceDE w:val="0"/>
        <w:autoSpaceDN w:val="0"/>
        <w:adjustRightInd w:val="0"/>
        <w:spacing w:after="240"/>
        <w:ind w:right="-334"/>
        <w:rPr>
          <w:lang w:eastAsia="en-AU"/>
        </w:rPr>
      </w:pPr>
      <w:r>
        <w:rPr>
          <w:lang w:eastAsia="en-AU"/>
        </w:rPr>
        <w:t xml:space="preserve">A RIS is not required for this instrument as the provisions of the </w:t>
      </w:r>
      <w:r w:rsidR="00D60846">
        <w:rPr>
          <w:lang w:eastAsia="en-AU"/>
        </w:rPr>
        <w:t>code</w:t>
      </w:r>
      <w:r w:rsidR="000D4008">
        <w:rPr>
          <w:lang w:eastAsia="en-AU"/>
        </w:rPr>
        <w:t xml:space="preserve"> </w:t>
      </w:r>
      <w:r>
        <w:rPr>
          <w:lang w:eastAsia="en-AU"/>
        </w:rPr>
        <w:t>are not expected to impose appreciable costs on the community</w:t>
      </w:r>
      <w:r w:rsidR="005D14A9">
        <w:rPr>
          <w:lang w:eastAsia="en-AU"/>
        </w:rPr>
        <w:t>,</w:t>
      </w:r>
      <w:r>
        <w:rPr>
          <w:lang w:eastAsia="en-AU"/>
        </w:rPr>
        <w:t xml:space="preserve"> or part of the community.</w:t>
      </w:r>
      <w:r w:rsidR="00D60846">
        <w:rPr>
          <w:lang w:eastAsia="en-AU"/>
        </w:rPr>
        <w:t xml:space="preserve"> The document provides for administrative requirements and standards for carrying out stage inspections that are</w:t>
      </w:r>
      <w:r w:rsidR="00552A74">
        <w:rPr>
          <w:lang w:eastAsia="en-AU"/>
        </w:rPr>
        <w:t xml:space="preserve"> in general</w:t>
      </w:r>
      <w:r w:rsidR="00D60846">
        <w:rPr>
          <w:lang w:eastAsia="en-AU"/>
        </w:rPr>
        <w:t xml:space="preserve"> already adhered to by</w:t>
      </w:r>
      <w:r w:rsidR="00552A74">
        <w:rPr>
          <w:lang w:eastAsia="en-AU"/>
        </w:rPr>
        <w:t xml:space="preserve"> </w:t>
      </w:r>
      <w:r w:rsidR="00D60846">
        <w:rPr>
          <w:lang w:eastAsia="en-AU"/>
        </w:rPr>
        <w:t>building surveyors</w:t>
      </w:r>
      <w:r w:rsidR="00E34F98">
        <w:rPr>
          <w:lang w:eastAsia="en-AU"/>
        </w:rPr>
        <w:t xml:space="preserve">. </w:t>
      </w:r>
      <w:r w:rsidR="00B4259E">
        <w:rPr>
          <w:lang w:eastAsia="en-AU"/>
        </w:rPr>
        <w:t xml:space="preserve">As such, the </w:t>
      </w:r>
      <w:r w:rsidR="00552A74">
        <w:rPr>
          <w:lang w:eastAsia="en-AU"/>
        </w:rPr>
        <w:t>code</w:t>
      </w:r>
      <w:r w:rsidR="00B4259E">
        <w:rPr>
          <w:lang w:eastAsia="en-AU"/>
        </w:rPr>
        <w:t xml:space="preserve"> does not fundamentally affect the law’s application or operation. </w:t>
      </w:r>
      <w:r w:rsidR="005D14A9">
        <w:rPr>
          <w:lang w:eastAsia="en-AU"/>
        </w:rPr>
        <w:t xml:space="preserve">If there are </w:t>
      </w:r>
      <w:r w:rsidR="00D60846">
        <w:rPr>
          <w:lang w:eastAsia="en-AU"/>
        </w:rPr>
        <w:t>additional costs of complying</w:t>
      </w:r>
      <w:r w:rsidR="006018F6">
        <w:rPr>
          <w:lang w:eastAsia="en-AU"/>
        </w:rPr>
        <w:t>,</w:t>
      </w:r>
      <w:r w:rsidR="00D60846">
        <w:rPr>
          <w:lang w:eastAsia="en-AU"/>
        </w:rPr>
        <w:t xml:space="preserve"> for the majority of building surveyors</w:t>
      </w:r>
      <w:r w:rsidR="005D14A9">
        <w:rPr>
          <w:lang w:eastAsia="en-AU"/>
        </w:rPr>
        <w:t xml:space="preserve">, they are expected to </w:t>
      </w:r>
      <w:r w:rsidR="00D60846">
        <w:rPr>
          <w:lang w:eastAsia="en-AU"/>
        </w:rPr>
        <w:t xml:space="preserve">be </w:t>
      </w:r>
      <w:r w:rsidR="00552A74">
        <w:rPr>
          <w:lang w:eastAsia="en-AU"/>
        </w:rPr>
        <w:t>negligible</w:t>
      </w:r>
      <w:r w:rsidR="00D60846">
        <w:rPr>
          <w:lang w:eastAsia="en-AU"/>
        </w:rPr>
        <w:t xml:space="preserve">. </w:t>
      </w:r>
      <w:r w:rsidR="000D4008">
        <w:rPr>
          <w:lang w:eastAsia="en-AU"/>
        </w:rPr>
        <w:t xml:space="preserve"> </w:t>
      </w:r>
      <w:r w:rsidR="00B4259E" w:rsidRPr="00B4259E">
        <w:rPr>
          <w:lang w:eastAsia="en-AU"/>
        </w:rPr>
        <w:t xml:space="preserve">   </w:t>
      </w:r>
    </w:p>
    <w:p w14:paraId="2E9CC270" w14:textId="77777777" w:rsidR="004F5844" w:rsidRDefault="004F5844" w:rsidP="00B2532B">
      <w:pPr>
        <w:keepNext/>
        <w:autoSpaceDE w:val="0"/>
        <w:autoSpaceDN w:val="0"/>
        <w:adjustRightInd w:val="0"/>
        <w:spacing w:after="160"/>
        <w:rPr>
          <w:b/>
          <w:color w:val="000000"/>
        </w:rPr>
      </w:pPr>
      <w:r>
        <w:rPr>
          <w:b/>
          <w:color w:val="000000"/>
        </w:rPr>
        <w:t>Human Rights</w:t>
      </w:r>
    </w:p>
    <w:p w14:paraId="4EDC20F2" w14:textId="767A8143" w:rsidR="00304573" w:rsidRDefault="004F5844" w:rsidP="003A396F">
      <w:pPr>
        <w:pStyle w:val="Header"/>
        <w:tabs>
          <w:tab w:val="left" w:pos="720"/>
        </w:tabs>
        <w:spacing w:after="240"/>
      </w:pPr>
      <w:r>
        <w:t xml:space="preserve">The Standing Committee on Justice and Community Safety (Legislative Scrutiny </w:t>
      </w:r>
      <w:r>
        <w:lastRenderedPageBreak/>
        <w:t xml:space="preserve">Role) terms of reference require consideration of human rights impacts, among other matters. There are no human rights impacts related to this instrument. </w:t>
      </w:r>
      <w:r w:rsidR="00304573">
        <w:t xml:space="preserve">It provides for </w:t>
      </w:r>
      <w:r w:rsidR="006018F6">
        <w:t>practice requirements for licensed building surveyors</w:t>
      </w:r>
      <w:r w:rsidR="00304573">
        <w:t xml:space="preserve"> that do not impact on human rights. </w:t>
      </w:r>
    </w:p>
    <w:p w14:paraId="17AA056C" w14:textId="77777777" w:rsidR="004F5844" w:rsidRDefault="004F5844" w:rsidP="00B2532B">
      <w:pPr>
        <w:rPr>
          <w:rFonts w:ascii="Arial" w:hAnsi="Arial" w:cs="Arial"/>
          <w:b/>
          <w:iCs/>
        </w:rPr>
      </w:pPr>
      <w:r>
        <w:rPr>
          <w:rFonts w:ascii="Arial" w:hAnsi="Arial" w:cs="Arial"/>
          <w:b/>
          <w:iCs/>
        </w:rPr>
        <w:t>Provisions of the determination</w:t>
      </w:r>
    </w:p>
    <w:p w14:paraId="709EBE33" w14:textId="77777777" w:rsidR="004F5844" w:rsidRDefault="004F5844" w:rsidP="003A396F">
      <w:pPr>
        <w:autoSpaceDE w:val="0"/>
        <w:autoSpaceDN w:val="0"/>
        <w:adjustRightInd w:val="0"/>
        <w:ind w:right="-356"/>
      </w:pPr>
    </w:p>
    <w:p w14:paraId="14F38CB0" w14:textId="406C8406" w:rsidR="004F5844" w:rsidRDefault="004F5844" w:rsidP="003A396F">
      <w:pPr>
        <w:rPr>
          <w:bCs/>
          <w:i/>
          <w:iCs/>
        </w:rPr>
      </w:pPr>
      <w:r>
        <w:rPr>
          <w:b/>
          <w:bCs/>
          <w:iCs/>
        </w:rPr>
        <w:t>Section 1</w:t>
      </w:r>
      <w:r>
        <w:rPr>
          <w:b/>
          <w:bCs/>
          <w:i/>
          <w:iCs/>
        </w:rPr>
        <w:t xml:space="preserve"> </w:t>
      </w:r>
      <w:r>
        <w:rPr>
          <w:bCs/>
          <w:iCs/>
        </w:rPr>
        <w:t xml:space="preserve">names the </w:t>
      </w:r>
      <w:r w:rsidR="006018F6">
        <w:rPr>
          <w:bCs/>
          <w:iCs/>
        </w:rPr>
        <w:t>instrument</w:t>
      </w:r>
      <w:r>
        <w:rPr>
          <w:bCs/>
          <w:iCs/>
        </w:rPr>
        <w:t xml:space="preserve"> as the</w:t>
      </w:r>
      <w:r>
        <w:t xml:space="preserve"> </w:t>
      </w:r>
      <w:r w:rsidR="006018F6" w:rsidRPr="006018F6">
        <w:rPr>
          <w:i/>
        </w:rPr>
        <w:t>Construction Occupations (Licensing) Building Surveyors Code of Practice 2019</w:t>
      </w:r>
      <w:r>
        <w:rPr>
          <w:bCs/>
          <w:iCs/>
        </w:rPr>
        <w:t>.</w:t>
      </w:r>
    </w:p>
    <w:p w14:paraId="5E68ED9D" w14:textId="77777777" w:rsidR="004F5844" w:rsidRDefault="004F5844" w:rsidP="003A396F">
      <w:pPr>
        <w:rPr>
          <w:b/>
          <w:bCs/>
          <w:i/>
          <w:iCs/>
        </w:rPr>
      </w:pPr>
    </w:p>
    <w:p w14:paraId="7A708A48" w14:textId="17B0B608" w:rsidR="004F5844" w:rsidRDefault="004F5844" w:rsidP="003A396F">
      <w:r>
        <w:rPr>
          <w:b/>
          <w:bCs/>
          <w:iCs/>
        </w:rPr>
        <w:t>Section</w:t>
      </w:r>
      <w:r>
        <w:rPr>
          <w:b/>
          <w:bCs/>
          <w:i/>
          <w:iCs/>
        </w:rPr>
        <w:t xml:space="preserve"> </w:t>
      </w:r>
      <w:r>
        <w:rPr>
          <w:b/>
          <w:bCs/>
          <w:iCs/>
        </w:rPr>
        <w:t>2</w:t>
      </w:r>
      <w:r>
        <w:rPr>
          <w:b/>
          <w:bCs/>
          <w:i/>
          <w:iCs/>
        </w:rPr>
        <w:t xml:space="preserve"> </w:t>
      </w:r>
      <w:r>
        <w:rPr>
          <w:bCs/>
          <w:iCs/>
        </w:rPr>
        <w:t>provides that the</w:t>
      </w:r>
      <w:r>
        <w:rPr>
          <w:b/>
          <w:bCs/>
          <w:i/>
          <w:iCs/>
        </w:rPr>
        <w:t xml:space="preserve"> </w:t>
      </w:r>
      <w:r w:rsidR="00AA4F83">
        <w:rPr>
          <w:bCs/>
          <w:iCs/>
        </w:rPr>
        <w:t xml:space="preserve">instrument </w:t>
      </w:r>
      <w:r>
        <w:rPr>
          <w:bCs/>
          <w:iCs/>
        </w:rPr>
        <w:t xml:space="preserve">commences on </w:t>
      </w:r>
      <w:r w:rsidR="000D4008">
        <w:rPr>
          <w:bCs/>
          <w:iCs/>
        </w:rPr>
        <w:t>1 September 2019</w:t>
      </w:r>
      <w:r>
        <w:t xml:space="preserve">.   </w:t>
      </w:r>
    </w:p>
    <w:p w14:paraId="4A75DBB9" w14:textId="77777777" w:rsidR="004F5844" w:rsidRDefault="004F5844" w:rsidP="003A396F"/>
    <w:p w14:paraId="267B33E2" w14:textId="5A572E90" w:rsidR="004F5844" w:rsidRDefault="004F5844" w:rsidP="003A396F">
      <w:r>
        <w:rPr>
          <w:b/>
          <w:bCs/>
          <w:iCs/>
        </w:rPr>
        <w:t>Section 3</w:t>
      </w:r>
      <w:r>
        <w:t xml:space="preserve"> mak</w:t>
      </w:r>
      <w:r w:rsidR="000D4008">
        <w:t xml:space="preserve">es Schedule 1 to the instrument, the </w:t>
      </w:r>
      <w:r w:rsidR="00B124D4" w:rsidRPr="00B124D4">
        <w:t>Building Surveyors Code of Practice 2019</w:t>
      </w:r>
      <w:r w:rsidR="000D4008">
        <w:t>, as a</w:t>
      </w:r>
      <w:r>
        <w:t xml:space="preserve"> </w:t>
      </w:r>
      <w:r w:rsidR="00B124D4">
        <w:t>code of practice</w:t>
      </w:r>
      <w:r w:rsidR="000D4008">
        <w:t xml:space="preserve"> under the </w:t>
      </w:r>
      <w:r w:rsidR="00B124D4" w:rsidRPr="00401C6F">
        <w:rPr>
          <w:i/>
        </w:rPr>
        <w:t>Construction (Occupations) Licensing Act</w:t>
      </w:r>
      <w:r w:rsidR="00BA68F2" w:rsidRPr="00401C6F">
        <w:rPr>
          <w:i/>
        </w:rPr>
        <w:t xml:space="preserve"> 2004</w:t>
      </w:r>
      <w:r w:rsidR="000D4008">
        <w:t>.</w:t>
      </w:r>
      <w:r>
        <w:t xml:space="preserve">  </w:t>
      </w:r>
    </w:p>
    <w:p w14:paraId="5F821940" w14:textId="77777777" w:rsidR="004F5844" w:rsidRDefault="004F5844" w:rsidP="003A396F">
      <w:pPr>
        <w:autoSpaceDE w:val="0"/>
        <w:autoSpaceDN w:val="0"/>
        <w:adjustRightInd w:val="0"/>
      </w:pPr>
    </w:p>
    <w:p w14:paraId="1D0F9647" w14:textId="28DD79D0" w:rsidR="004F5844" w:rsidRDefault="004F5844" w:rsidP="003A396F">
      <w:pPr>
        <w:autoSpaceDE w:val="0"/>
        <w:autoSpaceDN w:val="0"/>
        <w:adjustRightInd w:val="0"/>
      </w:pPr>
      <w:r>
        <w:rPr>
          <w:b/>
        </w:rPr>
        <w:t>Section 4</w:t>
      </w:r>
      <w:r>
        <w:t xml:space="preserve"> provides that </w:t>
      </w:r>
      <w:r w:rsidR="00F51AF3">
        <w:t xml:space="preserve">s47(3) of the Legislation Act does not apply, meaning that the Australian Standards or other instrument applied, adopted or incorporated into the code of practice are apply as they exist from time to time. Section </w:t>
      </w:r>
      <w:r w:rsidR="008836A6">
        <w:t xml:space="preserve">126A(4) of the </w:t>
      </w:r>
      <w:r w:rsidR="008836A6">
        <w:rPr>
          <w:i/>
        </w:rPr>
        <w:t xml:space="preserve">Construction Occupations (Licensing) Act </w:t>
      </w:r>
      <w:r w:rsidR="008836A6" w:rsidRPr="008836A6">
        <w:rPr>
          <w:i/>
        </w:rPr>
        <w:t>2004</w:t>
      </w:r>
      <w:r w:rsidR="008836A6">
        <w:t xml:space="preserve"> displaces the requirement to notify laws or instrument referred to, incorporated or adopted into a </w:t>
      </w:r>
      <w:r w:rsidR="00401C6F">
        <w:t>c</w:t>
      </w:r>
      <w:r w:rsidR="008836A6">
        <w:t xml:space="preserve">ode of </w:t>
      </w:r>
      <w:r w:rsidR="00401C6F">
        <w:t>p</w:t>
      </w:r>
      <w:r w:rsidR="008836A6">
        <w:t>ractice under s47(5) and (6).</w:t>
      </w:r>
      <w:r>
        <w:t xml:space="preserve"> </w:t>
      </w:r>
    </w:p>
    <w:p w14:paraId="7A04D617" w14:textId="77777777" w:rsidR="004F5844" w:rsidRDefault="004F5844" w:rsidP="003A396F">
      <w:pPr>
        <w:autoSpaceDE w:val="0"/>
        <w:autoSpaceDN w:val="0"/>
        <w:adjustRightInd w:val="0"/>
      </w:pPr>
    </w:p>
    <w:p w14:paraId="26962851" w14:textId="2B2BB181" w:rsidR="004F5844" w:rsidRDefault="004F5844" w:rsidP="003A396F">
      <w:pPr>
        <w:autoSpaceDE w:val="0"/>
        <w:autoSpaceDN w:val="0"/>
        <w:adjustRightInd w:val="0"/>
      </w:pPr>
      <w:r>
        <w:t xml:space="preserve">The BCA </w:t>
      </w:r>
      <w:r w:rsidR="000D4008">
        <w:t xml:space="preserve">and Australian standards mentioned in the document are </w:t>
      </w:r>
      <w:r>
        <w:t>subject to copyright, making it inappropriate to notify on the legislation register. The BCA is freely available online to any person via the ABCB web site (see section 6).</w:t>
      </w:r>
    </w:p>
    <w:p w14:paraId="69957DEB" w14:textId="77777777" w:rsidR="004F5844" w:rsidRDefault="004F5844" w:rsidP="003A396F">
      <w:pPr>
        <w:autoSpaceDE w:val="0"/>
        <w:autoSpaceDN w:val="0"/>
        <w:adjustRightInd w:val="0"/>
      </w:pPr>
    </w:p>
    <w:p w14:paraId="7A0B420E" w14:textId="62CBAC8E" w:rsidR="004F5844" w:rsidRPr="00166C2B" w:rsidRDefault="000D4008" w:rsidP="003A396F">
      <w:pPr>
        <w:autoSpaceDE w:val="0"/>
        <w:autoSpaceDN w:val="0"/>
        <w:adjustRightInd w:val="0"/>
      </w:pPr>
      <w:r>
        <w:rPr>
          <w:b/>
        </w:rPr>
        <w:t>Section 5</w:t>
      </w:r>
      <w:r w:rsidR="004F5844">
        <w:rPr>
          <w:b/>
        </w:rPr>
        <w:t xml:space="preserve"> </w:t>
      </w:r>
      <w:r w:rsidR="004F5844" w:rsidRPr="00166C2B">
        <w:t xml:space="preserve">is to make the community aware of how they can access a copy of the </w:t>
      </w:r>
      <w:r w:rsidR="00B124D4">
        <w:t>code of practice</w:t>
      </w:r>
      <w:r w:rsidR="004F5844">
        <w:t>.</w:t>
      </w:r>
      <w:r w:rsidR="004F5844" w:rsidRPr="00166C2B">
        <w:t xml:space="preserve"> </w:t>
      </w:r>
    </w:p>
    <w:p w14:paraId="1CF2050E" w14:textId="77777777" w:rsidR="004F5844" w:rsidRDefault="004F5844" w:rsidP="003A396F">
      <w:pPr>
        <w:autoSpaceDE w:val="0"/>
        <w:autoSpaceDN w:val="0"/>
        <w:adjustRightInd w:val="0"/>
        <w:rPr>
          <w:b/>
        </w:rPr>
      </w:pPr>
    </w:p>
    <w:p w14:paraId="0BB8A834" w14:textId="4837BE80" w:rsidR="004F5844" w:rsidRDefault="004F5844" w:rsidP="003A396F">
      <w:pPr>
        <w:autoSpaceDE w:val="0"/>
        <w:autoSpaceDN w:val="0"/>
        <w:adjustRightInd w:val="0"/>
      </w:pPr>
      <w:r>
        <w:rPr>
          <w:b/>
        </w:rPr>
        <w:t xml:space="preserve">Section </w:t>
      </w:r>
      <w:r w:rsidR="000D4008">
        <w:rPr>
          <w:b/>
        </w:rPr>
        <w:t>6</w:t>
      </w:r>
      <w:r>
        <w:t xml:space="preserve"> is to make the community aware they can access the Building Code of Australia for free at </w:t>
      </w:r>
      <w:hyperlink r:id="rId11" w:history="1">
        <w:r w:rsidRPr="00857485">
          <w:rPr>
            <w:rStyle w:val="Hyperlink"/>
          </w:rPr>
          <w:t>https://ncc.abcb.gov.au/ncc-online/NCC</w:t>
        </w:r>
      </w:hyperlink>
      <w:r w:rsidR="006E4BC8" w:rsidRPr="006E4BC8">
        <w:rPr>
          <w:rStyle w:val="Hyperlink"/>
          <w:u w:val="none"/>
        </w:rPr>
        <w:t xml:space="preserve"> </w:t>
      </w:r>
      <w:r>
        <w:t>.</w:t>
      </w:r>
    </w:p>
    <w:p w14:paraId="46199C9F" w14:textId="77777777" w:rsidR="00304573" w:rsidRDefault="00304573" w:rsidP="003A396F">
      <w:pPr>
        <w:autoSpaceDE w:val="0"/>
        <w:autoSpaceDN w:val="0"/>
        <w:adjustRightInd w:val="0"/>
      </w:pPr>
    </w:p>
    <w:p w14:paraId="5F9A4F69" w14:textId="353C6576" w:rsidR="00304573" w:rsidRDefault="00304573" w:rsidP="003A396F">
      <w:pPr>
        <w:autoSpaceDE w:val="0"/>
        <w:autoSpaceDN w:val="0"/>
        <w:adjustRightInd w:val="0"/>
        <w:ind w:right="-356"/>
      </w:pPr>
      <w:r>
        <w:rPr>
          <w:b/>
        </w:rPr>
        <w:t xml:space="preserve">Section </w:t>
      </w:r>
      <w:r w:rsidR="000D4008">
        <w:rPr>
          <w:b/>
        </w:rPr>
        <w:t>7</w:t>
      </w:r>
      <w:r>
        <w:t xml:space="preserve"> is to make the community aware where they can access Australian Standards.</w:t>
      </w:r>
    </w:p>
    <w:p w14:paraId="673D2DD1" w14:textId="77777777" w:rsidR="001A0F55" w:rsidRDefault="001A0F55" w:rsidP="000D2583">
      <w:pPr>
        <w:pStyle w:val="Header"/>
        <w:tabs>
          <w:tab w:val="left" w:pos="720"/>
        </w:tabs>
        <w:spacing w:after="240"/>
        <w:jc w:val="both"/>
        <w:rPr>
          <w:b/>
        </w:rPr>
      </w:pPr>
    </w:p>
    <w:p w14:paraId="3232013E" w14:textId="4CE47E09" w:rsidR="008D2B37" w:rsidRDefault="004F5844" w:rsidP="000D2583">
      <w:pPr>
        <w:pStyle w:val="Header"/>
        <w:tabs>
          <w:tab w:val="left" w:pos="720"/>
        </w:tabs>
        <w:spacing w:after="240"/>
        <w:jc w:val="both"/>
      </w:pPr>
      <w:r w:rsidRPr="00166C2B">
        <w:rPr>
          <w:b/>
        </w:rPr>
        <w:t>Schedule 1</w:t>
      </w:r>
      <w:r>
        <w:rPr>
          <w:b/>
        </w:rPr>
        <w:t xml:space="preserve"> </w:t>
      </w:r>
      <w:r w:rsidR="00B124D4">
        <w:t>makes a code of practice for building surveyors</w:t>
      </w:r>
    </w:p>
    <w:p w14:paraId="145BADE3" w14:textId="717C563A" w:rsidR="001A0F55" w:rsidRDefault="001A0F55" w:rsidP="001A0F55">
      <w:pPr>
        <w:autoSpaceDE w:val="0"/>
        <w:autoSpaceDN w:val="0"/>
        <w:adjustRightInd w:val="0"/>
        <w:jc w:val="both"/>
        <w:rPr>
          <w:color w:val="000000"/>
          <w:lang w:eastAsia="en-AU"/>
        </w:rPr>
      </w:pPr>
      <w:r>
        <w:rPr>
          <w:b/>
          <w:color w:val="000000"/>
          <w:lang w:eastAsia="en-AU"/>
        </w:rPr>
        <w:t>Part 1</w:t>
      </w:r>
      <w:r w:rsidR="00F54583">
        <w:rPr>
          <w:b/>
          <w:color w:val="000000"/>
          <w:lang w:eastAsia="en-AU"/>
        </w:rPr>
        <w:t xml:space="preserve"> </w:t>
      </w:r>
      <w:r>
        <w:rPr>
          <w:color w:val="000000"/>
          <w:lang w:eastAsia="en-AU"/>
        </w:rPr>
        <w:t xml:space="preserve">provides for </w:t>
      </w:r>
      <w:r w:rsidR="00B124D4">
        <w:rPr>
          <w:color w:val="000000"/>
          <w:lang w:eastAsia="en-AU"/>
        </w:rPr>
        <w:t>preliminaries which include the name of the code, information about the dictionary at the end of the code and potential consequences of failing to comply with the code</w:t>
      </w:r>
      <w:r>
        <w:rPr>
          <w:color w:val="000000"/>
          <w:lang w:eastAsia="en-AU"/>
        </w:rPr>
        <w:t xml:space="preserve">. </w:t>
      </w:r>
    </w:p>
    <w:p w14:paraId="2AB64051" w14:textId="77777777" w:rsidR="001A0F55" w:rsidRDefault="001A0F55" w:rsidP="001A0F55">
      <w:pPr>
        <w:autoSpaceDE w:val="0"/>
        <w:autoSpaceDN w:val="0"/>
        <w:adjustRightInd w:val="0"/>
        <w:jc w:val="both"/>
        <w:rPr>
          <w:color w:val="000000"/>
          <w:lang w:eastAsia="en-AU"/>
        </w:rPr>
      </w:pPr>
    </w:p>
    <w:p w14:paraId="3DAF5971" w14:textId="0091359E" w:rsidR="00C02B97" w:rsidRDefault="001A0F55" w:rsidP="001A0F55">
      <w:pPr>
        <w:autoSpaceDE w:val="0"/>
        <w:autoSpaceDN w:val="0"/>
        <w:adjustRightInd w:val="0"/>
        <w:jc w:val="both"/>
        <w:rPr>
          <w:color w:val="000000"/>
          <w:lang w:eastAsia="en-AU"/>
        </w:rPr>
      </w:pPr>
      <w:r>
        <w:rPr>
          <w:b/>
          <w:color w:val="000000"/>
          <w:lang w:eastAsia="en-AU"/>
        </w:rPr>
        <w:t>Part 2</w:t>
      </w:r>
      <w:r w:rsidR="00F54583" w:rsidRPr="00F54583">
        <w:rPr>
          <w:b/>
          <w:color w:val="000000"/>
          <w:lang w:eastAsia="en-AU"/>
        </w:rPr>
        <w:t xml:space="preserve"> </w:t>
      </w:r>
      <w:r>
        <w:rPr>
          <w:color w:val="000000"/>
          <w:lang w:eastAsia="en-AU"/>
        </w:rPr>
        <w:t xml:space="preserve">includes </w:t>
      </w:r>
      <w:r w:rsidR="00B124D4">
        <w:rPr>
          <w:color w:val="000000"/>
          <w:lang w:eastAsia="en-AU"/>
        </w:rPr>
        <w:t>important concepts, including the object of the code,</w:t>
      </w:r>
      <w:r w:rsidR="00384B25">
        <w:rPr>
          <w:color w:val="000000"/>
          <w:lang w:eastAsia="en-AU"/>
        </w:rPr>
        <w:t xml:space="preserve"> and </w:t>
      </w:r>
      <w:r w:rsidR="00B124D4">
        <w:rPr>
          <w:color w:val="000000"/>
          <w:lang w:eastAsia="en-AU"/>
        </w:rPr>
        <w:t>how it applies to building surveyors</w:t>
      </w:r>
      <w:r w:rsidR="00C02B97">
        <w:rPr>
          <w:color w:val="000000"/>
          <w:lang w:eastAsia="en-AU"/>
        </w:rPr>
        <w:t xml:space="preserve">. </w:t>
      </w:r>
      <w:r w:rsidR="00384B25">
        <w:rPr>
          <w:color w:val="000000"/>
          <w:lang w:eastAsia="en-AU"/>
        </w:rPr>
        <w:t xml:space="preserve">The code applies in relation to licensed building surveyors when they are undertaking work that can only be done by a licensee. </w:t>
      </w:r>
    </w:p>
    <w:p w14:paraId="29047D2B" w14:textId="77777777" w:rsidR="00C02B97" w:rsidRDefault="00C02B97" w:rsidP="001A0F55">
      <w:pPr>
        <w:autoSpaceDE w:val="0"/>
        <w:autoSpaceDN w:val="0"/>
        <w:adjustRightInd w:val="0"/>
        <w:jc w:val="both"/>
        <w:rPr>
          <w:color w:val="000000"/>
          <w:lang w:eastAsia="en-AU"/>
        </w:rPr>
      </w:pPr>
    </w:p>
    <w:p w14:paraId="0A6900A2" w14:textId="2B23DD6C" w:rsidR="00384B25" w:rsidRPr="00384B25" w:rsidRDefault="00C02B97" w:rsidP="00384B25">
      <w:pPr>
        <w:pStyle w:val="Header"/>
        <w:tabs>
          <w:tab w:val="left" w:pos="720"/>
        </w:tabs>
        <w:spacing w:after="240"/>
        <w:rPr>
          <w:color w:val="000000"/>
          <w:lang w:eastAsia="en-AU"/>
        </w:rPr>
      </w:pPr>
      <w:r>
        <w:rPr>
          <w:b/>
          <w:color w:val="000000"/>
          <w:lang w:eastAsia="en-AU"/>
        </w:rPr>
        <w:t>Part 3</w:t>
      </w:r>
      <w:r w:rsidR="00F54583" w:rsidRPr="00A36D61">
        <w:rPr>
          <w:b/>
          <w:color w:val="000000"/>
          <w:lang w:eastAsia="en-AU"/>
        </w:rPr>
        <w:t xml:space="preserve"> </w:t>
      </w:r>
      <w:r w:rsidRPr="00C02B97">
        <w:rPr>
          <w:color w:val="000000"/>
          <w:lang w:eastAsia="en-AU"/>
        </w:rPr>
        <w:t xml:space="preserve">outlines </w:t>
      </w:r>
      <w:r w:rsidR="00384B25">
        <w:rPr>
          <w:color w:val="000000"/>
          <w:lang w:eastAsia="en-AU"/>
        </w:rPr>
        <w:t>the general o</w:t>
      </w:r>
      <w:r w:rsidR="00384B25" w:rsidRPr="00384B25">
        <w:rPr>
          <w:color w:val="000000"/>
          <w:lang w:eastAsia="en-AU"/>
        </w:rPr>
        <w:t>bligations</w:t>
      </w:r>
      <w:r w:rsidR="00384B25">
        <w:rPr>
          <w:color w:val="000000"/>
          <w:lang w:eastAsia="en-AU"/>
        </w:rPr>
        <w:t xml:space="preserve"> of a building surveyor when performing services and functions. The obligations </w:t>
      </w:r>
      <w:r w:rsidR="00384B25" w:rsidRPr="00384B25">
        <w:rPr>
          <w:color w:val="000000"/>
          <w:lang w:eastAsia="en-AU"/>
        </w:rPr>
        <w:t xml:space="preserve">include to act in the public interest, comply with relevant laws, ensure their decisions are reasonable and fair, and to take appropriate compliance action.  These obligations are similar to those in place in other </w:t>
      </w:r>
      <w:r w:rsidR="00384B25" w:rsidRPr="00384B25">
        <w:rPr>
          <w:color w:val="000000"/>
          <w:lang w:eastAsia="en-AU"/>
        </w:rPr>
        <w:lastRenderedPageBreak/>
        <w:t xml:space="preserve">jurisdictions and for public officials in the ACT. </w:t>
      </w:r>
    </w:p>
    <w:p w14:paraId="794A0736" w14:textId="286A36CD" w:rsidR="00384B25" w:rsidRPr="00384B25" w:rsidRDefault="00384B25" w:rsidP="00384B25">
      <w:pPr>
        <w:pStyle w:val="Header"/>
        <w:tabs>
          <w:tab w:val="left" w:pos="720"/>
        </w:tabs>
        <w:spacing w:after="240"/>
        <w:rPr>
          <w:color w:val="000000"/>
          <w:lang w:eastAsia="en-AU"/>
        </w:rPr>
      </w:pPr>
      <w:r>
        <w:rPr>
          <w:color w:val="000000"/>
          <w:lang w:eastAsia="en-AU"/>
        </w:rPr>
        <w:t>The Part also includes provisions for</w:t>
      </w:r>
      <w:r w:rsidRPr="00384B25">
        <w:rPr>
          <w:color w:val="000000"/>
          <w:lang w:eastAsia="en-AU"/>
        </w:rPr>
        <w:t xml:space="preserve">: </w:t>
      </w:r>
    </w:p>
    <w:p w14:paraId="4B6FF79B" w14:textId="7BF6DF21" w:rsidR="00384B25" w:rsidRDefault="00384B25" w:rsidP="00384B25">
      <w:pPr>
        <w:numPr>
          <w:ilvl w:val="0"/>
          <w:numId w:val="21"/>
        </w:numPr>
        <w:jc w:val="both"/>
        <w:rPr>
          <w:lang w:eastAsia="en-AU"/>
        </w:rPr>
      </w:pPr>
      <w:r w:rsidRPr="00384B25">
        <w:rPr>
          <w:lang w:eastAsia="en-AU"/>
        </w:rPr>
        <w:t>notifying and managing matters that may affect their ability to undertake statutory functions</w:t>
      </w:r>
      <w:r>
        <w:rPr>
          <w:lang w:eastAsia="en-AU"/>
        </w:rPr>
        <w:t xml:space="preserve">; </w:t>
      </w:r>
    </w:p>
    <w:p w14:paraId="7F445827" w14:textId="77777777" w:rsidR="00384B25" w:rsidRDefault="00384B25" w:rsidP="00384B25">
      <w:pPr>
        <w:ind w:left="1578"/>
        <w:jc w:val="both"/>
        <w:rPr>
          <w:lang w:eastAsia="en-AU"/>
        </w:rPr>
      </w:pPr>
    </w:p>
    <w:p w14:paraId="50AC8E80" w14:textId="6373AA7D" w:rsidR="00384B25" w:rsidRDefault="00384B25" w:rsidP="00384B25">
      <w:pPr>
        <w:numPr>
          <w:ilvl w:val="0"/>
          <w:numId w:val="21"/>
        </w:numPr>
        <w:jc w:val="both"/>
        <w:rPr>
          <w:lang w:eastAsia="en-AU"/>
        </w:rPr>
      </w:pPr>
      <w:r w:rsidRPr="00384B25">
        <w:rPr>
          <w:lang w:eastAsia="en-AU"/>
        </w:rPr>
        <w:t>taking action when they become aware of particular circumstances such as where information provided in the building approval is false or misleading;</w:t>
      </w:r>
      <w:r>
        <w:rPr>
          <w:lang w:eastAsia="en-AU"/>
        </w:rPr>
        <w:t xml:space="preserve"> and</w:t>
      </w:r>
      <w:r w:rsidRPr="00384B25">
        <w:rPr>
          <w:lang w:eastAsia="en-AU"/>
        </w:rPr>
        <w:t xml:space="preserve"> </w:t>
      </w:r>
    </w:p>
    <w:p w14:paraId="6463CB1B" w14:textId="77777777" w:rsidR="00384B25" w:rsidRDefault="00384B25" w:rsidP="00384B25">
      <w:pPr>
        <w:pStyle w:val="ListParagraph"/>
        <w:rPr>
          <w:color w:val="000000"/>
          <w:lang w:eastAsia="en-AU"/>
        </w:rPr>
      </w:pPr>
    </w:p>
    <w:p w14:paraId="1E2392A9" w14:textId="77777777" w:rsidR="00384B25" w:rsidRPr="00384B25" w:rsidRDefault="00384B25" w:rsidP="00384B25">
      <w:pPr>
        <w:numPr>
          <w:ilvl w:val="0"/>
          <w:numId w:val="21"/>
        </w:numPr>
        <w:jc w:val="both"/>
        <w:rPr>
          <w:lang w:eastAsia="en-AU"/>
        </w:rPr>
      </w:pPr>
      <w:r w:rsidRPr="00384B25">
        <w:rPr>
          <w:color w:val="000000"/>
          <w:lang w:eastAsia="en-AU"/>
        </w:rPr>
        <w:t>confirming people who make applications instead of a landow</w:t>
      </w:r>
      <w:r>
        <w:rPr>
          <w:color w:val="000000"/>
          <w:lang w:eastAsia="en-AU"/>
        </w:rPr>
        <w:t xml:space="preserve">ner have the authority to do so. </w:t>
      </w:r>
    </w:p>
    <w:p w14:paraId="7A576D20" w14:textId="77777777" w:rsidR="00384B25" w:rsidRDefault="00384B25" w:rsidP="00384B25">
      <w:pPr>
        <w:pStyle w:val="ListParagraph"/>
        <w:rPr>
          <w:b/>
          <w:color w:val="000000"/>
          <w:lang w:eastAsia="en-AU"/>
        </w:rPr>
      </w:pPr>
    </w:p>
    <w:p w14:paraId="1B3BAAF1" w14:textId="77777777" w:rsidR="00384B25" w:rsidRPr="005D14A9" w:rsidRDefault="00C02B97" w:rsidP="00384B25">
      <w:pPr>
        <w:jc w:val="both"/>
        <w:rPr>
          <w:color w:val="000000"/>
          <w:lang w:eastAsia="en-AU"/>
        </w:rPr>
      </w:pPr>
      <w:r w:rsidRPr="005D14A9">
        <w:rPr>
          <w:b/>
          <w:color w:val="000000"/>
          <w:lang w:eastAsia="en-AU"/>
        </w:rPr>
        <w:t>Part 4</w:t>
      </w:r>
      <w:r w:rsidR="00A800F1" w:rsidRPr="005D14A9">
        <w:rPr>
          <w:color w:val="000000"/>
          <w:lang w:eastAsia="en-AU"/>
        </w:rPr>
        <w:t xml:space="preserve"> </w:t>
      </w:r>
      <w:r w:rsidRPr="005D14A9">
        <w:rPr>
          <w:color w:val="000000"/>
          <w:lang w:eastAsia="en-AU"/>
        </w:rPr>
        <w:t xml:space="preserve">relates </w:t>
      </w:r>
      <w:r w:rsidR="00384B25" w:rsidRPr="005D14A9">
        <w:rPr>
          <w:color w:val="000000"/>
          <w:lang w:eastAsia="en-AU"/>
        </w:rPr>
        <w:t>building certification and related services. The role of the building certifier is important in the building regulatory system</w:t>
      </w:r>
      <w:r w:rsidRPr="005D14A9">
        <w:rPr>
          <w:color w:val="000000"/>
          <w:lang w:eastAsia="en-AU"/>
        </w:rPr>
        <w:t>.</w:t>
      </w:r>
    </w:p>
    <w:p w14:paraId="03CA8FF0" w14:textId="77777777" w:rsidR="00384B25" w:rsidRPr="005D14A9" w:rsidRDefault="00384B25" w:rsidP="00384B25">
      <w:pPr>
        <w:jc w:val="both"/>
        <w:rPr>
          <w:color w:val="000000"/>
          <w:lang w:eastAsia="en-AU"/>
        </w:rPr>
      </w:pPr>
    </w:p>
    <w:p w14:paraId="04EE87C7" w14:textId="442536E7" w:rsidR="00384B25" w:rsidRPr="005D14A9" w:rsidRDefault="00384B25" w:rsidP="00384B25">
      <w:pPr>
        <w:jc w:val="both"/>
        <w:rPr>
          <w:color w:val="000000"/>
          <w:lang w:eastAsia="en-AU"/>
        </w:rPr>
      </w:pPr>
      <w:r w:rsidRPr="005D14A9">
        <w:rPr>
          <w:color w:val="000000"/>
          <w:lang w:eastAsia="en-AU"/>
        </w:rPr>
        <w:t xml:space="preserve">This part includes requirements in relation to:  </w:t>
      </w:r>
    </w:p>
    <w:p w14:paraId="519CE90A" w14:textId="21BE574E" w:rsidR="00384B25" w:rsidRPr="005D14A9" w:rsidRDefault="005C2437" w:rsidP="00384B25">
      <w:pPr>
        <w:pStyle w:val="ListParagraph"/>
        <w:numPr>
          <w:ilvl w:val="0"/>
          <w:numId w:val="22"/>
        </w:numPr>
        <w:rPr>
          <w:rFonts w:eastAsiaTheme="minorEastAsia"/>
          <w:sz w:val="22"/>
          <w:szCs w:val="22"/>
          <w:lang w:eastAsia="en-AU"/>
        </w:rPr>
      </w:pPr>
      <w:hyperlink w:anchor="_Toc9922749" w:history="1">
        <w:r w:rsidR="00384B25" w:rsidRPr="005D14A9">
          <w:rPr>
            <w:rStyle w:val="Hyperlink"/>
            <w:color w:val="auto"/>
            <w:u w:val="none"/>
            <w:lang w:eastAsia="en-AU"/>
          </w:rPr>
          <w:t>Recording of appointments as a building certifier and additional agreements, which is intended to delineate statutory building certification functions</w:t>
        </w:r>
      </w:hyperlink>
      <w:r w:rsidR="00384B25" w:rsidRPr="005D14A9">
        <w:t xml:space="preserve"> from other services a building surveyor may legitimately provide</w:t>
      </w:r>
      <w:r w:rsidR="00552A74" w:rsidRPr="005D14A9">
        <w:t>;</w:t>
      </w:r>
      <w:r w:rsidR="00384B25" w:rsidRPr="005D14A9">
        <w:t xml:space="preserve"> </w:t>
      </w:r>
    </w:p>
    <w:p w14:paraId="0093A32C" w14:textId="045DCA14" w:rsidR="00384B25" w:rsidRPr="005D14A9" w:rsidRDefault="00384B25" w:rsidP="00E944BC">
      <w:pPr>
        <w:pStyle w:val="ListParagraph"/>
        <w:numPr>
          <w:ilvl w:val="0"/>
          <w:numId w:val="22"/>
        </w:numPr>
        <w:rPr>
          <w:rStyle w:val="Hyperlink"/>
          <w:rFonts w:eastAsiaTheme="minorEastAsia"/>
          <w:color w:val="auto"/>
          <w:sz w:val="22"/>
          <w:szCs w:val="22"/>
          <w:u w:val="none"/>
          <w:lang w:eastAsia="en-AU"/>
        </w:rPr>
      </w:pPr>
      <w:r w:rsidRPr="005D14A9">
        <w:rPr>
          <w:rStyle w:val="Hyperlink"/>
          <w:color w:val="auto"/>
          <w:u w:val="none"/>
          <w:lang w:eastAsia="en-AU"/>
        </w:rPr>
        <w:t>Recording advice that a building certifier may have given in relation to a project</w:t>
      </w:r>
      <w:r w:rsidR="00552A74" w:rsidRPr="005D14A9">
        <w:rPr>
          <w:rStyle w:val="Hyperlink"/>
          <w:color w:val="auto"/>
          <w:u w:val="none"/>
          <w:lang w:eastAsia="en-AU"/>
        </w:rPr>
        <w:t>;</w:t>
      </w:r>
    </w:p>
    <w:p w14:paraId="7DFCFEB4" w14:textId="1D1E01DD" w:rsidR="00384B25" w:rsidRPr="00384B25" w:rsidRDefault="005C2437" w:rsidP="00986950">
      <w:pPr>
        <w:pStyle w:val="ListParagraph"/>
        <w:numPr>
          <w:ilvl w:val="0"/>
          <w:numId w:val="22"/>
        </w:numPr>
        <w:rPr>
          <w:rFonts w:eastAsiaTheme="minorEastAsia"/>
          <w:sz w:val="22"/>
          <w:szCs w:val="22"/>
          <w:lang w:eastAsia="en-AU"/>
        </w:rPr>
      </w:pPr>
      <w:hyperlink w:anchor="_Toc9922751" w:history="1">
        <w:r w:rsidR="00384B25" w:rsidRPr="005D14A9">
          <w:rPr>
            <w:rStyle w:val="Hyperlink"/>
            <w:color w:val="auto"/>
            <w:u w:val="none"/>
            <w:lang w:eastAsia="en-AU"/>
          </w:rPr>
          <w:t>Making</w:t>
        </w:r>
      </w:hyperlink>
      <w:r w:rsidR="00384B25" w:rsidRPr="005D14A9">
        <w:t xml:space="preserve"> sure that all required technical information and documents are in a building approval application before issuing the approval</w:t>
      </w:r>
      <w:r w:rsidR="00552A74">
        <w:t>;</w:t>
      </w:r>
    </w:p>
    <w:p w14:paraId="00AD82CA" w14:textId="233A2F4A" w:rsidR="00384B25" w:rsidRDefault="00384B25" w:rsidP="006321FA">
      <w:pPr>
        <w:pStyle w:val="ListParagraph"/>
        <w:numPr>
          <w:ilvl w:val="0"/>
          <w:numId w:val="22"/>
        </w:numPr>
        <w:rPr>
          <w:lang w:eastAsia="en-AU"/>
        </w:rPr>
      </w:pPr>
      <w:r>
        <w:t>Building commencement notice applications</w:t>
      </w:r>
      <w:r w:rsidR="00552A74">
        <w:t>;</w:t>
      </w:r>
    </w:p>
    <w:p w14:paraId="2E083DF2" w14:textId="29732037" w:rsidR="00D57ED9" w:rsidRDefault="00384B25" w:rsidP="006321FA">
      <w:pPr>
        <w:pStyle w:val="ListParagraph"/>
        <w:numPr>
          <w:ilvl w:val="0"/>
          <w:numId w:val="22"/>
        </w:numPr>
        <w:rPr>
          <w:lang w:eastAsia="en-AU"/>
        </w:rPr>
      </w:pPr>
      <w:r>
        <w:t xml:space="preserve">Requiring confirmation of </w:t>
      </w:r>
      <w:hyperlink w:anchor="_Toc9922754" w:history="1">
        <w:r w:rsidRPr="00384B25">
          <w:rPr>
            <w:rStyle w:val="Hyperlink"/>
            <w:color w:val="auto"/>
            <w:u w:val="none"/>
            <w:lang w:eastAsia="en-AU"/>
          </w:rPr>
          <w:t>receipt of approved plans prior to work</w:t>
        </w:r>
      </w:hyperlink>
      <w:r w:rsidR="00552A74">
        <w:rPr>
          <w:lang w:eastAsia="en-AU"/>
        </w:rPr>
        <w:t>.</w:t>
      </w:r>
    </w:p>
    <w:p w14:paraId="4D50A1BB" w14:textId="77777777" w:rsidR="00384B25" w:rsidRDefault="00384B25" w:rsidP="00384B25">
      <w:pPr>
        <w:rPr>
          <w:lang w:eastAsia="en-AU"/>
        </w:rPr>
      </w:pPr>
    </w:p>
    <w:p w14:paraId="1F482E5D" w14:textId="38C3D721" w:rsidR="00384B25" w:rsidRPr="00384B25" w:rsidRDefault="00384B25" w:rsidP="00384B25">
      <w:pPr>
        <w:rPr>
          <w:lang w:eastAsia="en-AU"/>
        </w:rPr>
      </w:pPr>
      <w:r>
        <w:rPr>
          <w:lang w:eastAsia="en-AU"/>
        </w:rPr>
        <w:t>This part also include Division 4.1 which includes requirements for the carrying out of stage inspections.</w:t>
      </w:r>
      <w:r w:rsidR="004726C7">
        <w:rPr>
          <w:lang w:eastAsia="en-AU"/>
        </w:rPr>
        <w:t xml:space="preserve"> This includes </w:t>
      </w:r>
      <w:r w:rsidR="00552A74">
        <w:rPr>
          <w:lang w:eastAsia="en-AU"/>
        </w:rPr>
        <w:t>that which</w:t>
      </w:r>
      <w:r w:rsidR="004726C7">
        <w:rPr>
          <w:lang w:eastAsia="en-AU"/>
        </w:rPr>
        <w:t xml:space="preserve"> a building certifier must consider in determining inspection requirements for building classes where they have discretion to choose which work must be inspected. It also includes requirements that the </w:t>
      </w:r>
      <w:r w:rsidR="004726C7" w:rsidRPr="005D14A9">
        <w:rPr>
          <w:lang w:eastAsia="en-AU"/>
        </w:rPr>
        <w:t>certifier must personally</w:t>
      </w:r>
      <w:r w:rsidR="004726C7">
        <w:rPr>
          <w:lang w:eastAsia="en-AU"/>
        </w:rPr>
        <w:t xml:space="preserve"> inspect work at a prescribed stage. This is important </w:t>
      </w:r>
      <w:r w:rsidR="00552A74">
        <w:rPr>
          <w:lang w:eastAsia="en-AU"/>
        </w:rPr>
        <w:t>to establish</w:t>
      </w:r>
      <w:r w:rsidR="004726C7">
        <w:rPr>
          <w:lang w:eastAsia="en-AU"/>
        </w:rPr>
        <w:t xml:space="preserve"> that only licensed practitioners are carrying out inspections. </w:t>
      </w:r>
    </w:p>
    <w:p w14:paraId="07025C4A" w14:textId="77777777" w:rsidR="00384B25" w:rsidRPr="00384B25" w:rsidRDefault="00384B25" w:rsidP="00384B25">
      <w:pPr>
        <w:rPr>
          <w:b/>
          <w:lang w:eastAsia="en-AU"/>
        </w:rPr>
      </w:pPr>
    </w:p>
    <w:p w14:paraId="7F9A10C5" w14:textId="69F3EBD4" w:rsidR="00DA2769" w:rsidRDefault="00C02B97" w:rsidP="00F54583">
      <w:pPr>
        <w:pStyle w:val="Header"/>
        <w:tabs>
          <w:tab w:val="left" w:pos="720"/>
        </w:tabs>
        <w:spacing w:after="240"/>
        <w:rPr>
          <w:color w:val="000000"/>
          <w:lang w:eastAsia="en-AU"/>
        </w:rPr>
      </w:pPr>
      <w:r>
        <w:rPr>
          <w:b/>
          <w:color w:val="000000"/>
          <w:lang w:eastAsia="en-AU"/>
        </w:rPr>
        <w:t xml:space="preserve">Part 5 </w:t>
      </w:r>
      <w:r>
        <w:rPr>
          <w:color w:val="000000"/>
          <w:lang w:eastAsia="en-AU"/>
        </w:rPr>
        <w:t xml:space="preserve">provides for </w:t>
      </w:r>
      <w:r w:rsidR="004726C7">
        <w:rPr>
          <w:color w:val="000000"/>
          <w:lang w:eastAsia="en-AU"/>
        </w:rPr>
        <w:t>recordkeeping requirements. Detailed requirements are further outline</w:t>
      </w:r>
      <w:r w:rsidR="00401C6F">
        <w:rPr>
          <w:color w:val="000000"/>
          <w:lang w:eastAsia="en-AU"/>
        </w:rPr>
        <w:t>d</w:t>
      </w:r>
      <w:r w:rsidR="004726C7">
        <w:rPr>
          <w:color w:val="000000"/>
          <w:lang w:eastAsia="en-AU"/>
        </w:rPr>
        <w:t xml:space="preserve"> in </w:t>
      </w:r>
      <w:r w:rsidR="00401C6F">
        <w:rPr>
          <w:color w:val="000000"/>
          <w:lang w:eastAsia="en-AU"/>
        </w:rPr>
        <w:t>Appendix 2</w:t>
      </w:r>
      <w:r w:rsidR="004726C7">
        <w:rPr>
          <w:color w:val="000000"/>
          <w:lang w:eastAsia="en-AU"/>
        </w:rPr>
        <w:t xml:space="preserve"> to the code.</w:t>
      </w:r>
      <w:r>
        <w:rPr>
          <w:color w:val="000000"/>
          <w:lang w:eastAsia="en-AU"/>
        </w:rPr>
        <w:t xml:space="preserve"> </w:t>
      </w:r>
    </w:p>
    <w:p w14:paraId="6B03A8F1" w14:textId="4C20D60B" w:rsidR="004726C7" w:rsidRDefault="000E650E" w:rsidP="000E650E">
      <w:pPr>
        <w:pStyle w:val="Header"/>
        <w:tabs>
          <w:tab w:val="left" w:pos="720"/>
        </w:tabs>
        <w:spacing w:after="240"/>
        <w:rPr>
          <w:color w:val="000000"/>
          <w:lang w:eastAsia="en-AU"/>
        </w:rPr>
      </w:pPr>
      <w:r>
        <w:rPr>
          <w:b/>
          <w:color w:val="000000"/>
          <w:lang w:eastAsia="en-AU"/>
        </w:rPr>
        <w:t>Part 6</w:t>
      </w:r>
      <w:r w:rsidR="005741C0">
        <w:rPr>
          <w:color w:val="000000"/>
          <w:lang w:eastAsia="en-AU"/>
        </w:rPr>
        <w:t xml:space="preserve"> </w:t>
      </w:r>
      <w:r w:rsidR="004726C7">
        <w:rPr>
          <w:color w:val="000000"/>
          <w:lang w:eastAsia="en-AU"/>
        </w:rPr>
        <w:t xml:space="preserve">provides that </w:t>
      </w:r>
      <w:r w:rsidR="004726C7" w:rsidRPr="004726C7">
        <w:rPr>
          <w:color w:val="000000"/>
          <w:lang w:eastAsia="en-AU"/>
        </w:rPr>
        <w:t>building surveyor must have, and comply with, a reasonable policy and associated procedures for accepting and resolving complaints from clients and other entities in relation to building surveying services the licensee is carrying out, or has carried out</w:t>
      </w:r>
      <w:r w:rsidR="00552A74">
        <w:rPr>
          <w:color w:val="000000"/>
          <w:lang w:eastAsia="en-AU"/>
        </w:rPr>
        <w:t>.</w:t>
      </w:r>
    </w:p>
    <w:p w14:paraId="00495DC0" w14:textId="77777777" w:rsidR="004726C7" w:rsidRDefault="004726C7" w:rsidP="004726C7">
      <w:pPr>
        <w:pStyle w:val="Header"/>
        <w:tabs>
          <w:tab w:val="left" w:pos="720"/>
        </w:tabs>
        <w:spacing w:after="240"/>
        <w:rPr>
          <w:color w:val="000000"/>
          <w:lang w:eastAsia="en-AU"/>
        </w:rPr>
      </w:pPr>
      <w:r w:rsidRPr="005B52C0">
        <w:rPr>
          <w:lang w:eastAsia="en-AU"/>
        </w:rPr>
        <w:t>An individual building surveyor need not have policies and pro</w:t>
      </w:r>
      <w:r>
        <w:rPr>
          <w:lang w:eastAsia="en-AU"/>
        </w:rPr>
        <w:t>cedures in accordance with this section i</w:t>
      </w:r>
      <w:r w:rsidRPr="005B52C0">
        <w:rPr>
          <w:lang w:eastAsia="en-AU"/>
        </w:rPr>
        <w:t xml:space="preserve">f they provide building surveying services solely as an employee </w:t>
      </w:r>
      <w:r>
        <w:rPr>
          <w:lang w:eastAsia="en-AU"/>
        </w:rPr>
        <w:t xml:space="preserve">or nominee </w:t>
      </w:r>
      <w:r w:rsidRPr="005B52C0">
        <w:rPr>
          <w:lang w:eastAsia="en-AU"/>
        </w:rPr>
        <w:t>of another building surveyor</w:t>
      </w:r>
      <w:r w:rsidR="000E650E" w:rsidRPr="000E650E">
        <w:rPr>
          <w:color w:val="000000"/>
          <w:lang w:eastAsia="en-AU"/>
        </w:rPr>
        <w:t>.</w:t>
      </w:r>
    </w:p>
    <w:p w14:paraId="2DE9E6C1" w14:textId="220E439F" w:rsidR="004726C7" w:rsidRPr="004726C7" w:rsidRDefault="004726C7" w:rsidP="004726C7">
      <w:pPr>
        <w:pStyle w:val="Header"/>
        <w:tabs>
          <w:tab w:val="left" w:pos="720"/>
        </w:tabs>
        <w:spacing w:after="240"/>
        <w:rPr>
          <w:color w:val="000000"/>
          <w:lang w:eastAsia="en-AU"/>
        </w:rPr>
      </w:pPr>
      <w:r>
        <w:rPr>
          <w:color w:val="000000"/>
          <w:lang w:eastAsia="en-AU"/>
        </w:rPr>
        <w:t>It also provides that a</w:t>
      </w:r>
      <w:r w:rsidRPr="005B52C0">
        <w:rPr>
          <w:lang w:eastAsia="en-AU"/>
        </w:rPr>
        <w:t xml:space="preserve"> building surveyor must comply with a</w:t>
      </w:r>
      <w:r>
        <w:rPr>
          <w:lang w:eastAsia="en-AU"/>
        </w:rPr>
        <w:t>ny reasonable</w:t>
      </w:r>
      <w:r w:rsidRPr="005B52C0">
        <w:rPr>
          <w:lang w:eastAsia="en-AU"/>
        </w:rPr>
        <w:t xml:space="preserve"> request or direction by the </w:t>
      </w:r>
      <w:r>
        <w:rPr>
          <w:lang w:eastAsia="en-AU"/>
        </w:rPr>
        <w:t>Construction Occupations R</w:t>
      </w:r>
      <w:r w:rsidRPr="005B52C0">
        <w:rPr>
          <w:lang w:eastAsia="en-AU"/>
        </w:rPr>
        <w:t xml:space="preserve">egistrar to take a stated action in relation to a complaint made to the </w:t>
      </w:r>
      <w:r>
        <w:rPr>
          <w:lang w:eastAsia="en-AU"/>
        </w:rPr>
        <w:t>Construction Occupations R</w:t>
      </w:r>
      <w:r w:rsidRPr="005B52C0">
        <w:rPr>
          <w:lang w:eastAsia="en-AU"/>
        </w:rPr>
        <w:t>egistrar about the building surveyor’s services</w:t>
      </w:r>
      <w:r>
        <w:rPr>
          <w:lang w:eastAsia="en-AU"/>
        </w:rPr>
        <w:t xml:space="preserve"> under Part 11 of the </w:t>
      </w:r>
      <w:r w:rsidRPr="00401C6F">
        <w:rPr>
          <w:lang w:eastAsia="en-AU"/>
        </w:rPr>
        <w:t>Construction Occupations (Licensing) Act</w:t>
      </w:r>
      <w:r w:rsidRPr="005136D7">
        <w:rPr>
          <w:i/>
          <w:lang w:eastAsia="en-AU"/>
        </w:rPr>
        <w:t>.</w:t>
      </w:r>
      <w:r w:rsidRPr="005B52C0">
        <w:rPr>
          <w:lang w:eastAsia="en-AU"/>
        </w:rPr>
        <w:t xml:space="preserve"> </w:t>
      </w:r>
    </w:p>
    <w:p w14:paraId="5599210C" w14:textId="31088E7F" w:rsidR="007113B6" w:rsidRDefault="007113B6" w:rsidP="00D45372">
      <w:pPr>
        <w:pStyle w:val="Header"/>
        <w:tabs>
          <w:tab w:val="left" w:pos="720"/>
        </w:tabs>
        <w:spacing w:after="240"/>
      </w:pPr>
      <w:r>
        <w:lastRenderedPageBreak/>
        <w:t xml:space="preserve">The </w:t>
      </w:r>
      <w:r w:rsidRPr="007113B6">
        <w:rPr>
          <w:b/>
        </w:rPr>
        <w:t>Dictionary</w:t>
      </w:r>
      <w:r>
        <w:t xml:space="preserve"> provides for definitions for important concepts used in the guideline.</w:t>
      </w:r>
    </w:p>
    <w:p w14:paraId="304F7761" w14:textId="5F3E4366" w:rsidR="007113B6" w:rsidRDefault="008836A6" w:rsidP="00D45372">
      <w:pPr>
        <w:pStyle w:val="Header"/>
        <w:tabs>
          <w:tab w:val="left" w:pos="720"/>
        </w:tabs>
        <w:spacing w:after="240"/>
      </w:pPr>
      <w:r>
        <w:rPr>
          <w:b/>
        </w:rPr>
        <w:t>Appendix</w:t>
      </w:r>
      <w:r w:rsidRPr="007113B6">
        <w:rPr>
          <w:b/>
        </w:rPr>
        <w:t xml:space="preserve"> </w:t>
      </w:r>
      <w:r w:rsidR="007113B6" w:rsidRPr="007113B6">
        <w:rPr>
          <w:b/>
        </w:rPr>
        <w:t xml:space="preserve">1 </w:t>
      </w:r>
      <w:r w:rsidR="007113B6">
        <w:t xml:space="preserve">provides </w:t>
      </w:r>
      <w:r w:rsidR="004726C7">
        <w:t xml:space="preserve">specific elements that must be inspected at </w:t>
      </w:r>
      <w:r w:rsidR="0074780F">
        <w:t>certain stages of work</w:t>
      </w:r>
      <w:r w:rsidR="007113B6">
        <w:t>.</w:t>
      </w:r>
      <w:r w:rsidR="004726C7">
        <w:t xml:space="preserve"> It also includes explanatory information about the purpose of inspecting certain elements. Importantly, the schedule includes minimum requirements and does not limit what a certifier may inspect at a stage.</w:t>
      </w:r>
    </w:p>
    <w:p w14:paraId="0B9E9AE7" w14:textId="01AB9585" w:rsidR="007113B6" w:rsidRDefault="008836A6" w:rsidP="00D45372">
      <w:pPr>
        <w:pStyle w:val="Header"/>
        <w:tabs>
          <w:tab w:val="left" w:pos="720"/>
        </w:tabs>
        <w:spacing w:after="240"/>
      </w:pPr>
      <w:r>
        <w:rPr>
          <w:b/>
        </w:rPr>
        <w:t>Appendix</w:t>
      </w:r>
      <w:r w:rsidRPr="007113B6">
        <w:rPr>
          <w:b/>
        </w:rPr>
        <w:t xml:space="preserve"> </w:t>
      </w:r>
      <w:r w:rsidR="007113B6" w:rsidRPr="007113B6">
        <w:rPr>
          <w:b/>
        </w:rPr>
        <w:t>2</w:t>
      </w:r>
      <w:r w:rsidR="007113B6">
        <w:t xml:space="preserve"> provides </w:t>
      </w:r>
      <w:r w:rsidR="004726C7">
        <w:t>for specific requirements for keeping records relating to exemption assessments (2.1), building approval applications (2.2), commencement notice applications (2.3) and stage inspections (2.4)</w:t>
      </w:r>
      <w:r w:rsidR="007113B6">
        <w:t>.</w:t>
      </w:r>
    </w:p>
    <w:p w14:paraId="5603FC3A" w14:textId="77777777" w:rsidR="00D45372" w:rsidRDefault="00D45372" w:rsidP="00D45372">
      <w:pPr>
        <w:pStyle w:val="Header"/>
        <w:tabs>
          <w:tab w:val="left" w:pos="720"/>
        </w:tabs>
        <w:spacing w:after="240"/>
      </w:pPr>
    </w:p>
    <w:p w14:paraId="71F02837" w14:textId="77777777" w:rsidR="00D45372" w:rsidRPr="00D45372" w:rsidRDefault="00D45372" w:rsidP="00D45372">
      <w:pPr>
        <w:pStyle w:val="Header"/>
        <w:tabs>
          <w:tab w:val="left" w:pos="720"/>
        </w:tabs>
        <w:spacing w:after="240"/>
      </w:pPr>
    </w:p>
    <w:sectPr w:rsidR="00D45372" w:rsidRPr="00D45372" w:rsidSect="0072165A">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AF28D" w14:textId="77777777" w:rsidR="007231F1" w:rsidRDefault="007231F1" w:rsidP="0072165A">
      <w:r>
        <w:separator/>
      </w:r>
    </w:p>
  </w:endnote>
  <w:endnote w:type="continuationSeparator" w:id="0">
    <w:p w14:paraId="71280C3B" w14:textId="77777777" w:rsidR="007231F1" w:rsidRDefault="007231F1" w:rsidP="0072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646D" w14:textId="77777777" w:rsidR="00123EDC" w:rsidRPr="00123EDC" w:rsidRDefault="00123EDC" w:rsidP="00123EDC">
    <w:pPr>
      <w:pStyle w:val="Footer"/>
      <w:jc w:val="center"/>
      <w:rPr>
        <w:rFonts w:ascii="Arial" w:hAnsi="Arial" w:cs="Arial"/>
        <w:sz w:val="14"/>
      </w:rPr>
    </w:pPr>
    <w:r>
      <w:rPr>
        <w:rFonts w:ascii="Arial" w:hAnsi="Arial" w:cs="Arial"/>
        <w:sz w:val="14"/>
      </w:rPr>
      <w:t>Authorised by the ACT Parliamentary Counsel-also accessible at www.legislation.act.gov.au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649489"/>
      <w:docPartObj>
        <w:docPartGallery w:val="Page Numbers (Bottom of Page)"/>
        <w:docPartUnique/>
      </w:docPartObj>
    </w:sdtPr>
    <w:sdtEndPr>
      <w:rPr>
        <w:noProof/>
      </w:rPr>
    </w:sdtEndPr>
    <w:sdtContent>
      <w:p w14:paraId="6FEFB5E1" w14:textId="51408643" w:rsidR="00AA4F83" w:rsidRDefault="00AA4F83">
        <w:pPr>
          <w:pStyle w:val="Footer"/>
          <w:jc w:val="center"/>
        </w:pPr>
        <w:r>
          <w:fldChar w:fldCharType="begin"/>
        </w:r>
        <w:r>
          <w:instrText xml:space="preserve"> PAGE   \* MERGEFORMAT </w:instrText>
        </w:r>
        <w:r>
          <w:fldChar w:fldCharType="separate"/>
        </w:r>
        <w:r w:rsidR="0074780F">
          <w:rPr>
            <w:noProof/>
          </w:rPr>
          <w:t>3</w:t>
        </w:r>
        <w:r>
          <w:rPr>
            <w:noProof/>
          </w:rPr>
          <w:fldChar w:fldCharType="end"/>
        </w:r>
      </w:p>
    </w:sdtContent>
  </w:sdt>
  <w:p w14:paraId="326BF751" w14:textId="54D86966" w:rsidR="00AA4F83" w:rsidRPr="005C2437" w:rsidRDefault="005C2437" w:rsidP="005C2437">
    <w:pPr>
      <w:pStyle w:val="Footer"/>
      <w:jc w:val="center"/>
      <w:rPr>
        <w:rFonts w:ascii="Arial" w:hAnsi="Arial" w:cs="Arial"/>
        <w:sz w:val="14"/>
      </w:rPr>
    </w:pPr>
    <w:r w:rsidRPr="005C243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A153" w14:textId="77777777" w:rsidR="00123EDC" w:rsidRPr="00123EDC" w:rsidRDefault="00123EDC" w:rsidP="00123EDC">
    <w:pPr>
      <w:pStyle w:val="Footer"/>
      <w:jc w:val="center"/>
      <w:rPr>
        <w:rFonts w:ascii="Arial" w:hAnsi="Arial" w:cs="Arial"/>
        <w:sz w:val="14"/>
      </w:rPr>
    </w:pPr>
    <w:r>
      <w:rPr>
        <w:rFonts w:ascii="Arial" w:hAnsi="Arial" w:cs="Arial"/>
        <w:sz w:val="14"/>
      </w:rPr>
      <w:t>Authorised by the ACT Parliamentary Counsel-also accessible at www.legislation.act.gov.au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A5977" w14:textId="77777777" w:rsidR="007231F1" w:rsidRDefault="007231F1" w:rsidP="0072165A">
      <w:r>
        <w:separator/>
      </w:r>
    </w:p>
  </w:footnote>
  <w:footnote w:type="continuationSeparator" w:id="0">
    <w:p w14:paraId="18932AF7" w14:textId="77777777" w:rsidR="007231F1" w:rsidRDefault="007231F1" w:rsidP="0072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1EBFB" w14:textId="77777777" w:rsidR="005C2437" w:rsidRDefault="005C2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DA43" w14:textId="77777777" w:rsidR="005C2437" w:rsidRDefault="005C2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45E74" w14:textId="77777777" w:rsidR="005C2437" w:rsidRDefault="005C2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Chapter %1"/>
      <w:legacy w:legacy="1" w:legacySpace="120" w:legacyIndent="360"/>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C886E53"/>
    <w:multiLevelType w:val="hybridMultilevel"/>
    <w:tmpl w:val="51F0F6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257398"/>
    <w:multiLevelType w:val="hybridMultilevel"/>
    <w:tmpl w:val="B4A6E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F5F6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10CC0750"/>
    <w:multiLevelType w:val="hybridMultilevel"/>
    <w:tmpl w:val="CD6C4086"/>
    <w:lvl w:ilvl="0" w:tplc="51B4008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30040E"/>
    <w:multiLevelType w:val="hybridMultilevel"/>
    <w:tmpl w:val="7E8C552A"/>
    <w:lvl w:ilvl="0" w:tplc="CAAA4F60">
      <w:start w:val="1"/>
      <w:numFmt w:val="decimal"/>
      <w:lvlText w:val="(%1)"/>
      <w:lvlJc w:val="left"/>
      <w:pPr>
        <w:ind w:left="720" w:hanging="360"/>
      </w:pPr>
      <w:rPr>
        <w:rFonts w:cs="Times New Roman" w:hint="default"/>
        <w:color w:val="0000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D7B35BE"/>
    <w:multiLevelType w:val="hybridMultilevel"/>
    <w:tmpl w:val="13D094A4"/>
    <w:lvl w:ilvl="0" w:tplc="CFBCD97A">
      <w:start w:val="1"/>
      <w:numFmt w:val="lowerLetter"/>
      <w:lvlText w:val="(%1)"/>
      <w:lvlJc w:val="left"/>
      <w:pPr>
        <w:tabs>
          <w:tab w:val="num" w:pos="1578"/>
        </w:tabs>
        <w:ind w:left="1578" w:hanging="58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9140DF"/>
    <w:multiLevelType w:val="hybridMultilevel"/>
    <w:tmpl w:val="DC9E4A02"/>
    <w:lvl w:ilvl="0" w:tplc="43FEC590">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0627AA3"/>
    <w:multiLevelType w:val="hybridMultilevel"/>
    <w:tmpl w:val="0D3C0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7007B"/>
    <w:multiLevelType w:val="hybridMultilevel"/>
    <w:tmpl w:val="969C4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C878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1" w15:restartNumberingAfterBreak="0">
    <w:nsid w:val="335872B8"/>
    <w:multiLevelType w:val="hybridMultilevel"/>
    <w:tmpl w:val="4C4A0FDC"/>
    <w:lvl w:ilvl="0" w:tplc="A63CC0A4">
      <w:start w:val="1"/>
      <w:numFmt w:val="decimal"/>
      <w:lvlText w:val="%1."/>
      <w:lvlJc w:val="left"/>
      <w:pPr>
        <w:ind w:left="720" w:hanging="360"/>
      </w:pPr>
      <w:rPr>
        <w:rFonts w:cs="Times New Roman"/>
        <w:color w:val="auto"/>
        <w:sz w:val="24"/>
        <w:szCs w:val="24"/>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41F3676"/>
    <w:multiLevelType w:val="hybridMultilevel"/>
    <w:tmpl w:val="1AA69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C3F30"/>
    <w:multiLevelType w:val="hybridMultilevel"/>
    <w:tmpl w:val="9D821FEE"/>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BC4E92"/>
    <w:multiLevelType w:val="hybridMultilevel"/>
    <w:tmpl w:val="5C245A04"/>
    <w:lvl w:ilvl="0" w:tplc="E5629C52">
      <w:start w:val="1"/>
      <w:numFmt w:val="lowerLetter"/>
      <w:lvlText w:val="%1."/>
      <w:lvlJc w:val="left"/>
      <w:pPr>
        <w:ind w:left="495" w:hanging="1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D56399"/>
    <w:multiLevelType w:val="hybridMultilevel"/>
    <w:tmpl w:val="83920F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18" w15:restartNumberingAfterBreak="0">
    <w:nsid w:val="5A397682"/>
    <w:multiLevelType w:val="hybridMultilevel"/>
    <w:tmpl w:val="712052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822906"/>
    <w:multiLevelType w:val="hybridMultilevel"/>
    <w:tmpl w:val="13D094A4"/>
    <w:lvl w:ilvl="0" w:tplc="CFBCD97A">
      <w:start w:val="1"/>
      <w:numFmt w:val="lowerLetter"/>
      <w:lvlText w:val="(%1)"/>
      <w:lvlJc w:val="left"/>
      <w:pPr>
        <w:tabs>
          <w:tab w:val="num" w:pos="1578"/>
        </w:tabs>
        <w:ind w:left="1578" w:hanging="58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19"/>
  </w:num>
  <w:num w:numId="4">
    <w:abstractNumId w:val="19"/>
  </w:num>
  <w:num w:numId="5">
    <w:abstractNumId w:val="17"/>
  </w:num>
  <w:num w:numId="6">
    <w:abstractNumId w:val="0"/>
  </w:num>
  <w:num w:numId="7">
    <w:abstractNumId w:val="3"/>
  </w:num>
  <w:num w:numId="8">
    <w:abstractNumId w:val="10"/>
  </w:num>
  <w:num w:numId="9">
    <w:abstractNumId w:val="13"/>
  </w:num>
  <w:num w:numId="10">
    <w:abstractNumId w:val="11"/>
  </w:num>
  <w:num w:numId="11">
    <w:abstractNumId w:val="18"/>
  </w:num>
  <w:num w:numId="12">
    <w:abstractNumId w:val="5"/>
  </w:num>
  <w:num w:numId="13">
    <w:abstractNumId w:val="12"/>
  </w:num>
  <w:num w:numId="14">
    <w:abstractNumId w:val="16"/>
  </w:num>
  <w:num w:numId="15">
    <w:abstractNumId w:val="1"/>
  </w:num>
  <w:num w:numId="16">
    <w:abstractNumId w:val="15"/>
  </w:num>
  <w:num w:numId="17">
    <w:abstractNumId w:val="9"/>
  </w:num>
  <w:num w:numId="18">
    <w:abstractNumId w:val="2"/>
  </w:num>
  <w:num w:numId="19">
    <w:abstractNumId w:val="20"/>
  </w:num>
  <w:num w:numId="20">
    <w:abstractNumId w:val="4"/>
  </w:num>
  <w:num w:numId="21">
    <w:abstractNumId w:val="6"/>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33"/>
    <w:rsid w:val="00014FAF"/>
    <w:rsid w:val="00021B33"/>
    <w:rsid w:val="000378AB"/>
    <w:rsid w:val="00054C22"/>
    <w:rsid w:val="00060A33"/>
    <w:rsid w:val="0007102B"/>
    <w:rsid w:val="0007274D"/>
    <w:rsid w:val="000978AF"/>
    <w:rsid w:val="000A1126"/>
    <w:rsid w:val="000A1A53"/>
    <w:rsid w:val="000B0F5E"/>
    <w:rsid w:val="000D2583"/>
    <w:rsid w:val="000D4008"/>
    <w:rsid w:val="000D7A02"/>
    <w:rsid w:val="000E39C3"/>
    <w:rsid w:val="000E650E"/>
    <w:rsid w:val="000F3851"/>
    <w:rsid w:val="00105FCC"/>
    <w:rsid w:val="00123EDC"/>
    <w:rsid w:val="001266FD"/>
    <w:rsid w:val="00127170"/>
    <w:rsid w:val="0013502F"/>
    <w:rsid w:val="00140735"/>
    <w:rsid w:val="00152B42"/>
    <w:rsid w:val="0016000D"/>
    <w:rsid w:val="00166C2B"/>
    <w:rsid w:val="001673C6"/>
    <w:rsid w:val="00174F16"/>
    <w:rsid w:val="00192F90"/>
    <w:rsid w:val="001941ED"/>
    <w:rsid w:val="001A0F55"/>
    <w:rsid w:val="001A378E"/>
    <w:rsid w:val="001B2EE7"/>
    <w:rsid w:val="001C6B61"/>
    <w:rsid w:val="001E3861"/>
    <w:rsid w:val="001F0837"/>
    <w:rsid w:val="002234D6"/>
    <w:rsid w:val="00232A0D"/>
    <w:rsid w:val="00233B84"/>
    <w:rsid w:val="0024248E"/>
    <w:rsid w:val="00245CDA"/>
    <w:rsid w:val="00246ACC"/>
    <w:rsid w:val="00262752"/>
    <w:rsid w:val="00262BE9"/>
    <w:rsid w:val="002653F2"/>
    <w:rsid w:val="002675EF"/>
    <w:rsid w:val="00281DBC"/>
    <w:rsid w:val="00284A72"/>
    <w:rsid w:val="002876A0"/>
    <w:rsid w:val="00287BDE"/>
    <w:rsid w:val="00295BC7"/>
    <w:rsid w:val="002B0424"/>
    <w:rsid w:val="002B1103"/>
    <w:rsid w:val="002B36FA"/>
    <w:rsid w:val="002B48B8"/>
    <w:rsid w:val="002B63CA"/>
    <w:rsid w:val="002C16C9"/>
    <w:rsid w:val="002C7E2A"/>
    <w:rsid w:val="002D0D65"/>
    <w:rsid w:val="002D3737"/>
    <w:rsid w:val="002E019B"/>
    <w:rsid w:val="002F436A"/>
    <w:rsid w:val="00304573"/>
    <w:rsid w:val="00351439"/>
    <w:rsid w:val="00356FEB"/>
    <w:rsid w:val="00366411"/>
    <w:rsid w:val="003772D2"/>
    <w:rsid w:val="00384B25"/>
    <w:rsid w:val="0038751C"/>
    <w:rsid w:val="0039244C"/>
    <w:rsid w:val="00392F37"/>
    <w:rsid w:val="00393AEF"/>
    <w:rsid w:val="003A396F"/>
    <w:rsid w:val="003B460D"/>
    <w:rsid w:val="003C1595"/>
    <w:rsid w:val="003D00F2"/>
    <w:rsid w:val="003E6E42"/>
    <w:rsid w:val="003F5433"/>
    <w:rsid w:val="003F5FDA"/>
    <w:rsid w:val="00401091"/>
    <w:rsid w:val="00401C6F"/>
    <w:rsid w:val="00404806"/>
    <w:rsid w:val="0041050C"/>
    <w:rsid w:val="004455B3"/>
    <w:rsid w:val="00452348"/>
    <w:rsid w:val="00461DD9"/>
    <w:rsid w:val="00461F52"/>
    <w:rsid w:val="00470AC0"/>
    <w:rsid w:val="004726C7"/>
    <w:rsid w:val="00490B20"/>
    <w:rsid w:val="004A10CE"/>
    <w:rsid w:val="004B5FA2"/>
    <w:rsid w:val="004C0E18"/>
    <w:rsid w:val="004F5844"/>
    <w:rsid w:val="004F6272"/>
    <w:rsid w:val="00517DF8"/>
    <w:rsid w:val="005340B6"/>
    <w:rsid w:val="00542188"/>
    <w:rsid w:val="00543F67"/>
    <w:rsid w:val="00552A74"/>
    <w:rsid w:val="005741C0"/>
    <w:rsid w:val="005A2814"/>
    <w:rsid w:val="005A623D"/>
    <w:rsid w:val="005A7662"/>
    <w:rsid w:val="005C2437"/>
    <w:rsid w:val="005D14A9"/>
    <w:rsid w:val="006018F6"/>
    <w:rsid w:val="00610656"/>
    <w:rsid w:val="0062297D"/>
    <w:rsid w:val="006437A1"/>
    <w:rsid w:val="00654E91"/>
    <w:rsid w:val="00664497"/>
    <w:rsid w:val="006A6097"/>
    <w:rsid w:val="006A70C9"/>
    <w:rsid w:val="006C1CEC"/>
    <w:rsid w:val="006C78BD"/>
    <w:rsid w:val="006E4BC8"/>
    <w:rsid w:val="006F3430"/>
    <w:rsid w:val="007113B6"/>
    <w:rsid w:val="007154B0"/>
    <w:rsid w:val="0072165A"/>
    <w:rsid w:val="007231F1"/>
    <w:rsid w:val="0074780F"/>
    <w:rsid w:val="007644D3"/>
    <w:rsid w:val="00770952"/>
    <w:rsid w:val="0077323E"/>
    <w:rsid w:val="007A2A8B"/>
    <w:rsid w:val="007B45A6"/>
    <w:rsid w:val="007D0C74"/>
    <w:rsid w:val="007D3D99"/>
    <w:rsid w:val="007E5A88"/>
    <w:rsid w:val="0080286E"/>
    <w:rsid w:val="00811D4E"/>
    <w:rsid w:val="008149C6"/>
    <w:rsid w:val="0082341A"/>
    <w:rsid w:val="0082676F"/>
    <w:rsid w:val="0083084B"/>
    <w:rsid w:val="00832A81"/>
    <w:rsid w:val="00834048"/>
    <w:rsid w:val="00857485"/>
    <w:rsid w:val="00876B38"/>
    <w:rsid w:val="008836A6"/>
    <w:rsid w:val="00884A32"/>
    <w:rsid w:val="008B2BFA"/>
    <w:rsid w:val="008D062E"/>
    <w:rsid w:val="008D2B37"/>
    <w:rsid w:val="008D497B"/>
    <w:rsid w:val="008E00EA"/>
    <w:rsid w:val="008F0230"/>
    <w:rsid w:val="008F0FD5"/>
    <w:rsid w:val="008F4F49"/>
    <w:rsid w:val="00902C4A"/>
    <w:rsid w:val="00903411"/>
    <w:rsid w:val="00912333"/>
    <w:rsid w:val="009152DB"/>
    <w:rsid w:val="009201A2"/>
    <w:rsid w:val="00941A6E"/>
    <w:rsid w:val="009504C2"/>
    <w:rsid w:val="009619DF"/>
    <w:rsid w:val="00964895"/>
    <w:rsid w:val="00973DDE"/>
    <w:rsid w:val="00997D3B"/>
    <w:rsid w:val="009A4545"/>
    <w:rsid w:val="009A45B0"/>
    <w:rsid w:val="009B19DC"/>
    <w:rsid w:val="009B6376"/>
    <w:rsid w:val="009B68A7"/>
    <w:rsid w:val="009D0355"/>
    <w:rsid w:val="009D0427"/>
    <w:rsid w:val="009E0F58"/>
    <w:rsid w:val="009E5A23"/>
    <w:rsid w:val="009F4DAF"/>
    <w:rsid w:val="009F74FD"/>
    <w:rsid w:val="00A155EE"/>
    <w:rsid w:val="00A17BC4"/>
    <w:rsid w:val="00A23625"/>
    <w:rsid w:val="00A3257C"/>
    <w:rsid w:val="00A36D61"/>
    <w:rsid w:val="00A43F47"/>
    <w:rsid w:val="00A70C28"/>
    <w:rsid w:val="00A72282"/>
    <w:rsid w:val="00A800F1"/>
    <w:rsid w:val="00AA1410"/>
    <w:rsid w:val="00AA3589"/>
    <w:rsid w:val="00AA4F83"/>
    <w:rsid w:val="00AA5231"/>
    <w:rsid w:val="00AE43BD"/>
    <w:rsid w:val="00B00A05"/>
    <w:rsid w:val="00B121AC"/>
    <w:rsid w:val="00B124D4"/>
    <w:rsid w:val="00B2532B"/>
    <w:rsid w:val="00B26ADC"/>
    <w:rsid w:val="00B3529A"/>
    <w:rsid w:val="00B424AD"/>
    <w:rsid w:val="00B4259E"/>
    <w:rsid w:val="00B6038F"/>
    <w:rsid w:val="00B800EB"/>
    <w:rsid w:val="00BA68F2"/>
    <w:rsid w:val="00BA6DE5"/>
    <w:rsid w:val="00BC7D82"/>
    <w:rsid w:val="00BD4042"/>
    <w:rsid w:val="00BF49F8"/>
    <w:rsid w:val="00C02B97"/>
    <w:rsid w:val="00C143AF"/>
    <w:rsid w:val="00C1504A"/>
    <w:rsid w:val="00C33620"/>
    <w:rsid w:val="00C456D1"/>
    <w:rsid w:val="00C5103D"/>
    <w:rsid w:val="00C5654A"/>
    <w:rsid w:val="00C57E61"/>
    <w:rsid w:val="00C61523"/>
    <w:rsid w:val="00C630EF"/>
    <w:rsid w:val="00C71F9E"/>
    <w:rsid w:val="00C81A28"/>
    <w:rsid w:val="00C95871"/>
    <w:rsid w:val="00CC0DE5"/>
    <w:rsid w:val="00CE2D73"/>
    <w:rsid w:val="00D15E4E"/>
    <w:rsid w:val="00D26E38"/>
    <w:rsid w:val="00D31476"/>
    <w:rsid w:val="00D338A8"/>
    <w:rsid w:val="00D45372"/>
    <w:rsid w:val="00D55293"/>
    <w:rsid w:val="00D57ED9"/>
    <w:rsid w:val="00D60846"/>
    <w:rsid w:val="00D61E80"/>
    <w:rsid w:val="00D76488"/>
    <w:rsid w:val="00D868EC"/>
    <w:rsid w:val="00D9185A"/>
    <w:rsid w:val="00D9209D"/>
    <w:rsid w:val="00DA2769"/>
    <w:rsid w:val="00DA2915"/>
    <w:rsid w:val="00DA4B8A"/>
    <w:rsid w:val="00DA6664"/>
    <w:rsid w:val="00DB7942"/>
    <w:rsid w:val="00DF73B1"/>
    <w:rsid w:val="00E14CFE"/>
    <w:rsid w:val="00E16EAE"/>
    <w:rsid w:val="00E21678"/>
    <w:rsid w:val="00E34F98"/>
    <w:rsid w:val="00E60319"/>
    <w:rsid w:val="00E826C1"/>
    <w:rsid w:val="00E865F5"/>
    <w:rsid w:val="00E86C4B"/>
    <w:rsid w:val="00E94D2B"/>
    <w:rsid w:val="00EC7D6A"/>
    <w:rsid w:val="00EE5A51"/>
    <w:rsid w:val="00EE5E1D"/>
    <w:rsid w:val="00EF1AE9"/>
    <w:rsid w:val="00EF469F"/>
    <w:rsid w:val="00F124AE"/>
    <w:rsid w:val="00F20ABC"/>
    <w:rsid w:val="00F230F9"/>
    <w:rsid w:val="00F37D26"/>
    <w:rsid w:val="00F40C11"/>
    <w:rsid w:val="00F51AF3"/>
    <w:rsid w:val="00F53808"/>
    <w:rsid w:val="00F54583"/>
    <w:rsid w:val="00F64A07"/>
    <w:rsid w:val="00F674C8"/>
    <w:rsid w:val="00F837B6"/>
    <w:rsid w:val="00F86A70"/>
    <w:rsid w:val="00F902DE"/>
    <w:rsid w:val="00F94183"/>
    <w:rsid w:val="00FA20EC"/>
    <w:rsid w:val="00FA32A3"/>
    <w:rsid w:val="00FB312C"/>
    <w:rsid w:val="00FB7B69"/>
    <w:rsid w:val="00FD1726"/>
    <w:rsid w:val="00FD2419"/>
    <w:rsid w:val="00FE7DFB"/>
    <w:rsid w:val="00FF2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0E2AC3E"/>
  <w14:defaultImageDpi w14:val="0"/>
  <w15:docId w15:val="{86AF3067-A651-4E44-8B33-CD942BA8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ACC"/>
    <w:rPr>
      <w:sz w:val="24"/>
      <w:szCs w:val="24"/>
      <w:lang w:eastAsia="en-US"/>
    </w:rPr>
  </w:style>
  <w:style w:type="paragraph" w:styleId="Heading1">
    <w:name w:val="heading 1"/>
    <w:basedOn w:val="Normal"/>
    <w:next w:val="Normal"/>
    <w:link w:val="Heading1Char"/>
    <w:uiPriority w:val="9"/>
    <w:qFormat/>
    <w:rsid w:val="00246ACC"/>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
    <w:qFormat/>
    <w:rsid w:val="00246ACC"/>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link w:val="Heading3Char"/>
    <w:uiPriority w:val="9"/>
    <w:qFormat/>
    <w:rsid w:val="00246ACC"/>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link w:val="Heading4Char"/>
    <w:uiPriority w:val="9"/>
    <w:qFormat/>
    <w:rsid w:val="00246ACC"/>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link w:val="Heading5Char"/>
    <w:uiPriority w:val="9"/>
    <w:qFormat/>
    <w:rsid w:val="00246ACC"/>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link w:val="Heading6Char"/>
    <w:uiPriority w:val="9"/>
    <w:qFormat/>
    <w:rsid w:val="00246ACC"/>
    <w:pPr>
      <w:keepNext/>
      <w:outlineLvl w:val="5"/>
    </w:pPr>
    <w:rPr>
      <w:b/>
      <w:bCs/>
    </w:rPr>
  </w:style>
  <w:style w:type="paragraph" w:styleId="Heading7">
    <w:name w:val="heading 7"/>
    <w:basedOn w:val="Normal"/>
    <w:next w:val="Normal"/>
    <w:link w:val="Heading7Char"/>
    <w:uiPriority w:val="9"/>
    <w:qFormat/>
    <w:rsid w:val="00246ACC"/>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link w:val="Heading8Char"/>
    <w:uiPriority w:val="9"/>
    <w:qFormat/>
    <w:rsid w:val="00246ACC"/>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link w:val="Heading9Char"/>
    <w:uiPriority w:val="9"/>
    <w:qFormat/>
    <w:rsid w:val="00246ACC"/>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6ACC"/>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246ACC"/>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246ACC"/>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246ACC"/>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246ACC"/>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246ACC"/>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sid w:val="00246ACC"/>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246ACC"/>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sid w:val="00246ACC"/>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rsid w:val="00246ACC"/>
    <w:pPr>
      <w:widowControl w:val="0"/>
      <w:tabs>
        <w:tab w:val="center" w:pos="4153"/>
        <w:tab w:val="right" w:pos="8306"/>
      </w:tabs>
    </w:pPr>
    <w:rPr>
      <w:lang w:val="en-US"/>
    </w:rPr>
  </w:style>
  <w:style w:type="character" w:customStyle="1" w:styleId="HeaderChar">
    <w:name w:val="Header Char"/>
    <w:basedOn w:val="DefaultParagraphFont"/>
    <w:link w:val="Header"/>
    <w:uiPriority w:val="99"/>
    <w:locked/>
    <w:rsid w:val="00F20ABC"/>
    <w:rPr>
      <w:rFonts w:cs="Times New Roman"/>
      <w:sz w:val="24"/>
      <w:lang w:val="en-US" w:eastAsia="en-US"/>
    </w:rPr>
  </w:style>
  <w:style w:type="paragraph" w:customStyle="1" w:styleId="Billname">
    <w:name w:val="Billname"/>
    <w:basedOn w:val="Normal"/>
    <w:uiPriority w:val="99"/>
    <w:rsid w:val="00246ACC"/>
    <w:pPr>
      <w:tabs>
        <w:tab w:val="left" w:pos="2400"/>
        <w:tab w:val="left" w:pos="2880"/>
      </w:tabs>
      <w:spacing w:before="1220" w:after="100"/>
    </w:pPr>
    <w:rPr>
      <w:rFonts w:ascii="Arial" w:hAnsi="Arial" w:cs="Arial"/>
      <w:b/>
      <w:bCs/>
      <w:sz w:val="40"/>
      <w:szCs w:val="40"/>
    </w:rPr>
  </w:style>
  <w:style w:type="paragraph" w:customStyle="1" w:styleId="dot">
    <w:name w:val="dot"/>
    <w:basedOn w:val="Normal"/>
    <w:rsid w:val="00246ACC"/>
    <w:pPr>
      <w:numPr>
        <w:numId w:val="1"/>
      </w:numPr>
    </w:pPr>
    <w:rPr>
      <w:rFonts w:ascii="Arial" w:hAnsi="Arial" w:cs="Arial"/>
    </w:rPr>
  </w:style>
  <w:style w:type="paragraph" w:customStyle="1" w:styleId="dot2">
    <w:name w:val="dot 2"/>
    <w:basedOn w:val="Normal"/>
    <w:rsid w:val="00246ACC"/>
    <w:pPr>
      <w:numPr>
        <w:numId w:val="2"/>
      </w:numPr>
    </w:pPr>
    <w:rPr>
      <w:rFonts w:ascii="Arial" w:hAnsi="Arial" w:cs="Arial"/>
    </w:rPr>
  </w:style>
  <w:style w:type="paragraph" w:customStyle="1" w:styleId="para">
    <w:name w:val="para"/>
    <w:basedOn w:val="Normal"/>
    <w:rsid w:val="00246ACC"/>
    <w:pPr>
      <w:spacing w:before="120" w:after="120"/>
    </w:pPr>
    <w:rPr>
      <w:rFonts w:ascii="Arial" w:hAnsi="Arial" w:cs="Arial"/>
    </w:rPr>
  </w:style>
  <w:style w:type="paragraph" w:customStyle="1" w:styleId="textbox">
    <w:name w:val="text box"/>
    <w:basedOn w:val="Normal"/>
    <w:rsid w:val="00246ACC"/>
    <w:pPr>
      <w:spacing w:before="60" w:after="60"/>
    </w:pPr>
    <w:rPr>
      <w:rFonts w:ascii="Tahoma" w:hAnsi="Tahoma" w:cs="Tahoma"/>
    </w:rPr>
  </w:style>
  <w:style w:type="paragraph" w:customStyle="1" w:styleId="Dotpoint">
    <w:name w:val="Dot point"/>
    <w:basedOn w:val="Normal"/>
    <w:rsid w:val="00246ACC"/>
    <w:pPr>
      <w:numPr>
        <w:numId w:val="4"/>
      </w:numPr>
      <w:tabs>
        <w:tab w:val="left" w:pos="851"/>
      </w:tabs>
      <w:spacing w:before="60" w:after="60"/>
    </w:pPr>
    <w:rPr>
      <w:rFonts w:ascii="Arial" w:hAnsi="Arial" w:cs="Arial"/>
      <w:lang w:val="en-US"/>
    </w:rPr>
  </w:style>
  <w:style w:type="paragraph" w:customStyle="1" w:styleId="madeunder">
    <w:name w:val="made under"/>
    <w:basedOn w:val="Normal"/>
    <w:rsid w:val="00246ACC"/>
    <w:pPr>
      <w:spacing w:before="180" w:after="60"/>
      <w:jc w:val="both"/>
    </w:pPr>
  </w:style>
  <w:style w:type="paragraph" w:customStyle="1" w:styleId="CoverActName">
    <w:name w:val="CoverActName"/>
    <w:basedOn w:val="Normal"/>
    <w:rsid w:val="00246ACC"/>
    <w:pPr>
      <w:tabs>
        <w:tab w:val="left" w:pos="2600"/>
      </w:tabs>
      <w:spacing w:before="200" w:after="60"/>
      <w:jc w:val="both"/>
    </w:pPr>
    <w:rPr>
      <w:rFonts w:ascii="Arial" w:hAnsi="Arial" w:cs="Arial"/>
      <w:b/>
      <w:bCs/>
    </w:rPr>
  </w:style>
  <w:style w:type="paragraph" w:customStyle="1" w:styleId="N-line3">
    <w:name w:val="N-line3"/>
    <w:basedOn w:val="Normal"/>
    <w:next w:val="Normal"/>
    <w:rsid w:val="00246ACC"/>
    <w:pPr>
      <w:pBdr>
        <w:bottom w:val="single" w:sz="12" w:space="1" w:color="auto"/>
      </w:pBdr>
      <w:jc w:val="both"/>
    </w:pPr>
  </w:style>
  <w:style w:type="paragraph" w:customStyle="1" w:styleId="LongTitle">
    <w:name w:val="LongTitle"/>
    <w:basedOn w:val="Normal"/>
    <w:rsid w:val="00246ACC"/>
    <w:pPr>
      <w:spacing w:before="240" w:after="60"/>
      <w:jc w:val="both"/>
    </w:pPr>
  </w:style>
  <w:style w:type="paragraph" w:styleId="Footer">
    <w:name w:val="footer"/>
    <w:basedOn w:val="Normal"/>
    <w:link w:val="FooterChar"/>
    <w:uiPriority w:val="99"/>
    <w:rsid w:val="00246ACC"/>
    <w:pPr>
      <w:tabs>
        <w:tab w:val="center" w:pos="4153"/>
        <w:tab w:val="right" w:pos="8306"/>
      </w:tabs>
    </w:pPr>
  </w:style>
  <w:style w:type="character" w:customStyle="1" w:styleId="FooterChar">
    <w:name w:val="Footer Char"/>
    <w:basedOn w:val="DefaultParagraphFont"/>
    <w:link w:val="Footer"/>
    <w:uiPriority w:val="99"/>
    <w:locked/>
    <w:rsid w:val="00246ACC"/>
    <w:rPr>
      <w:rFonts w:cs="Times New Roman"/>
      <w:sz w:val="24"/>
      <w:szCs w:val="24"/>
      <w:lang w:val="x-none" w:eastAsia="en-US"/>
    </w:rPr>
  </w:style>
  <w:style w:type="paragraph" w:customStyle="1" w:styleId="ChronTableBold">
    <w:name w:val="ChronTableBold"/>
    <w:basedOn w:val="Normal"/>
    <w:rsid w:val="00246ACC"/>
    <w:pPr>
      <w:keepNext/>
      <w:spacing w:before="180"/>
    </w:pPr>
    <w:rPr>
      <w:rFonts w:ascii="Arial" w:hAnsi="Arial" w:cs="Arial"/>
      <w:b/>
      <w:bCs/>
      <w:sz w:val="18"/>
      <w:szCs w:val="18"/>
      <w:lang w:val="en-US"/>
    </w:rPr>
  </w:style>
  <w:style w:type="paragraph" w:customStyle="1" w:styleId="Amain">
    <w:name w:val="A main"/>
    <w:basedOn w:val="Normal"/>
    <w:rsid w:val="00246ACC"/>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rsid w:val="00246ACC"/>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uiPriority w:val="35"/>
    <w:qFormat/>
    <w:rsid w:val="00246ACC"/>
    <w:rPr>
      <w:rFonts w:ascii="Arial" w:hAnsi="Arial" w:cs="Arial"/>
      <w:lang w:val="en-GB"/>
    </w:rPr>
  </w:style>
  <w:style w:type="paragraph" w:styleId="BalloonText">
    <w:name w:val="Balloon Text"/>
    <w:basedOn w:val="Normal"/>
    <w:link w:val="BalloonTextChar"/>
    <w:uiPriority w:val="99"/>
    <w:rsid w:val="00287BDE"/>
    <w:rPr>
      <w:rFonts w:ascii="Tahoma" w:hAnsi="Tahoma" w:cs="Tahoma"/>
      <w:sz w:val="16"/>
      <w:szCs w:val="16"/>
    </w:rPr>
  </w:style>
  <w:style w:type="character" w:customStyle="1" w:styleId="BalloonTextChar">
    <w:name w:val="Balloon Text Char"/>
    <w:basedOn w:val="DefaultParagraphFont"/>
    <w:link w:val="BalloonText"/>
    <w:uiPriority w:val="99"/>
    <w:locked/>
    <w:rsid w:val="00287BDE"/>
    <w:rPr>
      <w:rFonts w:ascii="Tahoma" w:hAnsi="Tahoma" w:cs="Tahoma"/>
      <w:sz w:val="16"/>
      <w:szCs w:val="16"/>
      <w:lang w:val="x-none" w:eastAsia="en-US"/>
    </w:rPr>
  </w:style>
  <w:style w:type="character" w:styleId="CommentReference">
    <w:name w:val="annotation reference"/>
    <w:basedOn w:val="DefaultParagraphFont"/>
    <w:uiPriority w:val="99"/>
    <w:rsid w:val="0072165A"/>
    <w:rPr>
      <w:rFonts w:cs="Times New Roman"/>
      <w:sz w:val="16"/>
      <w:szCs w:val="16"/>
    </w:rPr>
  </w:style>
  <w:style w:type="paragraph" w:styleId="CommentText">
    <w:name w:val="annotation text"/>
    <w:basedOn w:val="Normal"/>
    <w:link w:val="CommentTextChar"/>
    <w:uiPriority w:val="99"/>
    <w:rsid w:val="0072165A"/>
    <w:rPr>
      <w:sz w:val="20"/>
      <w:szCs w:val="20"/>
    </w:rPr>
  </w:style>
  <w:style w:type="character" w:customStyle="1" w:styleId="CommentTextChar">
    <w:name w:val="Comment Text Char"/>
    <w:basedOn w:val="DefaultParagraphFont"/>
    <w:link w:val="CommentText"/>
    <w:uiPriority w:val="99"/>
    <w:locked/>
    <w:rsid w:val="0072165A"/>
    <w:rPr>
      <w:rFonts w:cs="Times New Roman"/>
      <w:lang w:val="x-none" w:eastAsia="en-US"/>
    </w:rPr>
  </w:style>
  <w:style w:type="paragraph" w:styleId="CommentSubject">
    <w:name w:val="annotation subject"/>
    <w:basedOn w:val="CommentText"/>
    <w:next w:val="CommentText"/>
    <w:link w:val="CommentSubjectChar"/>
    <w:uiPriority w:val="99"/>
    <w:rsid w:val="0072165A"/>
    <w:rPr>
      <w:b/>
      <w:bCs/>
    </w:rPr>
  </w:style>
  <w:style w:type="character" w:customStyle="1" w:styleId="CommentSubjectChar">
    <w:name w:val="Comment Subject Char"/>
    <w:basedOn w:val="CommentTextChar"/>
    <w:link w:val="CommentSubject"/>
    <w:uiPriority w:val="99"/>
    <w:locked/>
    <w:rsid w:val="0072165A"/>
    <w:rPr>
      <w:rFonts w:cs="Times New Roman"/>
      <w:b/>
      <w:bCs/>
      <w:lang w:val="x-none" w:eastAsia="en-US"/>
    </w:rPr>
  </w:style>
  <w:style w:type="character" w:styleId="Hyperlink">
    <w:name w:val="Hyperlink"/>
    <w:basedOn w:val="DefaultParagraphFont"/>
    <w:uiPriority w:val="99"/>
    <w:rsid w:val="0016000D"/>
    <w:rPr>
      <w:rFonts w:cs="Times New Roman"/>
      <w:color w:val="0000FF" w:themeColor="hyperlink"/>
      <w:u w:val="single"/>
    </w:rPr>
  </w:style>
  <w:style w:type="paragraph" w:styleId="FootnoteText">
    <w:name w:val="footnote text"/>
    <w:basedOn w:val="Normal"/>
    <w:link w:val="FootnoteTextChar"/>
    <w:uiPriority w:val="99"/>
    <w:rsid w:val="00F53808"/>
    <w:rPr>
      <w:sz w:val="20"/>
      <w:szCs w:val="20"/>
    </w:rPr>
  </w:style>
  <w:style w:type="character" w:customStyle="1" w:styleId="FootnoteTextChar">
    <w:name w:val="Footnote Text Char"/>
    <w:basedOn w:val="DefaultParagraphFont"/>
    <w:link w:val="FootnoteText"/>
    <w:uiPriority w:val="99"/>
    <w:locked/>
    <w:rsid w:val="00F53808"/>
    <w:rPr>
      <w:rFonts w:cs="Times New Roman"/>
      <w:lang w:val="x-none" w:eastAsia="en-US"/>
    </w:rPr>
  </w:style>
  <w:style w:type="character" w:styleId="FootnoteReference">
    <w:name w:val="footnote reference"/>
    <w:basedOn w:val="DefaultParagraphFont"/>
    <w:uiPriority w:val="99"/>
    <w:rsid w:val="00F53808"/>
    <w:rPr>
      <w:rFonts w:cs="Times New Roman"/>
      <w:vertAlign w:val="superscript"/>
    </w:rPr>
  </w:style>
  <w:style w:type="character" w:customStyle="1" w:styleId="Calibri12">
    <w:name w:val="Calibri 12"/>
    <w:basedOn w:val="DefaultParagraphFont"/>
    <w:uiPriority w:val="1"/>
    <w:qFormat/>
    <w:rsid w:val="00664497"/>
    <w:rPr>
      <w:rFonts w:ascii="Calibri" w:hAnsi="Calibri" w:cs="Times New Roman"/>
      <w:sz w:val="24"/>
    </w:rPr>
  </w:style>
  <w:style w:type="paragraph" w:styleId="ListParagraph">
    <w:name w:val="List Paragraph"/>
    <w:aliases w:val="lp1,numbered,Paragraphe de liste1,Bulletr List Paragraph,列出段落,列出段落1,List Paragraph2,List Paragraph21,Listeafsnit1,Parágrafo da Lista1,Bullet list,Párrafo de lista1,リスト段落1,List Paragraph11,Foot,FooterText,Bullet List,standard lewis"/>
    <w:basedOn w:val="Normal"/>
    <w:link w:val="ListParagraphChar"/>
    <w:uiPriority w:val="34"/>
    <w:qFormat/>
    <w:rsid w:val="00664497"/>
    <w:pPr>
      <w:widowControl w:val="0"/>
      <w:ind w:left="720"/>
      <w:contextualSpacing/>
    </w:pPr>
    <w:rPr>
      <w:iCs/>
      <w:lang w:val="en-US"/>
    </w:rPr>
  </w:style>
  <w:style w:type="paragraph" w:customStyle="1" w:styleId="Pa7">
    <w:name w:val="Pa7"/>
    <w:basedOn w:val="Normal"/>
    <w:next w:val="Normal"/>
    <w:uiPriority w:val="99"/>
    <w:rsid w:val="00A155EE"/>
    <w:pPr>
      <w:autoSpaceDE w:val="0"/>
      <w:autoSpaceDN w:val="0"/>
      <w:adjustRightInd w:val="0"/>
      <w:spacing w:line="211" w:lineRule="atLeast"/>
    </w:pPr>
    <w:rPr>
      <w:rFonts w:ascii="Source Sans Pro Light" w:hAnsi="Source Sans Pro Light"/>
      <w:lang w:eastAsia="en-AU"/>
    </w:rPr>
  </w:style>
  <w:style w:type="character" w:customStyle="1" w:styleId="ListParagraphChar">
    <w:name w:val="List Paragraph Char"/>
    <w:aliases w:val="lp1 Char,numbered Char,Paragraphe de liste1 Char,Bulletr List Paragraph Char,列出段落 Char,列出段落1 Char,List Paragraph2 Char,List Paragraph21 Char,Listeafsnit1 Char,Parágrafo da Lista1 Char,Bullet list Char,Párrafo de lista1 Char,Foot Char"/>
    <w:link w:val="ListParagraph"/>
    <w:uiPriority w:val="34"/>
    <w:locked/>
    <w:rsid w:val="00B4259E"/>
    <w:rPr>
      <w:iCs/>
      <w:sz w:val="24"/>
      <w:szCs w:val="24"/>
      <w:lang w:val="en-US" w:eastAsia="en-US"/>
    </w:rPr>
  </w:style>
  <w:style w:type="character" w:customStyle="1" w:styleId="charItals">
    <w:name w:val="charItals"/>
    <w:basedOn w:val="DefaultParagraphFont"/>
    <w:rsid w:val="004B5FA2"/>
    <w:rPr>
      <w:rFonts w:cs="Times New Roman"/>
      <w:i/>
    </w:rPr>
  </w:style>
  <w:style w:type="paragraph" w:styleId="TOC1">
    <w:name w:val="toc 1"/>
    <w:basedOn w:val="Normal"/>
    <w:next w:val="Normal"/>
    <w:autoRedefine/>
    <w:uiPriority w:val="39"/>
    <w:rsid w:val="00384B25"/>
    <w:pPr>
      <w:spacing w:before="360"/>
    </w:pPr>
    <w:rPr>
      <w:rFonts w:ascii="Arial" w:hAnsi="Arial" w:cs="Arial"/>
      <w:b/>
      <w:bCs/>
    </w:rPr>
  </w:style>
  <w:style w:type="paragraph" w:styleId="TOC3">
    <w:name w:val="toc 3"/>
    <w:basedOn w:val="Normal"/>
    <w:next w:val="Normal"/>
    <w:autoRedefine/>
    <w:uiPriority w:val="39"/>
    <w:rsid w:val="00384B25"/>
    <w:pPr>
      <w:tabs>
        <w:tab w:val="left" w:pos="720"/>
        <w:tab w:val="right" w:leader="dot" w:pos="8222"/>
        <w:tab w:val="right" w:pos="8302"/>
      </w:tabs>
      <w:spacing w:line="360" w:lineRule="auto"/>
      <w:ind w:left="718" w:right="90" w:hanging="480"/>
      <w:jc w:val="right"/>
    </w:pPr>
    <w:rPr>
      <w:rFonts w:ascii="Arial" w:hAnsi="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91049">
      <w:marLeft w:val="0"/>
      <w:marRight w:val="0"/>
      <w:marTop w:val="0"/>
      <w:marBottom w:val="0"/>
      <w:divBdr>
        <w:top w:val="none" w:sz="0" w:space="0" w:color="auto"/>
        <w:left w:val="none" w:sz="0" w:space="0" w:color="auto"/>
        <w:bottom w:val="none" w:sz="0" w:space="0" w:color="auto"/>
        <w:right w:val="none" w:sz="0" w:space="0" w:color="auto"/>
      </w:divBdr>
    </w:div>
    <w:div w:id="1510291050">
      <w:marLeft w:val="0"/>
      <w:marRight w:val="0"/>
      <w:marTop w:val="0"/>
      <w:marBottom w:val="0"/>
      <w:divBdr>
        <w:top w:val="none" w:sz="0" w:space="0" w:color="auto"/>
        <w:left w:val="none" w:sz="0" w:space="0" w:color="auto"/>
        <w:bottom w:val="none" w:sz="0" w:space="0" w:color="auto"/>
        <w:right w:val="none" w:sz="0" w:space="0" w:color="auto"/>
      </w:divBdr>
    </w:div>
    <w:div w:id="1528257423">
      <w:bodyDiv w:val="1"/>
      <w:marLeft w:val="0"/>
      <w:marRight w:val="0"/>
      <w:marTop w:val="0"/>
      <w:marBottom w:val="0"/>
      <w:divBdr>
        <w:top w:val="none" w:sz="0" w:space="0" w:color="auto"/>
        <w:left w:val="none" w:sz="0" w:space="0" w:color="auto"/>
        <w:bottom w:val="none" w:sz="0" w:space="0" w:color="auto"/>
        <w:right w:val="none" w:sz="0" w:space="0" w:color="auto"/>
      </w:divBdr>
    </w:div>
    <w:div w:id="214592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cc.abcb.gov.au/ncc-online/NC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legislation.act.gov.au/a/2004-1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planning.act.gov.au/build-buy-renovate/reviews-and-reforms/building-refor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B79B-98C2-4C17-A73F-27153D0273C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FDC5E5D-E9AB-4E10-AD2E-2F98BF22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9200</Characters>
  <Application>Microsoft Office Word</Application>
  <DocSecurity>0</DocSecurity>
  <Lines>190</Lines>
  <Paragraphs>58</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PCODCS</cp:lastModifiedBy>
  <cp:revision>4</cp:revision>
  <cp:lastPrinted>2017-11-15T21:11:00Z</cp:lastPrinted>
  <dcterms:created xsi:type="dcterms:W3CDTF">2019-06-27T07:04:00Z</dcterms:created>
  <dcterms:modified xsi:type="dcterms:W3CDTF">2019-06-27T07:04:00Z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A20276075</vt:lpwstr>
  </property>
  <property fmtid="{D5CDD505-2E9C-101B-9397-08002B2CF9AE}" pid="3" name="Objective-Comment">
    <vt:lpwstr/>
  </property>
  <property fmtid="{D5CDD505-2E9C-101B-9397-08002B2CF9AE}" pid="4" name="Objective-CreationStamp">
    <vt:filetime>2019-06-23T06:59:26Z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2019-06-27T05:37:01Z</vt:filetime>
  </property>
  <property fmtid="{D5CDD505-2E9C-101B-9397-08002B2CF9AE}" pid="8" name="Objective-ModificationStamp">
    <vt:filetime>2019-06-27T05:37:01Z</vt:filetime>
  </property>
  <property fmtid="{D5CDD505-2E9C-101B-9397-08002B2CF9AE}" pid="9" name="Objective-Owner">
    <vt:lpwstr>Vanessa Morris</vt:lpwstr>
  </property>
  <property fmtid="{D5CDD505-2E9C-101B-9397-08002B2CF9AE}" pid="10" name="Objective-Path">
    <vt:lpwstr>Whole of ACT Government:EPSDD - Environment Planning and Sustainable Development Directorate:07. Ministerial, Cabinet and Government Relations:06. Ministerials:2019 -  Ministerial and Chief Ministerial Briefs / Correspondence:Building Policy:19/05001 - 19</vt:lpwstr>
  </property>
  <property fmtid="{D5CDD505-2E9C-101B-9397-08002B2CF9AE}" pid="11" name="Objective-Parent">
    <vt:lpwstr>19/19836 - Ministerial-Information Brief - Building Reforms - Reform 4 - Building Surveyors Code of Practice</vt:lpwstr>
  </property>
  <property fmtid="{D5CDD505-2E9C-101B-9397-08002B2CF9AE}" pid="12" name="Objective-State">
    <vt:lpwstr>Published</vt:lpwstr>
  </property>
  <property fmtid="{D5CDD505-2E9C-101B-9397-08002B2CF9AE}" pid="13" name="Objective-Title">
    <vt:lpwstr>Attachment B - Explanatory Statement DI Building Surveyors Code of Practice</vt:lpwstr>
  </property>
  <property fmtid="{D5CDD505-2E9C-101B-9397-08002B2CF9AE}" pid="14" name="Objective-Version">
    <vt:lpwstr>11.0</vt:lpwstr>
  </property>
  <property fmtid="{D5CDD505-2E9C-101B-9397-08002B2CF9AE}" pid="15" name="Objective-VersionComment">
    <vt:lpwstr/>
  </property>
  <property fmtid="{D5CDD505-2E9C-101B-9397-08002B2CF9AE}" pid="16" name="Objective-VersionNumber">
    <vt:r8>11</vt:r8>
  </property>
  <property fmtid="{D5CDD505-2E9C-101B-9397-08002B2CF9AE}" pid="17" name="Objective-FileNumber">
    <vt:lpwstr>1-2019/19836</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623d6324-093d-4f46-a038-78c85457b607</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ies>
</file>