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A8B" w:rsidRDefault="007A2A8B" w:rsidP="0072165A">
      <w:pPr>
        <w:pStyle w:val="Header"/>
        <w:spacing w:before="120"/>
        <w:rPr>
          <w:rFonts w:ascii="Arial" w:hAnsi="Arial" w:cs="Arial"/>
        </w:rPr>
      </w:pPr>
      <w:bookmarkStart w:id="0" w:name="_GoBack"/>
      <w:bookmarkEnd w:id="0"/>
      <w:smartTag w:uri="urn:schemas-microsoft-com:office:smarttags" w:element="place">
        <w:smartTag w:uri="urn:schemas-microsoft-com:office:smarttags" w:element="State">
          <w:r>
            <w:rPr>
              <w:rFonts w:ascii="Arial" w:hAnsi="Arial" w:cs="Arial"/>
            </w:rPr>
            <w:t>Australian Capital Territory</w:t>
          </w:r>
        </w:smartTag>
      </w:smartTag>
    </w:p>
    <w:p w:rsidR="007A2A8B" w:rsidRDefault="007A2A8B" w:rsidP="0072165A">
      <w:pPr>
        <w:pStyle w:val="Billname"/>
        <w:tabs>
          <w:tab w:val="left" w:pos="3828"/>
        </w:tabs>
        <w:spacing w:before="700"/>
        <w:rPr>
          <w:szCs w:val="32"/>
        </w:rPr>
      </w:pPr>
      <w:r>
        <w:rPr>
          <w:szCs w:val="32"/>
        </w:rPr>
        <w:t xml:space="preserve">Construction Occupations </w:t>
      </w:r>
      <w:r w:rsidR="0072165A">
        <w:rPr>
          <w:szCs w:val="32"/>
        </w:rPr>
        <w:t>(</w:t>
      </w:r>
      <w:r>
        <w:rPr>
          <w:szCs w:val="32"/>
        </w:rPr>
        <w:t>Licensing</w:t>
      </w:r>
      <w:r w:rsidR="0072165A">
        <w:rPr>
          <w:szCs w:val="32"/>
        </w:rPr>
        <w:t>)</w:t>
      </w:r>
      <w:r>
        <w:rPr>
          <w:szCs w:val="32"/>
        </w:rPr>
        <w:t xml:space="preserve"> </w:t>
      </w:r>
      <w:r w:rsidRPr="0024248E">
        <w:rPr>
          <w:szCs w:val="32"/>
        </w:rPr>
        <w:t>(</w:t>
      </w:r>
      <w:r w:rsidR="00393AEF" w:rsidRPr="0024248E">
        <w:t>Qualifications</w:t>
      </w:r>
      <w:r w:rsidR="0038751C" w:rsidRPr="0024248E">
        <w:t>—</w:t>
      </w:r>
      <w:r w:rsidR="00295BC7" w:rsidRPr="0024248E">
        <w:t>Builder</w:t>
      </w:r>
      <w:r w:rsidR="00295BC7">
        <w:t xml:space="preserve"> and Building Surveyor Licences</w:t>
      </w:r>
      <w:r>
        <w:rPr>
          <w:szCs w:val="32"/>
        </w:rPr>
        <w:t>) De</w:t>
      </w:r>
      <w:r w:rsidR="00393AEF">
        <w:rPr>
          <w:szCs w:val="32"/>
        </w:rPr>
        <w:t xml:space="preserve">claration </w:t>
      </w:r>
      <w:r>
        <w:rPr>
          <w:szCs w:val="32"/>
        </w:rPr>
        <w:t>20</w:t>
      </w:r>
      <w:r w:rsidR="00964895">
        <w:rPr>
          <w:szCs w:val="32"/>
        </w:rPr>
        <w:t>1</w:t>
      </w:r>
      <w:r w:rsidR="00811D4E">
        <w:rPr>
          <w:szCs w:val="32"/>
        </w:rPr>
        <w:t>9</w:t>
      </w:r>
      <w:r w:rsidR="003D5D61">
        <w:rPr>
          <w:szCs w:val="32"/>
        </w:rPr>
        <w:t xml:space="preserve"> (No 2)</w:t>
      </w:r>
    </w:p>
    <w:p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38751C">
        <w:rPr>
          <w:rFonts w:ascii="Arial" w:hAnsi="Arial" w:cs="Arial"/>
          <w:b/>
          <w:bCs/>
        </w:rPr>
        <w:t>i</w:t>
      </w:r>
      <w:r>
        <w:rPr>
          <w:rFonts w:ascii="Arial" w:hAnsi="Arial" w:cs="Arial"/>
          <w:b/>
          <w:bCs/>
        </w:rPr>
        <w:t>nstrument DI20</w:t>
      </w:r>
      <w:r w:rsidR="00964895">
        <w:rPr>
          <w:rFonts w:ascii="Arial" w:hAnsi="Arial" w:cs="Arial"/>
          <w:b/>
          <w:bCs/>
        </w:rPr>
        <w:t>1</w:t>
      </w:r>
      <w:r w:rsidR="00811D4E">
        <w:rPr>
          <w:rFonts w:ascii="Arial" w:hAnsi="Arial" w:cs="Arial"/>
          <w:b/>
          <w:bCs/>
        </w:rPr>
        <w:t>9</w:t>
      </w:r>
      <w:r w:rsidR="007A2A8B">
        <w:rPr>
          <w:rFonts w:ascii="Arial" w:hAnsi="Arial" w:cs="Arial"/>
          <w:b/>
          <w:bCs/>
        </w:rPr>
        <w:t>-</w:t>
      </w:r>
      <w:r w:rsidR="00DF16F9">
        <w:rPr>
          <w:rFonts w:ascii="Arial" w:hAnsi="Arial" w:cs="Arial"/>
          <w:b/>
          <w:bCs/>
        </w:rPr>
        <w:t>181</w:t>
      </w:r>
    </w:p>
    <w:p w:rsidR="007A2A8B" w:rsidRDefault="007A2A8B" w:rsidP="0072165A">
      <w:pPr>
        <w:pStyle w:val="madeunder"/>
        <w:spacing w:before="300" w:after="0"/>
      </w:pPr>
      <w:r>
        <w:t>made under the</w:t>
      </w:r>
    </w:p>
    <w:p w:rsidR="00D868EC" w:rsidRDefault="007A2A8B" w:rsidP="0038751C">
      <w:pPr>
        <w:pStyle w:val="CoverActName"/>
        <w:spacing w:before="320" w:after="0"/>
        <w:jc w:val="left"/>
        <w:rPr>
          <w:sz w:val="20"/>
          <w:szCs w:val="20"/>
        </w:rPr>
      </w:pPr>
      <w:r w:rsidRPr="00F20ABC">
        <w:rPr>
          <w:sz w:val="20"/>
          <w:szCs w:val="20"/>
        </w:rPr>
        <w:t>Construc</w:t>
      </w:r>
      <w:r w:rsidR="00BF49F8">
        <w:rPr>
          <w:sz w:val="20"/>
          <w:szCs w:val="20"/>
        </w:rPr>
        <w:t>tion Occupations (Licensing) Regulation</w:t>
      </w:r>
      <w:r w:rsidRPr="00F20ABC">
        <w:rPr>
          <w:sz w:val="20"/>
          <w:szCs w:val="20"/>
        </w:rPr>
        <w:t xml:space="preserve"> 2004</w:t>
      </w:r>
      <w:r>
        <w:rPr>
          <w:sz w:val="20"/>
          <w:szCs w:val="20"/>
        </w:rPr>
        <w:t>, s</w:t>
      </w:r>
      <w:r w:rsidR="00D868EC">
        <w:rPr>
          <w:sz w:val="20"/>
          <w:szCs w:val="20"/>
        </w:rPr>
        <w:t xml:space="preserve"> </w:t>
      </w:r>
      <w:r w:rsidR="00D868EC" w:rsidRPr="00D868EC">
        <w:rPr>
          <w:sz w:val="20"/>
          <w:szCs w:val="20"/>
        </w:rPr>
        <w:t>13 (Eligibility for licence—</w:t>
      </w:r>
      <w:r w:rsidR="0024248E">
        <w:rPr>
          <w:sz w:val="20"/>
          <w:szCs w:val="20"/>
        </w:rPr>
        <w:t>suitability</w:t>
      </w:r>
      <w:r w:rsidR="00D868EC" w:rsidRPr="00D868EC">
        <w:rPr>
          <w:sz w:val="20"/>
          <w:szCs w:val="20"/>
        </w:rPr>
        <w:t xml:space="preserve"> and financial requirements—Act, s 18</w:t>
      </w:r>
      <w:r w:rsidR="0024248E">
        <w:rPr>
          <w:sz w:val="20"/>
          <w:szCs w:val="20"/>
        </w:rPr>
        <w:t xml:space="preserve"> and s 24A</w:t>
      </w:r>
      <w:r w:rsidR="00D868EC" w:rsidRPr="00D868EC">
        <w:rPr>
          <w:sz w:val="20"/>
          <w:szCs w:val="20"/>
        </w:rPr>
        <w:t>)</w:t>
      </w:r>
    </w:p>
    <w:p w:rsidR="007A2A8B" w:rsidRDefault="007A2A8B" w:rsidP="0038751C">
      <w:pPr>
        <w:pStyle w:val="CoverActName"/>
        <w:spacing w:before="360" w:after="0"/>
        <w:rPr>
          <w:b w:val="0"/>
          <w:bCs w:val="0"/>
          <w:sz w:val="28"/>
          <w:szCs w:val="28"/>
        </w:rPr>
      </w:pPr>
      <w:r>
        <w:rPr>
          <w:sz w:val="28"/>
          <w:szCs w:val="28"/>
        </w:rPr>
        <w:t>EXPLANATORY STATEMENT</w:t>
      </w:r>
    </w:p>
    <w:p w:rsidR="007A2A8B" w:rsidRPr="0072165A" w:rsidRDefault="007A2A8B">
      <w:pPr>
        <w:pStyle w:val="Header"/>
        <w:pBdr>
          <w:bottom w:val="single" w:sz="12" w:space="1" w:color="auto"/>
        </w:pBdr>
        <w:tabs>
          <w:tab w:val="clear" w:pos="4153"/>
          <w:tab w:val="clear" w:pos="8306"/>
        </w:tabs>
        <w:rPr>
          <w:rFonts w:ascii="Arial" w:hAnsi="Arial" w:cs="Arial"/>
          <w:bCs/>
        </w:rPr>
      </w:pPr>
    </w:p>
    <w:p w:rsidR="007A2A8B" w:rsidRPr="0072165A" w:rsidRDefault="007A2A8B">
      <w:pPr>
        <w:pStyle w:val="Header"/>
        <w:tabs>
          <w:tab w:val="clear" w:pos="4153"/>
          <w:tab w:val="clear" w:pos="8306"/>
        </w:tabs>
        <w:rPr>
          <w:bCs/>
        </w:rPr>
      </w:pPr>
    </w:p>
    <w:p w:rsidR="00F20ABC" w:rsidRDefault="00F20ABC" w:rsidP="0038751C">
      <w:pPr>
        <w:pStyle w:val="LongTitle"/>
        <w:spacing w:before="0" w:after="240"/>
        <w:jc w:val="left"/>
        <w:rPr>
          <w:color w:val="000000"/>
        </w:rPr>
      </w:pPr>
      <w:r>
        <w:rPr>
          <w:color w:val="000000"/>
        </w:rPr>
        <w:t xml:space="preserve">Section </w:t>
      </w:r>
      <w:r w:rsidR="00EE5E1D">
        <w:rPr>
          <w:color w:val="000000"/>
        </w:rPr>
        <w:t>13</w:t>
      </w:r>
      <w:r>
        <w:rPr>
          <w:color w:val="000000"/>
        </w:rPr>
        <w:t xml:space="preserve"> of the </w:t>
      </w:r>
      <w:r>
        <w:rPr>
          <w:i/>
          <w:iCs/>
          <w:szCs w:val="20"/>
        </w:rPr>
        <w:t xml:space="preserve">Construction Occupations (Licensing) </w:t>
      </w:r>
      <w:r w:rsidR="00EE5E1D">
        <w:rPr>
          <w:i/>
          <w:iCs/>
          <w:szCs w:val="20"/>
        </w:rPr>
        <w:t>Regulation</w:t>
      </w:r>
      <w:r>
        <w:rPr>
          <w:i/>
          <w:iCs/>
          <w:szCs w:val="20"/>
        </w:rPr>
        <w:t xml:space="preserve"> 2004</w:t>
      </w:r>
      <w:r>
        <w:rPr>
          <w:rFonts w:ascii="Arial" w:hAnsi="Arial" w:cs="Arial"/>
          <w:szCs w:val="20"/>
        </w:rPr>
        <w:t xml:space="preserve"> </w:t>
      </w:r>
      <w:r>
        <w:rPr>
          <w:color w:val="000000"/>
        </w:rPr>
        <w:t xml:space="preserve">(the </w:t>
      </w:r>
      <w:r w:rsidR="00EE5E1D">
        <w:rPr>
          <w:b/>
          <w:i/>
          <w:color w:val="000000"/>
        </w:rPr>
        <w:t>Regulation</w:t>
      </w:r>
      <w:r>
        <w:rPr>
          <w:color w:val="000000"/>
        </w:rPr>
        <w:t>)</w:t>
      </w:r>
      <w:r>
        <w:rPr>
          <w:i/>
          <w:color w:val="000000"/>
        </w:rPr>
        <w:t xml:space="preserve"> </w:t>
      </w:r>
      <w:r>
        <w:rPr>
          <w:color w:val="000000"/>
        </w:rPr>
        <w:t xml:space="preserve">permits the </w:t>
      </w:r>
      <w:r w:rsidRPr="0024248E">
        <w:rPr>
          <w:color w:val="000000"/>
        </w:rPr>
        <w:t xml:space="preserve">Minister to </w:t>
      </w:r>
      <w:r w:rsidR="00EE5E1D" w:rsidRPr="0024248E">
        <w:rPr>
          <w:color w:val="000000"/>
        </w:rPr>
        <w:t>declare the qualifications and financial requirements necessary for an entity to be eligible to be licensed in a construction occupation or occupation class</w:t>
      </w:r>
      <w:r w:rsidRPr="0024248E">
        <w:rPr>
          <w:color w:val="000000"/>
        </w:rPr>
        <w:t>.</w:t>
      </w:r>
    </w:p>
    <w:p w:rsidR="00EE5E1D" w:rsidRDefault="00F20ABC" w:rsidP="0038751C">
      <w:pPr>
        <w:pStyle w:val="LongTitle"/>
        <w:spacing w:before="0" w:after="240"/>
        <w:jc w:val="left"/>
        <w:rPr>
          <w:color w:val="000000"/>
        </w:rPr>
      </w:pPr>
      <w:r>
        <w:rPr>
          <w:color w:val="000000"/>
        </w:rPr>
        <w:t xml:space="preserve">The purpose of this instrument </w:t>
      </w:r>
      <w:r w:rsidRPr="0024248E">
        <w:rPr>
          <w:color w:val="000000"/>
        </w:rPr>
        <w:t>is to d</w:t>
      </w:r>
      <w:r w:rsidR="00EE5E1D" w:rsidRPr="0024248E">
        <w:rPr>
          <w:color w:val="000000"/>
        </w:rPr>
        <w:t>eclare the qualifications necessary for</w:t>
      </w:r>
      <w:r w:rsidR="00EE5E1D" w:rsidRPr="00EE5E1D">
        <w:rPr>
          <w:color w:val="000000"/>
        </w:rPr>
        <w:t xml:space="preserve"> an individual to be eligible to be licensed in </w:t>
      </w:r>
      <w:r w:rsidR="00295BC7">
        <w:rPr>
          <w:color w:val="000000"/>
        </w:rPr>
        <w:t>the construction occupations and associated</w:t>
      </w:r>
      <w:r w:rsidR="00EE5E1D" w:rsidRPr="00EE5E1D">
        <w:rPr>
          <w:color w:val="000000"/>
        </w:rPr>
        <w:t xml:space="preserve"> occupation class</w:t>
      </w:r>
      <w:r w:rsidR="00EE5E1D">
        <w:rPr>
          <w:color w:val="000000"/>
        </w:rPr>
        <w:t>es</w:t>
      </w:r>
      <w:r w:rsidR="00295BC7">
        <w:rPr>
          <w:color w:val="000000"/>
        </w:rPr>
        <w:t xml:space="preserve"> of builder and building surveyor</w:t>
      </w:r>
      <w:r w:rsidR="00EE5E1D">
        <w:rPr>
          <w:color w:val="000000"/>
        </w:rPr>
        <w:t xml:space="preserve">. </w:t>
      </w:r>
      <w:r w:rsidR="0024248E">
        <w:rPr>
          <w:color w:val="000000"/>
        </w:rPr>
        <w:t xml:space="preserve">It prescribes qualifications for particular applicants for new licences. It does not prescribe general requirements for renewing licensees or financial requirements. </w:t>
      </w:r>
    </w:p>
    <w:p w:rsidR="00876B38" w:rsidRPr="00876B38" w:rsidRDefault="003D5D61" w:rsidP="0038751C">
      <w:pPr>
        <w:pStyle w:val="LongTitle"/>
        <w:spacing w:before="0" w:after="240"/>
        <w:jc w:val="left"/>
        <w:rPr>
          <w:color w:val="000000"/>
          <w:u w:val="single"/>
        </w:rPr>
      </w:pPr>
      <w:r>
        <w:rPr>
          <w:color w:val="000000"/>
          <w:u w:val="single"/>
        </w:rPr>
        <w:t>Pre-licence assessment</w:t>
      </w:r>
      <w:r w:rsidR="00876B38" w:rsidRPr="00876B38">
        <w:rPr>
          <w:color w:val="000000"/>
          <w:u w:val="single"/>
        </w:rPr>
        <w:t xml:space="preserve"> examination – </w:t>
      </w:r>
      <w:r>
        <w:rPr>
          <w:color w:val="000000"/>
          <w:u w:val="single"/>
        </w:rPr>
        <w:t xml:space="preserve">building surveyor </w:t>
      </w:r>
      <w:r w:rsidR="00876B38" w:rsidRPr="00876B38">
        <w:rPr>
          <w:color w:val="000000"/>
          <w:u w:val="single"/>
        </w:rPr>
        <w:t>licences</w:t>
      </w:r>
    </w:p>
    <w:p w:rsidR="005776A6" w:rsidRDefault="005776A6" w:rsidP="005776A6">
      <w:pPr>
        <w:pStyle w:val="LongTitle"/>
        <w:spacing w:before="0" w:after="240"/>
        <w:jc w:val="left"/>
        <w:rPr>
          <w:color w:val="000000"/>
          <w:highlight w:val="yellow"/>
        </w:rPr>
      </w:pPr>
      <w:r>
        <w:rPr>
          <w:color w:val="000000"/>
        </w:rPr>
        <w:t>In June 2016, the ACT Government announced t</w:t>
      </w:r>
      <w:r w:rsidR="00295BC7" w:rsidRPr="002675EF">
        <w:rPr>
          <w:color w:val="000000"/>
        </w:rPr>
        <w:t xml:space="preserve">he </w:t>
      </w:r>
      <w:r w:rsidR="00295BC7" w:rsidRPr="003F5FDA">
        <w:rPr>
          <w:i/>
          <w:color w:val="000000"/>
        </w:rPr>
        <w:t>Improving the ACT Building Regulatory System</w:t>
      </w:r>
      <w:r w:rsidR="00295BC7" w:rsidRPr="002675EF">
        <w:rPr>
          <w:color w:val="000000"/>
        </w:rPr>
        <w:t xml:space="preserve"> reforms. </w:t>
      </w:r>
      <w:hyperlink r:id="rId9" w:history="1">
        <w:r w:rsidR="006A5028">
          <w:rPr>
            <w:rStyle w:val="Hyperlink"/>
            <w:rFonts w:eastAsiaTheme="majorEastAsia"/>
          </w:rPr>
          <w:t>https://www.planning.act.gov.au/build-buy-renovate/reviews-and-reforms/building-reforms</w:t>
        </w:r>
      </w:hyperlink>
    </w:p>
    <w:p w:rsidR="005776A6" w:rsidRDefault="005776A6" w:rsidP="0038751C">
      <w:pPr>
        <w:pStyle w:val="LongTitle"/>
        <w:spacing w:before="0" w:after="240"/>
        <w:jc w:val="left"/>
        <w:rPr>
          <w:color w:val="000000"/>
        </w:rPr>
      </w:pPr>
      <w:r>
        <w:rPr>
          <w:color w:val="000000"/>
        </w:rPr>
        <w:t xml:space="preserve">Reform 15 includes to develop and implement a pre-application assessment for building surveyors licence applicants. This complements </w:t>
      </w:r>
      <w:r w:rsidR="00B24210">
        <w:rPr>
          <w:color w:val="000000"/>
        </w:rPr>
        <w:t>r</w:t>
      </w:r>
      <w:r>
        <w:rPr>
          <w:color w:val="000000"/>
        </w:rPr>
        <w:t>eform 9, which is a written assessment for builder class A, B and C licence applicants</w:t>
      </w:r>
      <w:r w:rsidR="00B24210">
        <w:rPr>
          <w:color w:val="000000"/>
        </w:rPr>
        <w:t xml:space="preserve"> and enacted by the </w:t>
      </w:r>
      <w:r w:rsidR="00B24210" w:rsidRPr="00B24210">
        <w:rPr>
          <w:i/>
          <w:color w:val="000000"/>
        </w:rPr>
        <w:t>Construction Occupations (Licensing) (Qualifications—Builder and Building Surveyor Licences) Declaration 2019</w:t>
      </w:r>
      <w:r w:rsidR="00B24210">
        <w:rPr>
          <w:color w:val="000000"/>
        </w:rPr>
        <w:t xml:space="preserve"> (DI2019-1</w:t>
      </w:r>
      <w:r w:rsidR="004A12CA">
        <w:rPr>
          <w:color w:val="000000"/>
        </w:rPr>
        <w:t>4</w:t>
      </w:r>
      <w:r w:rsidR="00B24210">
        <w:rPr>
          <w:color w:val="000000"/>
        </w:rPr>
        <w:t>)</w:t>
      </w:r>
      <w:r>
        <w:rPr>
          <w:color w:val="000000"/>
        </w:rPr>
        <w:t xml:space="preserve">. </w:t>
      </w:r>
    </w:p>
    <w:p w:rsidR="005776A6" w:rsidRDefault="005776A6" w:rsidP="0038751C">
      <w:pPr>
        <w:pStyle w:val="LongTitle"/>
        <w:spacing w:before="0" w:after="240"/>
        <w:jc w:val="left"/>
        <w:rPr>
          <w:color w:val="000000"/>
        </w:rPr>
      </w:pPr>
      <w:r>
        <w:rPr>
          <w:color w:val="000000"/>
        </w:rPr>
        <w:t xml:space="preserve">Reform 16 is to develop and make available an online course for building surveyors operating or intending to operate under the ACT’s building regulatory system. Further, </w:t>
      </w:r>
      <w:r w:rsidR="00B24210">
        <w:rPr>
          <w:color w:val="000000"/>
        </w:rPr>
        <w:t>r</w:t>
      </w:r>
      <w:r>
        <w:rPr>
          <w:color w:val="000000"/>
        </w:rPr>
        <w:t xml:space="preserve">eform 33 </w:t>
      </w:r>
      <w:r w:rsidR="00B24210">
        <w:rPr>
          <w:color w:val="000000"/>
        </w:rPr>
        <w:t xml:space="preserve">is to expand the mandatory qualifications for new building surveyor licence applicants to include completion of the online training course. </w:t>
      </w:r>
    </w:p>
    <w:p w:rsidR="000E582D" w:rsidRDefault="000E582D" w:rsidP="0038751C">
      <w:pPr>
        <w:pStyle w:val="LongTitle"/>
        <w:spacing w:before="0" w:after="240"/>
        <w:jc w:val="left"/>
        <w:rPr>
          <w:color w:val="000000"/>
        </w:rPr>
      </w:pPr>
    </w:p>
    <w:p w:rsidR="000E582D" w:rsidRDefault="000E582D" w:rsidP="0038751C">
      <w:pPr>
        <w:pStyle w:val="LongTitle"/>
        <w:spacing w:before="0" w:after="240"/>
        <w:jc w:val="left"/>
        <w:rPr>
          <w:color w:val="000000"/>
        </w:rPr>
      </w:pPr>
      <w:r>
        <w:rPr>
          <w:color w:val="000000"/>
        </w:rPr>
        <w:lastRenderedPageBreak/>
        <w:t xml:space="preserve">This instrument requires that in addition to existing qualification requirements </w:t>
      </w:r>
    </w:p>
    <w:p w:rsidR="000E582D" w:rsidRPr="000E582D" w:rsidRDefault="000E582D" w:rsidP="000E582D">
      <w:pPr>
        <w:pStyle w:val="LongTitle"/>
        <w:numPr>
          <w:ilvl w:val="0"/>
          <w:numId w:val="14"/>
        </w:numPr>
        <w:spacing w:before="0" w:after="240"/>
        <w:jc w:val="left"/>
        <w:rPr>
          <w:color w:val="000000"/>
        </w:rPr>
      </w:pPr>
      <w:r w:rsidRPr="000E582D">
        <w:rPr>
          <w:color w:val="000000"/>
        </w:rPr>
        <w:t xml:space="preserve">for applications made on or after 1 September 2019, </w:t>
      </w:r>
      <w:r>
        <w:rPr>
          <w:color w:val="000000"/>
        </w:rPr>
        <w:t xml:space="preserve">the applicant </w:t>
      </w:r>
      <w:r w:rsidRPr="000E582D">
        <w:rPr>
          <w:color w:val="000000"/>
        </w:rPr>
        <w:t xml:space="preserve">has successfully completed the online course </w:t>
      </w:r>
      <w:r w:rsidRPr="000E582D">
        <w:rPr>
          <w:i/>
          <w:color w:val="000000"/>
        </w:rPr>
        <w:t>Introduction to the ACT Building Regulatory System</w:t>
      </w:r>
      <w:r w:rsidRPr="000E582D">
        <w:rPr>
          <w:color w:val="000000"/>
        </w:rPr>
        <w:t xml:space="preserve"> developed by the </w:t>
      </w:r>
      <w:r w:rsidR="006A5028">
        <w:rPr>
          <w:color w:val="000000"/>
        </w:rPr>
        <w:t>ACT Government</w:t>
      </w:r>
      <w:r w:rsidR="00777CFD">
        <w:rPr>
          <w:color w:val="000000"/>
        </w:rPr>
        <w:t xml:space="preserve"> </w:t>
      </w:r>
      <w:r w:rsidRPr="000E582D">
        <w:rPr>
          <w:color w:val="000000"/>
        </w:rPr>
        <w:t xml:space="preserve">and delivered by a course provider authorised by the ACT Government to provide the course; and </w:t>
      </w:r>
    </w:p>
    <w:p w:rsidR="000E582D" w:rsidRPr="000E582D" w:rsidRDefault="000E582D" w:rsidP="000E582D">
      <w:pPr>
        <w:pStyle w:val="LongTitle"/>
        <w:numPr>
          <w:ilvl w:val="0"/>
          <w:numId w:val="14"/>
        </w:numPr>
        <w:spacing w:before="0" w:after="240"/>
        <w:jc w:val="left"/>
        <w:rPr>
          <w:color w:val="000000"/>
        </w:rPr>
      </w:pPr>
      <w:r w:rsidRPr="000E582D">
        <w:rPr>
          <w:color w:val="000000"/>
        </w:rPr>
        <w:t xml:space="preserve">for applications made on or after 1 November 2019, </w:t>
      </w:r>
      <w:r>
        <w:rPr>
          <w:color w:val="000000"/>
        </w:rPr>
        <w:t xml:space="preserve">the applicant also </w:t>
      </w:r>
      <w:r w:rsidRPr="000E582D">
        <w:rPr>
          <w:color w:val="000000"/>
        </w:rPr>
        <w:t xml:space="preserve">undertakes and passes an assessment </w:t>
      </w:r>
      <w:r>
        <w:rPr>
          <w:color w:val="000000"/>
        </w:rPr>
        <w:t>set by the C</w:t>
      </w:r>
      <w:r w:rsidRPr="000E582D">
        <w:rPr>
          <w:color w:val="000000"/>
        </w:rPr>
        <w:t>on</w:t>
      </w:r>
      <w:r>
        <w:rPr>
          <w:color w:val="000000"/>
        </w:rPr>
        <w:t>struction O</w:t>
      </w:r>
      <w:r w:rsidRPr="000E582D">
        <w:rPr>
          <w:color w:val="000000"/>
        </w:rPr>
        <w:t xml:space="preserve">ccupations </w:t>
      </w:r>
      <w:r>
        <w:rPr>
          <w:color w:val="000000"/>
        </w:rPr>
        <w:t>Registrar.</w:t>
      </w:r>
      <w:r w:rsidRPr="000E582D">
        <w:rPr>
          <w:color w:val="000000"/>
        </w:rPr>
        <w:t xml:space="preserve"> </w:t>
      </w:r>
    </w:p>
    <w:p w:rsidR="00C5103D" w:rsidRPr="000E582D" w:rsidRDefault="00C5103D" w:rsidP="0038751C">
      <w:pPr>
        <w:pStyle w:val="LongTitle"/>
        <w:spacing w:before="0" w:after="240"/>
        <w:jc w:val="left"/>
        <w:rPr>
          <w:color w:val="000000"/>
        </w:rPr>
      </w:pPr>
      <w:r w:rsidRPr="000E582D">
        <w:rPr>
          <w:color w:val="000000"/>
        </w:rPr>
        <w:t xml:space="preserve">The </w:t>
      </w:r>
      <w:r w:rsidR="00811D4E" w:rsidRPr="000E582D">
        <w:rPr>
          <w:color w:val="000000"/>
        </w:rPr>
        <w:t>methods in the instrument provide that to be eligible for a licence under the available methods, an applicant who has previously been refused a licence because they have not passed a</w:t>
      </w:r>
      <w:r w:rsidR="006A5028">
        <w:rPr>
          <w:color w:val="000000"/>
        </w:rPr>
        <w:t>n assessment</w:t>
      </w:r>
      <w:r w:rsidR="00811D4E" w:rsidRPr="000E582D">
        <w:rPr>
          <w:color w:val="000000"/>
        </w:rPr>
        <w:t xml:space="preserve"> required for eligibility, must not make a new application within a prescribed period after the licence is refused. </w:t>
      </w:r>
      <w:r w:rsidRPr="000E582D">
        <w:rPr>
          <w:color w:val="000000"/>
        </w:rPr>
        <w:t xml:space="preserve">The </w:t>
      </w:r>
      <w:r w:rsidR="00811D4E" w:rsidRPr="000E582D">
        <w:rPr>
          <w:color w:val="000000"/>
        </w:rPr>
        <w:t xml:space="preserve">prescribed </w:t>
      </w:r>
      <w:r w:rsidRPr="000E582D">
        <w:rPr>
          <w:color w:val="000000"/>
        </w:rPr>
        <w:t>period is six months after the first licence refusal, one year after the second refusal and two years after a third or subsequent refusal.</w:t>
      </w:r>
    </w:p>
    <w:p w:rsidR="00811D4E" w:rsidRPr="000E582D" w:rsidRDefault="00811D4E" w:rsidP="0038751C">
      <w:pPr>
        <w:pStyle w:val="LongTitle"/>
        <w:spacing w:before="0" w:after="240"/>
        <w:jc w:val="left"/>
        <w:rPr>
          <w:color w:val="000000"/>
        </w:rPr>
      </w:pPr>
      <w:r w:rsidRPr="000E582D">
        <w:rPr>
          <w:color w:val="000000"/>
        </w:rPr>
        <w:t xml:space="preserve">Similar periods are included for previous licensees who have not had their licenses renewed because they have not passed a required </w:t>
      </w:r>
      <w:r w:rsidR="006A5028">
        <w:rPr>
          <w:color w:val="000000"/>
        </w:rPr>
        <w:t>assessment</w:t>
      </w:r>
      <w:r w:rsidRPr="000E582D">
        <w:rPr>
          <w:color w:val="000000"/>
        </w:rPr>
        <w:t xml:space="preserve">. </w:t>
      </w:r>
    </w:p>
    <w:p w:rsidR="00C5103D" w:rsidRPr="000E582D" w:rsidRDefault="00C5103D" w:rsidP="0038751C">
      <w:pPr>
        <w:pStyle w:val="LongTitle"/>
        <w:spacing w:before="0" w:after="240"/>
        <w:jc w:val="left"/>
        <w:rPr>
          <w:color w:val="000000"/>
        </w:rPr>
      </w:pPr>
      <w:r w:rsidRPr="000E582D">
        <w:rPr>
          <w:color w:val="000000"/>
        </w:rPr>
        <w:t>The</w:t>
      </w:r>
      <w:r w:rsidR="00811D4E" w:rsidRPr="000E582D">
        <w:rPr>
          <w:color w:val="000000"/>
        </w:rPr>
        <w:t xml:space="preserve">se periods are </w:t>
      </w:r>
      <w:r w:rsidRPr="000E582D">
        <w:rPr>
          <w:color w:val="000000"/>
        </w:rPr>
        <w:t xml:space="preserve">included because results from the </w:t>
      </w:r>
      <w:r w:rsidR="000E582D" w:rsidRPr="000E582D">
        <w:rPr>
          <w:color w:val="000000"/>
        </w:rPr>
        <w:t xml:space="preserve">builder licence examinations </w:t>
      </w:r>
      <w:r w:rsidRPr="000E582D">
        <w:rPr>
          <w:color w:val="000000"/>
        </w:rPr>
        <w:t xml:space="preserve">demonstrated that applicants who made multiple attempts in a short period of time were not necessarily more likely to pass the exam. </w:t>
      </w:r>
      <w:r w:rsidR="00811D4E" w:rsidRPr="000E582D">
        <w:rPr>
          <w:color w:val="000000"/>
        </w:rPr>
        <w:t xml:space="preserve">In most cases, the applicants were more likely to </w:t>
      </w:r>
      <w:r w:rsidR="000E582D" w:rsidRPr="000E582D">
        <w:rPr>
          <w:color w:val="000000"/>
        </w:rPr>
        <w:t xml:space="preserve">fail </w:t>
      </w:r>
      <w:r w:rsidR="00811D4E" w:rsidRPr="000E582D">
        <w:rPr>
          <w:color w:val="000000"/>
        </w:rPr>
        <w:t xml:space="preserve">multiple attempts in a short period of time. </w:t>
      </w:r>
    </w:p>
    <w:p w:rsidR="00876B38" w:rsidRDefault="00C5103D" w:rsidP="0038751C">
      <w:pPr>
        <w:pStyle w:val="LongTitle"/>
        <w:spacing w:before="0" w:after="240"/>
        <w:jc w:val="left"/>
        <w:rPr>
          <w:color w:val="000000"/>
        </w:rPr>
      </w:pPr>
      <w:r w:rsidRPr="000E582D">
        <w:rPr>
          <w:color w:val="000000"/>
        </w:rPr>
        <w:t xml:space="preserve">If an applicant cannot pass the examination on the second attempt when they are aware of the type of questions that will be asked and have experience taking the examination, they are likely to need further study and practice before they attempt the examination again. The </w:t>
      </w:r>
      <w:r w:rsidR="00876B38" w:rsidRPr="000E582D">
        <w:rPr>
          <w:color w:val="000000"/>
        </w:rPr>
        <w:t xml:space="preserve">ineligibility </w:t>
      </w:r>
      <w:r w:rsidRPr="000E582D">
        <w:rPr>
          <w:color w:val="000000"/>
        </w:rPr>
        <w:t>periods increase</w:t>
      </w:r>
      <w:r w:rsidR="00876B38" w:rsidRPr="000E582D">
        <w:rPr>
          <w:color w:val="000000"/>
        </w:rPr>
        <w:t>,</w:t>
      </w:r>
      <w:r w:rsidRPr="000E582D">
        <w:rPr>
          <w:color w:val="000000"/>
        </w:rPr>
        <w:t xml:space="preserve"> </w:t>
      </w:r>
      <w:r w:rsidR="00876B38" w:rsidRPr="000E582D">
        <w:rPr>
          <w:color w:val="000000"/>
        </w:rPr>
        <w:t>as applicants that repeatedly fail the examination may need more extensive training than can be undertaken in a short period of time.</w:t>
      </w:r>
      <w:r w:rsidR="00876B38">
        <w:rPr>
          <w:color w:val="000000"/>
        </w:rPr>
        <w:t xml:space="preserve"> </w:t>
      </w:r>
    </w:p>
    <w:p w:rsidR="00876B38" w:rsidRDefault="00876B38" w:rsidP="0038751C">
      <w:pPr>
        <w:pStyle w:val="LongTitle"/>
        <w:spacing w:before="0" w:after="240"/>
        <w:jc w:val="left"/>
        <w:rPr>
          <w:color w:val="000000"/>
          <w:u w:val="single"/>
        </w:rPr>
      </w:pPr>
      <w:r w:rsidRPr="00876B38">
        <w:rPr>
          <w:color w:val="000000"/>
          <w:u w:val="single"/>
        </w:rPr>
        <w:t>Build</w:t>
      </w:r>
      <w:r w:rsidR="003D5D61">
        <w:rPr>
          <w:color w:val="000000"/>
          <w:u w:val="single"/>
        </w:rPr>
        <w:t>er</w:t>
      </w:r>
      <w:r w:rsidRPr="00876B38">
        <w:rPr>
          <w:color w:val="000000"/>
          <w:u w:val="single"/>
        </w:rPr>
        <w:t xml:space="preserve"> licences </w:t>
      </w:r>
    </w:p>
    <w:p w:rsidR="00664497" w:rsidRPr="00811D4E" w:rsidRDefault="003D5D61" w:rsidP="0038751C">
      <w:pPr>
        <w:pStyle w:val="LongTitle"/>
        <w:spacing w:before="0" w:after="240"/>
        <w:jc w:val="left"/>
        <w:rPr>
          <w:color w:val="000000"/>
        </w:rPr>
      </w:pPr>
      <w:r>
        <w:rPr>
          <w:color w:val="000000"/>
        </w:rPr>
        <w:t>The instrument makes no changes to qualifications for builder licence classes</w:t>
      </w:r>
      <w:r w:rsidR="00664497" w:rsidRPr="00811D4E">
        <w:rPr>
          <w:color w:val="000000"/>
        </w:rPr>
        <w:t>.</w:t>
      </w:r>
    </w:p>
    <w:p w:rsidR="00876B38" w:rsidRPr="00876B38" w:rsidRDefault="00876B38" w:rsidP="0024248E">
      <w:pPr>
        <w:pStyle w:val="LongTitle"/>
        <w:keepNext/>
        <w:spacing w:before="0" w:after="120"/>
        <w:jc w:val="left"/>
        <w:rPr>
          <w:color w:val="000000"/>
          <w:u w:val="single"/>
        </w:rPr>
      </w:pPr>
      <w:r w:rsidRPr="00876B38">
        <w:rPr>
          <w:color w:val="000000"/>
          <w:u w:val="single"/>
        </w:rPr>
        <w:t xml:space="preserve">Revocation and commencement </w:t>
      </w:r>
    </w:p>
    <w:p w:rsidR="00EE5E1D" w:rsidRPr="00902C4A" w:rsidRDefault="001266FD" w:rsidP="0038751C">
      <w:pPr>
        <w:pStyle w:val="LongTitle"/>
        <w:spacing w:before="0" w:after="240"/>
        <w:jc w:val="left"/>
        <w:rPr>
          <w:color w:val="000000"/>
        </w:rPr>
      </w:pPr>
      <w:r>
        <w:rPr>
          <w:color w:val="000000"/>
        </w:rPr>
        <w:t xml:space="preserve">The instrument revokes </w:t>
      </w:r>
      <w:r w:rsidR="004F6272">
        <w:rPr>
          <w:color w:val="000000"/>
        </w:rPr>
        <w:t>the</w:t>
      </w:r>
      <w:r>
        <w:rPr>
          <w:color w:val="000000"/>
        </w:rPr>
        <w:t xml:space="preserve"> </w:t>
      </w:r>
      <w:r w:rsidR="000E582D" w:rsidRPr="00B24210">
        <w:rPr>
          <w:i/>
          <w:color w:val="000000"/>
        </w:rPr>
        <w:t>Construction Occupations (Licensing) (Qualifications—Builder and Building Surveyor Licences) Declaration 2019</w:t>
      </w:r>
      <w:r w:rsidR="000E582D">
        <w:rPr>
          <w:color w:val="000000"/>
        </w:rPr>
        <w:t xml:space="preserve"> </w:t>
      </w:r>
      <w:r w:rsidR="004F6272" w:rsidRPr="004F6272">
        <w:rPr>
          <w:color w:val="000000"/>
        </w:rPr>
        <w:t>(DI20</w:t>
      </w:r>
      <w:r w:rsidR="000E582D">
        <w:rPr>
          <w:color w:val="000000"/>
        </w:rPr>
        <w:t>19-1</w:t>
      </w:r>
      <w:r w:rsidR="004A12CA">
        <w:rPr>
          <w:color w:val="000000"/>
        </w:rPr>
        <w:t>4</w:t>
      </w:r>
      <w:r w:rsidR="000E582D">
        <w:rPr>
          <w:color w:val="000000"/>
        </w:rPr>
        <w:t>)</w:t>
      </w:r>
      <w:r w:rsidR="0038751C">
        <w:rPr>
          <w:color w:val="000000"/>
        </w:rPr>
        <w:t>.</w:t>
      </w:r>
    </w:p>
    <w:p w:rsidR="00F20ABC" w:rsidRDefault="00D31476" w:rsidP="0038751C">
      <w:pPr>
        <w:pStyle w:val="Header"/>
        <w:tabs>
          <w:tab w:val="clear" w:pos="4153"/>
          <w:tab w:val="clear" w:pos="8306"/>
        </w:tabs>
        <w:spacing w:after="240"/>
      </w:pPr>
      <w:r>
        <w:t xml:space="preserve">The instrument commences on </w:t>
      </w:r>
      <w:r w:rsidR="00295BC7">
        <w:t>the day after its notification date</w:t>
      </w:r>
      <w:r>
        <w:t>.</w:t>
      </w:r>
    </w:p>
    <w:p w:rsidR="007644D3" w:rsidRDefault="00F20ABC" w:rsidP="0038751C">
      <w:pPr>
        <w:pStyle w:val="LongTitle"/>
        <w:spacing w:before="0" w:after="240"/>
        <w:jc w:val="left"/>
        <w:rPr>
          <w:lang w:eastAsia="en-AU"/>
        </w:rPr>
      </w:pPr>
      <w:r>
        <w:t>The de</w:t>
      </w:r>
      <w:r w:rsidR="00F53808">
        <w:t xml:space="preserve">claration under section 13 of the Regulation </w:t>
      </w:r>
      <w:r w:rsidR="007644D3">
        <w:t xml:space="preserve">is a disallowable instrument </w:t>
      </w:r>
      <w:r w:rsidR="007644D3">
        <w:rPr>
          <w:lang w:eastAsia="en-AU"/>
        </w:rPr>
        <w:t xml:space="preserve">and must be presented to the Legislative Assembly within 6 sitting days after its notification pursuant to section 64 of the </w:t>
      </w:r>
      <w:r w:rsidR="007644D3">
        <w:rPr>
          <w:i/>
          <w:iCs/>
          <w:lang w:eastAsia="en-AU"/>
        </w:rPr>
        <w:t>Legislation Act 2001</w:t>
      </w:r>
      <w:r w:rsidR="007644D3">
        <w:rPr>
          <w:lang w:eastAsia="en-AU"/>
        </w:rPr>
        <w:t>.</w:t>
      </w:r>
    </w:p>
    <w:p w:rsidR="007644D3" w:rsidRDefault="007644D3" w:rsidP="0024248E">
      <w:pPr>
        <w:keepNext/>
        <w:autoSpaceDE w:val="0"/>
        <w:autoSpaceDN w:val="0"/>
        <w:adjustRightInd w:val="0"/>
        <w:spacing w:after="160"/>
        <w:rPr>
          <w:b/>
          <w:lang w:eastAsia="en-AU"/>
        </w:rPr>
      </w:pPr>
      <w:r>
        <w:rPr>
          <w:b/>
          <w:lang w:eastAsia="en-AU"/>
        </w:rPr>
        <w:t>Regulatory Impact Statement (RIS)</w:t>
      </w:r>
    </w:p>
    <w:p w:rsidR="00100CA0" w:rsidRDefault="00100CA0" w:rsidP="00100CA0">
      <w:pPr>
        <w:autoSpaceDE w:val="0"/>
        <w:autoSpaceDN w:val="0"/>
        <w:adjustRightInd w:val="0"/>
        <w:spacing w:after="240"/>
        <w:rPr>
          <w:lang w:eastAsia="en-AU"/>
        </w:rPr>
      </w:pPr>
      <w:bookmarkStart w:id="1" w:name="_Hlk12889587"/>
      <w:r>
        <w:rPr>
          <w:lang w:eastAsia="en-AU"/>
        </w:rPr>
        <w:t xml:space="preserve">Section 34 of the </w:t>
      </w:r>
      <w:r w:rsidRPr="004F6272">
        <w:rPr>
          <w:i/>
          <w:lang w:eastAsia="en-AU"/>
        </w:rPr>
        <w:t>Legislation Act 2001</w:t>
      </w:r>
      <w:r>
        <w:rPr>
          <w:lang w:eastAsia="en-AU"/>
        </w:rPr>
        <w:t xml:space="preserve"> provides that if a proposed subordinate law or disallowable instrument (the proposed law) is likely to impose appreciable costs on the community, or a part of the community, then, before the proposed law is made, the </w:t>
      </w:r>
      <w:r>
        <w:rPr>
          <w:lang w:eastAsia="en-AU"/>
        </w:rPr>
        <w:lastRenderedPageBreak/>
        <w:t>Minister administering the authorising law (the administering Minister) must arrange for a regulatory impact statement to be prepared for the proposed law.</w:t>
      </w:r>
    </w:p>
    <w:p w:rsidR="00811D4E" w:rsidRDefault="00100CA0" w:rsidP="00100CA0">
      <w:pPr>
        <w:autoSpaceDE w:val="0"/>
        <w:autoSpaceDN w:val="0"/>
        <w:adjustRightInd w:val="0"/>
        <w:spacing w:after="240"/>
        <w:rPr>
          <w:lang w:eastAsia="en-AU"/>
        </w:rPr>
      </w:pPr>
      <w:r>
        <w:rPr>
          <w:lang w:eastAsia="en-AU"/>
        </w:rPr>
        <w:t xml:space="preserve">A RIS is not required for this instrument as it is not expected to impose appreciable costs on the community or part of the community. </w:t>
      </w:r>
      <w:bookmarkEnd w:id="1"/>
      <w:r w:rsidR="001B2EE7">
        <w:rPr>
          <w:lang w:eastAsia="en-AU"/>
        </w:rPr>
        <w:t xml:space="preserve">It introduces a requirement for applicants for </w:t>
      </w:r>
      <w:r w:rsidR="000E582D">
        <w:rPr>
          <w:lang w:eastAsia="en-AU"/>
        </w:rPr>
        <w:t xml:space="preserve">building surveyor </w:t>
      </w:r>
      <w:r w:rsidR="003C1595">
        <w:rPr>
          <w:lang w:eastAsia="en-AU"/>
        </w:rPr>
        <w:t xml:space="preserve">licences </w:t>
      </w:r>
      <w:r w:rsidR="001B2EE7">
        <w:rPr>
          <w:lang w:eastAsia="en-AU"/>
        </w:rPr>
        <w:t xml:space="preserve">to </w:t>
      </w:r>
      <w:r w:rsidR="00B24210">
        <w:rPr>
          <w:lang w:eastAsia="en-AU"/>
        </w:rPr>
        <w:t xml:space="preserve">complete an online course on the ACT building regulatory system and </w:t>
      </w:r>
      <w:r w:rsidR="001B2EE7">
        <w:rPr>
          <w:lang w:eastAsia="en-AU"/>
        </w:rPr>
        <w:t xml:space="preserve">undertake and pass an </w:t>
      </w:r>
      <w:r w:rsidR="00B24210">
        <w:rPr>
          <w:lang w:eastAsia="en-AU"/>
        </w:rPr>
        <w:t>assessment</w:t>
      </w:r>
      <w:r w:rsidR="001B2EE7">
        <w:rPr>
          <w:lang w:eastAsia="en-AU"/>
        </w:rPr>
        <w:t xml:space="preserve"> set by the Construction Occupations Registrar. </w:t>
      </w:r>
    </w:p>
    <w:p w:rsidR="00BF7350" w:rsidRDefault="00BF7350" w:rsidP="0038751C">
      <w:pPr>
        <w:autoSpaceDE w:val="0"/>
        <w:autoSpaceDN w:val="0"/>
        <w:adjustRightInd w:val="0"/>
        <w:spacing w:after="240"/>
        <w:rPr>
          <w:lang w:eastAsia="en-AU"/>
        </w:rPr>
      </w:pPr>
      <w:r>
        <w:rPr>
          <w:lang w:eastAsia="en-AU"/>
        </w:rPr>
        <w:t xml:space="preserve">The cost of the online course is less than $100. </w:t>
      </w:r>
      <w:r w:rsidR="003C1595">
        <w:rPr>
          <w:lang w:eastAsia="en-AU"/>
        </w:rPr>
        <w:t xml:space="preserve">The </w:t>
      </w:r>
      <w:r>
        <w:rPr>
          <w:lang w:eastAsia="en-AU"/>
        </w:rPr>
        <w:t xml:space="preserve">assessment </w:t>
      </w:r>
      <w:r w:rsidR="003C1595">
        <w:rPr>
          <w:lang w:eastAsia="en-AU"/>
        </w:rPr>
        <w:t xml:space="preserve">is consistent with the policy objectives of construction licensing laws, which exist to protect the public by allowing only those who are appropriately qualified to undertake licensable work. It achieves the policy objectives by assessing whether </w:t>
      </w:r>
      <w:r w:rsidR="003C1595" w:rsidRPr="003C1595">
        <w:rPr>
          <w:lang w:eastAsia="en-AU"/>
        </w:rPr>
        <w:t>licensees understand their obligations and can competently carry out activities they will be responsible for as a licensee.</w:t>
      </w:r>
      <w:r w:rsidR="003C1595">
        <w:rPr>
          <w:lang w:eastAsia="en-AU"/>
        </w:rPr>
        <w:t xml:space="preserve"> </w:t>
      </w:r>
      <w:r>
        <w:rPr>
          <w:lang w:eastAsia="en-AU"/>
        </w:rPr>
        <w:t xml:space="preserve">As building surveyors carry out a statutory role and undertake regulatory functions, it is particularly important they understand the regulatory system in which they will be operating. </w:t>
      </w:r>
    </w:p>
    <w:p w:rsidR="00811D4E" w:rsidRDefault="003C1595" w:rsidP="0038751C">
      <w:pPr>
        <w:autoSpaceDE w:val="0"/>
        <w:autoSpaceDN w:val="0"/>
        <w:adjustRightInd w:val="0"/>
        <w:spacing w:after="240"/>
        <w:rPr>
          <w:lang w:eastAsia="en-AU"/>
        </w:rPr>
      </w:pPr>
      <w:r>
        <w:rPr>
          <w:lang w:eastAsia="en-AU"/>
        </w:rPr>
        <w:t xml:space="preserve">Applicants for </w:t>
      </w:r>
      <w:r w:rsidR="00BF7350">
        <w:rPr>
          <w:lang w:eastAsia="en-AU"/>
        </w:rPr>
        <w:t xml:space="preserve">building surveyor </w:t>
      </w:r>
      <w:r>
        <w:rPr>
          <w:lang w:eastAsia="en-AU"/>
        </w:rPr>
        <w:t xml:space="preserve">licences must hold appropriate academic qualifications, which generally include </w:t>
      </w:r>
      <w:r w:rsidR="00BF7350">
        <w:rPr>
          <w:lang w:eastAsia="en-AU"/>
        </w:rPr>
        <w:t>assessment of their skills and knowledge</w:t>
      </w:r>
      <w:r>
        <w:rPr>
          <w:lang w:eastAsia="en-AU"/>
        </w:rPr>
        <w:t xml:space="preserve">. Further, </w:t>
      </w:r>
      <w:r w:rsidR="004F6272">
        <w:rPr>
          <w:lang w:eastAsia="en-AU"/>
        </w:rPr>
        <w:t xml:space="preserve">a </w:t>
      </w:r>
      <w:r>
        <w:rPr>
          <w:lang w:eastAsia="en-AU"/>
        </w:rPr>
        <w:t>licensee must be able to read legislation and technical standards and communicate with other practitioners and their clients.</w:t>
      </w:r>
    </w:p>
    <w:p w:rsidR="00770952" w:rsidRDefault="006F7CD3" w:rsidP="00770952">
      <w:pPr>
        <w:autoSpaceDE w:val="0"/>
        <w:autoSpaceDN w:val="0"/>
        <w:adjustRightInd w:val="0"/>
        <w:spacing w:after="240"/>
        <w:rPr>
          <w:lang w:eastAsia="en-AU"/>
        </w:rPr>
      </w:pPr>
      <w:r w:rsidRPr="006F7CD3">
        <w:rPr>
          <w:lang w:eastAsia="en-AU"/>
        </w:rPr>
        <w:t xml:space="preserve">Assessments </w:t>
      </w:r>
      <w:r w:rsidR="00811D4E" w:rsidRPr="006F7CD3">
        <w:rPr>
          <w:lang w:eastAsia="en-AU"/>
        </w:rPr>
        <w:t xml:space="preserve">may also be applied to determine whether a licensee remains eligible for a licence, either at renewal or if a grounds for occupational </w:t>
      </w:r>
      <w:r w:rsidR="00770952" w:rsidRPr="006F7CD3">
        <w:rPr>
          <w:lang w:eastAsia="en-AU"/>
        </w:rPr>
        <w:t xml:space="preserve">discipline exists (see Act, s 55A </w:t>
      </w:r>
      <w:r w:rsidR="00770952" w:rsidRPr="006F7CD3">
        <w:rPr>
          <w:i/>
          <w:lang w:eastAsia="en-AU"/>
        </w:rPr>
        <w:t>Skills assessment of licensees</w:t>
      </w:r>
      <w:r w:rsidR="00770952" w:rsidRPr="006F7CD3">
        <w:rPr>
          <w:lang w:eastAsia="en-AU"/>
        </w:rPr>
        <w:t xml:space="preserve"> and s </w:t>
      </w:r>
      <w:r w:rsidR="0024248E" w:rsidRPr="006F7CD3">
        <w:rPr>
          <w:lang w:eastAsia="en-AU"/>
        </w:rPr>
        <w:t>14 and s 18B</w:t>
      </w:r>
      <w:r w:rsidR="00770952" w:rsidRPr="006F7CD3">
        <w:rPr>
          <w:lang w:eastAsia="en-AU"/>
        </w:rPr>
        <w:t xml:space="preserve"> of the Regulation). The instrument provides for pathways for applicants who have previously held licences but been determined as ineligible.</w:t>
      </w:r>
      <w:r w:rsidR="00770952">
        <w:rPr>
          <w:lang w:eastAsia="en-AU"/>
        </w:rPr>
        <w:t xml:space="preserve"> </w:t>
      </w:r>
    </w:p>
    <w:p w:rsidR="007644D3" w:rsidRDefault="007644D3" w:rsidP="0024248E">
      <w:pPr>
        <w:autoSpaceDE w:val="0"/>
        <w:autoSpaceDN w:val="0"/>
        <w:adjustRightInd w:val="0"/>
        <w:spacing w:after="160"/>
        <w:rPr>
          <w:b/>
          <w:color w:val="000000"/>
        </w:rPr>
      </w:pPr>
      <w:r>
        <w:rPr>
          <w:b/>
          <w:color w:val="000000"/>
        </w:rPr>
        <w:t>Human Rights</w:t>
      </w:r>
    </w:p>
    <w:p w:rsidR="007A2A8B" w:rsidRDefault="007644D3" w:rsidP="0038751C">
      <w:pPr>
        <w:pStyle w:val="Header"/>
        <w:tabs>
          <w:tab w:val="left" w:pos="720"/>
        </w:tabs>
        <w:spacing w:after="240"/>
      </w:pPr>
      <w:r>
        <w:t xml:space="preserve">The Standing Committee on Justice and Community Safety (Legislative Scrutiny Role) terms of reference require consideration of human rights impacts, among other matters. </w:t>
      </w:r>
      <w:r w:rsidR="000978AF">
        <w:t>T</w:t>
      </w:r>
      <w:r w:rsidR="00903411">
        <w:t xml:space="preserve">here are no </w:t>
      </w:r>
      <w:r>
        <w:t>human rights impact</w:t>
      </w:r>
      <w:r w:rsidR="00903411">
        <w:t>s</w:t>
      </w:r>
      <w:r w:rsidR="000978AF">
        <w:t xml:space="preserve"> related to </w:t>
      </w:r>
      <w:r w:rsidR="00FB7B69">
        <w:t>this instrument</w:t>
      </w:r>
      <w:r>
        <w:t>.</w:t>
      </w:r>
    </w:p>
    <w:p w:rsidR="00F230F9" w:rsidRDefault="00770952" w:rsidP="0038751C">
      <w:pPr>
        <w:pStyle w:val="Header"/>
        <w:tabs>
          <w:tab w:val="left" w:pos="720"/>
        </w:tabs>
        <w:spacing w:after="240"/>
      </w:pPr>
      <w:r>
        <w:t xml:space="preserve">The instrument prescribes eligibility pathways for applicants that are appropriate for the public safety risks associated with </w:t>
      </w:r>
      <w:r w:rsidR="00D15E4E">
        <w:t>the responsibilities of a build</w:t>
      </w:r>
      <w:r w:rsidR="00BF7350">
        <w:t xml:space="preserve">ing surveyor </w:t>
      </w:r>
      <w:r w:rsidR="00D15E4E">
        <w:t xml:space="preserve">licensee under the Act and the </w:t>
      </w:r>
      <w:r w:rsidR="00D15E4E" w:rsidRPr="00D15E4E">
        <w:rPr>
          <w:i/>
        </w:rPr>
        <w:t>Building Act 2004</w:t>
      </w:r>
      <w:r w:rsidR="00D15E4E">
        <w:t xml:space="preserve">. </w:t>
      </w:r>
      <w:r>
        <w:t xml:space="preserve">An applicant </w:t>
      </w:r>
      <w:r w:rsidR="00F230F9">
        <w:t xml:space="preserve">refused a licence for failing to pass the examination may seek a review of the decision at the </w:t>
      </w:r>
      <w:r w:rsidR="004F6272">
        <w:t>ACT Civil and Administrative Tribunal</w:t>
      </w:r>
      <w:r w:rsidR="0024248E">
        <w:t>, and is not excluded from participation in the building industry</w:t>
      </w:r>
      <w:r w:rsidR="00F230F9">
        <w:t xml:space="preserve">. </w:t>
      </w:r>
      <w:r w:rsidR="005340B6">
        <w:t xml:space="preserve">  </w:t>
      </w:r>
      <w:r>
        <w:t xml:space="preserve">  </w:t>
      </w:r>
    </w:p>
    <w:sectPr w:rsidR="00F230F9" w:rsidSect="0072165A">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C41" w:rsidRDefault="003C2C41" w:rsidP="0072165A">
      <w:r>
        <w:separator/>
      </w:r>
    </w:p>
  </w:endnote>
  <w:endnote w:type="continuationSeparator" w:id="0">
    <w:p w:rsidR="003C2C41" w:rsidRDefault="003C2C41"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9A" w:rsidRDefault="00840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9A" w:rsidRPr="00840B9A" w:rsidRDefault="00840B9A" w:rsidP="00840B9A">
    <w:pPr>
      <w:pStyle w:val="Footer"/>
      <w:jc w:val="center"/>
      <w:rPr>
        <w:rFonts w:ascii="Arial" w:hAnsi="Arial" w:cs="Arial"/>
        <w:sz w:val="14"/>
      </w:rPr>
    </w:pPr>
    <w:r w:rsidRPr="00840B9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9A" w:rsidRDefault="00840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C41" w:rsidRDefault="003C2C41" w:rsidP="0072165A">
      <w:r>
        <w:separator/>
      </w:r>
    </w:p>
  </w:footnote>
  <w:footnote w:type="continuationSeparator" w:id="0">
    <w:p w:rsidR="003C2C41" w:rsidRDefault="003C2C41"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9A" w:rsidRDefault="00840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9A" w:rsidRDefault="00840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2F254853"/>
    <w:multiLevelType w:val="multilevel"/>
    <w:tmpl w:val="5AF4B74E"/>
    <w:lvl w:ilvl="0">
      <w:start w:val="1"/>
      <w:numFmt w:val="none"/>
      <w:pStyle w:val="condition"/>
      <w:lvlText w:val="1."/>
      <w:lvlJc w:val="left"/>
      <w:pPr>
        <w:tabs>
          <w:tab w:val="num" w:pos="567"/>
        </w:tabs>
        <w:ind w:left="567" w:hanging="567"/>
      </w:pPr>
      <w:rPr>
        <w:rFonts w:ascii="Calibri" w:hAnsi="Calibri" w:cs="Times New Roman" w:hint="default"/>
      </w:rPr>
    </w:lvl>
    <w:lvl w:ilvl="1">
      <w:start w:val="1"/>
      <w:numFmt w:val="lowerLetter"/>
      <w:lvlText w:val="(%2)"/>
      <w:lvlJc w:val="left"/>
      <w:pPr>
        <w:tabs>
          <w:tab w:val="num" w:pos="1134"/>
        </w:tabs>
        <w:ind w:left="1134" w:hanging="567"/>
      </w:pPr>
      <w:rPr>
        <w:rFonts w:ascii="Times New Roman" w:hAnsi="Times New Roman" w:cs="Times New Roman" w:hint="default"/>
      </w:rPr>
    </w:lvl>
    <w:lvl w:ilvl="2">
      <w:start w:val="1"/>
      <w:numFmt w:val="lowerRoman"/>
      <w:lvlText w:val="(%3)"/>
      <w:lvlJc w:val="left"/>
      <w:pPr>
        <w:tabs>
          <w:tab w:val="num" w:pos="1854"/>
        </w:tabs>
        <w:ind w:left="1701" w:hanging="567"/>
      </w:pPr>
      <w:rPr>
        <w:rFonts w:ascii="Times New Roman" w:hAns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335872B8"/>
    <w:multiLevelType w:val="hybridMultilevel"/>
    <w:tmpl w:val="4C4A0FDC"/>
    <w:lvl w:ilvl="0" w:tplc="A63CC0A4">
      <w:start w:val="1"/>
      <w:numFmt w:val="decimal"/>
      <w:lvlText w:val="%1."/>
      <w:lvlJc w:val="left"/>
      <w:pPr>
        <w:ind w:left="720" w:hanging="360"/>
      </w:pPr>
      <w:rPr>
        <w:rFonts w:cs="Times New Roman"/>
        <w:color w:val="auto"/>
        <w:sz w:val="24"/>
        <w:szCs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C53F1"/>
    <w:multiLevelType w:val="multilevel"/>
    <w:tmpl w:val="3988656C"/>
    <w:lvl w:ilvl="0">
      <w:start w:val="1"/>
      <w:numFmt w:val="none"/>
      <w:lvlText w:val="1."/>
      <w:lvlJc w:val="left"/>
      <w:pPr>
        <w:tabs>
          <w:tab w:val="num" w:pos="567"/>
        </w:tabs>
        <w:ind w:left="567" w:hanging="567"/>
      </w:pPr>
      <w:rPr>
        <w:rFonts w:ascii="Calibri" w:hAnsi="Calibri" w:cs="Times New Roman" w:hint="default"/>
      </w:rPr>
    </w:lvl>
    <w:lvl w:ilvl="1">
      <w:start w:val="1"/>
      <w:numFmt w:val="lowerLetter"/>
      <w:lvlText w:val="%2)"/>
      <w:lvlJc w:val="right"/>
      <w:pPr>
        <w:ind w:left="747" w:hanging="180"/>
      </w:pPr>
      <w:rPr>
        <w:rFonts w:asciiTheme="minorHAnsi" w:eastAsia="Times New Roman" w:hAnsiTheme="minorHAnsi" w:cs="Times New Roman"/>
      </w:rPr>
    </w:lvl>
    <w:lvl w:ilvl="2">
      <w:start w:val="1"/>
      <w:numFmt w:val="lowerRoman"/>
      <w:lvlText w:val="(%3)"/>
      <w:lvlJc w:val="left"/>
      <w:pPr>
        <w:tabs>
          <w:tab w:val="num" w:pos="1854"/>
        </w:tabs>
        <w:ind w:left="1701" w:hanging="567"/>
      </w:pPr>
      <w:rPr>
        <w:rFonts w:ascii="Calibri" w:hAnsi="Calibri"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rPr>
        <w:rFonts w:ascii="Calibri" w:hAnsi="Calibri"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1636"/>
        </w:tabs>
        <w:ind w:left="1636" w:hanging="360"/>
      </w:pPr>
      <w:rPr>
        <w:rFonts w:ascii="Calibri" w:hAnsi="Calibri"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9"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054A60"/>
    <w:multiLevelType w:val="hybridMultilevel"/>
    <w:tmpl w:val="ED440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E63EBA"/>
    <w:multiLevelType w:val="hybridMultilevel"/>
    <w:tmpl w:val="6354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9"/>
  </w:num>
  <w:num w:numId="5">
    <w:abstractNumId w:val="8"/>
  </w:num>
  <w:num w:numId="6">
    <w:abstractNumId w:val="0"/>
  </w:num>
  <w:num w:numId="7">
    <w:abstractNumId w:val="1"/>
  </w:num>
  <w:num w:numId="8">
    <w:abstractNumId w:val="3"/>
  </w:num>
  <w:num w:numId="9">
    <w:abstractNumId w:val="5"/>
  </w:num>
  <w:num w:numId="10">
    <w:abstractNumId w:val="4"/>
  </w:num>
  <w:num w:numId="11">
    <w:abstractNumId w:val="2"/>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0"/>
  </w:compat>
  <w:rsids>
    <w:rsidRoot w:val="00021B33"/>
    <w:rsid w:val="00021B33"/>
    <w:rsid w:val="00060A33"/>
    <w:rsid w:val="0007102B"/>
    <w:rsid w:val="0007274D"/>
    <w:rsid w:val="000978AF"/>
    <w:rsid w:val="000A1A53"/>
    <w:rsid w:val="000D7A02"/>
    <w:rsid w:val="000E582D"/>
    <w:rsid w:val="00100CA0"/>
    <w:rsid w:val="001266FD"/>
    <w:rsid w:val="00140735"/>
    <w:rsid w:val="0016000D"/>
    <w:rsid w:val="001673C6"/>
    <w:rsid w:val="001B2EE7"/>
    <w:rsid w:val="001C6B61"/>
    <w:rsid w:val="002423F8"/>
    <w:rsid w:val="0024248E"/>
    <w:rsid w:val="00245CDA"/>
    <w:rsid w:val="00246ACC"/>
    <w:rsid w:val="002653F2"/>
    <w:rsid w:val="002675EF"/>
    <w:rsid w:val="00287BDE"/>
    <w:rsid w:val="00295BC7"/>
    <w:rsid w:val="002B0424"/>
    <w:rsid w:val="002B36FA"/>
    <w:rsid w:val="002C16C9"/>
    <w:rsid w:val="002C7E2A"/>
    <w:rsid w:val="002D3737"/>
    <w:rsid w:val="003012A8"/>
    <w:rsid w:val="00351439"/>
    <w:rsid w:val="0038751C"/>
    <w:rsid w:val="00393AEF"/>
    <w:rsid w:val="003A1BAC"/>
    <w:rsid w:val="003C1595"/>
    <w:rsid w:val="003C2C41"/>
    <w:rsid w:val="003D00F2"/>
    <w:rsid w:val="003D5D61"/>
    <w:rsid w:val="003F5FDA"/>
    <w:rsid w:val="00401091"/>
    <w:rsid w:val="00461F52"/>
    <w:rsid w:val="00490B20"/>
    <w:rsid w:val="004A10CE"/>
    <w:rsid w:val="004A12CA"/>
    <w:rsid w:val="004B717A"/>
    <w:rsid w:val="004F6272"/>
    <w:rsid w:val="00517DF8"/>
    <w:rsid w:val="005340B6"/>
    <w:rsid w:val="00543F67"/>
    <w:rsid w:val="005776A6"/>
    <w:rsid w:val="005A7662"/>
    <w:rsid w:val="00610656"/>
    <w:rsid w:val="006437A1"/>
    <w:rsid w:val="00664497"/>
    <w:rsid w:val="006A5028"/>
    <w:rsid w:val="006A73C1"/>
    <w:rsid w:val="006C1CEC"/>
    <w:rsid w:val="006F3430"/>
    <w:rsid w:val="006F7CD3"/>
    <w:rsid w:val="007154B0"/>
    <w:rsid w:val="0072165A"/>
    <w:rsid w:val="007644D3"/>
    <w:rsid w:val="00770952"/>
    <w:rsid w:val="0077323E"/>
    <w:rsid w:val="00777CFD"/>
    <w:rsid w:val="007A2A8B"/>
    <w:rsid w:val="007D3D99"/>
    <w:rsid w:val="0080286E"/>
    <w:rsid w:val="00811D4E"/>
    <w:rsid w:val="008149C6"/>
    <w:rsid w:val="0082481E"/>
    <w:rsid w:val="00832A81"/>
    <w:rsid w:val="00834048"/>
    <w:rsid w:val="00840B9A"/>
    <w:rsid w:val="00876B38"/>
    <w:rsid w:val="008B2BFA"/>
    <w:rsid w:val="008D062E"/>
    <w:rsid w:val="008D497B"/>
    <w:rsid w:val="008E00EA"/>
    <w:rsid w:val="008F0230"/>
    <w:rsid w:val="008F4F49"/>
    <w:rsid w:val="00902C4A"/>
    <w:rsid w:val="00903411"/>
    <w:rsid w:val="009152DB"/>
    <w:rsid w:val="009201A2"/>
    <w:rsid w:val="009504C2"/>
    <w:rsid w:val="009619DF"/>
    <w:rsid w:val="00964895"/>
    <w:rsid w:val="009B6376"/>
    <w:rsid w:val="009D0355"/>
    <w:rsid w:val="009D0427"/>
    <w:rsid w:val="009E0F58"/>
    <w:rsid w:val="00A11356"/>
    <w:rsid w:val="00A23625"/>
    <w:rsid w:val="00A70C28"/>
    <w:rsid w:val="00A72282"/>
    <w:rsid w:val="00A76DC3"/>
    <w:rsid w:val="00AE43BD"/>
    <w:rsid w:val="00B00A05"/>
    <w:rsid w:val="00B24210"/>
    <w:rsid w:val="00B34BB1"/>
    <w:rsid w:val="00B424AD"/>
    <w:rsid w:val="00B800EB"/>
    <w:rsid w:val="00BC7D82"/>
    <w:rsid w:val="00BD4042"/>
    <w:rsid w:val="00BF49F8"/>
    <w:rsid w:val="00BF7350"/>
    <w:rsid w:val="00BF7CFD"/>
    <w:rsid w:val="00C1504A"/>
    <w:rsid w:val="00C456D1"/>
    <w:rsid w:val="00C5103D"/>
    <w:rsid w:val="00C57E61"/>
    <w:rsid w:val="00C630EF"/>
    <w:rsid w:val="00C81A28"/>
    <w:rsid w:val="00C95871"/>
    <w:rsid w:val="00CC0DE5"/>
    <w:rsid w:val="00D15E4E"/>
    <w:rsid w:val="00D26E38"/>
    <w:rsid w:val="00D31476"/>
    <w:rsid w:val="00D338A8"/>
    <w:rsid w:val="00D55293"/>
    <w:rsid w:val="00D61E80"/>
    <w:rsid w:val="00D868EC"/>
    <w:rsid w:val="00D9185A"/>
    <w:rsid w:val="00D9209D"/>
    <w:rsid w:val="00DA4B8A"/>
    <w:rsid w:val="00DA6664"/>
    <w:rsid w:val="00DF16F9"/>
    <w:rsid w:val="00DF73B1"/>
    <w:rsid w:val="00E01053"/>
    <w:rsid w:val="00E12BBC"/>
    <w:rsid w:val="00E16EAE"/>
    <w:rsid w:val="00E21678"/>
    <w:rsid w:val="00E517CD"/>
    <w:rsid w:val="00E826C1"/>
    <w:rsid w:val="00E865F5"/>
    <w:rsid w:val="00E94D2B"/>
    <w:rsid w:val="00EC7D6A"/>
    <w:rsid w:val="00EE592B"/>
    <w:rsid w:val="00EE5E1D"/>
    <w:rsid w:val="00EF1AE9"/>
    <w:rsid w:val="00EF469F"/>
    <w:rsid w:val="00F20ABC"/>
    <w:rsid w:val="00F230F9"/>
    <w:rsid w:val="00F37D26"/>
    <w:rsid w:val="00F40C11"/>
    <w:rsid w:val="00F53808"/>
    <w:rsid w:val="00F64A07"/>
    <w:rsid w:val="00F8331A"/>
    <w:rsid w:val="00F837B6"/>
    <w:rsid w:val="00F86A70"/>
    <w:rsid w:val="00F902DE"/>
    <w:rsid w:val="00F94183"/>
    <w:rsid w:val="00FA20EC"/>
    <w:rsid w:val="00FA32A3"/>
    <w:rsid w:val="00FB312C"/>
    <w:rsid w:val="00FB7B69"/>
    <w:rsid w:val="00FD1726"/>
    <w:rsid w:val="00FD2419"/>
    <w:rsid w:val="00FF2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49631DE0-4C2C-47A6-8FF2-FCC4EFAE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ACC"/>
    <w:rPr>
      <w:sz w:val="24"/>
      <w:szCs w:val="24"/>
      <w:lang w:eastAsia="en-US"/>
    </w:rPr>
  </w:style>
  <w:style w:type="paragraph" w:styleId="Heading1">
    <w:name w:val="heading 1"/>
    <w:basedOn w:val="Normal"/>
    <w:next w:val="Normal"/>
    <w:link w:val="Heading1Char"/>
    <w:uiPriority w:val="9"/>
    <w:qFormat/>
    <w:rsid w:val="00246ACC"/>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rsid w:val="00246ACC"/>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rsid w:val="00246ACC"/>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rsid w:val="00246ACC"/>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rsid w:val="00246ACC"/>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rsid w:val="00246ACC"/>
    <w:pPr>
      <w:keepNext/>
      <w:outlineLvl w:val="5"/>
    </w:pPr>
    <w:rPr>
      <w:b/>
      <w:bCs/>
    </w:rPr>
  </w:style>
  <w:style w:type="paragraph" w:styleId="Heading7">
    <w:name w:val="heading 7"/>
    <w:basedOn w:val="Normal"/>
    <w:next w:val="Normal"/>
    <w:link w:val="Heading7Char"/>
    <w:uiPriority w:val="9"/>
    <w:qFormat/>
    <w:rsid w:val="00246ACC"/>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rsid w:val="00246ACC"/>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rsid w:val="00246ACC"/>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6ACC"/>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46ACC"/>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46ACC"/>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46ACC"/>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246ACC"/>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246ACC"/>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sid w:val="00246ACC"/>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246ACC"/>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246ACC"/>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rsid w:val="00246ACC"/>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rsid w:val="00246ACC"/>
    <w:pPr>
      <w:tabs>
        <w:tab w:val="left" w:pos="2400"/>
        <w:tab w:val="left" w:pos="2880"/>
      </w:tabs>
      <w:spacing w:before="1220" w:after="100"/>
    </w:pPr>
    <w:rPr>
      <w:rFonts w:ascii="Arial" w:hAnsi="Arial" w:cs="Arial"/>
      <w:b/>
      <w:bCs/>
      <w:sz w:val="40"/>
      <w:szCs w:val="40"/>
    </w:rPr>
  </w:style>
  <w:style w:type="paragraph" w:customStyle="1" w:styleId="dot">
    <w:name w:val="dot"/>
    <w:basedOn w:val="Normal"/>
    <w:rsid w:val="00246ACC"/>
    <w:pPr>
      <w:numPr>
        <w:numId w:val="1"/>
      </w:numPr>
    </w:pPr>
    <w:rPr>
      <w:rFonts w:ascii="Arial" w:hAnsi="Arial" w:cs="Arial"/>
    </w:rPr>
  </w:style>
  <w:style w:type="paragraph" w:customStyle="1" w:styleId="dot2">
    <w:name w:val="dot 2"/>
    <w:basedOn w:val="Normal"/>
    <w:rsid w:val="00246ACC"/>
    <w:pPr>
      <w:numPr>
        <w:numId w:val="2"/>
      </w:numPr>
    </w:pPr>
    <w:rPr>
      <w:rFonts w:ascii="Arial" w:hAnsi="Arial" w:cs="Arial"/>
    </w:rPr>
  </w:style>
  <w:style w:type="paragraph" w:customStyle="1" w:styleId="para">
    <w:name w:val="para"/>
    <w:basedOn w:val="Normal"/>
    <w:rsid w:val="00246ACC"/>
    <w:pPr>
      <w:spacing w:before="120" w:after="120"/>
    </w:pPr>
    <w:rPr>
      <w:rFonts w:ascii="Arial" w:hAnsi="Arial" w:cs="Arial"/>
    </w:rPr>
  </w:style>
  <w:style w:type="paragraph" w:customStyle="1" w:styleId="textbox">
    <w:name w:val="text box"/>
    <w:basedOn w:val="Normal"/>
    <w:rsid w:val="00246ACC"/>
    <w:pPr>
      <w:spacing w:before="60" w:after="60"/>
    </w:pPr>
    <w:rPr>
      <w:rFonts w:ascii="Tahoma" w:hAnsi="Tahoma" w:cs="Tahoma"/>
    </w:rPr>
  </w:style>
  <w:style w:type="paragraph" w:customStyle="1" w:styleId="Dotpoint">
    <w:name w:val="Dot point"/>
    <w:basedOn w:val="Normal"/>
    <w:rsid w:val="00246ACC"/>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246ACC"/>
    <w:pPr>
      <w:spacing w:before="180" w:after="60"/>
      <w:jc w:val="both"/>
    </w:pPr>
  </w:style>
  <w:style w:type="paragraph" w:customStyle="1" w:styleId="CoverActName">
    <w:name w:val="CoverActName"/>
    <w:basedOn w:val="Normal"/>
    <w:rsid w:val="00246ACC"/>
    <w:pPr>
      <w:tabs>
        <w:tab w:val="left" w:pos="2600"/>
      </w:tabs>
      <w:spacing w:before="200" w:after="60"/>
      <w:jc w:val="both"/>
    </w:pPr>
    <w:rPr>
      <w:rFonts w:ascii="Arial" w:hAnsi="Arial" w:cs="Arial"/>
      <w:b/>
      <w:bCs/>
    </w:rPr>
  </w:style>
  <w:style w:type="paragraph" w:customStyle="1" w:styleId="N-line3">
    <w:name w:val="N-line3"/>
    <w:basedOn w:val="Normal"/>
    <w:next w:val="Normal"/>
    <w:rsid w:val="00246ACC"/>
    <w:pPr>
      <w:pBdr>
        <w:bottom w:val="single" w:sz="12" w:space="1" w:color="auto"/>
      </w:pBdr>
      <w:jc w:val="both"/>
    </w:pPr>
  </w:style>
  <w:style w:type="paragraph" w:customStyle="1" w:styleId="LongTitle">
    <w:name w:val="LongTitle"/>
    <w:basedOn w:val="Normal"/>
    <w:rsid w:val="00246ACC"/>
    <w:pPr>
      <w:spacing w:before="240" w:after="60"/>
      <w:jc w:val="both"/>
    </w:pPr>
  </w:style>
  <w:style w:type="paragraph" w:styleId="Footer">
    <w:name w:val="footer"/>
    <w:basedOn w:val="Normal"/>
    <w:link w:val="FooterChar"/>
    <w:uiPriority w:val="99"/>
    <w:rsid w:val="00246ACC"/>
    <w:pPr>
      <w:tabs>
        <w:tab w:val="center" w:pos="4153"/>
        <w:tab w:val="right" w:pos="8306"/>
      </w:tabs>
    </w:pPr>
  </w:style>
  <w:style w:type="character" w:customStyle="1" w:styleId="FooterChar">
    <w:name w:val="Footer Char"/>
    <w:basedOn w:val="DefaultParagraphFont"/>
    <w:link w:val="Footer"/>
    <w:uiPriority w:val="99"/>
    <w:semiHidden/>
    <w:locked/>
    <w:rsid w:val="00246ACC"/>
    <w:rPr>
      <w:rFonts w:cs="Times New Roman"/>
      <w:sz w:val="24"/>
      <w:szCs w:val="24"/>
      <w:lang w:val="x-none" w:eastAsia="en-US"/>
    </w:rPr>
  </w:style>
  <w:style w:type="paragraph" w:customStyle="1" w:styleId="ChronTableBold">
    <w:name w:val="ChronTableBold"/>
    <w:basedOn w:val="Normal"/>
    <w:rsid w:val="00246ACC"/>
    <w:pPr>
      <w:keepNext/>
      <w:spacing w:before="180"/>
    </w:pPr>
    <w:rPr>
      <w:rFonts w:ascii="Arial" w:hAnsi="Arial" w:cs="Arial"/>
      <w:b/>
      <w:bCs/>
      <w:sz w:val="18"/>
      <w:szCs w:val="18"/>
      <w:lang w:val="en-US"/>
    </w:rPr>
  </w:style>
  <w:style w:type="paragraph" w:customStyle="1" w:styleId="Amain">
    <w:name w:val="A main"/>
    <w:basedOn w:val="Normal"/>
    <w:rsid w:val="00246ACC"/>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rsid w:val="00246ACC"/>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sid w:val="00246ACC"/>
    <w:rPr>
      <w:rFonts w:ascii="Arial" w:hAnsi="Arial" w:cs="Arial"/>
      <w:lang w:val="en-GB"/>
    </w:rPr>
  </w:style>
  <w:style w:type="paragraph" w:styleId="BalloonText">
    <w:name w:val="Balloon Text"/>
    <w:basedOn w:val="Normal"/>
    <w:link w:val="BalloonTextChar"/>
    <w:uiPriority w:val="99"/>
    <w:rsid w:val="00287BDE"/>
    <w:rPr>
      <w:rFonts w:ascii="Tahoma" w:hAnsi="Tahoma" w:cs="Tahoma"/>
      <w:sz w:val="16"/>
      <w:szCs w:val="16"/>
    </w:rPr>
  </w:style>
  <w:style w:type="character" w:customStyle="1" w:styleId="BalloonTextChar">
    <w:name w:val="Balloon Text Char"/>
    <w:basedOn w:val="DefaultParagraphFont"/>
    <w:link w:val="BalloonText"/>
    <w:uiPriority w:val="99"/>
    <w:locked/>
    <w:rsid w:val="00287BDE"/>
    <w:rPr>
      <w:rFonts w:ascii="Tahoma" w:hAnsi="Tahoma" w:cs="Tahoma"/>
      <w:sz w:val="16"/>
      <w:szCs w:val="16"/>
      <w:lang w:val="x-none" w:eastAsia="en-US"/>
    </w:rPr>
  </w:style>
  <w:style w:type="character" w:styleId="CommentReference">
    <w:name w:val="annotation reference"/>
    <w:basedOn w:val="DefaultParagraphFont"/>
    <w:uiPriority w:val="99"/>
    <w:rsid w:val="0072165A"/>
    <w:rPr>
      <w:rFonts w:cs="Times New Roman"/>
      <w:sz w:val="16"/>
      <w:szCs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bCs/>
      <w:lang w:val="x-none" w:eastAsia="en-US"/>
    </w:rPr>
  </w:style>
  <w:style w:type="character" w:styleId="Hyperlink">
    <w:name w:val="Hyperlink"/>
    <w:basedOn w:val="DefaultParagraphFont"/>
    <w:uiPriority w:val="99"/>
    <w:rsid w:val="0016000D"/>
    <w:rPr>
      <w:rFonts w:cs="Times New Roman"/>
      <w:color w:val="0000FF" w:themeColor="hyperlink"/>
      <w:u w:val="single"/>
    </w:rPr>
  </w:style>
  <w:style w:type="paragraph" w:styleId="FootnoteText">
    <w:name w:val="footnote text"/>
    <w:basedOn w:val="Normal"/>
    <w:link w:val="FootnoteTextChar"/>
    <w:uiPriority w:val="99"/>
    <w:rsid w:val="00F53808"/>
    <w:rPr>
      <w:sz w:val="20"/>
      <w:szCs w:val="20"/>
    </w:rPr>
  </w:style>
  <w:style w:type="character" w:customStyle="1" w:styleId="FootnoteTextChar">
    <w:name w:val="Footnote Text Char"/>
    <w:basedOn w:val="DefaultParagraphFont"/>
    <w:link w:val="FootnoteText"/>
    <w:uiPriority w:val="99"/>
    <w:locked/>
    <w:rsid w:val="00F53808"/>
    <w:rPr>
      <w:rFonts w:cs="Times New Roman"/>
      <w:lang w:val="x-none" w:eastAsia="en-US"/>
    </w:rPr>
  </w:style>
  <w:style w:type="character" w:styleId="FootnoteReference">
    <w:name w:val="footnote reference"/>
    <w:basedOn w:val="DefaultParagraphFont"/>
    <w:uiPriority w:val="99"/>
    <w:rsid w:val="00F53808"/>
    <w:rPr>
      <w:rFonts w:cs="Times New Roman"/>
      <w:vertAlign w:val="superscript"/>
    </w:rPr>
  </w:style>
  <w:style w:type="character" w:customStyle="1" w:styleId="Calibri12">
    <w:name w:val="Calibri 12"/>
    <w:basedOn w:val="DefaultParagraphFont"/>
    <w:uiPriority w:val="1"/>
    <w:qFormat/>
    <w:rsid w:val="00664497"/>
    <w:rPr>
      <w:rFonts w:ascii="Calibri" w:hAnsi="Calibri" w:cs="Times New Roman"/>
      <w:sz w:val="24"/>
    </w:rPr>
  </w:style>
  <w:style w:type="paragraph" w:styleId="ListParagraph">
    <w:name w:val="List Paragraph"/>
    <w:basedOn w:val="Normal"/>
    <w:uiPriority w:val="34"/>
    <w:qFormat/>
    <w:rsid w:val="00664497"/>
    <w:pPr>
      <w:widowControl w:val="0"/>
      <w:ind w:left="720"/>
      <w:contextualSpacing/>
    </w:pPr>
    <w:rPr>
      <w:iCs/>
      <w:lang w:val="en-US"/>
    </w:rPr>
  </w:style>
  <w:style w:type="paragraph" w:customStyle="1" w:styleId="condition">
    <w:name w:val="condition"/>
    <w:basedOn w:val="Normal"/>
    <w:rsid w:val="000E582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699779">
      <w:marLeft w:val="0"/>
      <w:marRight w:val="0"/>
      <w:marTop w:val="0"/>
      <w:marBottom w:val="0"/>
      <w:divBdr>
        <w:top w:val="none" w:sz="0" w:space="0" w:color="auto"/>
        <w:left w:val="none" w:sz="0" w:space="0" w:color="auto"/>
        <w:bottom w:val="none" w:sz="0" w:space="0" w:color="auto"/>
        <w:right w:val="none" w:sz="0" w:space="0" w:color="auto"/>
      </w:divBdr>
    </w:div>
    <w:div w:id="1324699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lanning.act.gov.au/build-buy-renovate/reviews-and-reforms/building-refor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6761BA8-B6ED-4DE1-A877-E72D186F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6234</Characters>
  <Application>Microsoft Office Word</Application>
  <DocSecurity>0</DocSecurity>
  <Lines>109</Lines>
  <Paragraphs>40</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2</cp:revision>
  <cp:lastPrinted>2017-11-15T21:11:00Z</cp:lastPrinted>
  <dcterms:created xsi:type="dcterms:W3CDTF">2019-07-08T06:56:00Z</dcterms:created>
  <dcterms:modified xsi:type="dcterms:W3CDTF">2019-07-08T06:56:00Z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A14389356</vt:lpwstr>
  </property>
  <property fmtid="{D5CDD505-2E9C-101B-9397-08002B2CF9AE}" pid="3" name="Objective-Comment">
    <vt:lpwstr/>
  </property>
  <property fmtid="{D5CDD505-2E9C-101B-9397-08002B2CF9AE}" pid="4" name="Objective-CreationStamp">
    <vt:filetime>2017-10-29T14:00:00Z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2017-10-29T14:00:00Z</vt:filetime>
  </property>
  <property fmtid="{D5CDD505-2E9C-101B-9397-08002B2CF9AE}" pid="8" name="Objective-ModificationStamp">
    <vt:filetime>2017-10-29T14:00:00Z</vt:filetime>
  </property>
  <property fmtid="{D5CDD505-2E9C-101B-9397-08002B2CF9AE}" pid="9" name="Objective-Owner">
    <vt:lpwstr>Vanessa Morris</vt:lpwstr>
  </property>
  <property fmtid="{D5CDD505-2E9C-101B-9397-08002B2CF9AE}" pid="10" name="Objective-Path">
    <vt:lpwstr>Whole of ACT Government:EPSDD - Environment Planning and Sustainable Development Directorate:07. Ministerial, Cabinet and Government Relations:06. Ministerials:2017 - Ministerial and Chief Ministerial Briefs / Correspondence:Land Supply &amp; Policy:17/31005 </vt:lpwstr>
  </property>
  <property fmtid="{D5CDD505-2E9C-101B-9397-08002B2CF9AE}" pid="11" name="Objective-Parent">
    <vt:lpwstr>17/31005 - Ministerial Brief - Electrical Metering Reforms - Approval of new licensing regulation and associated instruments</vt:lpwstr>
  </property>
  <property fmtid="{D5CDD505-2E9C-101B-9397-08002B2CF9AE}" pid="12" name="Objective-State">
    <vt:lpwstr>Published</vt:lpwstr>
  </property>
  <property fmtid="{D5CDD505-2E9C-101B-9397-08002B2CF9AE}" pid="13" name="Objective-Title">
    <vt:lpwstr>Attachment E - ES s13 Mandatory Quals Declaration</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1-2017/31005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ies>
</file>