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FF167" w14:textId="77777777" w:rsidR="009E2766" w:rsidRDefault="009E2766">
      <w:pPr>
        <w:pStyle w:val="Header"/>
        <w:spacing w:before="120"/>
        <w:rPr>
          <w:rFonts w:ascii="Arial" w:hAnsi="Arial" w:cs="Arial"/>
        </w:rPr>
      </w:pPr>
      <w:bookmarkStart w:id="0" w:name="_GoBack"/>
      <w:bookmarkEnd w:id="0"/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14:paraId="1D2CC301" w14:textId="77777777" w:rsidR="009E2766" w:rsidRPr="00412587" w:rsidRDefault="009E2766">
      <w:pPr>
        <w:pStyle w:val="Billname"/>
        <w:spacing w:before="700"/>
        <w:rPr>
          <w:rFonts w:cs="Times New Roman"/>
          <w:bCs w:val="0"/>
          <w:szCs w:val="20"/>
        </w:rPr>
      </w:pPr>
      <w:r w:rsidRPr="00412587">
        <w:rPr>
          <w:rFonts w:cs="Times New Roman"/>
          <w:bCs w:val="0"/>
          <w:szCs w:val="20"/>
        </w:rPr>
        <w:t xml:space="preserve">Waste </w:t>
      </w:r>
      <w:r w:rsidR="00A83E1A">
        <w:rPr>
          <w:rFonts w:cs="Times New Roman"/>
          <w:bCs w:val="0"/>
          <w:szCs w:val="20"/>
        </w:rPr>
        <w:t xml:space="preserve">Management and Resource Recovery </w:t>
      </w:r>
      <w:r w:rsidRPr="00412587">
        <w:rPr>
          <w:rFonts w:cs="Times New Roman"/>
          <w:bCs w:val="0"/>
          <w:szCs w:val="20"/>
        </w:rPr>
        <w:t>(</w:t>
      </w:r>
      <w:r w:rsidR="002829E2" w:rsidRPr="00412587">
        <w:rPr>
          <w:rFonts w:cs="Times New Roman"/>
          <w:bCs w:val="0"/>
          <w:szCs w:val="20"/>
        </w:rPr>
        <w:t>Fees) Determination 20</w:t>
      </w:r>
      <w:r w:rsidR="00FF0A96" w:rsidRPr="00412587">
        <w:rPr>
          <w:rFonts w:cs="Times New Roman"/>
          <w:bCs w:val="0"/>
          <w:szCs w:val="20"/>
        </w:rPr>
        <w:t>1</w:t>
      </w:r>
      <w:r w:rsidR="00127082">
        <w:rPr>
          <w:rFonts w:cs="Times New Roman"/>
          <w:bCs w:val="0"/>
          <w:szCs w:val="20"/>
        </w:rPr>
        <w:t>9</w:t>
      </w:r>
      <w:r w:rsidRPr="00412587">
        <w:rPr>
          <w:rFonts w:cs="Times New Roman"/>
          <w:bCs w:val="0"/>
          <w:szCs w:val="20"/>
        </w:rPr>
        <w:t xml:space="preserve"> (No</w:t>
      </w:r>
      <w:r w:rsidR="00EE3462">
        <w:rPr>
          <w:rFonts w:cs="Times New Roman"/>
          <w:bCs w:val="0"/>
          <w:szCs w:val="20"/>
        </w:rPr>
        <w:t xml:space="preserve"> </w:t>
      </w:r>
      <w:r w:rsidR="003D0491">
        <w:rPr>
          <w:rFonts w:cs="Times New Roman"/>
          <w:bCs w:val="0"/>
          <w:szCs w:val="20"/>
        </w:rPr>
        <w:t>2</w:t>
      </w:r>
      <w:r w:rsidRPr="00412587">
        <w:rPr>
          <w:rFonts w:cs="Times New Roman"/>
          <w:bCs w:val="0"/>
          <w:szCs w:val="20"/>
        </w:rPr>
        <w:t>)</w:t>
      </w:r>
    </w:p>
    <w:p w14:paraId="5941B4E2" w14:textId="74ABE9E6" w:rsidR="009E2766" w:rsidRPr="00412587" w:rsidRDefault="009E2766" w:rsidP="00412587">
      <w:pPr>
        <w:spacing w:before="340"/>
        <w:rPr>
          <w:rFonts w:ascii="Arial" w:hAnsi="Arial" w:cs="Arial"/>
          <w:b/>
          <w:bCs/>
          <w:szCs w:val="20"/>
        </w:rPr>
      </w:pPr>
      <w:r w:rsidRPr="00412587">
        <w:rPr>
          <w:rFonts w:ascii="Arial" w:hAnsi="Arial" w:cs="Arial"/>
          <w:b/>
          <w:bCs/>
          <w:szCs w:val="20"/>
        </w:rPr>
        <w:t>Disallowable Instrument DI20</w:t>
      </w:r>
      <w:r w:rsidR="00FF0A96" w:rsidRPr="00412587">
        <w:rPr>
          <w:rFonts w:ascii="Arial" w:hAnsi="Arial" w:cs="Arial"/>
          <w:b/>
          <w:bCs/>
          <w:szCs w:val="20"/>
        </w:rPr>
        <w:t>1</w:t>
      </w:r>
      <w:r w:rsidR="00127082">
        <w:rPr>
          <w:rFonts w:ascii="Arial" w:hAnsi="Arial" w:cs="Arial"/>
          <w:b/>
          <w:bCs/>
          <w:szCs w:val="20"/>
        </w:rPr>
        <w:t>9</w:t>
      </w:r>
      <w:r w:rsidRPr="00412587">
        <w:rPr>
          <w:rFonts w:ascii="Arial" w:hAnsi="Arial" w:cs="Arial"/>
          <w:b/>
          <w:bCs/>
          <w:szCs w:val="20"/>
        </w:rPr>
        <w:t>-</w:t>
      </w:r>
      <w:r w:rsidR="00124C03">
        <w:rPr>
          <w:rFonts w:ascii="Arial" w:hAnsi="Arial" w:cs="Arial"/>
          <w:b/>
          <w:bCs/>
          <w:szCs w:val="20"/>
        </w:rPr>
        <w:t>184</w:t>
      </w:r>
    </w:p>
    <w:p w14:paraId="48C532CB" w14:textId="77777777" w:rsidR="009E2766" w:rsidRPr="00412587" w:rsidRDefault="00412587" w:rsidP="00412587">
      <w:pPr>
        <w:pStyle w:val="madeunder"/>
        <w:spacing w:before="300" w:after="0"/>
        <w:rPr>
          <w:szCs w:val="20"/>
        </w:rPr>
      </w:pPr>
      <w:r>
        <w:rPr>
          <w:szCs w:val="20"/>
        </w:rPr>
        <w:t>m</w:t>
      </w:r>
      <w:r w:rsidR="009E2766" w:rsidRPr="00412587">
        <w:rPr>
          <w:szCs w:val="20"/>
        </w:rPr>
        <w:t>ade under the</w:t>
      </w:r>
    </w:p>
    <w:p w14:paraId="503A76C7" w14:textId="77777777" w:rsidR="009E2766" w:rsidRPr="00412587" w:rsidRDefault="00D92764" w:rsidP="00412587">
      <w:pPr>
        <w:pStyle w:val="CoverActName"/>
        <w:spacing w:before="320" w:after="0"/>
        <w:rPr>
          <w:bCs w:val="0"/>
          <w:sz w:val="20"/>
          <w:szCs w:val="20"/>
        </w:rPr>
      </w:pPr>
      <w:r w:rsidRPr="00D92764">
        <w:rPr>
          <w:bCs w:val="0"/>
          <w:i/>
          <w:sz w:val="20"/>
          <w:szCs w:val="20"/>
        </w:rPr>
        <w:t>Waste Management and Resource Recovery Act 2016</w:t>
      </w:r>
      <w:r w:rsidR="009E2766" w:rsidRPr="00412587">
        <w:rPr>
          <w:bCs w:val="0"/>
          <w:sz w:val="20"/>
          <w:szCs w:val="20"/>
        </w:rPr>
        <w:t xml:space="preserve">, </w:t>
      </w:r>
      <w:r w:rsidR="001F1885">
        <w:rPr>
          <w:bCs w:val="0"/>
          <w:sz w:val="20"/>
          <w:szCs w:val="20"/>
        </w:rPr>
        <w:t>s</w:t>
      </w:r>
      <w:r w:rsidR="009E2766" w:rsidRPr="00412587">
        <w:rPr>
          <w:bCs w:val="0"/>
          <w:sz w:val="20"/>
          <w:szCs w:val="20"/>
        </w:rPr>
        <w:t xml:space="preserve">ection </w:t>
      </w:r>
      <w:r w:rsidR="00A83E1A">
        <w:rPr>
          <w:bCs w:val="0"/>
          <w:sz w:val="20"/>
          <w:szCs w:val="20"/>
        </w:rPr>
        <w:t xml:space="preserve">126 </w:t>
      </w:r>
      <w:r w:rsidR="001F1885">
        <w:rPr>
          <w:bCs w:val="0"/>
          <w:sz w:val="20"/>
          <w:szCs w:val="20"/>
        </w:rPr>
        <w:t>(</w:t>
      </w:r>
      <w:r w:rsidR="009E2766" w:rsidRPr="00412587">
        <w:rPr>
          <w:bCs w:val="0"/>
          <w:sz w:val="20"/>
          <w:szCs w:val="20"/>
        </w:rPr>
        <w:t xml:space="preserve">Determination of </w:t>
      </w:r>
      <w:r w:rsidR="001F1885">
        <w:rPr>
          <w:bCs w:val="0"/>
          <w:sz w:val="20"/>
          <w:szCs w:val="20"/>
        </w:rPr>
        <w:t>f</w:t>
      </w:r>
      <w:r w:rsidR="009E2766" w:rsidRPr="00412587">
        <w:rPr>
          <w:bCs w:val="0"/>
          <w:sz w:val="20"/>
          <w:szCs w:val="20"/>
        </w:rPr>
        <w:t>ees</w:t>
      </w:r>
      <w:r w:rsidR="00A83E1A">
        <w:rPr>
          <w:bCs w:val="0"/>
          <w:sz w:val="20"/>
          <w:szCs w:val="20"/>
        </w:rPr>
        <w:t xml:space="preserve"> and rates of interest</w:t>
      </w:r>
      <w:r w:rsidR="001F1885">
        <w:rPr>
          <w:bCs w:val="0"/>
          <w:sz w:val="20"/>
          <w:szCs w:val="20"/>
        </w:rPr>
        <w:t>)</w:t>
      </w:r>
    </w:p>
    <w:p w14:paraId="6DEB92BF" w14:textId="77777777" w:rsidR="009E2766" w:rsidRPr="00412587" w:rsidRDefault="009E2766" w:rsidP="00412587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 w:rsidRPr="00412587"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01699D28" w14:textId="77777777" w:rsidR="009E2766" w:rsidRDefault="009E2766">
      <w:pPr>
        <w:pStyle w:val="Header"/>
        <w:pBdr>
          <w:bottom w:val="single" w:sz="12" w:space="1" w:color="auto"/>
        </w:pBdr>
        <w:spacing w:before="120"/>
        <w:rPr>
          <w:rFonts w:ascii="Arial" w:hAnsi="Arial" w:cs="Arial"/>
        </w:rPr>
      </w:pPr>
    </w:p>
    <w:p w14:paraId="4BBEAD12" w14:textId="77777777" w:rsidR="009E2766" w:rsidRDefault="009E2766">
      <w:pPr>
        <w:pStyle w:val="Header"/>
        <w:spacing w:before="120"/>
        <w:rPr>
          <w:rFonts w:ascii="Arial" w:hAnsi="Arial" w:cs="Arial"/>
        </w:rPr>
      </w:pPr>
    </w:p>
    <w:p w14:paraId="0FFAF740" w14:textId="2744CC7F" w:rsidR="003B626F" w:rsidRPr="00E70FFF" w:rsidRDefault="003B626F" w:rsidP="006342E5">
      <w:pPr>
        <w:pStyle w:val="Header"/>
        <w:tabs>
          <w:tab w:val="clear" w:pos="4153"/>
        </w:tabs>
      </w:pPr>
      <w:r w:rsidRPr="00E70FFF">
        <w:t xml:space="preserve">Section </w:t>
      </w:r>
      <w:r w:rsidR="00A83E1A" w:rsidRPr="00E70FFF">
        <w:t xml:space="preserve">126 </w:t>
      </w:r>
      <w:r w:rsidRPr="00E70FFF">
        <w:t xml:space="preserve">of the </w:t>
      </w:r>
      <w:r w:rsidRPr="00E70FFF">
        <w:rPr>
          <w:i/>
        </w:rPr>
        <w:t xml:space="preserve">Waste </w:t>
      </w:r>
      <w:r w:rsidR="00A83E1A" w:rsidRPr="00E70FFF">
        <w:rPr>
          <w:i/>
        </w:rPr>
        <w:t xml:space="preserve">Management and Resource Recovery Act 2016 </w:t>
      </w:r>
      <w:r w:rsidR="006342E5" w:rsidRPr="00E70FFF">
        <w:t>(</w:t>
      </w:r>
      <w:r w:rsidRPr="00E70FFF">
        <w:t>the Act</w:t>
      </w:r>
      <w:r w:rsidR="00412587" w:rsidRPr="00E70FFF">
        <w:t xml:space="preserve">) provides that the </w:t>
      </w:r>
      <w:r w:rsidRPr="00E70FFF">
        <w:t>Minister</w:t>
      </w:r>
      <w:r w:rsidR="00412587" w:rsidRPr="00E70FFF">
        <w:t xml:space="preserve"> may</w:t>
      </w:r>
      <w:r w:rsidR="00370593" w:rsidRPr="00E70FFF">
        <w:t>,</w:t>
      </w:r>
      <w:r w:rsidRPr="00E70FFF">
        <w:t xml:space="preserve"> </w:t>
      </w:r>
      <w:r w:rsidR="00837721" w:rsidRPr="00E70FFF">
        <w:t xml:space="preserve">amongst other things, </w:t>
      </w:r>
      <w:r w:rsidRPr="00E70FFF">
        <w:t xml:space="preserve">determine fees for the </w:t>
      </w:r>
      <w:r w:rsidR="00412587" w:rsidRPr="00E70FFF">
        <w:t>Act</w:t>
      </w:r>
      <w:r w:rsidRPr="00E70FFF">
        <w:t>.</w:t>
      </w:r>
      <w:r w:rsidR="00837721" w:rsidRPr="00E70FFF">
        <w:t xml:space="preserve"> </w:t>
      </w:r>
      <w:r w:rsidR="00D56C77" w:rsidRPr="00E70FFF">
        <w:t>This instrument does not change the fees determined under the Waste Management and Resource Recovery (Fees) Determination 2019 (No 1)</w:t>
      </w:r>
      <w:r w:rsidR="00D56C77" w:rsidRPr="00E70FFF">
        <w:rPr>
          <w:color w:val="000000"/>
        </w:rPr>
        <w:t xml:space="preserve"> </w:t>
      </w:r>
      <w:r w:rsidR="00D56C77" w:rsidRPr="00E70FFF">
        <w:t>[D12019-106] which this instrument revokes.</w:t>
      </w:r>
    </w:p>
    <w:p w14:paraId="29EBF924" w14:textId="77777777" w:rsidR="00A83E1A" w:rsidRPr="00E70FFF" w:rsidRDefault="00A83E1A" w:rsidP="006342E5">
      <w:pPr>
        <w:pStyle w:val="Header"/>
        <w:tabs>
          <w:tab w:val="clear" w:pos="4153"/>
        </w:tabs>
      </w:pPr>
    </w:p>
    <w:p w14:paraId="581292E2" w14:textId="267A9FBC" w:rsidR="00C41F2F" w:rsidRPr="00E70FFF" w:rsidRDefault="00D56C77" w:rsidP="006D7617">
      <w:r w:rsidRPr="00E70FFF">
        <w:t>This instrument provides technical amendment or corrections as follows;</w:t>
      </w:r>
    </w:p>
    <w:p w14:paraId="2907B7EE" w14:textId="77777777" w:rsidR="00D56C77" w:rsidRPr="00E70FFF" w:rsidRDefault="00D56C77" w:rsidP="006D7617"/>
    <w:p w14:paraId="32064C16" w14:textId="5BA981F6" w:rsidR="00C41F2F" w:rsidRPr="00E70FFF" w:rsidRDefault="00D56C77" w:rsidP="00C41F2F">
      <w:pPr>
        <w:pStyle w:val="ListParagraph"/>
        <w:numPr>
          <w:ilvl w:val="0"/>
          <w:numId w:val="12"/>
        </w:numPr>
        <w:spacing w:after="120"/>
        <w:ind w:left="567" w:right="-45" w:hanging="567"/>
        <w:contextualSpacing w:val="0"/>
        <w:rPr>
          <w:rStyle w:val="Calibri12"/>
          <w:rFonts w:ascii="Times New Roman" w:eastAsiaTheme="minorEastAsia" w:hAnsi="Times New Roman"/>
        </w:rPr>
      </w:pPr>
      <w:r w:rsidRPr="00E70FFF">
        <w:rPr>
          <w:rStyle w:val="Calibri12"/>
          <w:rFonts w:ascii="Times New Roman" w:eastAsiaTheme="minorEastAsia" w:hAnsi="Times New Roman"/>
        </w:rPr>
        <w:t>P</w:t>
      </w:r>
      <w:r w:rsidR="00C41F2F" w:rsidRPr="00E70FFF">
        <w:rPr>
          <w:rStyle w:val="Calibri12"/>
          <w:rFonts w:ascii="Times New Roman" w:eastAsiaTheme="minorEastAsia" w:hAnsi="Times New Roman"/>
        </w:rPr>
        <w:t xml:space="preserve">aragraph 3 </w:t>
      </w:r>
      <w:r w:rsidRPr="00E70FFF">
        <w:rPr>
          <w:rStyle w:val="Calibri12"/>
          <w:rFonts w:ascii="Times New Roman" w:eastAsiaTheme="minorEastAsia" w:hAnsi="Times New Roman"/>
        </w:rPr>
        <w:t xml:space="preserve">of the instrument is corrected </w:t>
      </w:r>
      <w:r w:rsidR="00C41F2F" w:rsidRPr="00E70FFF">
        <w:rPr>
          <w:rStyle w:val="Calibri12"/>
          <w:rFonts w:ascii="Times New Roman" w:eastAsiaTheme="minorEastAsia" w:hAnsi="Times New Roman"/>
        </w:rPr>
        <w:t>to highlight the separation and reference to columns of schedule 1 and schedule 2.</w:t>
      </w:r>
    </w:p>
    <w:p w14:paraId="36A1A882" w14:textId="31146147" w:rsidR="00C41F2F" w:rsidRPr="00E70FFF" w:rsidRDefault="00C41F2F" w:rsidP="00C41F2F">
      <w:pPr>
        <w:pStyle w:val="ListParagraph"/>
        <w:numPr>
          <w:ilvl w:val="0"/>
          <w:numId w:val="12"/>
        </w:numPr>
        <w:spacing w:after="120"/>
        <w:ind w:left="567" w:right="-45" w:hanging="567"/>
        <w:contextualSpacing w:val="0"/>
        <w:rPr>
          <w:rStyle w:val="Calibri12"/>
          <w:rFonts w:ascii="Times New Roman" w:eastAsiaTheme="minorEastAsia" w:hAnsi="Times New Roman"/>
        </w:rPr>
      </w:pPr>
      <w:r w:rsidRPr="00E70FFF">
        <w:rPr>
          <w:rStyle w:val="Calibri12"/>
          <w:rFonts w:ascii="Times New Roman" w:eastAsiaTheme="minorEastAsia" w:hAnsi="Times New Roman"/>
        </w:rPr>
        <w:t xml:space="preserve">Paragraph 5, 6 and 7 were </w:t>
      </w:r>
      <w:r w:rsidR="00D56C77" w:rsidRPr="00E70FFF">
        <w:rPr>
          <w:rStyle w:val="Calibri12"/>
          <w:rFonts w:ascii="Times New Roman" w:eastAsiaTheme="minorEastAsia" w:hAnsi="Times New Roman"/>
        </w:rPr>
        <w:t>corrected</w:t>
      </w:r>
      <w:r w:rsidRPr="00E70FFF">
        <w:rPr>
          <w:rStyle w:val="Calibri12"/>
          <w:rFonts w:ascii="Times New Roman" w:eastAsiaTheme="minorEastAsia" w:hAnsi="Times New Roman"/>
        </w:rPr>
        <w:t xml:space="preserve"> to reference schedule 2</w:t>
      </w:r>
      <w:r w:rsidR="00D56C77" w:rsidRPr="00E70FFF">
        <w:rPr>
          <w:rStyle w:val="Calibri12"/>
          <w:rFonts w:ascii="Times New Roman" w:eastAsiaTheme="minorEastAsia" w:hAnsi="Times New Roman"/>
        </w:rPr>
        <w:t xml:space="preserve"> which mistakenly were omitted from the original instrument</w:t>
      </w:r>
      <w:r w:rsidRPr="00E70FFF">
        <w:rPr>
          <w:rStyle w:val="Calibri12"/>
          <w:rFonts w:ascii="Times New Roman" w:eastAsiaTheme="minorEastAsia" w:hAnsi="Times New Roman"/>
        </w:rPr>
        <w:t>.</w:t>
      </w:r>
    </w:p>
    <w:p w14:paraId="72CA45C3" w14:textId="77777777" w:rsidR="00C41F2F" w:rsidRPr="00E70FFF" w:rsidRDefault="00C41F2F" w:rsidP="00C41F2F">
      <w:pPr>
        <w:pStyle w:val="ListParagraph"/>
        <w:numPr>
          <w:ilvl w:val="0"/>
          <w:numId w:val="12"/>
        </w:numPr>
        <w:spacing w:after="120"/>
        <w:ind w:left="567" w:right="-45" w:hanging="567"/>
        <w:contextualSpacing w:val="0"/>
        <w:rPr>
          <w:rStyle w:val="Calibri12"/>
          <w:rFonts w:ascii="Times New Roman" w:eastAsiaTheme="minorEastAsia" w:hAnsi="Times New Roman"/>
        </w:rPr>
      </w:pPr>
      <w:r w:rsidRPr="00E70FFF">
        <w:rPr>
          <w:rStyle w:val="Calibri12"/>
          <w:rFonts w:ascii="Times New Roman" w:eastAsiaTheme="minorEastAsia" w:hAnsi="Times New Roman"/>
        </w:rPr>
        <w:t>Fee 1.8 has been updated to include the wording ‘or mattress bases’ for customer clarification.</w:t>
      </w:r>
    </w:p>
    <w:p w14:paraId="2A91884D" w14:textId="4FE5D1FB" w:rsidR="00C41F2F" w:rsidRPr="00E70FFF" w:rsidRDefault="00C41F2F" w:rsidP="00C41F2F">
      <w:pPr>
        <w:pStyle w:val="ListParagraph"/>
        <w:numPr>
          <w:ilvl w:val="0"/>
          <w:numId w:val="12"/>
        </w:numPr>
        <w:spacing w:after="120"/>
        <w:ind w:left="567" w:right="-45" w:hanging="567"/>
        <w:contextualSpacing w:val="0"/>
        <w:rPr>
          <w:rStyle w:val="Calibri12"/>
          <w:rFonts w:ascii="Times New Roman" w:eastAsiaTheme="minorEastAsia" w:hAnsi="Times New Roman"/>
        </w:rPr>
      </w:pPr>
      <w:r w:rsidRPr="00E70FFF">
        <w:rPr>
          <w:rStyle w:val="Calibri12"/>
          <w:rFonts w:ascii="Times New Roman" w:eastAsiaTheme="minorEastAsia" w:hAnsi="Times New Roman"/>
        </w:rPr>
        <w:t>Fees in parts 8 and parts 9 have been updated to include ‘**’ to indicate GST inclusive fees</w:t>
      </w:r>
      <w:r w:rsidR="00D56C77" w:rsidRPr="00E70FFF">
        <w:rPr>
          <w:rStyle w:val="Calibri12"/>
          <w:rFonts w:ascii="Times New Roman" w:eastAsiaTheme="minorEastAsia" w:hAnsi="Times New Roman"/>
        </w:rPr>
        <w:t xml:space="preserve"> which </w:t>
      </w:r>
      <w:r w:rsidR="00D86AE3" w:rsidRPr="00E70FFF">
        <w:rPr>
          <w:rStyle w:val="Calibri12"/>
          <w:rFonts w:ascii="Times New Roman" w:eastAsiaTheme="minorEastAsia" w:hAnsi="Times New Roman"/>
        </w:rPr>
        <w:t>were not included in the original instrument</w:t>
      </w:r>
      <w:r w:rsidR="00D56C77" w:rsidRPr="00E70FFF">
        <w:rPr>
          <w:rStyle w:val="Calibri12"/>
          <w:rFonts w:ascii="Times New Roman" w:eastAsiaTheme="minorEastAsia" w:hAnsi="Times New Roman"/>
        </w:rPr>
        <w:t>.</w:t>
      </w:r>
    </w:p>
    <w:p w14:paraId="2C26C5BE" w14:textId="3B0FFE31" w:rsidR="00C41F2F" w:rsidRPr="00E70FFF" w:rsidRDefault="00C41F2F" w:rsidP="00C41F2F">
      <w:pPr>
        <w:pStyle w:val="ListParagraph"/>
        <w:numPr>
          <w:ilvl w:val="0"/>
          <w:numId w:val="12"/>
        </w:numPr>
        <w:spacing w:after="120"/>
        <w:ind w:left="567" w:right="-45" w:hanging="567"/>
        <w:contextualSpacing w:val="0"/>
        <w:rPr>
          <w:rStyle w:val="Calibri12"/>
          <w:rFonts w:ascii="Times New Roman" w:eastAsiaTheme="minorEastAsia" w:hAnsi="Times New Roman"/>
        </w:rPr>
      </w:pPr>
      <w:r w:rsidRPr="00E70FFF">
        <w:rPr>
          <w:rStyle w:val="Calibri12"/>
          <w:rFonts w:ascii="Times New Roman" w:eastAsiaTheme="minorEastAsia" w:hAnsi="Times New Roman"/>
        </w:rPr>
        <w:t xml:space="preserve">Wording in fees 7.1 and 7.2 have been update </w:t>
      </w:r>
      <w:r w:rsidR="00D56C77" w:rsidRPr="00E70FFF">
        <w:rPr>
          <w:rStyle w:val="Calibri12"/>
          <w:rFonts w:ascii="Times New Roman" w:eastAsiaTheme="minorEastAsia" w:hAnsi="Times New Roman"/>
        </w:rPr>
        <w:t xml:space="preserve">from </w:t>
      </w:r>
      <w:r w:rsidRPr="00E70FFF">
        <w:rPr>
          <w:rStyle w:val="Calibri12"/>
          <w:rFonts w:ascii="Times New Roman" w:eastAsiaTheme="minorEastAsia" w:hAnsi="Times New Roman"/>
        </w:rPr>
        <w:t>‘Contaminated Remediation Material’ to ‘Non-Friable Asbestos Containing Material’.</w:t>
      </w:r>
    </w:p>
    <w:p w14:paraId="667CE6B5" w14:textId="7B833FDB" w:rsidR="00C41F2F" w:rsidRPr="00E70FFF" w:rsidRDefault="00C41F2F" w:rsidP="00D56C77">
      <w:pPr>
        <w:pStyle w:val="ListParagraph"/>
        <w:numPr>
          <w:ilvl w:val="0"/>
          <w:numId w:val="12"/>
        </w:numPr>
        <w:spacing w:after="120"/>
        <w:ind w:left="567" w:right="-45" w:hanging="567"/>
        <w:contextualSpacing w:val="0"/>
        <w:rPr>
          <w:rStyle w:val="Calibri12"/>
          <w:rFonts w:ascii="Times New Roman" w:eastAsiaTheme="minorEastAsia" w:hAnsi="Times New Roman"/>
        </w:rPr>
      </w:pPr>
      <w:r w:rsidRPr="00E70FFF">
        <w:rPr>
          <w:rStyle w:val="Calibri12"/>
          <w:rFonts w:ascii="Times New Roman" w:eastAsiaTheme="minorEastAsia" w:hAnsi="Times New Roman"/>
        </w:rPr>
        <w:t>The dictionary on page 10 has been updated to reflect the term ‘Non-Friable asbestos containing material’ to support the changes in fees 7.1 and 7.2 outlined</w:t>
      </w:r>
      <w:r w:rsidR="00D56C77" w:rsidRPr="00E70FFF">
        <w:rPr>
          <w:rStyle w:val="Calibri12"/>
          <w:rFonts w:ascii="Times New Roman" w:eastAsiaTheme="minorEastAsia" w:hAnsi="Times New Roman"/>
        </w:rPr>
        <w:t xml:space="preserve"> </w:t>
      </w:r>
      <w:r w:rsidRPr="00E70FFF">
        <w:rPr>
          <w:rStyle w:val="Calibri12"/>
          <w:rFonts w:ascii="Times New Roman" w:eastAsiaTheme="minorEastAsia" w:hAnsi="Times New Roman"/>
        </w:rPr>
        <w:t>above.</w:t>
      </w:r>
    </w:p>
    <w:p w14:paraId="5B5F34E7" w14:textId="3C326395" w:rsidR="00C41F2F" w:rsidRPr="00E70FFF" w:rsidRDefault="00D56C77" w:rsidP="00D86AE3">
      <w:pPr>
        <w:autoSpaceDE w:val="0"/>
        <w:autoSpaceDN w:val="0"/>
        <w:adjustRightInd w:val="0"/>
      </w:pPr>
      <w:r w:rsidRPr="00E70FFF">
        <w:rPr>
          <w:rStyle w:val="Calibri12"/>
          <w:rFonts w:ascii="Times New Roman" w:eastAsiaTheme="minorEastAsia" w:hAnsi="Times New Roman"/>
        </w:rPr>
        <w:t>Additional notes have been included for clarity and administrative purposes for certain fees and additional reference materials for clarity with the Determination.</w:t>
      </w:r>
    </w:p>
    <w:p w14:paraId="6A0E5EB2" w14:textId="77777777" w:rsidR="00C41F2F" w:rsidRPr="006D7617" w:rsidRDefault="00C41F2F" w:rsidP="006D7617"/>
    <w:p w14:paraId="126CE18D" w14:textId="77777777" w:rsidR="00D15CD7" w:rsidRPr="00794E07" w:rsidRDefault="00D15CD7" w:rsidP="00D15CD7">
      <w:pPr>
        <w:rPr>
          <w:b/>
          <w:i/>
        </w:rPr>
      </w:pPr>
      <w:r w:rsidRPr="00794E07">
        <w:rPr>
          <w:b/>
          <w:i/>
        </w:rPr>
        <w:t>Revocation</w:t>
      </w:r>
    </w:p>
    <w:p w14:paraId="7615AAF2" w14:textId="77777777" w:rsidR="00D15CD7" w:rsidRDefault="00D15CD7" w:rsidP="00D15CD7"/>
    <w:p w14:paraId="384C061E" w14:textId="77777777" w:rsidR="00D15CD7" w:rsidRDefault="00127082" w:rsidP="00127082">
      <w:r w:rsidRPr="00127082">
        <w:t>This instrument revokes the Waste Management and Resource Recovery (Fees) Determination 201</w:t>
      </w:r>
      <w:r w:rsidR="003D0491">
        <w:t>9</w:t>
      </w:r>
      <w:r w:rsidRPr="00127082">
        <w:t xml:space="preserve"> (No 1)</w:t>
      </w:r>
      <w:r w:rsidR="00837721" w:rsidRPr="00837721">
        <w:rPr>
          <w:color w:val="000000"/>
        </w:rPr>
        <w:t xml:space="preserve"> </w:t>
      </w:r>
      <w:r w:rsidR="00837721" w:rsidRPr="00837721">
        <w:t>[</w:t>
      </w:r>
      <w:r w:rsidR="003D0491" w:rsidRPr="00837721">
        <w:t>D</w:t>
      </w:r>
      <w:r w:rsidR="003D0491">
        <w:t>1</w:t>
      </w:r>
      <w:r w:rsidR="003D0491" w:rsidRPr="00837721">
        <w:t>201</w:t>
      </w:r>
      <w:r w:rsidR="003D0491">
        <w:t>9</w:t>
      </w:r>
      <w:r w:rsidR="00837721" w:rsidRPr="00837721">
        <w:t>-</w:t>
      </w:r>
      <w:r w:rsidR="003D0491" w:rsidRPr="00837721">
        <w:t>1</w:t>
      </w:r>
      <w:r w:rsidR="003D0491">
        <w:t>06</w:t>
      </w:r>
      <w:r w:rsidR="00837721" w:rsidRPr="00837721">
        <w:t>]</w:t>
      </w:r>
      <w:r w:rsidRPr="00127082">
        <w:t>.</w:t>
      </w:r>
    </w:p>
    <w:p w14:paraId="57937EA5" w14:textId="77777777" w:rsidR="006A62E9" w:rsidRDefault="006A62E9" w:rsidP="00127082"/>
    <w:p w14:paraId="4E344415" w14:textId="73152B88" w:rsidR="005E5975" w:rsidRDefault="006A62E9" w:rsidP="00436892">
      <w:r>
        <w:t xml:space="preserve">The determination commences </w:t>
      </w:r>
      <w:r w:rsidR="00C41F2F">
        <w:t>the day its notification day</w:t>
      </w:r>
      <w:r>
        <w:t>.</w:t>
      </w:r>
    </w:p>
    <w:sectPr w:rsidR="005E5975" w:rsidSect="004368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5" w:right="1701" w:bottom="993" w:left="1701" w:header="426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F669E" w14:textId="77777777" w:rsidR="00F84682" w:rsidRDefault="00F84682">
      <w:r>
        <w:separator/>
      </w:r>
    </w:p>
  </w:endnote>
  <w:endnote w:type="continuationSeparator" w:id="0">
    <w:p w14:paraId="58B2C6FF" w14:textId="77777777" w:rsidR="00F84682" w:rsidRDefault="00F8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93136" w14:textId="77777777" w:rsidR="00DB3905" w:rsidRDefault="00DB39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45BA3" w14:textId="5A905103" w:rsidR="009A20B0" w:rsidRPr="00DB3905" w:rsidRDefault="00DB3905" w:rsidP="00DB3905">
    <w:pPr>
      <w:pStyle w:val="Footer"/>
      <w:jc w:val="center"/>
      <w:rPr>
        <w:rFonts w:ascii="Arial" w:hAnsi="Arial" w:cs="Arial"/>
        <w:sz w:val="14"/>
      </w:rPr>
    </w:pPr>
    <w:r w:rsidRPr="00DB3905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E30F4" w14:textId="0491705D" w:rsidR="00E512CF" w:rsidRPr="00DB3905" w:rsidRDefault="00DB3905" w:rsidP="00DB3905">
    <w:pPr>
      <w:pStyle w:val="Footer"/>
      <w:jc w:val="center"/>
      <w:rPr>
        <w:rFonts w:ascii="Arial" w:hAnsi="Arial" w:cs="Arial"/>
        <w:sz w:val="14"/>
      </w:rPr>
    </w:pPr>
    <w:r w:rsidRPr="00DB3905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0527F" w14:textId="77777777" w:rsidR="00F84682" w:rsidRDefault="00F84682">
      <w:r>
        <w:separator/>
      </w:r>
    </w:p>
  </w:footnote>
  <w:footnote w:type="continuationSeparator" w:id="0">
    <w:p w14:paraId="12D2A6AA" w14:textId="77777777" w:rsidR="00F84682" w:rsidRDefault="00F84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05E49" w14:textId="77777777" w:rsidR="00DB3905" w:rsidRDefault="00DB39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19E8C" w14:textId="77777777" w:rsidR="00DB3905" w:rsidRDefault="00DB39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B3809" w14:textId="77777777" w:rsidR="00DB3905" w:rsidRDefault="00DB39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556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C165DC6"/>
    <w:multiLevelType w:val="hybridMultilevel"/>
    <w:tmpl w:val="8D14E50E"/>
    <w:lvl w:ilvl="0" w:tplc="A0347A1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2F0B87"/>
    <w:multiLevelType w:val="hybridMultilevel"/>
    <w:tmpl w:val="F252E8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11A3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32E12689"/>
    <w:multiLevelType w:val="hybridMultilevel"/>
    <w:tmpl w:val="E3E0A6AE"/>
    <w:lvl w:ilvl="0" w:tplc="AB429D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872B8"/>
    <w:multiLevelType w:val="hybridMultilevel"/>
    <w:tmpl w:val="443E71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9420A"/>
    <w:multiLevelType w:val="hybridMultilevel"/>
    <w:tmpl w:val="73C6F446"/>
    <w:lvl w:ilvl="0" w:tplc="F738D76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A3C8B"/>
    <w:multiLevelType w:val="hybridMultilevel"/>
    <w:tmpl w:val="DFB85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7CD350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4CA21A7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5BB14C85"/>
    <w:multiLevelType w:val="hybridMultilevel"/>
    <w:tmpl w:val="DE04EC0E"/>
    <w:lvl w:ilvl="0" w:tplc="17847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C1810"/>
    <w:multiLevelType w:val="hybridMultilevel"/>
    <w:tmpl w:val="A67EA232"/>
    <w:lvl w:ilvl="0" w:tplc="CC36ACAE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 w:tplc="0F00AEA2">
      <w:start w:val="1"/>
      <w:numFmt w:val="lowerLetter"/>
      <w:lvlText w:val="%2.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 w:tplc="FB102CCA">
      <w:start w:val="1"/>
      <w:numFmt w:val="lowerRoman"/>
      <w:lvlText w:val="%3."/>
      <w:lvlJc w:val="right"/>
      <w:pPr>
        <w:tabs>
          <w:tab w:val="num" w:pos="1701"/>
        </w:tabs>
        <w:ind w:left="1276"/>
      </w:pPr>
      <w:rPr>
        <w:rFonts w:cs="Times New Roman"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AE8E157-40CB-4792-8BDF-0E7064A7D55C}"/>
    <w:docVar w:name="dgnword-eventsink" w:val="26701296"/>
  </w:docVars>
  <w:rsids>
    <w:rsidRoot w:val="0089432F"/>
    <w:rsid w:val="000011B7"/>
    <w:rsid w:val="000012B8"/>
    <w:rsid w:val="00011535"/>
    <w:rsid w:val="00021440"/>
    <w:rsid w:val="0003319D"/>
    <w:rsid w:val="00036F09"/>
    <w:rsid w:val="00052504"/>
    <w:rsid w:val="00066C07"/>
    <w:rsid w:val="0009470F"/>
    <w:rsid w:val="000D5737"/>
    <w:rsid w:val="000E18C2"/>
    <w:rsid w:val="000F0A83"/>
    <w:rsid w:val="000F7491"/>
    <w:rsid w:val="001040EF"/>
    <w:rsid w:val="00124C03"/>
    <w:rsid w:val="00127082"/>
    <w:rsid w:val="00130399"/>
    <w:rsid w:val="0019428E"/>
    <w:rsid w:val="001A4027"/>
    <w:rsid w:val="001B2B60"/>
    <w:rsid w:val="001B3B40"/>
    <w:rsid w:val="001B3F8F"/>
    <w:rsid w:val="001C57A5"/>
    <w:rsid w:val="001C5E4A"/>
    <w:rsid w:val="001F1885"/>
    <w:rsid w:val="001F4A11"/>
    <w:rsid w:val="001F6E24"/>
    <w:rsid w:val="00222B84"/>
    <w:rsid w:val="0022324E"/>
    <w:rsid w:val="00223DD0"/>
    <w:rsid w:val="00224B7C"/>
    <w:rsid w:val="00224D70"/>
    <w:rsid w:val="0023287D"/>
    <w:rsid w:val="002461E6"/>
    <w:rsid w:val="002473CC"/>
    <w:rsid w:val="00261CE6"/>
    <w:rsid w:val="002775BB"/>
    <w:rsid w:val="002829E2"/>
    <w:rsid w:val="00286584"/>
    <w:rsid w:val="002945B8"/>
    <w:rsid w:val="00294E94"/>
    <w:rsid w:val="002D5912"/>
    <w:rsid w:val="002E114D"/>
    <w:rsid w:val="002E58BF"/>
    <w:rsid w:val="002F45BA"/>
    <w:rsid w:val="003049BD"/>
    <w:rsid w:val="003167CC"/>
    <w:rsid w:val="003415DB"/>
    <w:rsid w:val="00370593"/>
    <w:rsid w:val="00376023"/>
    <w:rsid w:val="00384A0A"/>
    <w:rsid w:val="0039239E"/>
    <w:rsid w:val="003B626F"/>
    <w:rsid w:val="003D0491"/>
    <w:rsid w:val="003E3BFF"/>
    <w:rsid w:val="003E3E40"/>
    <w:rsid w:val="003F098A"/>
    <w:rsid w:val="003F30DD"/>
    <w:rsid w:val="00410E3B"/>
    <w:rsid w:val="00412587"/>
    <w:rsid w:val="00414856"/>
    <w:rsid w:val="0042191C"/>
    <w:rsid w:val="00427A4C"/>
    <w:rsid w:val="00436892"/>
    <w:rsid w:val="00453EE6"/>
    <w:rsid w:val="004665F8"/>
    <w:rsid w:val="00477E20"/>
    <w:rsid w:val="004815ED"/>
    <w:rsid w:val="004930D3"/>
    <w:rsid w:val="0049506E"/>
    <w:rsid w:val="00496BFD"/>
    <w:rsid w:val="004B36A8"/>
    <w:rsid w:val="004B7CB3"/>
    <w:rsid w:val="004C1EC3"/>
    <w:rsid w:val="004D3005"/>
    <w:rsid w:val="004D3B86"/>
    <w:rsid w:val="004D4312"/>
    <w:rsid w:val="004E6BF6"/>
    <w:rsid w:val="0050298F"/>
    <w:rsid w:val="005151E5"/>
    <w:rsid w:val="0053155B"/>
    <w:rsid w:val="00556AF1"/>
    <w:rsid w:val="00580D0B"/>
    <w:rsid w:val="005E5975"/>
    <w:rsid w:val="005F7AE3"/>
    <w:rsid w:val="006342E5"/>
    <w:rsid w:val="00636835"/>
    <w:rsid w:val="006464F8"/>
    <w:rsid w:val="00660216"/>
    <w:rsid w:val="006640CE"/>
    <w:rsid w:val="0067547B"/>
    <w:rsid w:val="006965EF"/>
    <w:rsid w:val="006A4D63"/>
    <w:rsid w:val="006A62E9"/>
    <w:rsid w:val="006D7617"/>
    <w:rsid w:val="00714567"/>
    <w:rsid w:val="00740832"/>
    <w:rsid w:val="0074738F"/>
    <w:rsid w:val="007575D1"/>
    <w:rsid w:val="0077499E"/>
    <w:rsid w:val="0078474C"/>
    <w:rsid w:val="00785DDD"/>
    <w:rsid w:val="00794E07"/>
    <w:rsid w:val="007B175D"/>
    <w:rsid w:val="007D0FA9"/>
    <w:rsid w:val="007E2596"/>
    <w:rsid w:val="007E35CB"/>
    <w:rsid w:val="007F568A"/>
    <w:rsid w:val="00804E0F"/>
    <w:rsid w:val="00805C99"/>
    <w:rsid w:val="00813478"/>
    <w:rsid w:val="008162D5"/>
    <w:rsid w:val="00823EE1"/>
    <w:rsid w:val="00837721"/>
    <w:rsid w:val="00845CB5"/>
    <w:rsid w:val="0084700C"/>
    <w:rsid w:val="008623DC"/>
    <w:rsid w:val="00863FAF"/>
    <w:rsid w:val="008836B6"/>
    <w:rsid w:val="00887E12"/>
    <w:rsid w:val="0089129B"/>
    <w:rsid w:val="0089432F"/>
    <w:rsid w:val="008A07A1"/>
    <w:rsid w:val="008B09F2"/>
    <w:rsid w:val="008B45FB"/>
    <w:rsid w:val="008D75DD"/>
    <w:rsid w:val="008E3BA6"/>
    <w:rsid w:val="008F0AF0"/>
    <w:rsid w:val="0090441A"/>
    <w:rsid w:val="0092013D"/>
    <w:rsid w:val="00924AC9"/>
    <w:rsid w:val="009370F6"/>
    <w:rsid w:val="00945C07"/>
    <w:rsid w:val="009641D5"/>
    <w:rsid w:val="009667CF"/>
    <w:rsid w:val="009A20B0"/>
    <w:rsid w:val="009A6AAD"/>
    <w:rsid w:val="009C02F6"/>
    <w:rsid w:val="009C4E06"/>
    <w:rsid w:val="009D014D"/>
    <w:rsid w:val="009D2092"/>
    <w:rsid w:val="009D4547"/>
    <w:rsid w:val="009E2766"/>
    <w:rsid w:val="009F4B7D"/>
    <w:rsid w:val="00A016E5"/>
    <w:rsid w:val="00A25326"/>
    <w:rsid w:val="00A44B55"/>
    <w:rsid w:val="00A5534A"/>
    <w:rsid w:val="00A62D8A"/>
    <w:rsid w:val="00A83490"/>
    <w:rsid w:val="00A83E1A"/>
    <w:rsid w:val="00A85206"/>
    <w:rsid w:val="00AA0A77"/>
    <w:rsid w:val="00AA37FA"/>
    <w:rsid w:val="00AA489D"/>
    <w:rsid w:val="00AA7FC5"/>
    <w:rsid w:val="00AB72D5"/>
    <w:rsid w:val="00AC6AFA"/>
    <w:rsid w:val="00AD2A9B"/>
    <w:rsid w:val="00AD5790"/>
    <w:rsid w:val="00AE736F"/>
    <w:rsid w:val="00AE7CC4"/>
    <w:rsid w:val="00B14A72"/>
    <w:rsid w:val="00B165CC"/>
    <w:rsid w:val="00B2439C"/>
    <w:rsid w:val="00B2447F"/>
    <w:rsid w:val="00B34283"/>
    <w:rsid w:val="00B46F76"/>
    <w:rsid w:val="00B57384"/>
    <w:rsid w:val="00B6420A"/>
    <w:rsid w:val="00B64C49"/>
    <w:rsid w:val="00B73B9E"/>
    <w:rsid w:val="00B75108"/>
    <w:rsid w:val="00B82070"/>
    <w:rsid w:val="00B86FCA"/>
    <w:rsid w:val="00BA75A1"/>
    <w:rsid w:val="00BC4299"/>
    <w:rsid w:val="00BD066C"/>
    <w:rsid w:val="00BE094C"/>
    <w:rsid w:val="00BE6269"/>
    <w:rsid w:val="00BF4280"/>
    <w:rsid w:val="00C026E6"/>
    <w:rsid w:val="00C16EE0"/>
    <w:rsid w:val="00C41F2F"/>
    <w:rsid w:val="00C7689E"/>
    <w:rsid w:val="00C8065D"/>
    <w:rsid w:val="00C823A3"/>
    <w:rsid w:val="00C8639A"/>
    <w:rsid w:val="00CC2586"/>
    <w:rsid w:val="00CC416E"/>
    <w:rsid w:val="00CD0CA6"/>
    <w:rsid w:val="00CE6A6F"/>
    <w:rsid w:val="00D03752"/>
    <w:rsid w:val="00D15CD7"/>
    <w:rsid w:val="00D343AE"/>
    <w:rsid w:val="00D43BD0"/>
    <w:rsid w:val="00D56C77"/>
    <w:rsid w:val="00D86235"/>
    <w:rsid w:val="00D86AE3"/>
    <w:rsid w:val="00D92764"/>
    <w:rsid w:val="00DB3905"/>
    <w:rsid w:val="00DB4C11"/>
    <w:rsid w:val="00E174D8"/>
    <w:rsid w:val="00E21177"/>
    <w:rsid w:val="00E41BC3"/>
    <w:rsid w:val="00E43C47"/>
    <w:rsid w:val="00E512CF"/>
    <w:rsid w:val="00E542F0"/>
    <w:rsid w:val="00E66F25"/>
    <w:rsid w:val="00E70FFF"/>
    <w:rsid w:val="00E7214B"/>
    <w:rsid w:val="00EC322E"/>
    <w:rsid w:val="00EC34EB"/>
    <w:rsid w:val="00EC4597"/>
    <w:rsid w:val="00EC6B89"/>
    <w:rsid w:val="00EE3462"/>
    <w:rsid w:val="00EF208A"/>
    <w:rsid w:val="00F005DF"/>
    <w:rsid w:val="00F056C6"/>
    <w:rsid w:val="00F227D4"/>
    <w:rsid w:val="00F33D14"/>
    <w:rsid w:val="00F340DB"/>
    <w:rsid w:val="00F3617E"/>
    <w:rsid w:val="00F5356B"/>
    <w:rsid w:val="00F55245"/>
    <w:rsid w:val="00F644FB"/>
    <w:rsid w:val="00F71ED7"/>
    <w:rsid w:val="00F84682"/>
    <w:rsid w:val="00FB14F6"/>
    <w:rsid w:val="00FB5CA4"/>
    <w:rsid w:val="00FC5F0D"/>
    <w:rsid w:val="00FC696B"/>
    <w:rsid w:val="00FD0B56"/>
    <w:rsid w:val="00FD1B8D"/>
    <w:rsid w:val="00FE1CCC"/>
    <w:rsid w:val="00FE7B58"/>
    <w:rsid w:val="00FF09B1"/>
    <w:rsid w:val="00FF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4BAE58D4"/>
  <w14:defaultImageDpi w14:val="0"/>
  <w15:docId w15:val="{7B8C9EBC-70E1-40C1-940B-48EA0E5C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2764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2764"/>
    <w:pPr>
      <w:keepNext/>
      <w:jc w:val="center"/>
      <w:outlineLvl w:val="0"/>
    </w:pPr>
    <w:rPr>
      <w:b/>
      <w:bCs/>
      <w:i/>
      <w:iCs/>
      <w:color w:val="0000FF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2764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2764"/>
    <w:pPr>
      <w:keepNext/>
      <w:tabs>
        <w:tab w:val="left" w:pos="4500"/>
      </w:tabs>
      <w:outlineLvl w:val="2"/>
    </w:pPr>
    <w:rPr>
      <w:b/>
      <w:bCs/>
      <w:i/>
      <w:i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2764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2764"/>
    <w:pPr>
      <w:keepNext/>
      <w:spacing w:after="120"/>
      <w:jc w:val="right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D92764"/>
    <w:pPr>
      <w:keepNext/>
      <w:ind w:left="1388" w:hanging="1388"/>
      <w:outlineLvl w:val="5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92764"/>
    <w:pPr>
      <w:keepNext/>
      <w:jc w:val="center"/>
      <w:outlineLvl w:val="6"/>
    </w:pPr>
    <w:rPr>
      <w:rFonts w:ascii="Arial" w:hAnsi="Arial" w:cs="Arial"/>
      <w:b/>
      <w:bCs/>
      <w:color w:val="000000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2764"/>
    <w:pPr>
      <w:keepNext/>
      <w:outlineLvl w:val="7"/>
    </w:pPr>
    <w:rPr>
      <w:rFonts w:ascii="Arial" w:hAnsi="Arial" w:cs="Arial"/>
      <w:b/>
      <w:bCs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92764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D92764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D92764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D92764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D92764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D92764"/>
    <w:rPr>
      <w:rFonts w:asciiTheme="minorHAnsi" w:eastAsiaTheme="minorEastAsia" w:hAnsiTheme="minorHAns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D92764"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D92764"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rsid w:val="00D9276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2764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D9276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2764"/>
    <w:rPr>
      <w:rFonts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uiPriority w:val="99"/>
    <w:rsid w:val="00D9276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92764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92764"/>
    <w:rPr>
      <w:rFonts w:cs="Times New Roman"/>
      <w:sz w:val="24"/>
      <w:szCs w:val="24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rsid w:val="00D92764"/>
    <w:pPr>
      <w:tabs>
        <w:tab w:val="left" w:pos="4500"/>
      </w:tabs>
    </w:pPr>
    <w:rPr>
      <w:i/>
      <w:iCs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92764"/>
    <w:rPr>
      <w:rFonts w:cs="Times New Roman"/>
      <w:sz w:val="24"/>
      <w:szCs w:val="24"/>
      <w:lang w:val="x-none" w:eastAsia="en-US"/>
    </w:rPr>
  </w:style>
  <w:style w:type="paragraph" w:customStyle="1" w:styleId="CoverActName">
    <w:name w:val="CoverActName"/>
    <w:basedOn w:val="Normal"/>
    <w:rsid w:val="00D92764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Billname">
    <w:name w:val="Billname"/>
    <w:basedOn w:val="Normal"/>
    <w:rsid w:val="00D92764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uiPriority w:val="99"/>
    <w:rsid w:val="00D92764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D92764"/>
    <w:pPr>
      <w:spacing w:before="180" w:after="60"/>
      <w:jc w:val="both"/>
    </w:pPr>
  </w:style>
  <w:style w:type="paragraph" w:styleId="BodyText3">
    <w:name w:val="Body Text 3"/>
    <w:basedOn w:val="Normal"/>
    <w:link w:val="BodyText3Char"/>
    <w:uiPriority w:val="99"/>
    <w:rsid w:val="00D92764"/>
    <w:pPr>
      <w:tabs>
        <w:tab w:val="left" w:pos="4500"/>
      </w:tabs>
    </w:pPr>
    <w:rPr>
      <w:i/>
      <w:i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92764"/>
    <w:rPr>
      <w:rFonts w:cs="Times New Roman"/>
      <w:sz w:val="16"/>
      <w:szCs w:val="16"/>
      <w:lang w:val="x-none" w:eastAsia="en-US"/>
    </w:rPr>
  </w:style>
  <w:style w:type="paragraph" w:customStyle="1" w:styleId="Amain">
    <w:name w:val="A main"/>
    <w:basedOn w:val="Normal"/>
    <w:uiPriority w:val="99"/>
    <w:rsid w:val="00D92764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styleId="Caption">
    <w:name w:val="caption"/>
    <w:basedOn w:val="Normal"/>
    <w:next w:val="Normal"/>
    <w:uiPriority w:val="99"/>
    <w:qFormat/>
    <w:rsid w:val="00D92764"/>
    <w:pPr>
      <w:spacing w:before="60"/>
    </w:pPr>
    <w:rPr>
      <w:i/>
      <w:iCs/>
      <w:sz w:val="20"/>
    </w:rPr>
  </w:style>
  <w:style w:type="paragraph" w:customStyle="1" w:styleId="tableheading">
    <w:name w:val="table heading"/>
    <w:uiPriority w:val="99"/>
    <w:rsid w:val="00D92764"/>
    <w:pPr>
      <w:spacing w:before="160" w:after="80" w:line="240" w:lineRule="auto"/>
    </w:pPr>
    <w:rPr>
      <w:rFonts w:ascii="Arial Bold" w:hAnsi="Arial Bold"/>
      <w:b/>
      <w:sz w:val="2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94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2764"/>
    <w:rPr>
      <w:rFonts w:ascii="Tahoma" w:hAnsi="Tahoma" w:cs="Tahoma"/>
      <w:sz w:val="16"/>
      <w:szCs w:val="16"/>
      <w:lang w:val="x-none" w:eastAsia="en-US"/>
    </w:rPr>
  </w:style>
  <w:style w:type="paragraph" w:customStyle="1" w:styleId="LongTitle">
    <w:name w:val="LongTitle"/>
    <w:basedOn w:val="Normal"/>
    <w:uiPriority w:val="99"/>
    <w:rsid w:val="00D86235"/>
    <w:pPr>
      <w:spacing w:before="240" w:after="60"/>
      <w:jc w:val="both"/>
    </w:pPr>
  </w:style>
  <w:style w:type="paragraph" w:customStyle="1" w:styleId="tablenormal0">
    <w:name w:val="table normal"/>
    <w:basedOn w:val="Normal"/>
    <w:uiPriority w:val="99"/>
    <w:rsid w:val="00823EE1"/>
    <w:pPr>
      <w:spacing w:before="80" w:after="80"/>
    </w:pPr>
    <w:rPr>
      <w:sz w:val="22"/>
      <w:szCs w:val="22"/>
    </w:rPr>
  </w:style>
  <w:style w:type="character" w:customStyle="1" w:styleId="Calibri12">
    <w:name w:val="Calibri 12"/>
    <w:basedOn w:val="DefaultParagraphFont"/>
    <w:uiPriority w:val="1"/>
    <w:qFormat/>
    <w:rsid w:val="00C41F2F"/>
    <w:rPr>
      <w:rFonts w:ascii="Calibri" w:hAnsi="Calibri"/>
      <w:sz w:val="24"/>
    </w:rPr>
  </w:style>
  <w:style w:type="paragraph" w:styleId="ListParagraph">
    <w:name w:val="List Paragraph"/>
    <w:basedOn w:val="Normal"/>
    <w:uiPriority w:val="34"/>
    <w:qFormat/>
    <w:rsid w:val="00C41F2F"/>
    <w:pPr>
      <w:widowControl w:val="0"/>
      <w:ind w:left="720"/>
      <w:contextualSpacing/>
    </w:pPr>
    <w:rPr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D3EB582B-B8D9-4AE2-AF79-17A740630BB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1564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Waste Minimisation Fee 2006</vt:lpstr>
    </vt:vector>
  </TitlesOfParts>
  <Company>Urban Services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Waste Minimisation Fee 2006</dc:title>
  <dc:subject/>
  <dc:creator>ACT Government</dc:creator>
  <cp:keywords/>
  <dc:description/>
  <cp:lastModifiedBy>PCODCS</cp:lastModifiedBy>
  <cp:revision>4</cp:revision>
  <cp:lastPrinted>2019-07-14T23:47:00Z</cp:lastPrinted>
  <dcterms:created xsi:type="dcterms:W3CDTF">2019-07-17T23:37:00Z</dcterms:created>
  <dcterms:modified xsi:type="dcterms:W3CDTF">2019-07-17T23:37:00Z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952bb630-14ec-461e-8482-504b30919c84</vt:lpwstr>
  </property>
  <property fmtid="{D5CDD505-2E9C-101B-9397-08002B2CF9AE}" pid="3" name="bjSaver">
    <vt:lpwstr>xL7p3ChsB4Zhuw/cNfSHc8zXKCTiWTkY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</Properties>
</file>