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D1101" w14:textId="77777777" w:rsidR="00A115D8" w:rsidRPr="00A36E0B" w:rsidRDefault="000E73C2" w:rsidP="00694EC7">
      <w:pPr>
        <w:autoSpaceDE w:val="0"/>
        <w:autoSpaceDN w:val="0"/>
        <w:adjustRightInd w:val="0"/>
        <w:spacing w:before="0" w:after="240"/>
        <w:jc w:val="center"/>
        <w:rPr>
          <w:rFonts w:cs="Calibri"/>
          <w:b/>
          <w:bCs/>
          <w:sz w:val="32"/>
          <w:szCs w:val="32"/>
          <w:lang w:eastAsia="en-US"/>
        </w:rPr>
      </w:pPr>
      <w:bookmarkStart w:id="0" w:name="_GoBack"/>
      <w:bookmarkEnd w:id="0"/>
      <w:r w:rsidRPr="00A36E0B">
        <w:rPr>
          <w:rFonts w:cs="Calibri"/>
          <w:b/>
          <w:bCs/>
          <w:sz w:val="32"/>
          <w:szCs w:val="32"/>
          <w:lang w:eastAsia="en-US"/>
        </w:rPr>
        <w:t>201</w:t>
      </w:r>
      <w:r w:rsidR="00AE6A8F">
        <w:rPr>
          <w:rFonts w:cs="Calibri"/>
          <w:b/>
          <w:bCs/>
          <w:sz w:val="32"/>
          <w:szCs w:val="32"/>
          <w:lang w:eastAsia="en-US"/>
        </w:rPr>
        <w:t>9</w:t>
      </w:r>
    </w:p>
    <w:p w14:paraId="4F823BAA" w14:textId="77777777" w:rsidR="00A115D8" w:rsidRPr="00A36E0B" w:rsidRDefault="00A115D8" w:rsidP="00694EC7">
      <w:pPr>
        <w:autoSpaceDE w:val="0"/>
        <w:autoSpaceDN w:val="0"/>
        <w:adjustRightInd w:val="0"/>
        <w:spacing w:before="0" w:after="240"/>
        <w:jc w:val="center"/>
        <w:rPr>
          <w:rFonts w:cs="Calibri"/>
          <w:b/>
          <w:bCs/>
          <w:sz w:val="32"/>
          <w:szCs w:val="32"/>
          <w:lang w:eastAsia="en-US"/>
        </w:rPr>
      </w:pPr>
    </w:p>
    <w:p w14:paraId="5237BC9A" w14:textId="77777777" w:rsidR="00F45E26" w:rsidRPr="00A36E0B" w:rsidRDefault="00F45E26" w:rsidP="00694EC7">
      <w:pPr>
        <w:autoSpaceDE w:val="0"/>
        <w:autoSpaceDN w:val="0"/>
        <w:adjustRightInd w:val="0"/>
        <w:spacing w:before="0" w:after="240"/>
        <w:jc w:val="center"/>
        <w:rPr>
          <w:rFonts w:cs="Calibri"/>
          <w:b/>
          <w:bCs/>
          <w:sz w:val="32"/>
          <w:szCs w:val="32"/>
          <w:lang w:eastAsia="en-US"/>
        </w:rPr>
      </w:pPr>
      <w:r w:rsidRPr="00A36E0B">
        <w:rPr>
          <w:rFonts w:cs="Calibri"/>
          <w:b/>
          <w:bCs/>
          <w:sz w:val="32"/>
          <w:szCs w:val="32"/>
          <w:lang w:eastAsia="en-US"/>
        </w:rPr>
        <w:t>THE LEGISLATIVE ASSEMBLY FOR THE</w:t>
      </w:r>
    </w:p>
    <w:p w14:paraId="3F4B439A" w14:textId="77777777" w:rsidR="00A115D8" w:rsidRPr="00A36E0B" w:rsidRDefault="00A115D8" w:rsidP="00694EC7">
      <w:pPr>
        <w:autoSpaceDE w:val="0"/>
        <w:autoSpaceDN w:val="0"/>
        <w:adjustRightInd w:val="0"/>
        <w:spacing w:before="0" w:after="240"/>
        <w:jc w:val="center"/>
        <w:rPr>
          <w:rFonts w:cs="Calibri"/>
          <w:b/>
          <w:bCs/>
          <w:sz w:val="32"/>
          <w:szCs w:val="32"/>
          <w:lang w:eastAsia="en-US"/>
        </w:rPr>
      </w:pPr>
      <w:r w:rsidRPr="00A36E0B">
        <w:rPr>
          <w:rFonts w:cs="Calibri"/>
          <w:b/>
          <w:bCs/>
          <w:sz w:val="32"/>
          <w:szCs w:val="32"/>
          <w:lang w:eastAsia="en-US"/>
        </w:rPr>
        <w:t>AUSTRALIAN CAPITAL TERRITORY</w:t>
      </w:r>
    </w:p>
    <w:p w14:paraId="456D34C0" w14:textId="77777777" w:rsidR="00A115D8" w:rsidRPr="00A36E0B" w:rsidRDefault="00A115D8" w:rsidP="00694EC7">
      <w:pPr>
        <w:autoSpaceDE w:val="0"/>
        <w:autoSpaceDN w:val="0"/>
        <w:adjustRightInd w:val="0"/>
        <w:spacing w:before="0" w:after="240"/>
        <w:jc w:val="center"/>
        <w:rPr>
          <w:rFonts w:cs="Calibri"/>
          <w:b/>
          <w:bCs/>
          <w:sz w:val="32"/>
          <w:szCs w:val="32"/>
          <w:lang w:eastAsia="en-US"/>
        </w:rPr>
      </w:pPr>
    </w:p>
    <w:p w14:paraId="098D805F" w14:textId="77777777" w:rsidR="00A115D8" w:rsidRPr="00A36E0B" w:rsidRDefault="00A115D8" w:rsidP="00694EC7">
      <w:pPr>
        <w:autoSpaceDE w:val="0"/>
        <w:autoSpaceDN w:val="0"/>
        <w:adjustRightInd w:val="0"/>
        <w:spacing w:before="0" w:after="240"/>
        <w:jc w:val="center"/>
        <w:rPr>
          <w:rFonts w:cs="Calibri"/>
          <w:b/>
          <w:bCs/>
          <w:sz w:val="32"/>
          <w:szCs w:val="32"/>
          <w:lang w:eastAsia="en-US"/>
        </w:rPr>
      </w:pPr>
    </w:p>
    <w:p w14:paraId="14826F17" w14:textId="77777777" w:rsidR="00405E9D" w:rsidRPr="00A36E0B" w:rsidRDefault="00405E9D" w:rsidP="00694EC7">
      <w:pPr>
        <w:autoSpaceDE w:val="0"/>
        <w:autoSpaceDN w:val="0"/>
        <w:adjustRightInd w:val="0"/>
        <w:spacing w:before="0" w:after="240"/>
        <w:jc w:val="center"/>
        <w:rPr>
          <w:rFonts w:cs="Calibri"/>
          <w:b/>
          <w:bCs/>
          <w:sz w:val="32"/>
          <w:szCs w:val="32"/>
          <w:lang w:eastAsia="en-US"/>
        </w:rPr>
      </w:pPr>
    </w:p>
    <w:p w14:paraId="6AEC9022" w14:textId="77777777" w:rsidR="00405E9D" w:rsidRPr="00A36E0B" w:rsidRDefault="00405E9D" w:rsidP="00694EC7">
      <w:pPr>
        <w:autoSpaceDE w:val="0"/>
        <w:autoSpaceDN w:val="0"/>
        <w:adjustRightInd w:val="0"/>
        <w:spacing w:before="0" w:after="240"/>
        <w:jc w:val="center"/>
        <w:rPr>
          <w:rFonts w:cs="Calibri"/>
          <w:b/>
          <w:bCs/>
          <w:sz w:val="32"/>
          <w:szCs w:val="32"/>
          <w:lang w:eastAsia="en-US"/>
        </w:rPr>
      </w:pPr>
    </w:p>
    <w:p w14:paraId="10624CD5" w14:textId="4C9A702B" w:rsidR="00A115D8" w:rsidRPr="00A36E0B" w:rsidRDefault="001D0733" w:rsidP="00694EC7">
      <w:pPr>
        <w:autoSpaceDE w:val="0"/>
        <w:autoSpaceDN w:val="0"/>
        <w:adjustRightInd w:val="0"/>
        <w:spacing w:before="0" w:after="240"/>
        <w:jc w:val="center"/>
        <w:rPr>
          <w:rFonts w:cs="Calibri"/>
          <w:b/>
          <w:bCs/>
          <w:sz w:val="32"/>
          <w:szCs w:val="32"/>
          <w:lang w:eastAsia="en-US"/>
        </w:rPr>
      </w:pPr>
      <w:r w:rsidRPr="00A36E0B">
        <w:rPr>
          <w:rFonts w:cs="Calibri"/>
          <w:b/>
          <w:bCs/>
          <w:sz w:val="32"/>
          <w:szCs w:val="32"/>
          <w:lang w:eastAsia="en-US"/>
        </w:rPr>
        <w:t xml:space="preserve">ENERGY EFFICIENCY (COST OF LIVING) IMPROVEMENT </w:t>
      </w:r>
      <w:r w:rsidR="009B2A6D">
        <w:rPr>
          <w:rFonts w:cs="Calibri"/>
          <w:b/>
          <w:bCs/>
          <w:sz w:val="32"/>
          <w:szCs w:val="32"/>
          <w:lang w:eastAsia="en-US"/>
        </w:rPr>
        <w:br/>
      </w:r>
      <w:r w:rsidRPr="00A36E0B">
        <w:rPr>
          <w:rFonts w:cs="Calibri"/>
          <w:b/>
          <w:bCs/>
          <w:sz w:val="32"/>
          <w:szCs w:val="32"/>
          <w:lang w:eastAsia="en-US"/>
        </w:rPr>
        <w:t>AMENDMENT</w:t>
      </w:r>
      <w:r w:rsidR="000E73C2" w:rsidRPr="00A36E0B">
        <w:rPr>
          <w:rFonts w:cs="Calibri"/>
          <w:b/>
          <w:bCs/>
          <w:sz w:val="32"/>
          <w:szCs w:val="32"/>
          <w:lang w:eastAsia="en-US"/>
        </w:rPr>
        <w:t xml:space="preserve"> </w:t>
      </w:r>
      <w:r w:rsidR="00A115D8" w:rsidRPr="00A36E0B">
        <w:rPr>
          <w:rFonts w:cs="Calibri"/>
          <w:b/>
          <w:bCs/>
          <w:sz w:val="32"/>
          <w:szCs w:val="32"/>
          <w:lang w:eastAsia="en-US"/>
        </w:rPr>
        <w:t>BILL 201</w:t>
      </w:r>
      <w:r w:rsidR="00AE6A8F">
        <w:rPr>
          <w:rFonts w:cs="Calibri"/>
          <w:b/>
          <w:bCs/>
          <w:sz w:val="32"/>
          <w:szCs w:val="32"/>
          <w:lang w:eastAsia="en-US"/>
        </w:rPr>
        <w:t>9</w:t>
      </w:r>
    </w:p>
    <w:p w14:paraId="262A512F" w14:textId="77777777" w:rsidR="00A115D8" w:rsidRPr="00A36E0B" w:rsidRDefault="00A115D8" w:rsidP="00694EC7">
      <w:pPr>
        <w:autoSpaceDE w:val="0"/>
        <w:autoSpaceDN w:val="0"/>
        <w:adjustRightInd w:val="0"/>
        <w:spacing w:before="0" w:after="240"/>
        <w:jc w:val="center"/>
        <w:rPr>
          <w:rFonts w:cs="Calibri"/>
          <w:b/>
          <w:bCs/>
          <w:sz w:val="32"/>
          <w:szCs w:val="32"/>
          <w:lang w:eastAsia="en-US"/>
        </w:rPr>
      </w:pPr>
    </w:p>
    <w:p w14:paraId="40794EB1" w14:textId="77777777" w:rsidR="00A115D8" w:rsidRPr="00A36E0B" w:rsidRDefault="00A115D8" w:rsidP="00694EC7">
      <w:pPr>
        <w:autoSpaceDE w:val="0"/>
        <w:autoSpaceDN w:val="0"/>
        <w:adjustRightInd w:val="0"/>
        <w:spacing w:before="0" w:after="240"/>
        <w:jc w:val="center"/>
        <w:rPr>
          <w:rFonts w:cs="Calibri"/>
          <w:b/>
          <w:bCs/>
          <w:sz w:val="32"/>
          <w:szCs w:val="32"/>
          <w:lang w:eastAsia="en-US"/>
        </w:rPr>
      </w:pPr>
      <w:r w:rsidRPr="00A36E0B">
        <w:rPr>
          <w:rFonts w:cs="Calibri"/>
          <w:b/>
          <w:bCs/>
          <w:sz w:val="32"/>
          <w:szCs w:val="32"/>
          <w:lang w:eastAsia="en-US"/>
        </w:rPr>
        <w:t>EXPLANATORY STATEMENT</w:t>
      </w:r>
    </w:p>
    <w:p w14:paraId="08CCB53F" w14:textId="77777777" w:rsidR="003034CE" w:rsidRPr="00A36E0B" w:rsidRDefault="003034CE" w:rsidP="00694EC7">
      <w:pPr>
        <w:autoSpaceDE w:val="0"/>
        <w:autoSpaceDN w:val="0"/>
        <w:adjustRightInd w:val="0"/>
        <w:spacing w:before="0" w:after="240"/>
        <w:jc w:val="center"/>
        <w:rPr>
          <w:rFonts w:cs="Calibri"/>
          <w:szCs w:val="24"/>
          <w:lang w:eastAsia="en-US"/>
        </w:rPr>
      </w:pPr>
    </w:p>
    <w:p w14:paraId="3051D64E" w14:textId="77777777" w:rsidR="003034CE" w:rsidRPr="00A36E0B" w:rsidRDefault="003034CE" w:rsidP="00694EC7">
      <w:pPr>
        <w:autoSpaceDE w:val="0"/>
        <w:autoSpaceDN w:val="0"/>
        <w:adjustRightInd w:val="0"/>
        <w:spacing w:before="0" w:after="240"/>
        <w:jc w:val="center"/>
        <w:rPr>
          <w:rFonts w:cs="Calibri"/>
          <w:szCs w:val="24"/>
          <w:lang w:eastAsia="en-US"/>
        </w:rPr>
      </w:pPr>
    </w:p>
    <w:p w14:paraId="4E972C73" w14:textId="77777777" w:rsidR="00A115D8" w:rsidRPr="00A36E0B" w:rsidRDefault="00A115D8" w:rsidP="00694EC7">
      <w:pPr>
        <w:autoSpaceDE w:val="0"/>
        <w:autoSpaceDN w:val="0"/>
        <w:adjustRightInd w:val="0"/>
        <w:spacing w:before="0" w:after="240"/>
        <w:jc w:val="center"/>
        <w:rPr>
          <w:rFonts w:cs="Calibri"/>
          <w:szCs w:val="24"/>
          <w:lang w:eastAsia="en-US"/>
        </w:rPr>
      </w:pPr>
    </w:p>
    <w:p w14:paraId="189127DF" w14:textId="77777777" w:rsidR="00405E9D" w:rsidRPr="00A36E0B" w:rsidRDefault="00405E9D" w:rsidP="00694EC7">
      <w:pPr>
        <w:autoSpaceDE w:val="0"/>
        <w:autoSpaceDN w:val="0"/>
        <w:adjustRightInd w:val="0"/>
        <w:spacing w:before="0" w:after="240"/>
        <w:jc w:val="center"/>
        <w:rPr>
          <w:rFonts w:cs="Calibri"/>
          <w:szCs w:val="24"/>
          <w:lang w:eastAsia="en-US"/>
        </w:rPr>
      </w:pPr>
    </w:p>
    <w:p w14:paraId="13B365AA" w14:textId="77777777" w:rsidR="00405E9D" w:rsidRPr="00A36E0B" w:rsidRDefault="00405E9D" w:rsidP="00694EC7">
      <w:pPr>
        <w:autoSpaceDE w:val="0"/>
        <w:autoSpaceDN w:val="0"/>
        <w:adjustRightInd w:val="0"/>
        <w:spacing w:before="0" w:after="240"/>
        <w:jc w:val="center"/>
        <w:rPr>
          <w:rFonts w:cs="Calibri"/>
          <w:szCs w:val="24"/>
          <w:lang w:eastAsia="en-US"/>
        </w:rPr>
      </w:pPr>
    </w:p>
    <w:p w14:paraId="644FE174" w14:textId="77777777" w:rsidR="00405E9D" w:rsidRPr="00A36E0B" w:rsidRDefault="00405E9D" w:rsidP="00694EC7">
      <w:pPr>
        <w:autoSpaceDE w:val="0"/>
        <w:autoSpaceDN w:val="0"/>
        <w:adjustRightInd w:val="0"/>
        <w:spacing w:before="0" w:after="240"/>
        <w:jc w:val="center"/>
        <w:rPr>
          <w:rFonts w:cs="Calibri"/>
          <w:szCs w:val="24"/>
          <w:lang w:eastAsia="en-US"/>
        </w:rPr>
      </w:pPr>
    </w:p>
    <w:p w14:paraId="67890FE8" w14:textId="77777777" w:rsidR="00405E9D" w:rsidRPr="00A36E0B" w:rsidRDefault="00405E9D" w:rsidP="00694EC7">
      <w:pPr>
        <w:autoSpaceDE w:val="0"/>
        <w:autoSpaceDN w:val="0"/>
        <w:adjustRightInd w:val="0"/>
        <w:spacing w:before="0" w:after="240"/>
        <w:jc w:val="center"/>
        <w:rPr>
          <w:rFonts w:cs="Calibri"/>
          <w:szCs w:val="24"/>
          <w:lang w:eastAsia="en-US"/>
        </w:rPr>
      </w:pPr>
    </w:p>
    <w:p w14:paraId="10341F49" w14:textId="77777777" w:rsidR="00F85F80" w:rsidRPr="00A36E0B" w:rsidRDefault="00F85F80" w:rsidP="00694EC7">
      <w:pPr>
        <w:autoSpaceDE w:val="0"/>
        <w:autoSpaceDN w:val="0"/>
        <w:adjustRightInd w:val="0"/>
        <w:spacing w:before="0" w:after="240"/>
        <w:jc w:val="center"/>
        <w:rPr>
          <w:rFonts w:cs="Calibri"/>
          <w:szCs w:val="24"/>
          <w:lang w:eastAsia="en-US"/>
        </w:rPr>
      </w:pPr>
    </w:p>
    <w:p w14:paraId="3AA0EB7E" w14:textId="77777777" w:rsidR="00A115D8" w:rsidRPr="00A36E0B" w:rsidRDefault="00A115D8" w:rsidP="00694EC7">
      <w:pPr>
        <w:autoSpaceDE w:val="0"/>
        <w:autoSpaceDN w:val="0"/>
        <w:adjustRightInd w:val="0"/>
        <w:spacing w:before="0" w:after="240"/>
        <w:jc w:val="right"/>
        <w:rPr>
          <w:rFonts w:cs="Calibri"/>
          <w:sz w:val="23"/>
          <w:szCs w:val="23"/>
          <w:lang w:eastAsia="en-US"/>
        </w:rPr>
      </w:pPr>
    </w:p>
    <w:p w14:paraId="4A770E8C" w14:textId="77777777" w:rsidR="00A115D8" w:rsidRPr="00A36E0B" w:rsidRDefault="00A115D8" w:rsidP="00694EC7">
      <w:pPr>
        <w:autoSpaceDE w:val="0"/>
        <w:autoSpaceDN w:val="0"/>
        <w:adjustRightInd w:val="0"/>
        <w:spacing w:before="0" w:after="240"/>
        <w:jc w:val="right"/>
        <w:rPr>
          <w:rFonts w:cs="Calibri"/>
          <w:sz w:val="23"/>
          <w:szCs w:val="23"/>
          <w:lang w:eastAsia="en-US"/>
        </w:rPr>
      </w:pPr>
      <w:r w:rsidRPr="00A36E0B">
        <w:rPr>
          <w:rFonts w:cs="Calibri"/>
          <w:sz w:val="23"/>
          <w:szCs w:val="23"/>
          <w:lang w:eastAsia="en-US"/>
        </w:rPr>
        <w:t>Presented by</w:t>
      </w:r>
    </w:p>
    <w:p w14:paraId="5475FF87" w14:textId="77777777" w:rsidR="00A115D8" w:rsidRPr="00A36E0B" w:rsidRDefault="00A115D8" w:rsidP="00694EC7">
      <w:pPr>
        <w:autoSpaceDE w:val="0"/>
        <w:autoSpaceDN w:val="0"/>
        <w:adjustRightInd w:val="0"/>
        <w:spacing w:before="0" w:after="240"/>
        <w:jc w:val="right"/>
        <w:rPr>
          <w:rFonts w:cs="Calibri"/>
          <w:sz w:val="23"/>
          <w:szCs w:val="23"/>
          <w:lang w:eastAsia="en-US"/>
        </w:rPr>
      </w:pPr>
      <w:r w:rsidRPr="00A36E0B">
        <w:rPr>
          <w:rFonts w:cs="Calibri"/>
          <w:sz w:val="23"/>
          <w:szCs w:val="23"/>
          <w:lang w:eastAsia="en-US"/>
        </w:rPr>
        <w:t xml:space="preserve">Mr </w:t>
      </w:r>
      <w:r w:rsidR="00AE6A8F">
        <w:rPr>
          <w:rFonts w:cs="Calibri"/>
          <w:sz w:val="23"/>
          <w:szCs w:val="23"/>
          <w:lang w:eastAsia="en-US"/>
        </w:rPr>
        <w:t>Shane Rattenbury</w:t>
      </w:r>
      <w:r w:rsidRPr="00A36E0B">
        <w:rPr>
          <w:rFonts w:cs="Calibri"/>
          <w:sz w:val="23"/>
          <w:szCs w:val="23"/>
          <w:lang w:eastAsia="en-US"/>
        </w:rPr>
        <w:t xml:space="preserve"> MLA</w:t>
      </w:r>
    </w:p>
    <w:p w14:paraId="4DD8C2BF" w14:textId="77777777" w:rsidR="00A115D8" w:rsidRPr="00A36E0B" w:rsidRDefault="00FF1031" w:rsidP="00694EC7">
      <w:pPr>
        <w:spacing w:before="0" w:after="240"/>
        <w:jc w:val="right"/>
        <w:rPr>
          <w:rFonts w:cs="Calibri"/>
          <w:sz w:val="23"/>
          <w:szCs w:val="23"/>
          <w:lang w:eastAsia="en-US"/>
        </w:rPr>
      </w:pPr>
      <w:r w:rsidRPr="00A36E0B">
        <w:rPr>
          <w:rFonts w:cs="Calibri"/>
          <w:sz w:val="23"/>
          <w:szCs w:val="23"/>
          <w:lang w:eastAsia="en-US"/>
        </w:rPr>
        <w:t xml:space="preserve">Minister for the </w:t>
      </w:r>
      <w:r w:rsidR="00AE6A8F">
        <w:rPr>
          <w:rFonts w:cs="Calibri"/>
          <w:sz w:val="23"/>
          <w:szCs w:val="23"/>
          <w:lang w:eastAsia="en-US"/>
        </w:rPr>
        <w:t>Sustainability and Climate Change</w:t>
      </w:r>
    </w:p>
    <w:p w14:paraId="0FB3F806" w14:textId="77777777" w:rsidR="00A115D8" w:rsidRPr="00EF3924" w:rsidRDefault="00A115D8" w:rsidP="00694EC7">
      <w:pPr>
        <w:pStyle w:val="Heading1"/>
        <w:rPr>
          <w:color w:val="auto"/>
          <w:lang w:eastAsia="en-US"/>
        </w:rPr>
      </w:pPr>
      <w:r w:rsidRPr="00EF3924">
        <w:rPr>
          <w:color w:val="auto"/>
        </w:rPr>
        <w:lastRenderedPageBreak/>
        <w:t>Overview</w:t>
      </w:r>
    </w:p>
    <w:p w14:paraId="3090D06B" w14:textId="125E28C6" w:rsidR="00DD5F11" w:rsidRPr="0045331A" w:rsidRDefault="00DD5F11" w:rsidP="00DD5F11">
      <w:pPr>
        <w:rPr>
          <w:rFonts w:asciiTheme="minorHAnsi" w:hAnsiTheme="minorHAnsi" w:cs="Arial"/>
          <w:szCs w:val="24"/>
        </w:rPr>
      </w:pPr>
      <w:r w:rsidRPr="0045331A">
        <w:rPr>
          <w:rFonts w:asciiTheme="minorHAnsi" w:hAnsiTheme="minorHAnsi" w:cs="Calibri"/>
          <w:szCs w:val="24"/>
        </w:rPr>
        <w:t xml:space="preserve">This explanatory statement relates to the </w:t>
      </w:r>
      <w:r w:rsidRPr="0045331A">
        <w:rPr>
          <w:rFonts w:asciiTheme="minorHAnsi" w:hAnsiTheme="minorHAnsi" w:cs="Calibri"/>
          <w:i/>
          <w:szCs w:val="24"/>
        </w:rPr>
        <w:t xml:space="preserve">Energy Efficiency (Cost of Living) Improvement Amendment Bill 2019 (the Bill) as presented to the Legislative Assembly. </w:t>
      </w:r>
      <w:r w:rsidRPr="0045331A">
        <w:rPr>
          <w:rFonts w:asciiTheme="minorHAnsi" w:hAnsiTheme="minorHAnsi" w:cs="Arial"/>
          <w:szCs w:val="24"/>
        </w:rPr>
        <w:t>It has been prepared in order to assist the reader of the Bill and to help inform debate on it. It does not form part of the Bill and has not been endorsed by the Legislative Assembly.</w:t>
      </w:r>
    </w:p>
    <w:p w14:paraId="3E9858B6" w14:textId="77777777" w:rsidR="00DD5F11" w:rsidRPr="0045331A" w:rsidRDefault="00DD5F11" w:rsidP="00DD5F11">
      <w:pPr>
        <w:rPr>
          <w:rFonts w:asciiTheme="minorHAnsi" w:hAnsiTheme="minorHAnsi" w:cs="Arial"/>
          <w:szCs w:val="24"/>
        </w:rPr>
      </w:pPr>
      <w:r w:rsidRPr="0045331A">
        <w:rPr>
          <w:rFonts w:asciiTheme="minorHAnsi" w:hAnsiTheme="minorHAnsi" w:cs="Arial"/>
          <w:szCs w:val="24"/>
        </w:rPr>
        <w:t>The Statement must be read in conjunction with the Bill. It is not, and is meant to be, a comprehensive description of the Bill. What is said about a provision is not to be taken as an authoritative guide to the meaning of a provision, this being a task for the courts.</w:t>
      </w:r>
    </w:p>
    <w:p w14:paraId="75900EAA" w14:textId="77777777" w:rsidR="00DD5F11" w:rsidRPr="0045331A" w:rsidRDefault="00DD5F11" w:rsidP="00694EC7">
      <w:pPr>
        <w:autoSpaceDE w:val="0"/>
        <w:autoSpaceDN w:val="0"/>
        <w:adjustRightInd w:val="0"/>
        <w:spacing w:after="120"/>
        <w:rPr>
          <w:rFonts w:cs="Calibri"/>
          <w:b/>
          <w:szCs w:val="24"/>
        </w:rPr>
      </w:pPr>
      <w:r>
        <w:rPr>
          <w:rFonts w:cs="Calibri"/>
          <w:b/>
          <w:szCs w:val="24"/>
        </w:rPr>
        <w:t>Background</w:t>
      </w:r>
    </w:p>
    <w:p w14:paraId="328F73B7" w14:textId="77777777" w:rsidR="00EF3924" w:rsidRDefault="006D293C" w:rsidP="00694EC7">
      <w:pPr>
        <w:autoSpaceDE w:val="0"/>
        <w:autoSpaceDN w:val="0"/>
        <w:adjustRightInd w:val="0"/>
        <w:spacing w:after="120"/>
        <w:rPr>
          <w:rFonts w:cs="Calibri"/>
          <w:szCs w:val="24"/>
        </w:rPr>
      </w:pPr>
      <w:r w:rsidRPr="00EF3924">
        <w:rPr>
          <w:rFonts w:cs="Calibri"/>
          <w:szCs w:val="24"/>
        </w:rPr>
        <w:t xml:space="preserve">The </w:t>
      </w:r>
      <w:r w:rsidRPr="00AA4D0C">
        <w:rPr>
          <w:rFonts w:cs="Calibri"/>
          <w:i/>
          <w:iCs/>
          <w:szCs w:val="24"/>
        </w:rPr>
        <w:t xml:space="preserve">Energy Efficiency </w:t>
      </w:r>
      <w:r w:rsidR="00AD7BFC" w:rsidRPr="00AA4D0C">
        <w:rPr>
          <w:rFonts w:cs="Calibri"/>
          <w:i/>
          <w:iCs/>
          <w:szCs w:val="24"/>
        </w:rPr>
        <w:t xml:space="preserve">(Cost of Living) </w:t>
      </w:r>
      <w:r w:rsidR="001D0733" w:rsidRPr="00AA4D0C">
        <w:rPr>
          <w:rFonts w:cs="Calibri"/>
          <w:i/>
          <w:iCs/>
          <w:szCs w:val="24"/>
        </w:rPr>
        <w:t>Improvement Amendment</w:t>
      </w:r>
      <w:r w:rsidRPr="00AA4D0C">
        <w:rPr>
          <w:rFonts w:cs="Calibri"/>
          <w:i/>
          <w:iCs/>
          <w:szCs w:val="24"/>
        </w:rPr>
        <w:t xml:space="preserve"> Bill 201</w:t>
      </w:r>
      <w:r w:rsidR="00AE6A8F" w:rsidRPr="00AA4D0C">
        <w:rPr>
          <w:rFonts w:cs="Calibri"/>
          <w:i/>
          <w:iCs/>
          <w:szCs w:val="24"/>
        </w:rPr>
        <w:t>9</w:t>
      </w:r>
      <w:r w:rsidR="001D0733" w:rsidRPr="00EF3924">
        <w:rPr>
          <w:rFonts w:cs="Calibri"/>
          <w:iCs/>
          <w:szCs w:val="24"/>
        </w:rPr>
        <w:t xml:space="preserve"> contains amendments to extend </w:t>
      </w:r>
      <w:r w:rsidR="00EF3924" w:rsidRPr="00EF3924">
        <w:rPr>
          <w:rFonts w:cs="Calibri"/>
          <w:iCs/>
          <w:szCs w:val="24"/>
        </w:rPr>
        <w:t xml:space="preserve">and enhance </w:t>
      </w:r>
      <w:r w:rsidR="001D0733" w:rsidRPr="00EF3924">
        <w:rPr>
          <w:rFonts w:cs="Calibri"/>
          <w:iCs/>
          <w:szCs w:val="24"/>
        </w:rPr>
        <w:t xml:space="preserve">the operation of </w:t>
      </w:r>
      <w:r w:rsidR="008A40EA">
        <w:rPr>
          <w:rFonts w:cs="Calibri"/>
          <w:iCs/>
          <w:szCs w:val="24"/>
        </w:rPr>
        <w:t xml:space="preserve">the </w:t>
      </w:r>
      <w:r w:rsidR="001D0733" w:rsidRPr="00EF3924">
        <w:rPr>
          <w:rFonts w:cs="Calibri"/>
          <w:iCs/>
          <w:szCs w:val="24"/>
        </w:rPr>
        <w:t xml:space="preserve">Energy Efficiency Improvement Scheme (EEIS), provided for by the </w:t>
      </w:r>
      <w:r w:rsidR="001D0733" w:rsidRPr="00EF3924">
        <w:rPr>
          <w:rFonts w:cs="Calibri"/>
          <w:i/>
          <w:szCs w:val="24"/>
        </w:rPr>
        <w:t>Energy Efficiency (Cost of Living) Improvement Act 2012</w:t>
      </w:r>
      <w:r w:rsidR="00DD5F11">
        <w:rPr>
          <w:rFonts w:cs="Calibri"/>
          <w:i/>
          <w:szCs w:val="24"/>
        </w:rPr>
        <w:t>.</w:t>
      </w:r>
    </w:p>
    <w:p w14:paraId="7BD106A7" w14:textId="0B5F815C" w:rsidR="0045331A" w:rsidRPr="0045331A" w:rsidRDefault="0045331A" w:rsidP="0045331A">
      <w:pPr>
        <w:autoSpaceDE w:val="0"/>
        <w:autoSpaceDN w:val="0"/>
        <w:adjustRightInd w:val="0"/>
        <w:spacing w:after="120"/>
        <w:rPr>
          <w:rFonts w:cs="Calibri"/>
          <w:szCs w:val="24"/>
        </w:rPr>
      </w:pPr>
      <w:r>
        <w:rPr>
          <w:rFonts w:cs="Calibri"/>
          <w:szCs w:val="24"/>
        </w:rPr>
        <w:t>The EEIS</w:t>
      </w:r>
      <w:r w:rsidRPr="0045331A">
        <w:rPr>
          <w:rFonts w:cs="Calibri"/>
          <w:szCs w:val="24"/>
        </w:rPr>
        <w:t xml:space="preserve"> requires electricity retailers to achieve energy savings in households and small-to-medium enterprises.</w:t>
      </w:r>
      <w:r>
        <w:rPr>
          <w:rFonts w:cs="Calibri"/>
          <w:szCs w:val="24"/>
        </w:rPr>
        <w:t xml:space="preserve"> It </w:t>
      </w:r>
      <w:r w:rsidRPr="0045331A">
        <w:rPr>
          <w:rFonts w:cs="Calibri"/>
          <w:szCs w:val="24"/>
        </w:rPr>
        <w:t>is a key mechanism for delivering on the ACT’s emission reduction targets by helping households and businesses reduce emissions and energy costs.</w:t>
      </w:r>
      <w:r>
        <w:rPr>
          <w:rFonts w:cs="Calibri"/>
          <w:szCs w:val="24"/>
        </w:rPr>
        <w:t xml:space="preserve"> </w:t>
      </w:r>
    </w:p>
    <w:p w14:paraId="4456F2F2" w14:textId="77777777" w:rsidR="00DD5F11" w:rsidRPr="0045331A" w:rsidRDefault="00DD5F11" w:rsidP="00694EC7">
      <w:pPr>
        <w:autoSpaceDE w:val="0"/>
        <w:autoSpaceDN w:val="0"/>
        <w:adjustRightInd w:val="0"/>
        <w:spacing w:after="120"/>
        <w:rPr>
          <w:rFonts w:cs="Calibri"/>
          <w:b/>
          <w:szCs w:val="24"/>
        </w:rPr>
      </w:pPr>
      <w:r>
        <w:rPr>
          <w:rFonts w:cs="Calibri"/>
          <w:b/>
          <w:szCs w:val="24"/>
        </w:rPr>
        <w:t>Overview of the Bill</w:t>
      </w:r>
    </w:p>
    <w:p w14:paraId="56B301FC" w14:textId="77777777" w:rsidR="001D0733" w:rsidRPr="00EF3924" w:rsidRDefault="001D0733" w:rsidP="00694EC7">
      <w:pPr>
        <w:autoSpaceDE w:val="0"/>
        <w:autoSpaceDN w:val="0"/>
        <w:adjustRightInd w:val="0"/>
        <w:spacing w:after="120"/>
        <w:rPr>
          <w:rFonts w:cs="Calibri"/>
          <w:szCs w:val="24"/>
        </w:rPr>
      </w:pPr>
      <w:r w:rsidRPr="00EF3924">
        <w:rPr>
          <w:rFonts w:cs="Calibri"/>
          <w:szCs w:val="24"/>
        </w:rPr>
        <w:t>In summary, the amendments provide for:</w:t>
      </w:r>
    </w:p>
    <w:p w14:paraId="2C5FF2BF" w14:textId="77777777" w:rsidR="001D0733" w:rsidRDefault="001D0733" w:rsidP="00694EC7">
      <w:pPr>
        <w:pStyle w:val="Header"/>
        <w:numPr>
          <w:ilvl w:val="1"/>
          <w:numId w:val="19"/>
        </w:numPr>
        <w:tabs>
          <w:tab w:val="clear" w:pos="4513"/>
          <w:tab w:val="clear" w:pos="9026"/>
        </w:tabs>
        <w:spacing w:after="120"/>
        <w:ind w:left="714" w:hanging="357"/>
        <w:rPr>
          <w:rFonts w:cs="Arial"/>
          <w:szCs w:val="24"/>
        </w:rPr>
      </w:pPr>
      <w:r w:rsidRPr="00A36E0B">
        <w:rPr>
          <w:rFonts w:cs="Arial"/>
          <w:szCs w:val="24"/>
        </w:rPr>
        <w:t xml:space="preserve">annual compliance periods </w:t>
      </w:r>
      <w:r w:rsidR="00AE6A8F">
        <w:rPr>
          <w:rFonts w:cs="Arial"/>
          <w:szCs w:val="24"/>
        </w:rPr>
        <w:t>for each calendar year from 2021 to 203</w:t>
      </w:r>
      <w:r w:rsidRPr="00A36E0B">
        <w:rPr>
          <w:rFonts w:cs="Arial"/>
          <w:szCs w:val="24"/>
        </w:rPr>
        <w:t>0 (inclusive);</w:t>
      </w:r>
    </w:p>
    <w:p w14:paraId="77F046D3" w14:textId="77777777" w:rsidR="00AE6A8F" w:rsidRDefault="00AE6A8F" w:rsidP="00694EC7">
      <w:pPr>
        <w:pStyle w:val="Header"/>
        <w:numPr>
          <w:ilvl w:val="1"/>
          <w:numId w:val="19"/>
        </w:numPr>
        <w:tabs>
          <w:tab w:val="clear" w:pos="4513"/>
          <w:tab w:val="clear" w:pos="9026"/>
        </w:tabs>
        <w:spacing w:after="120"/>
        <w:ind w:left="714" w:hanging="357"/>
        <w:rPr>
          <w:rFonts w:cs="Arial"/>
          <w:szCs w:val="24"/>
        </w:rPr>
      </w:pPr>
      <w:r>
        <w:rPr>
          <w:rFonts w:cs="Arial"/>
          <w:szCs w:val="24"/>
        </w:rPr>
        <w:t xml:space="preserve">defining the energy savings obligation as an energy metric instead of the current greenhouse gas emissions metric; </w:t>
      </w:r>
    </w:p>
    <w:p w14:paraId="57DA0AC1" w14:textId="77777777" w:rsidR="00AE6A8F" w:rsidRDefault="00AE6A8F" w:rsidP="00694EC7">
      <w:pPr>
        <w:pStyle w:val="Header"/>
        <w:numPr>
          <w:ilvl w:val="1"/>
          <w:numId w:val="19"/>
        </w:numPr>
        <w:tabs>
          <w:tab w:val="clear" w:pos="4513"/>
          <w:tab w:val="clear" w:pos="9026"/>
        </w:tabs>
        <w:spacing w:after="120"/>
        <w:ind w:left="714" w:hanging="357"/>
        <w:rPr>
          <w:rFonts w:cs="Arial"/>
          <w:szCs w:val="24"/>
        </w:rPr>
      </w:pPr>
      <w:r>
        <w:rPr>
          <w:rFonts w:cs="Arial"/>
          <w:szCs w:val="24"/>
        </w:rPr>
        <w:t xml:space="preserve">adjusting other scheme metrics consistent with the new energy savings obligation; </w:t>
      </w:r>
    </w:p>
    <w:p w14:paraId="62DB82ED" w14:textId="77777777" w:rsidR="00AE6A8F" w:rsidRDefault="00AE6A8F" w:rsidP="00694EC7">
      <w:pPr>
        <w:pStyle w:val="Header"/>
        <w:numPr>
          <w:ilvl w:val="1"/>
          <w:numId w:val="19"/>
        </w:numPr>
        <w:tabs>
          <w:tab w:val="clear" w:pos="4513"/>
          <w:tab w:val="clear" w:pos="9026"/>
        </w:tabs>
        <w:spacing w:after="120"/>
        <w:ind w:left="714" w:hanging="357"/>
        <w:rPr>
          <w:rFonts w:cs="Arial"/>
          <w:szCs w:val="24"/>
        </w:rPr>
      </w:pPr>
      <w:r>
        <w:rPr>
          <w:rFonts w:cs="Arial"/>
          <w:szCs w:val="24"/>
        </w:rPr>
        <w:t xml:space="preserve">amending how eligible classes of priority households are determined; </w:t>
      </w:r>
    </w:p>
    <w:p w14:paraId="1A3A9EC2" w14:textId="77777777" w:rsidR="00AE6A8F" w:rsidRDefault="00AE6A8F" w:rsidP="00694EC7">
      <w:pPr>
        <w:pStyle w:val="Header"/>
        <w:numPr>
          <w:ilvl w:val="1"/>
          <w:numId w:val="19"/>
        </w:numPr>
        <w:tabs>
          <w:tab w:val="clear" w:pos="4513"/>
          <w:tab w:val="clear" w:pos="9026"/>
        </w:tabs>
        <w:spacing w:after="120"/>
        <w:ind w:left="714" w:hanging="357"/>
        <w:rPr>
          <w:rFonts w:cs="Arial"/>
          <w:szCs w:val="24"/>
        </w:rPr>
      </w:pPr>
      <w:r>
        <w:rPr>
          <w:rFonts w:cs="Arial"/>
          <w:szCs w:val="24"/>
        </w:rPr>
        <w:t xml:space="preserve">allowing the scheme to offer transport activities; </w:t>
      </w:r>
    </w:p>
    <w:p w14:paraId="55E93817" w14:textId="77777777" w:rsidR="00AE6A8F" w:rsidRDefault="00AE6A8F" w:rsidP="00694EC7">
      <w:pPr>
        <w:pStyle w:val="Header"/>
        <w:numPr>
          <w:ilvl w:val="1"/>
          <w:numId w:val="19"/>
        </w:numPr>
        <w:tabs>
          <w:tab w:val="clear" w:pos="4513"/>
          <w:tab w:val="clear" w:pos="9026"/>
        </w:tabs>
        <w:spacing w:after="120"/>
        <w:ind w:left="714" w:hanging="357"/>
        <w:rPr>
          <w:rFonts w:cs="Arial"/>
          <w:szCs w:val="24"/>
        </w:rPr>
      </w:pPr>
      <w:r>
        <w:rPr>
          <w:rFonts w:cs="Arial"/>
          <w:szCs w:val="24"/>
        </w:rPr>
        <w:t xml:space="preserve">streamlining administrative arrangements for activities determinations and codes of practice; </w:t>
      </w:r>
    </w:p>
    <w:p w14:paraId="6F19AC5C" w14:textId="77777777" w:rsidR="00AE6A8F" w:rsidRDefault="00AE6A8F" w:rsidP="00694EC7">
      <w:pPr>
        <w:pStyle w:val="Header"/>
        <w:numPr>
          <w:ilvl w:val="1"/>
          <w:numId w:val="19"/>
        </w:numPr>
        <w:tabs>
          <w:tab w:val="clear" w:pos="4513"/>
          <w:tab w:val="clear" w:pos="9026"/>
        </w:tabs>
        <w:spacing w:after="120"/>
        <w:ind w:left="714" w:hanging="357"/>
        <w:rPr>
          <w:rFonts w:cs="Arial"/>
          <w:szCs w:val="24"/>
        </w:rPr>
      </w:pPr>
      <w:r>
        <w:rPr>
          <w:rFonts w:cs="Arial"/>
          <w:szCs w:val="24"/>
        </w:rPr>
        <w:t xml:space="preserve">enhancing data sharing opportunities consistent with the Freedom of Information Act 2016; </w:t>
      </w:r>
      <w:r w:rsidR="00B379C5">
        <w:rPr>
          <w:rFonts w:cs="Arial"/>
          <w:szCs w:val="24"/>
        </w:rPr>
        <w:t>and</w:t>
      </w:r>
    </w:p>
    <w:p w14:paraId="1231CC61" w14:textId="22E42B55" w:rsidR="00824188" w:rsidRDefault="00AE6A8F" w:rsidP="00824188">
      <w:pPr>
        <w:pStyle w:val="Header"/>
        <w:numPr>
          <w:ilvl w:val="1"/>
          <w:numId w:val="19"/>
        </w:numPr>
        <w:tabs>
          <w:tab w:val="clear" w:pos="4513"/>
          <w:tab w:val="clear" w:pos="9026"/>
        </w:tabs>
        <w:spacing w:after="120"/>
        <w:ind w:left="714" w:hanging="357"/>
        <w:rPr>
          <w:rFonts w:cs="Arial"/>
          <w:szCs w:val="24"/>
        </w:rPr>
      </w:pPr>
      <w:r>
        <w:rPr>
          <w:rFonts w:cs="Arial"/>
          <w:szCs w:val="24"/>
        </w:rPr>
        <w:t>improving arrangements for the sharing of information between</w:t>
      </w:r>
      <w:r w:rsidR="00B379C5">
        <w:rPr>
          <w:rFonts w:cs="Arial"/>
          <w:szCs w:val="24"/>
        </w:rPr>
        <w:t xml:space="preserve"> agencies.</w:t>
      </w:r>
      <w:r>
        <w:rPr>
          <w:rFonts w:cs="Arial"/>
          <w:szCs w:val="24"/>
        </w:rPr>
        <w:t xml:space="preserve">  </w:t>
      </w:r>
    </w:p>
    <w:p w14:paraId="265F2ADB" w14:textId="522C1B31" w:rsidR="00824188" w:rsidRPr="00824188" w:rsidRDefault="00824188" w:rsidP="0045331A">
      <w:pPr>
        <w:pStyle w:val="Header"/>
        <w:tabs>
          <w:tab w:val="clear" w:pos="4513"/>
          <w:tab w:val="clear" w:pos="9026"/>
        </w:tabs>
        <w:spacing w:after="120"/>
        <w:rPr>
          <w:rFonts w:cs="Arial"/>
          <w:szCs w:val="24"/>
        </w:rPr>
      </w:pPr>
      <w:r>
        <w:rPr>
          <w:rFonts w:cs="Arial"/>
          <w:szCs w:val="24"/>
        </w:rPr>
        <w:t xml:space="preserve">The greenhouse gas </w:t>
      </w:r>
      <w:r w:rsidR="0091315F">
        <w:rPr>
          <w:rFonts w:cs="Arial"/>
          <w:szCs w:val="24"/>
        </w:rPr>
        <w:t xml:space="preserve">emissions metric is replaced by an energy metric in numerous sections. </w:t>
      </w:r>
      <w:r w:rsidR="0013630B">
        <w:rPr>
          <w:rFonts w:cs="Arial"/>
          <w:szCs w:val="24"/>
        </w:rPr>
        <w:t xml:space="preserve">The adoption of an energy </w:t>
      </w:r>
      <w:r w:rsidR="0013630B" w:rsidRPr="0013630B">
        <w:rPr>
          <w:rFonts w:cs="Arial"/>
          <w:szCs w:val="24"/>
        </w:rPr>
        <w:t>metric</w:t>
      </w:r>
      <w:r w:rsidR="0013630B">
        <w:rPr>
          <w:rFonts w:cs="Arial"/>
          <w:szCs w:val="24"/>
        </w:rPr>
        <w:t xml:space="preserve"> has</w:t>
      </w:r>
      <w:r w:rsidR="0013630B" w:rsidRPr="0013630B">
        <w:rPr>
          <w:rFonts w:cs="Arial"/>
          <w:szCs w:val="24"/>
        </w:rPr>
        <w:t xml:space="preserve"> been identified through modelling as the ideal for maximising EEIS benefits.</w:t>
      </w:r>
      <w:r w:rsidR="0013630B">
        <w:rPr>
          <w:rFonts w:cs="Arial"/>
          <w:szCs w:val="24"/>
        </w:rPr>
        <w:t xml:space="preserve"> </w:t>
      </w:r>
      <w:r w:rsidR="0013630B" w:rsidRPr="0013630B">
        <w:rPr>
          <w:rFonts w:cs="Arial"/>
          <w:szCs w:val="24"/>
        </w:rPr>
        <w:t>Th</w:t>
      </w:r>
      <w:r w:rsidR="007B62F7">
        <w:rPr>
          <w:rFonts w:cs="Arial"/>
          <w:szCs w:val="24"/>
        </w:rPr>
        <w:t xml:space="preserve">e new metric is in line with </w:t>
      </w:r>
      <w:r w:rsidR="007B62F7" w:rsidRPr="007B62F7">
        <w:rPr>
          <w:rFonts w:cs="Arial"/>
          <w:szCs w:val="24"/>
        </w:rPr>
        <w:t>the Government’s 100 per cent Renewable Electricity Target, which will be achieved in 2020</w:t>
      </w:r>
      <w:r w:rsidR="007B62F7">
        <w:rPr>
          <w:rFonts w:cs="Arial"/>
          <w:szCs w:val="24"/>
        </w:rPr>
        <w:t xml:space="preserve">. A carbon metric would </w:t>
      </w:r>
      <w:r w:rsidR="0013630B" w:rsidRPr="0013630B">
        <w:rPr>
          <w:rFonts w:cs="Arial"/>
          <w:szCs w:val="24"/>
        </w:rPr>
        <w:t>otherwise effectively exclude any electricity saving activities from being delivered by EEIS.</w:t>
      </w:r>
    </w:p>
    <w:p w14:paraId="08E9C765" w14:textId="77777777" w:rsidR="009B2A6D" w:rsidRDefault="009B2A6D">
      <w:pPr>
        <w:spacing w:before="0"/>
        <w:rPr>
          <w:rFonts w:cs="Arial"/>
          <w:b/>
          <w:szCs w:val="24"/>
        </w:rPr>
      </w:pPr>
      <w:r>
        <w:rPr>
          <w:rFonts w:cs="Arial"/>
          <w:b/>
          <w:szCs w:val="24"/>
        </w:rPr>
        <w:br w:type="page"/>
      </w:r>
    </w:p>
    <w:p w14:paraId="6E787849" w14:textId="5BCE002E" w:rsidR="00DD5F11" w:rsidRPr="0045331A" w:rsidRDefault="00DD5F11" w:rsidP="0045331A">
      <w:pPr>
        <w:pStyle w:val="Header"/>
        <w:tabs>
          <w:tab w:val="clear" w:pos="4513"/>
          <w:tab w:val="clear" w:pos="9026"/>
        </w:tabs>
        <w:spacing w:after="120"/>
        <w:rPr>
          <w:rFonts w:cs="Arial"/>
          <w:b/>
          <w:szCs w:val="24"/>
        </w:rPr>
      </w:pPr>
      <w:r>
        <w:rPr>
          <w:rFonts w:cs="Arial"/>
          <w:b/>
          <w:szCs w:val="24"/>
        </w:rPr>
        <w:lastRenderedPageBreak/>
        <w:t>Consultation</w:t>
      </w:r>
    </w:p>
    <w:p w14:paraId="1EAB868D" w14:textId="77777777" w:rsidR="00110B15" w:rsidRDefault="00C47CFF" w:rsidP="00694EC7">
      <w:pPr>
        <w:pStyle w:val="Default"/>
        <w:spacing w:before="120" w:after="120"/>
        <w:rPr>
          <w:rFonts w:ascii="Calibri" w:hAnsi="Calibri" w:cs="Calibri"/>
          <w:color w:val="auto"/>
        </w:rPr>
      </w:pPr>
      <w:r w:rsidRPr="00A36E0B">
        <w:rPr>
          <w:rFonts w:ascii="Calibri" w:hAnsi="Calibri" w:cs="Calibri"/>
          <w:color w:val="auto"/>
        </w:rPr>
        <w:t>A comprehensive regulatory impact assessment</w:t>
      </w:r>
      <w:r w:rsidR="00205772" w:rsidRPr="00A36E0B">
        <w:rPr>
          <w:rFonts w:ascii="Calibri" w:hAnsi="Calibri" w:cs="Calibri"/>
          <w:color w:val="auto"/>
        </w:rPr>
        <w:t xml:space="preserve">, </w:t>
      </w:r>
      <w:r w:rsidR="00B73261" w:rsidRPr="00A36E0B">
        <w:rPr>
          <w:rFonts w:ascii="Calibri" w:hAnsi="Calibri" w:cs="Calibri"/>
          <w:color w:val="auto"/>
        </w:rPr>
        <w:t>incorporating</w:t>
      </w:r>
      <w:r w:rsidR="00205772" w:rsidRPr="00A36E0B">
        <w:rPr>
          <w:rFonts w:ascii="Calibri" w:hAnsi="Calibri" w:cs="Calibri"/>
          <w:color w:val="auto"/>
        </w:rPr>
        <w:t xml:space="preserve"> </w:t>
      </w:r>
      <w:r w:rsidR="00AE6A8F">
        <w:rPr>
          <w:rFonts w:ascii="Calibri" w:hAnsi="Calibri" w:cs="Calibri"/>
          <w:color w:val="auto"/>
        </w:rPr>
        <w:t xml:space="preserve">the 2018 Energy Efficiency Improvement Scheme (EEIS) Review, modelling for an EEIS extension, </w:t>
      </w:r>
      <w:r w:rsidR="00205772" w:rsidRPr="00A36E0B">
        <w:rPr>
          <w:rFonts w:ascii="Calibri" w:hAnsi="Calibri" w:cs="Calibri"/>
          <w:color w:val="auto"/>
        </w:rPr>
        <w:t xml:space="preserve">consultation with industry, community </w:t>
      </w:r>
      <w:r w:rsidR="00B73261" w:rsidRPr="00A36E0B">
        <w:rPr>
          <w:rFonts w:ascii="Calibri" w:hAnsi="Calibri" w:cs="Calibri"/>
          <w:color w:val="auto"/>
        </w:rPr>
        <w:t xml:space="preserve">organisations </w:t>
      </w:r>
      <w:r w:rsidR="00205772" w:rsidRPr="00A36E0B">
        <w:rPr>
          <w:rFonts w:ascii="Calibri" w:hAnsi="Calibri" w:cs="Calibri"/>
          <w:color w:val="auto"/>
        </w:rPr>
        <w:t>and government stakeholders,</w:t>
      </w:r>
      <w:r w:rsidRPr="00A36E0B">
        <w:rPr>
          <w:rFonts w:ascii="Calibri" w:hAnsi="Calibri" w:cs="Calibri"/>
          <w:color w:val="auto"/>
        </w:rPr>
        <w:t xml:space="preserve"> was </w:t>
      </w:r>
      <w:r w:rsidR="00B73261" w:rsidRPr="00A36E0B">
        <w:rPr>
          <w:rFonts w:ascii="Calibri" w:hAnsi="Calibri" w:cs="Calibri"/>
          <w:color w:val="auto"/>
        </w:rPr>
        <w:t xml:space="preserve">undertaken </w:t>
      </w:r>
      <w:r w:rsidRPr="00A36E0B">
        <w:rPr>
          <w:rFonts w:ascii="Calibri" w:hAnsi="Calibri" w:cs="Calibri"/>
          <w:color w:val="auto"/>
        </w:rPr>
        <w:t>to info</w:t>
      </w:r>
      <w:r w:rsidR="00205772" w:rsidRPr="00A36E0B">
        <w:rPr>
          <w:rFonts w:ascii="Calibri" w:hAnsi="Calibri" w:cs="Calibri"/>
          <w:color w:val="auto"/>
        </w:rPr>
        <w:t>rm the development of the Bill. The assessment includes detailed analysis of the likely impacts of the Scheme</w:t>
      </w:r>
      <w:r w:rsidR="00737C66" w:rsidRPr="00A36E0B">
        <w:rPr>
          <w:rFonts w:ascii="Calibri" w:hAnsi="Calibri" w:cs="Calibri"/>
          <w:color w:val="auto"/>
        </w:rPr>
        <w:t>, including a comprehensive analysis of the likely economic costs and benefits</w:t>
      </w:r>
      <w:r w:rsidR="00E7158F" w:rsidRPr="00A36E0B">
        <w:rPr>
          <w:rFonts w:ascii="Calibri" w:hAnsi="Calibri" w:cs="Calibri"/>
          <w:color w:val="auto"/>
        </w:rPr>
        <w:t>,</w:t>
      </w:r>
      <w:r w:rsidR="00737C66" w:rsidRPr="00A36E0B">
        <w:rPr>
          <w:rFonts w:ascii="Calibri" w:hAnsi="Calibri" w:cs="Calibri"/>
          <w:color w:val="auto"/>
        </w:rPr>
        <w:t xml:space="preserve"> for the Territory.</w:t>
      </w:r>
      <w:r w:rsidR="00B73261" w:rsidRPr="00A36E0B">
        <w:rPr>
          <w:rFonts w:ascii="Calibri" w:hAnsi="Calibri" w:cs="Calibri"/>
          <w:color w:val="auto"/>
        </w:rPr>
        <w:t xml:space="preserve"> This analysis concludes that the objectives of the policy, including substantial </w:t>
      </w:r>
      <w:r w:rsidR="00EC5CA8" w:rsidRPr="00A36E0B">
        <w:rPr>
          <w:rFonts w:ascii="Calibri" w:hAnsi="Calibri" w:cs="Calibri"/>
          <w:color w:val="auto"/>
        </w:rPr>
        <w:t xml:space="preserve">energy, </w:t>
      </w:r>
      <w:r w:rsidR="001B72FB" w:rsidRPr="00A36E0B">
        <w:rPr>
          <w:rFonts w:ascii="Calibri" w:hAnsi="Calibri" w:cs="Calibri"/>
          <w:color w:val="auto"/>
        </w:rPr>
        <w:t>greenhouse gas savings and enhance</w:t>
      </w:r>
      <w:r w:rsidR="001D0733" w:rsidRPr="00A36E0B">
        <w:rPr>
          <w:rFonts w:ascii="Calibri" w:hAnsi="Calibri" w:cs="Calibri"/>
          <w:color w:val="auto"/>
        </w:rPr>
        <w:t>d</w:t>
      </w:r>
      <w:r w:rsidR="001B72FB" w:rsidRPr="00A36E0B">
        <w:rPr>
          <w:rFonts w:ascii="Calibri" w:hAnsi="Calibri" w:cs="Calibri"/>
          <w:color w:val="auto"/>
        </w:rPr>
        <w:t xml:space="preserve"> social equity, can be achieved with net economic benefits for the Territory.</w:t>
      </w:r>
    </w:p>
    <w:p w14:paraId="355596C8" w14:textId="77777777" w:rsidR="00DD5F11" w:rsidRPr="0045331A" w:rsidRDefault="00DD5F11" w:rsidP="00694EC7">
      <w:pPr>
        <w:pStyle w:val="Default"/>
        <w:spacing w:before="120" w:after="120"/>
        <w:rPr>
          <w:rFonts w:ascii="Calibri" w:hAnsi="Calibri" w:cs="Calibri"/>
          <w:b/>
          <w:color w:val="auto"/>
        </w:rPr>
      </w:pPr>
      <w:r>
        <w:rPr>
          <w:rFonts w:ascii="Calibri" w:hAnsi="Calibri" w:cs="Calibri"/>
          <w:b/>
          <w:color w:val="auto"/>
        </w:rPr>
        <w:t>Human Rights</w:t>
      </w:r>
    </w:p>
    <w:p w14:paraId="22F1B081" w14:textId="77777777" w:rsidR="000E41DC" w:rsidRDefault="0074078B" w:rsidP="002A003B">
      <w:pPr>
        <w:keepNext/>
        <w:autoSpaceDE w:val="0"/>
        <w:autoSpaceDN w:val="0"/>
        <w:adjustRightInd w:val="0"/>
        <w:spacing w:before="240" w:after="240"/>
        <w:rPr>
          <w:rFonts w:cs="Calibri"/>
        </w:rPr>
      </w:pPr>
      <w:r w:rsidRPr="00A36E0B">
        <w:rPr>
          <w:rFonts w:cs="Calibri"/>
        </w:rPr>
        <w:t xml:space="preserve">The Bill has been reviewed for compatibility with the </w:t>
      </w:r>
      <w:r w:rsidRPr="00A36E0B">
        <w:rPr>
          <w:rFonts w:cs="Calibri"/>
          <w:i/>
        </w:rPr>
        <w:t>Human Rights Act 2004</w:t>
      </w:r>
      <w:r w:rsidRPr="00A36E0B">
        <w:rPr>
          <w:rFonts w:cs="Calibri"/>
        </w:rPr>
        <w:t>, and has been found to not present any issues of compatibility.</w:t>
      </w:r>
      <w:r w:rsidR="0026037C">
        <w:rPr>
          <w:rFonts w:cs="Calibri"/>
        </w:rPr>
        <w:t xml:space="preserve"> </w:t>
      </w:r>
    </w:p>
    <w:p w14:paraId="7AFB7EB9" w14:textId="2D0D12F1" w:rsidR="00B35FDE" w:rsidRPr="00A36E0B" w:rsidRDefault="002F0A3C" w:rsidP="002A003B">
      <w:pPr>
        <w:keepNext/>
        <w:autoSpaceDE w:val="0"/>
        <w:autoSpaceDN w:val="0"/>
        <w:adjustRightInd w:val="0"/>
        <w:spacing w:before="240" w:after="240"/>
        <w:rPr>
          <w:b/>
          <w:sz w:val="36"/>
          <w:szCs w:val="36"/>
        </w:rPr>
      </w:pPr>
      <w:r w:rsidRPr="00A36E0B">
        <w:rPr>
          <w:b/>
          <w:sz w:val="36"/>
          <w:szCs w:val="36"/>
        </w:rPr>
        <w:t>Detailed Explanation</w:t>
      </w:r>
    </w:p>
    <w:p w14:paraId="1D3973A6" w14:textId="77777777" w:rsidR="00B35FDE" w:rsidRPr="00694EC7" w:rsidRDefault="0074078B" w:rsidP="003350BB">
      <w:pPr>
        <w:pStyle w:val="Heading2"/>
      </w:pPr>
      <w:r w:rsidRPr="00694EC7">
        <w:t>Clause</w:t>
      </w:r>
      <w:r w:rsidR="002F0A3C" w:rsidRPr="00694EC7">
        <w:t xml:space="preserve"> 1 </w:t>
      </w:r>
      <w:r w:rsidR="00F8094C" w:rsidRPr="00694EC7">
        <w:tab/>
      </w:r>
      <w:r w:rsidRPr="00694EC7">
        <w:t>Name of Act</w:t>
      </w:r>
    </w:p>
    <w:p w14:paraId="40166545" w14:textId="77777777" w:rsidR="0074078B" w:rsidRPr="00A36E0B" w:rsidRDefault="0074078B" w:rsidP="00694EC7">
      <w:pPr>
        <w:pStyle w:val="Default"/>
        <w:spacing w:after="240"/>
        <w:rPr>
          <w:rFonts w:ascii="Calibri" w:hAnsi="Calibri" w:cs="Calibri"/>
          <w:color w:val="auto"/>
        </w:rPr>
      </w:pPr>
      <w:r w:rsidRPr="00A36E0B">
        <w:rPr>
          <w:rFonts w:ascii="Calibri" w:hAnsi="Calibri" w:cs="Calibri"/>
          <w:color w:val="auto"/>
        </w:rPr>
        <w:t>This clause</w:t>
      </w:r>
      <w:r w:rsidR="002F0A3C" w:rsidRPr="00A36E0B">
        <w:rPr>
          <w:rFonts w:ascii="Calibri" w:hAnsi="Calibri" w:cs="Calibri"/>
          <w:color w:val="auto"/>
        </w:rPr>
        <w:t xml:space="preserve"> </w:t>
      </w:r>
      <w:r w:rsidRPr="00A36E0B">
        <w:rPr>
          <w:rFonts w:ascii="Calibri" w:hAnsi="Calibri" w:cs="Calibri"/>
          <w:color w:val="auto"/>
        </w:rPr>
        <w:t>names the Act as</w:t>
      </w:r>
      <w:r w:rsidR="0081537F" w:rsidRPr="00A36E0B">
        <w:rPr>
          <w:rFonts w:ascii="Calibri" w:hAnsi="Calibri" w:cs="Calibri"/>
          <w:color w:val="auto"/>
        </w:rPr>
        <w:t xml:space="preserve"> the </w:t>
      </w:r>
      <w:r w:rsidR="0081537F" w:rsidRPr="00A36E0B">
        <w:rPr>
          <w:rFonts w:ascii="Calibri" w:hAnsi="Calibri" w:cs="Calibri"/>
          <w:i/>
          <w:color w:val="auto"/>
        </w:rPr>
        <w:t xml:space="preserve">Energy Efficiency </w:t>
      </w:r>
      <w:r w:rsidR="0026380E" w:rsidRPr="00A36E0B">
        <w:rPr>
          <w:rFonts w:ascii="Calibri" w:hAnsi="Calibri" w:cs="Calibri"/>
          <w:i/>
          <w:color w:val="auto"/>
        </w:rPr>
        <w:t xml:space="preserve">(Cost of Living) </w:t>
      </w:r>
      <w:r w:rsidR="0081537F" w:rsidRPr="00A36E0B">
        <w:rPr>
          <w:rFonts w:ascii="Calibri" w:hAnsi="Calibri" w:cs="Calibri"/>
          <w:i/>
          <w:color w:val="auto"/>
        </w:rPr>
        <w:t xml:space="preserve">Improvement </w:t>
      </w:r>
      <w:r w:rsidRPr="00A36E0B">
        <w:rPr>
          <w:rFonts w:ascii="Calibri" w:hAnsi="Calibri" w:cs="Calibri"/>
          <w:i/>
          <w:color w:val="auto"/>
        </w:rPr>
        <w:t xml:space="preserve">Amendment </w:t>
      </w:r>
      <w:r w:rsidR="00B05B90" w:rsidRPr="00A36E0B">
        <w:rPr>
          <w:rFonts w:ascii="Calibri" w:hAnsi="Calibri" w:cs="Calibri"/>
          <w:i/>
          <w:color w:val="auto"/>
        </w:rPr>
        <w:t>Act 201</w:t>
      </w:r>
      <w:r w:rsidR="00AE6A8F">
        <w:rPr>
          <w:rFonts w:ascii="Calibri" w:hAnsi="Calibri" w:cs="Calibri"/>
          <w:i/>
          <w:color w:val="auto"/>
        </w:rPr>
        <w:t>9</w:t>
      </w:r>
      <w:r w:rsidR="00B05B90" w:rsidRPr="00A36E0B">
        <w:rPr>
          <w:rFonts w:ascii="Calibri" w:hAnsi="Calibri" w:cs="Calibri"/>
          <w:color w:val="auto"/>
        </w:rPr>
        <w:t>.</w:t>
      </w:r>
      <w:r w:rsidR="0026380E" w:rsidRPr="00A36E0B">
        <w:rPr>
          <w:rFonts w:ascii="Calibri" w:hAnsi="Calibri" w:cs="Calibri"/>
          <w:color w:val="auto"/>
        </w:rPr>
        <w:t xml:space="preserve"> </w:t>
      </w:r>
    </w:p>
    <w:p w14:paraId="3637EA39" w14:textId="77777777" w:rsidR="0074078B" w:rsidRPr="000E41DC" w:rsidRDefault="0074078B" w:rsidP="003350BB">
      <w:pPr>
        <w:pStyle w:val="Heading2"/>
      </w:pPr>
      <w:r w:rsidRPr="000E41DC">
        <w:t>Clause 2</w:t>
      </w:r>
      <w:r w:rsidR="00F8094C" w:rsidRPr="000E41DC">
        <w:tab/>
      </w:r>
      <w:r w:rsidRPr="000E41DC">
        <w:t>Commencement</w:t>
      </w:r>
    </w:p>
    <w:p w14:paraId="1A21649A" w14:textId="77777777" w:rsidR="0074078B" w:rsidRPr="000E41DC" w:rsidRDefault="0074078B" w:rsidP="00694EC7">
      <w:pPr>
        <w:pStyle w:val="Default"/>
        <w:spacing w:after="240"/>
        <w:rPr>
          <w:rFonts w:ascii="Calibri" w:hAnsi="Calibri" w:cs="Calibri"/>
          <w:color w:val="auto"/>
        </w:rPr>
      </w:pPr>
      <w:r w:rsidRPr="000E41DC">
        <w:rPr>
          <w:rFonts w:ascii="Calibri" w:hAnsi="Calibri" w:cs="Calibri"/>
          <w:color w:val="auto"/>
        </w:rPr>
        <w:t>This clause provides for the commencement of the Act.</w:t>
      </w:r>
    </w:p>
    <w:p w14:paraId="040818B6" w14:textId="77777777" w:rsidR="000E41DC" w:rsidRPr="000E41DC" w:rsidRDefault="00305F82" w:rsidP="000E41DC">
      <w:pPr>
        <w:pStyle w:val="Default"/>
        <w:spacing w:before="120" w:after="120"/>
        <w:rPr>
          <w:rFonts w:ascii="Calibri" w:hAnsi="Calibri" w:cs="Calibri"/>
          <w:color w:val="auto"/>
        </w:rPr>
      </w:pPr>
      <w:r w:rsidRPr="000E41DC">
        <w:rPr>
          <w:rFonts w:ascii="Calibri" w:hAnsi="Calibri" w:cs="Calibri"/>
          <w:color w:val="auto"/>
        </w:rPr>
        <w:t xml:space="preserve">There are staggered commencement dates for various sections of the bill. </w:t>
      </w:r>
    </w:p>
    <w:p w14:paraId="3540ACFB" w14:textId="60AE8955" w:rsidR="00305F82" w:rsidRPr="000E41DC" w:rsidRDefault="00305F82" w:rsidP="000E41DC">
      <w:pPr>
        <w:pStyle w:val="Default"/>
        <w:spacing w:before="120" w:after="120"/>
        <w:rPr>
          <w:rFonts w:ascii="Calibri" w:hAnsi="Calibri" w:cs="Calibri"/>
          <w:color w:val="auto"/>
        </w:rPr>
      </w:pPr>
      <w:r w:rsidRPr="000E41DC">
        <w:rPr>
          <w:rFonts w:ascii="Calibri" w:hAnsi="Calibri" w:cs="Calibri"/>
          <w:color w:val="auto"/>
        </w:rPr>
        <w:t>The clauses that commence on 1 January 2021 relate to the new energy metric</w:t>
      </w:r>
      <w:r w:rsidR="000E41DC" w:rsidRPr="000E41DC">
        <w:rPr>
          <w:rFonts w:ascii="Calibri" w:hAnsi="Calibri" w:cs="Calibri"/>
          <w:color w:val="auto"/>
        </w:rPr>
        <w:t xml:space="preserve"> and enable current provisions to remain in place for the current scheme</w:t>
      </w:r>
      <w:r w:rsidRPr="000E41DC">
        <w:rPr>
          <w:rFonts w:ascii="Calibri" w:hAnsi="Calibri" w:cs="Calibri"/>
          <w:color w:val="auto"/>
        </w:rPr>
        <w:t>. Clauses that commence by way of written notice relate to changes to disallowable and notifiable instruments. The clauses that commence after notification day are not contingent on particular dates.</w:t>
      </w:r>
    </w:p>
    <w:p w14:paraId="330847E7" w14:textId="77777777" w:rsidR="00F8094C" w:rsidRPr="00A36E0B" w:rsidRDefault="00F8094C" w:rsidP="003350BB">
      <w:pPr>
        <w:pStyle w:val="Heading2"/>
      </w:pPr>
      <w:r w:rsidRPr="00A36E0B">
        <w:t>Clause 3</w:t>
      </w:r>
      <w:r w:rsidRPr="00A36E0B">
        <w:tab/>
        <w:t>Legislation amended</w:t>
      </w:r>
    </w:p>
    <w:p w14:paraId="5FBB3AF6" w14:textId="3F7D5B86" w:rsidR="00F8094C" w:rsidRDefault="00E027D5" w:rsidP="00694EC7">
      <w:pPr>
        <w:pStyle w:val="Default"/>
        <w:spacing w:after="240"/>
        <w:rPr>
          <w:rFonts w:ascii="Calibri" w:hAnsi="Calibri" w:cs="Calibri"/>
          <w:color w:val="auto"/>
        </w:rPr>
      </w:pPr>
      <w:r>
        <w:rPr>
          <w:rFonts w:ascii="Calibri" w:hAnsi="Calibri" w:cs="Calibri"/>
          <w:color w:val="auto"/>
        </w:rPr>
        <w:t>This clause p</w:t>
      </w:r>
      <w:r w:rsidR="00A36E0B" w:rsidRPr="00A36E0B">
        <w:rPr>
          <w:rFonts w:ascii="Calibri" w:hAnsi="Calibri" w:cs="Calibri"/>
          <w:color w:val="auto"/>
        </w:rPr>
        <w:t xml:space="preserve">rovides that the Act </w:t>
      </w:r>
      <w:r w:rsidR="00AA5479">
        <w:rPr>
          <w:rFonts w:ascii="Calibri" w:hAnsi="Calibri" w:cs="Calibri"/>
          <w:color w:val="auto"/>
        </w:rPr>
        <w:t xml:space="preserve">being amended </w:t>
      </w:r>
      <w:r w:rsidR="00A36E0B" w:rsidRPr="00A36E0B">
        <w:rPr>
          <w:rFonts w:ascii="Calibri" w:hAnsi="Calibri" w:cs="Calibri"/>
          <w:color w:val="auto"/>
        </w:rPr>
        <w:t xml:space="preserve">is the </w:t>
      </w:r>
      <w:r w:rsidR="00A36E0B" w:rsidRPr="00A36E0B">
        <w:rPr>
          <w:rFonts w:ascii="Calibri" w:hAnsi="Calibri" w:cs="Calibri"/>
          <w:i/>
          <w:color w:val="auto"/>
        </w:rPr>
        <w:t>Energy Efficiency (</w:t>
      </w:r>
      <w:r w:rsidR="00AA5479">
        <w:rPr>
          <w:rFonts w:ascii="Calibri" w:hAnsi="Calibri" w:cs="Calibri"/>
          <w:i/>
          <w:color w:val="auto"/>
        </w:rPr>
        <w:t>Cost of Living) Improvement Act </w:t>
      </w:r>
      <w:r w:rsidR="00A36E0B" w:rsidRPr="00A36E0B">
        <w:rPr>
          <w:rFonts w:ascii="Calibri" w:hAnsi="Calibri" w:cs="Calibri"/>
          <w:i/>
          <w:color w:val="auto"/>
        </w:rPr>
        <w:t>2012</w:t>
      </w:r>
      <w:r w:rsidR="002A003B">
        <w:rPr>
          <w:rFonts w:ascii="Calibri" w:hAnsi="Calibri" w:cs="Calibri"/>
          <w:i/>
          <w:color w:val="auto"/>
        </w:rPr>
        <w:t>.</w:t>
      </w:r>
      <w:r w:rsidR="00A36E0B" w:rsidRPr="00A36E0B">
        <w:rPr>
          <w:rFonts w:ascii="Calibri" w:hAnsi="Calibri" w:cs="Calibri"/>
          <w:color w:val="auto"/>
        </w:rPr>
        <w:t xml:space="preserve"> </w:t>
      </w:r>
    </w:p>
    <w:p w14:paraId="7F74159C" w14:textId="69016B96" w:rsidR="00B60F6F" w:rsidRPr="00A36E0B" w:rsidRDefault="00B60F6F" w:rsidP="003350BB">
      <w:pPr>
        <w:pStyle w:val="Heading2"/>
      </w:pPr>
      <w:r w:rsidRPr="00A36E0B">
        <w:t xml:space="preserve">Clause </w:t>
      </w:r>
      <w:r>
        <w:t>4</w:t>
      </w:r>
      <w:r w:rsidRPr="00A36E0B">
        <w:tab/>
        <w:t xml:space="preserve">Legislation </w:t>
      </w:r>
      <w:r>
        <w:t>repealed</w:t>
      </w:r>
    </w:p>
    <w:p w14:paraId="472D08C2" w14:textId="16B5CAAC" w:rsidR="00B60F6F" w:rsidRPr="00A36E0B" w:rsidRDefault="00B60F6F" w:rsidP="00694EC7">
      <w:pPr>
        <w:pStyle w:val="Default"/>
        <w:spacing w:after="240"/>
        <w:rPr>
          <w:rFonts w:ascii="Calibri" w:hAnsi="Calibri" w:cs="Calibri"/>
          <w:color w:val="auto"/>
        </w:rPr>
      </w:pPr>
      <w:r>
        <w:rPr>
          <w:rFonts w:ascii="Calibri" w:hAnsi="Calibri" w:cs="Calibri"/>
          <w:color w:val="auto"/>
        </w:rPr>
        <w:t>This clause details legislation that is being repealed</w:t>
      </w:r>
      <w:r w:rsidRPr="00A36E0B">
        <w:rPr>
          <w:rFonts w:ascii="Calibri" w:hAnsi="Calibri" w:cs="Calibri"/>
          <w:color w:val="auto"/>
        </w:rPr>
        <w:t xml:space="preserve"> </w:t>
      </w:r>
      <w:r>
        <w:rPr>
          <w:rFonts w:ascii="Calibri" w:hAnsi="Calibri" w:cs="Calibri"/>
          <w:color w:val="auto"/>
        </w:rPr>
        <w:t>by this amendment.</w:t>
      </w:r>
    </w:p>
    <w:p w14:paraId="2CD1EB9A" w14:textId="676320DA" w:rsidR="00F8094C" w:rsidRPr="00FD086B" w:rsidRDefault="00F8094C" w:rsidP="003350BB">
      <w:pPr>
        <w:pStyle w:val="Heading2"/>
      </w:pPr>
      <w:r w:rsidRPr="00FD086B">
        <w:t>Clause</w:t>
      </w:r>
      <w:r w:rsidR="003350BB">
        <w:t xml:space="preserve"> </w:t>
      </w:r>
      <w:r w:rsidR="00B60F6F">
        <w:t>5</w:t>
      </w:r>
      <w:r w:rsidRPr="00FD086B">
        <w:tab/>
      </w:r>
      <w:r w:rsidR="00982863">
        <w:t xml:space="preserve">Section 6(b) </w:t>
      </w:r>
      <w:r w:rsidR="00982863">
        <w:tab/>
      </w:r>
      <w:r w:rsidR="00AA4D0C">
        <w:t>Objects</w:t>
      </w:r>
    </w:p>
    <w:p w14:paraId="0C482C92" w14:textId="0DCE8B84" w:rsidR="00AE6A8F" w:rsidRDefault="00AE6A8F" w:rsidP="00AE6A8F">
      <w:pPr>
        <w:pStyle w:val="Default"/>
        <w:spacing w:after="240"/>
        <w:rPr>
          <w:rFonts w:ascii="Calibri" w:hAnsi="Calibri"/>
          <w:color w:val="auto"/>
        </w:rPr>
      </w:pPr>
      <w:r>
        <w:rPr>
          <w:rFonts w:ascii="Calibri" w:hAnsi="Calibri"/>
          <w:color w:val="auto"/>
        </w:rPr>
        <w:t xml:space="preserve">This clause amends section </w:t>
      </w:r>
      <w:r w:rsidR="00AA4D0C">
        <w:rPr>
          <w:rFonts w:ascii="Calibri" w:hAnsi="Calibri"/>
          <w:color w:val="auto"/>
        </w:rPr>
        <w:t>6(b)</w:t>
      </w:r>
      <w:r>
        <w:rPr>
          <w:rFonts w:ascii="Calibri" w:hAnsi="Calibri"/>
          <w:color w:val="auto"/>
        </w:rPr>
        <w:t xml:space="preserve"> of the Act, </w:t>
      </w:r>
      <w:r w:rsidR="00AA4D0C">
        <w:rPr>
          <w:rFonts w:ascii="Calibri" w:hAnsi="Calibri"/>
          <w:color w:val="auto"/>
        </w:rPr>
        <w:t xml:space="preserve">removing the word ‘stationary’ from the objects of the Act and therefore allowing EEIS to offer transport activities. </w:t>
      </w:r>
    </w:p>
    <w:p w14:paraId="53BEFF8F" w14:textId="3FD8F9C8" w:rsidR="00B60F6F" w:rsidRPr="00FD086B" w:rsidRDefault="00B60F6F" w:rsidP="003350BB">
      <w:pPr>
        <w:pStyle w:val="Heading2"/>
        <w:rPr>
          <w:rFonts w:cs="Calibri"/>
        </w:rPr>
      </w:pPr>
      <w:r w:rsidRPr="00A36E0B">
        <w:t xml:space="preserve">Clause </w:t>
      </w:r>
      <w:r>
        <w:t>6</w:t>
      </w:r>
      <w:r w:rsidRPr="00A36E0B">
        <w:tab/>
      </w:r>
      <w:r>
        <w:t>Section 7(1)</w:t>
      </w:r>
      <w:r w:rsidR="00157E6C">
        <w:t xml:space="preserve"> </w:t>
      </w:r>
      <w:r>
        <w:t>Energy savings target</w:t>
      </w:r>
    </w:p>
    <w:p w14:paraId="1E0FE0D9" w14:textId="5F815B61" w:rsidR="00B60F6F" w:rsidRPr="00746468" w:rsidRDefault="00B60F6F" w:rsidP="00B60F6F">
      <w:pPr>
        <w:pStyle w:val="Default"/>
        <w:spacing w:after="240"/>
        <w:rPr>
          <w:rFonts w:ascii="Calibri" w:hAnsi="Calibri"/>
          <w:color w:val="auto"/>
        </w:rPr>
      </w:pPr>
      <w:r>
        <w:rPr>
          <w:rFonts w:ascii="Calibri" w:hAnsi="Calibri"/>
          <w:color w:val="auto"/>
        </w:rPr>
        <w:t xml:space="preserve">This clause amends section 7(1) of the Act, to achieve the replacement of a greenhouse gas emissions metric with an energy metric. </w:t>
      </w:r>
    </w:p>
    <w:p w14:paraId="47E2844D" w14:textId="050D9E18" w:rsidR="00F8094C" w:rsidRPr="00FD086B" w:rsidRDefault="00F8094C" w:rsidP="003350BB">
      <w:pPr>
        <w:pStyle w:val="Heading2"/>
        <w:rPr>
          <w:rFonts w:cs="Calibri"/>
        </w:rPr>
      </w:pPr>
      <w:r w:rsidRPr="00A36E0B">
        <w:lastRenderedPageBreak/>
        <w:t xml:space="preserve">Clause </w:t>
      </w:r>
      <w:r w:rsidR="00B60F6F">
        <w:t>7</w:t>
      </w:r>
      <w:r w:rsidRPr="00A36E0B">
        <w:tab/>
      </w:r>
      <w:r w:rsidR="00AA4D0C">
        <w:t>New section 7A</w:t>
      </w:r>
      <w:r w:rsidR="00157E6C">
        <w:t xml:space="preserve"> </w:t>
      </w:r>
      <w:r w:rsidR="00AA4D0C">
        <w:t>Priority households</w:t>
      </w:r>
    </w:p>
    <w:p w14:paraId="57FA5EB4" w14:textId="502B194F" w:rsidR="00AA5479" w:rsidRDefault="00E027D5" w:rsidP="00694EC7">
      <w:pPr>
        <w:pStyle w:val="Default"/>
        <w:spacing w:after="240"/>
        <w:rPr>
          <w:rFonts w:ascii="Calibri" w:hAnsi="Calibri"/>
          <w:color w:val="auto"/>
        </w:rPr>
      </w:pPr>
      <w:r>
        <w:rPr>
          <w:rFonts w:ascii="Calibri" w:hAnsi="Calibri"/>
          <w:color w:val="auto"/>
        </w:rPr>
        <w:t xml:space="preserve">This clause </w:t>
      </w:r>
      <w:r w:rsidR="00AA4D0C">
        <w:rPr>
          <w:rFonts w:ascii="Calibri" w:hAnsi="Calibri"/>
          <w:color w:val="auto"/>
        </w:rPr>
        <w:t xml:space="preserve">introduces a new section focused on the definition of priority households. The amendment simplifies the process of adding or removing categories of households as suggested by annual reviews of the priority household target.  </w:t>
      </w:r>
    </w:p>
    <w:p w14:paraId="3B100C56" w14:textId="77777777" w:rsidR="00AA4D0C" w:rsidRPr="00AA4D0C" w:rsidRDefault="00AA4D0C" w:rsidP="00AA4D0C">
      <w:pPr>
        <w:pStyle w:val="Default"/>
        <w:rPr>
          <w:rFonts w:ascii="Calibri" w:hAnsi="Calibri"/>
          <w:color w:val="auto"/>
        </w:rPr>
      </w:pPr>
      <w:r>
        <w:rPr>
          <w:rFonts w:ascii="Calibri" w:hAnsi="Calibri"/>
          <w:color w:val="auto"/>
        </w:rPr>
        <w:t>The amendment will remove several</w:t>
      </w:r>
      <w:r w:rsidRPr="00AA4D0C">
        <w:rPr>
          <w:rFonts w:ascii="Calibri" w:hAnsi="Calibri"/>
          <w:color w:val="auto"/>
        </w:rPr>
        <w:t xml:space="preserve"> </w:t>
      </w:r>
      <w:r>
        <w:rPr>
          <w:rFonts w:ascii="Calibri" w:hAnsi="Calibri"/>
          <w:color w:val="auto"/>
        </w:rPr>
        <w:t>incomplete</w:t>
      </w:r>
      <w:r w:rsidRPr="00AA4D0C">
        <w:rPr>
          <w:rFonts w:ascii="Calibri" w:hAnsi="Calibri"/>
          <w:color w:val="auto"/>
        </w:rPr>
        <w:t xml:space="preserve"> listings of priority household classes appearing across</w:t>
      </w:r>
      <w:r>
        <w:rPr>
          <w:rFonts w:ascii="Calibri" w:hAnsi="Calibri"/>
          <w:color w:val="auto"/>
        </w:rPr>
        <w:t xml:space="preserve"> the suite of EEIS legislation including and require the minister to determine priority households using a disallowable instrument. Current, incomplete listings of priority households are as follows:</w:t>
      </w:r>
    </w:p>
    <w:p w14:paraId="71B61D20" w14:textId="77777777" w:rsidR="00AA4D0C" w:rsidRPr="00AA4D0C" w:rsidRDefault="00AA4D0C" w:rsidP="00AA4D0C">
      <w:pPr>
        <w:pStyle w:val="Default"/>
        <w:numPr>
          <w:ilvl w:val="0"/>
          <w:numId w:val="22"/>
        </w:numPr>
        <w:rPr>
          <w:rFonts w:ascii="Calibri" w:hAnsi="Calibri"/>
          <w:color w:val="auto"/>
        </w:rPr>
      </w:pPr>
      <w:r w:rsidRPr="00AA4D0C">
        <w:rPr>
          <w:rFonts w:ascii="Calibri" w:hAnsi="Calibri"/>
          <w:color w:val="auto"/>
        </w:rPr>
        <w:t xml:space="preserve">three classes of priority households are defined in the dictionary, which also provides for additional classes to be prescribed by regulation. </w:t>
      </w:r>
    </w:p>
    <w:p w14:paraId="72884550" w14:textId="77777777" w:rsidR="00AA4D0C" w:rsidRPr="00AA4D0C" w:rsidRDefault="00AA4D0C" w:rsidP="00AA4D0C">
      <w:pPr>
        <w:pStyle w:val="Default"/>
        <w:numPr>
          <w:ilvl w:val="0"/>
          <w:numId w:val="22"/>
        </w:numPr>
        <w:rPr>
          <w:rFonts w:ascii="Calibri" w:hAnsi="Calibri"/>
          <w:color w:val="auto"/>
        </w:rPr>
      </w:pPr>
      <w:r>
        <w:rPr>
          <w:rFonts w:ascii="Calibri" w:hAnsi="Calibri"/>
          <w:color w:val="auto"/>
        </w:rPr>
        <w:t>t</w:t>
      </w:r>
      <w:r w:rsidRPr="00AA4D0C">
        <w:rPr>
          <w:rFonts w:ascii="Calibri" w:hAnsi="Calibri"/>
          <w:color w:val="auto"/>
        </w:rPr>
        <w:t xml:space="preserve">he </w:t>
      </w:r>
      <w:r w:rsidRPr="00AA4D0C">
        <w:rPr>
          <w:rFonts w:ascii="Calibri" w:hAnsi="Calibri"/>
          <w:i/>
          <w:color w:val="auto"/>
        </w:rPr>
        <w:t>Energy Efficiency (Cost of Living) Improvement Regulation 2017</w:t>
      </w:r>
      <w:r w:rsidRPr="00AA4D0C">
        <w:rPr>
          <w:rFonts w:ascii="Calibri" w:hAnsi="Calibri"/>
          <w:color w:val="auto"/>
        </w:rPr>
        <w:t xml:space="preserve"> was established to prescribe additional classes of priority households and introduced six new classes. It also defines key terms such as priority dwellings, referring organisation, registered community housing provider and registered provider of supports which are used to define the six new classes. </w:t>
      </w:r>
    </w:p>
    <w:p w14:paraId="77D2EFE5" w14:textId="5B351A7D" w:rsidR="00CA0F1C" w:rsidRDefault="00AA4D0C" w:rsidP="00CA0F1C">
      <w:pPr>
        <w:pStyle w:val="Default"/>
        <w:numPr>
          <w:ilvl w:val="0"/>
          <w:numId w:val="22"/>
        </w:numPr>
        <w:spacing w:after="240"/>
        <w:rPr>
          <w:rFonts w:ascii="Calibri" w:hAnsi="Calibri"/>
          <w:color w:val="auto"/>
        </w:rPr>
      </w:pPr>
      <w:r>
        <w:rPr>
          <w:rFonts w:ascii="Calibri" w:hAnsi="Calibri"/>
          <w:color w:val="auto"/>
        </w:rPr>
        <w:t>t</w:t>
      </w:r>
      <w:r w:rsidRPr="00AA4D0C">
        <w:rPr>
          <w:rFonts w:ascii="Calibri" w:hAnsi="Calibri"/>
          <w:color w:val="auto"/>
        </w:rPr>
        <w:t xml:space="preserve">he </w:t>
      </w:r>
      <w:r w:rsidRPr="00AA4D0C">
        <w:rPr>
          <w:rFonts w:ascii="Calibri" w:hAnsi="Calibri"/>
          <w:i/>
          <w:color w:val="auto"/>
        </w:rPr>
        <w:t>Energy Efficiency (Cost of Living) Improvement (Eligible Activities) Code of Practice</w:t>
      </w:r>
      <w:r w:rsidRPr="00AA4D0C">
        <w:rPr>
          <w:rFonts w:ascii="Calibri" w:hAnsi="Calibri"/>
          <w:color w:val="auto"/>
        </w:rPr>
        <w:t xml:space="preserve"> and the </w:t>
      </w:r>
      <w:r w:rsidRPr="00AA4D0C">
        <w:rPr>
          <w:rFonts w:ascii="Calibri" w:hAnsi="Calibri"/>
          <w:i/>
          <w:color w:val="auto"/>
        </w:rPr>
        <w:t>Energy Efficiency (Cost of Living) Improvement (Record Keeping and Reporting) Code of Practice</w:t>
      </w:r>
      <w:r w:rsidRPr="00AA4D0C">
        <w:rPr>
          <w:rFonts w:ascii="Calibri" w:hAnsi="Calibri"/>
          <w:color w:val="auto"/>
        </w:rPr>
        <w:t xml:space="preserve"> both list all current classes of priority households but do not include definitions for priority dwellings etc.</w:t>
      </w:r>
    </w:p>
    <w:p w14:paraId="1F460BD2" w14:textId="0116CF8F" w:rsidR="00CA0F1C" w:rsidRDefault="00CA0F1C" w:rsidP="0045331A">
      <w:pPr>
        <w:pStyle w:val="Default"/>
        <w:spacing w:after="240"/>
        <w:ind w:left="360"/>
        <w:rPr>
          <w:rFonts w:ascii="Calibri" w:hAnsi="Calibri"/>
          <w:color w:val="auto"/>
        </w:rPr>
      </w:pPr>
      <w:r>
        <w:rPr>
          <w:rFonts w:ascii="Calibri" w:hAnsi="Calibri"/>
          <w:color w:val="auto"/>
        </w:rPr>
        <w:t xml:space="preserve">Allowing the Minister to determine priority households by way of disallowable instrument will consolidate the definition, but still allow for a level of scrutiny through tabling in the Assembly. </w:t>
      </w:r>
    </w:p>
    <w:p w14:paraId="27C6268F" w14:textId="701B553F" w:rsidR="00AE259A" w:rsidRDefault="00AE259A" w:rsidP="003350BB">
      <w:pPr>
        <w:pStyle w:val="Heading2"/>
      </w:pPr>
      <w:r w:rsidRPr="00A36E0B">
        <w:t xml:space="preserve">Clause </w:t>
      </w:r>
      <w:r>
        <w:t>8</w:t>
      </w:r>
      <w:r>
        <w:tab/>
        <w:t>Section 8(1)</w:t>
      </w:r>
      <w:r>
        <w:tab/>
        <w:t xml:space="preserve">Priority household target </w:t>
      </w:r>
    </w:p>
    <w:p w14:paraId="6325449D" w14:textId="559DD7F8" w:rsidR="00AE259A" w:rsidRPr="00CA0F1C" w:rsidRDefault="00AE259A" w:rsidP="003350BB">
      <w:pPr>
        <w:pStyle w:val="Default"/>
        <w:spacing w:after="240"/>
        <w:rPr>
          <w:rFonts w:ascii="Calibri" w:hAnsi="Calibri"/>
          <w:color w:val="auto"/>
        </w:rPr>
      </w:pPr>
      <w:r>
        <w:rPr>
          <w:rFonts w:ascii="Calibri" w:hAnsi="Calibri"/>
          <w:color w:val="auto"/>
        </w:rPr>
        <w:t xml:space="preserve">This clause amends section 8(1) of the Act, to achieve the replacement of a greenhouse gas emissions metric with an energy metric. </w:t>
      </w:r>
    </w:p>
    <w:p w14:paraId="2CBC0C09" w14:textId="08F97624" w:rsidR="00F8094C" w:rsidRDefault="00F8094C" w:rsidP="003350BB">
      <w:pPr>
        <w:pStyle w:val="Heading2"/>
      </w:pPr>
      <w:r w:rsidRPr="00A36E0B">
        <w:t xml:space="preserve">Clause </w:t>
      </w:r>
      <w:r w:rsidR="00AE259A">
        <w:t>9</w:t>
      </w:r>
      <w:r w:rsidR="00586C61">
        <w:tab/>
      </w:r>
      <w:r w:rsidR="00AA4D0C">
        <w:t>Omit section 9</w:t>
      </w:r>
      <w:r w:rsidR="00A4733A">
        <w:t xml:space="preserve"> </w:t>
      </w:r>
      <w:r w:rsidR="00AA4D0C">
        <w:t xml:space="preserve">Emissions multiplier </w:t>
      </w:r>
    </w:p>
    <w:p w14:paraId="452689B7" w14:textId="744C9EEA" w:rsidR="00AE6A8F" w:rsidRDefault="00AE6A8F" w:rsidP="00746468">
      <w:pPr>
        <w:pStyle w:val="Default"/>
        <w:spacing w:after="240"/>
        <w:rPr>
          <w:rFonts w:ascii="Calibri" w:hAnsi="Calibri"/>
          <w:color w:val="auto"/>
        </w:rPr>
      </w:pPr>
      <w:r>
        <w:rPr>
          <w:rFonts w:ascii="Calibri" w:hAnsi="Calibri"/>
          <w:color w:val="auto"/>
        </w:rPr>
        <w:t xml:space="preserve">This </w:t>
      </w:r>
      <w:r w:rsidR="00746468">
        <w:rPr>
          <w:rFonts w:ascii="Calibri" w:hAnsi="Calibri"/>
          <w:color w:val="auto"/>
        </w:rPr>
        <w:t xml:space="preserve">is </w:t>
      </w:r>
      <w:r w:rsidR="00B60F6F">
        <w:rPr>
          <w:rFonts w:ascii="Calibri" w:hAnsi="Calibri"/>
          <w:color w:val="auto"/>
        </w:rPr>
        <w:t>one</w:t>
      </w:r>
      <w:r w:rsidR="00746468">
        <w:rPr>
          <w:rFonts w:ascii="Calibri" w:hAnsi="Calibri"/>
          <w:color w:val="auto"/>
        </w:rPr>
        <w:t xml:space="preserve"> of many changes that </w:t>
      </w:r>
      <w:r w:rsidR="0000546E">
        <w:rPr>
          <w:rFonts w:ascii="Calibri" w:hAnsi="Calibri"/>
          <w:color w:val="auto"/>
        </w:rPr>
        <w:t>achieve</w:t>
      </w:r>
      <w:r w:rsidR="00746468">
        <w:rPr>
          <w:rFonts w:ascii="Calibri" w:hAnsi="Calibri"/>
          <w:color w:val="auto"/>
        </w:rPr>
        <w:t xml:space="preserve"> the shift from a greenhouse gas emissions to an energy metric. The emissions multiplier will no longer be needed after the introduction of the energy metric and is removed through this amendment. </w:t>
      </w:r>
    </w:p>
    <w:p w14:paraId="1A8BFC80" w14:textId="3CF1FDEB" w:rsidR="00AE259A" w:rsidRPr="00EB78BE" w:rsidRDefault="00AE259A" w:rsidP="003350BB">
      <w:pPr>
        <w:pStyle w:val="Heading2"/>
      </w:pPr>
      <w:r w:rsidRPr="00EB78BE">
        <w:t>Clause</w:t>
      </w:r>
      <w:r>
        <w:t xml:space="preserve"> 10</w:t>
      </w:r>
      <w:r w:rsidRPr="00EB78BE">
        <w:tab/>
      </w:r>
      <w:r>
        <w:t>Section 10 (3) Eligible activities</w:t>
      </w:r>
    </w:p>
    <w:p w14:paraId="277B5099" w14:textId="77777777" w:rsidR="003350BB" w:rsidRPr="00157E6C" w:rsidRDefault="00AE259A" w:rsidP="00157E6C">
      <w:pPr>
        <w:rPr>
          <w:lang w:eastAsia="en-US"/>
        </w:rPr>
      </w:pPr>
      <w:r w:rsidRPr="00157E6C">
        <w:rPr>
          <w:lang w:eastAsia="en-US"/>
        </w:rPr>
        <w:t xml:space="preserve">This clause </w:t>
      </w:r>
      <w:r w:rsidR="004E420C" w:rsidRPr="00157E6C">
        <w:rPr>
          <w:lang w:eastAsia="en-US"/>
        </w:rPr>
        <w:t>amends section 10(3) by simplifying and aligning the development of eligible activities with all the objects of the Act.</w:t>
      </w:r>
    </w:p>
    <w:p w14:paraId="727E0027" w14:textId="74A36F4E" w:rsidR="00F8094C" w:rsidRPr="00EB78BE" w:rsidRDefault="00F8094C" w:rsidP="003350BB">
      <w:pPr>
        <w:pStyle w:val="Heading2"/>
      </w:pPr>
      <w:r w:rsidRPr="00EB78BE">
        <w:t>Clause</w:t>
      </w:r>
      <w:r w:rsidR="005E5751">
        <w:t xml:space="preserve"> </w:t>
      </w:r>
      <w:r w:rsidR="004E420C">
        <w:t>11</w:t>
      </w:r>
      <w:r w:rsidR="00EB78BE" w:rsidRPr="00EB78BE">
        <w:tab/>
      </w:r>
      <w:r w:rsidR="00746468">
        <w:t>Section 10 (6) Eligible activities</w:t>
      </w:r>
    </w:p>
    <w:p w14:paraId="66D8CDBA" w14:textId="77777777" w:rsidR="00AE6A8F" w:rsidRDefault="00AE6A8F" w:rsidP="00AE6A8F">
      <w:pPr>
        <w:pStyle w:val="Default"/>
        <w:spacing w:after="240"/>
        <w:rPr>
          <w:rFonts w:ascii="Calibri" w:hAnsi="Calibri"/>
          <w:color w:val="auto"/>
        </w:rPr>
      </w:pPr>
      <w:r>
        <w:rPr>
          <w:rFonts w:ascii="Calibri" w:hAnsi="Calibri"/>
          <w:color w:val="auto"/>
        </w:rPr>
        <w:t xml:space="preserve">This clause amends section </w:t>
      </w:r>
      <w:r w:rsidR="00746468">
        <w:rPr>
          <w:rFonts w:ascii="Calibri" w:hAnsi="Calibri"/>
          <w:color w:val="auto"/>
        </w:rPr>
        <w:t xml:space="preserve">10(6) of the Act, removing the arrangement for eligible activities to be determined by notifiable instrument and requiring that they be determined by disallowable instrument. </w:t>
      </w:r>
    </w:p>
    <w:p w14:paraId="27B111AE" w14:textId="77777777" w:rsidR="009B2A6D" w:rsidRDefault="009B2A6D">
      <w:pPr>
        <w:spacing w:before="0"/>
        <w:rPr>
          <w:rFonts w:cs="Arial"/>
          <w:szCs w:val="24"/>
          <w:lang w:eastAsia="en-US"/>
        </w:rPr>
      </w:pPr>
      <w:r>
        <w:br w:type="page"/>
      </w:r>
    </w:p>
    <w:p w14:paraId="265958A0" w14:textId="0B9329A3" w:rsidR="00AE6A8F" w:rsidRDefault="00AE6A8F" w:rsidP="00746468">
      <w:pPr>
        <w:pStyle w:val="Default"/>
        <w:spacing w:after="240"/>
        <w:rPr>
          <w:rFonts w:ascii="Calibri" w:hAnsi="Calibri"/>
          <w:color w:val="auto"/>
        </w:rPr>
      </w:pPr>
      <w:r>
        <w:rPr>
          <w:rFonts w:ascii="Calibri" w:hAnsi="Calibri"/>
          <w:color w:val="auto"/>
        </w:rPr>
        <w:lastRenderedPageBreak/>
        <w:t xml:space="preserve">The amendment </w:t>
      </w:r>
      <w:r w:rsidR="00746468">
        <w:rPr>
          <w:rFonts w:ascii="Calibri" w:hAnsi="Calibri"/>
          <w:color w:val="auto"/>
        </w:rPr>
        <w:t xml:space="preserve">is part of a two-part amendment aiming to streamline administrative arrangements for activities determinations and codes of practice. Eligible activities are central working parts of the EEIS and define the actions that can be taken by retailers to achieve the Act’s objectives. </w:t>
      </w:r>
      <w:r w:rsidR="00746468" w:rsidRPr="00746468">
        <w:rPr>
          <w:rFonts w:ascii="Calibri" w:hAnsi="Calibri"/>
          <w:color w:val="auto"/>
        </w:rPr>
        <w:t>These are currently established by notifiable instrument, but as policy decisions are involved in selecting activities, it would be appropriate for these instruments to be disallowable.</w:t>
      </w:r>
    </w:p>
    <w:p w14:paraId="4CA9B5DC" w14:textId="77777777" w:rsidR="00EB78BE" w:rsidRPr="00746468" w:rsidRDefault="00746468" w:rsidP="00694EC7">
      <w:pPr>
        <w:pStyle w:val="Default"/>
        <w:spacing w:after="240"/>
        <w:rPr>
          <w:rFonts w:ascii="Calibri" w:hAnsi="Calibri"/>
          <w:color w:val="auto"/>
        </w:rPr>
      </w:pPr>
      <w:r>
        <w:rPr>
          <w:rFonts w:ascii="Calibri" w:hAnsi="Calibri"/>
          <w:color w:val="auto"/>
        </w:rPr>
        <w:t xml:space="preserve">The increase in scrutiny associated with requiring that eligible activities be set by disallowable instrument is balanced by a later clause which requires that associated, but more technical codes of practice be established by notifiable instrument. </w:t>
      </w:r>
    </w:p>
    <w:p w14:paraId="25B29A8E" w14:textId="40CFB81A" w:rsidR="00F8094C" w:rsidRDefault="00F8094C" w:rsidP="003350BB">
      <w:pPr>
        <w:pStyle w:val="Heading2"/>
      </w:pPr>
      <w:r w:rsidRPr="00A36E0B">
        <w:t>Clause</w:t>
      </w:r>
      <w:r w:rsidR="00EB78BE">
        <w:t xml:space="preserve"> </w:t>
      </w:r>
      <w:r w:rsidR="004E420C">
        <w:t>12</w:t>
      </w:r>
      <w:r w:rsidR="00EB78BE">
        <w:tab/>
      </w:r>
      <w:r w:rsidR="00746468">
        <w:t>Section 11(1) Energy savings contribution</w:t>
      </w:r>
      <w:r w:rsidR="00EB78BE">
        <w:tab/>
      </w:r>
    </w:p>
    <w:p w14:paraId="4FE00710" w14:textId="120BD9C4" w:rsidR="00EB78BE" w:rsidRDefault="00AE6A8F" w:rsidP="00746468">
      <w:pPr>
        <w:pStyle w:val="Default"/>
        <w:spacing w:after="240"/>
        <w:rPr>
          <w:rFonts w:ascii="Calibri" w:hAnsi="Calibri"/>
          <w:color w:val="auto"/>
        </w:rPr>
      </w:pPr>
      <w:r>
        <w:rPr>
          <w:rFonts w:ascii="Calibri" w:hAnsi="Calibri"/>
          <w:color w:val="auto"/>
        </w:rPr>
        <w:t xml:space="preserve">This clause amends section </w:t>
      </w:r>
      <w:r w:rsidR="00746468">
        <w:rPr>
          <w:rFonts w:ascii="Calibri" w:hAnsi="Calibri"/>
          <w:color w:val="auto"/>
        </w:rPr>
        <w:t>11(1)</w:t>
      </w:r>
      <w:r>
        <w:rPr>
          <w:rFonts w:ascii="Calibri" w:hAnsi="Calibri"/>
          <w:color w:val="auto"/>
        </w:rPr>
        <w:t xml:space="preserve"> of the Act, </w:t>
      </w:r>
      <w:r w:rsidR="00746468">
        <w:rPr>
          <w:rFonts w:ascii="Calibri" w:hAnsi="Calibri"/>
          <w:color w:val="auto"/>
        </w:rPr>
        <w:t xml:space="preserve">to </w:t>
      </w:r>
      <w:r w:rsidR="0000546E">
        <w:rPr>
          <w:rFonts w:ascii="Calibri" w:hAnsi="Calibri"/>
          <w:color w:val="auto"/>
        </w:rPr>
        <w:t>achieve</w:t>
      </w:r>
      <w:r w:rsidR="00746468">
        <w:rPr>
          <w:rFonts w:ascii="Calibri" w:hAnsi="Calibri"/>
          <w:color w:val="auto"/>
        </w:rPr>
        <w:t xml:space="preserve"> the replacement of a greenhouse gas emissions metric with an energy metric. </w:t>
      </w:r>
    </w:p>
    <w:p w14:paraId="0C6C6F8E" w14:textId="5C01BF74" w:rsidR="004E420C" w:rsidRDefault="004E420C" w:rsidP="003350BB">
      <w:pPr>
        <w:pStyle w:val="Heading2"/>
      </w:pPr>
      <w:r w:rsidRPr="00A36E0B">
        <w:t>Clause</w:t>
      </w:r>
      <w:r>
        <w:t xml:space="preserve"> 13</w:t>
      </w:r>
      <w:r>
        <w:tab/>
        <w:t>Section 11(2) Energy savings contribution</w:t>
      </w:r>
      <w:r>
        <w:tab/>
      </w:r>
    </w:p>
    <w:p w14:paraId="6BADFA69" w14:textId="7D37737C" w:rsidR="004E420C" w:rsidRPr="00746468" w:rsidRDefault="004E420C" w:rsidP="00746468">
      <w:pPr>
        <w:pStyle w:val="Default"/>
        <w:spacing w:after="240"/>
        <w:rPr>
          <w:rFonts w:ascii="Calibri" w:hAnsi="Calibri"/>
          <w:color w:val="auto"/>
        </w:rPr>
      </w:pPr>
      <w:r>
        <w:rPr>
          <w:rFonts w:ascii="Calibri" w:hAnsi="Calibri"/>
          <w:color w:val="auto"/>
        </w:rPr>
        <w:t xml:space="preserve">This clause amends section 11(2) of the Act, to achieve the replacement of a greenhouse gas emissions metric with an energy metric. </w:t>
      </w:r>
    </w:p>
    <w:p w14:paraId="607BC39B" w14:textId="2E2FA396" w:rsidR="00F8094C" w:rsidRDefault="00F8094C" w:rsidP="003350BB">
      <w:pPr>
        <w:pStyle w:val="Heading2"/>
      </w:pPr>
      <w:r w:rsidRPr="00A36E0B">
        <w:t>Clause</w:t>
      </w:r>
      <w:r w:rsidR="00EB78BE">
        <w:t xml:space="preserve"> </w:t>
      </w:r>
      <w:r w:rsidR="004E420C">
        <w:t>14</w:t>
      </w:r>
      <w:r w:rsidR="00EB78BE">
        <w:tab/>
      </w:r>
      <w:r w:rsidR="00746468">
        <w:t>Section 12</w:t>
      </w:r>
      <w:r w:rsidR="00157E6C">
        <w:t xml:space="preserve"> </w:t>
      </w:r>
      <w:r w:rsidR="00746468">
        <w:t xml:space="preserve">Meaning of </w:t>
      </w:r>
      <w:r w:rsidR="00746468" w:rsidRPr="00746468">
        <w:rPr>
          <w:i/>
        </w:rPr>
        <w:t>compliance period</w:t>
      </w:r>
    </w:p>
    <w:p w14:paraId="070C0680" w14:textId="77777777" w:rsidR="00AE6A8F" w:rsidRPr="00694EC7" w:rsidRDefault="00AE6A8F" w:rsidP="00746468">
      <w:pPr>
        <w:pStyle w:val="Default"/>
        <w:spacing w:after="240"/>
        <w:rPr>
          <w:rFonts w:ascii="Calibri" w:hAnsi="Calibri"/>
          <w:color w:val="auto"/>
        </w:rPr>
      </w:pPr>
      <w:r>
        <w:rPr>
          <w:rFonts w:ascii="Calibri" w:hAnsi="Calibri"/>
          <w:color w:val="auto"/>
        </w:rPr>
        <w:t xml:space="preserve">This clause amends section </w:t>
      </w:r>
      <w:r w:rsidR="00746468">
        <w:rPr>
          <w:rFonts w:ascii="Calibri" w:hAnsi="Calibri"/>
          <w:color w:val="auto"/>
        </w:rPr>
        <w:t>12</w:t>
      </w:r>
      <w:r>
        <w:rPr>
          <w:rFonts w:ascii="Calibri" w:hAnsi="Calibri"/>
          <w:color w:val="auto"/>
        </w:rPr>
        <w:t xml:space="preserve"> of the Act, </w:t>
      </w:r>
      <w:r w:rsidR="00746468">
        <w:rPr>
          <w:rFonts w:ascii="Calibri" w:hAnsi="Calibri"/>
          <w:color w:val="auto"/>
        </w:rPr>
        <w:t xml:space="preserve">to achieve the extension until 31 December 2030. </w:t>
      </w:r>
    </w:p>
    <w:p w14:paraId="73621345" w14:textId="274F7FE1" w:rsidR="00F8094C" w:rsidRDefault="00F8094C" w:rsidP="003350BB">
      <w:pPr>
        <w:pStyle w:val="Heading2"/>
      </w:pPr>
      <w:r w:rsidRPr="00A36E0B">
        <w:t>Clause</w:t>
      </w:r>
      <w:r w:rsidR="00EB78BE">
        <w:t xml:space="preserve"> </w:t>
      </w:r>
      <w:r w:rsidR="004E420C">
        <w:t>15</w:t>
      </w:r>
      <w:r w:rsidR="00EB78BE">
        <w:tab/>
      </w:r>
      <w:r w:rsidR="00D050AD">
        <w:t>Section 13(2)(a)</w:t>
      </w:r>
      <w:r w:rsidR="00DF2DD8">
        <w:t xml:space="preserve"> Working out an energy savings obligation</w:t>
      </w:r>
    </w:p>
    <w:p w14:paraId="148A35CE" w14:textId="77777777" w:rsidR="00DF2DD8" w:rsidRPr="00746468" w:rsidRDefault="00DF2DD8" w:rsidP="00DF2DD8">
      <w:pPr>
        <w:pStyle w:val="Default"/>
        <w:spacing w:after="240"/>
        <w:rPr>
          <w:rFonts w:ascii="Calibri" w:hAnsi="Calibri"/>
          <w:color w:val="auto"/>
        </w:rPr>
      </w:pPr>
      <w:r>
        <w:rPr>
          <w:rFonts w:ascii="Calibri" w:hAnsi="Calibri"/>
          <w:color w:val="auto"/>
        </w:rPr>
        <w:t xml:space="preserve">This clause amends section 13(2)(a) of the Act, to </w:t>
      </w:r>
      <w:r w:rsidR="0000546E">
        <w:rPr>
          <w:rFonts w:ascii="Calibri" w:hAnsi="Calibri"/>
          <w:color w:val="auto"/>
        </w:rPr>
        <w:t>achieve</w:t>
      </w:r>
      <w:r>
        <w:rPr>
          <w:rFonts w:ascii="Calibri" w:hAnsi="Calibri"/>
          <w:color w:val="auto"/>
        </w:rPr>
        <w:t xml:space="preserve"> the replacement of a greenhouse gas emissions metric with an energy metric. </w:t>
      </w:r>
    </w:p>
    <w:p w14:paraId="153EDD81" w14:textId="4982504D" w:rsidR="00DF2DD8" w:rsidRDefault="00F8094C" w:rsidP="003350BB">
      <w:pPr>
        <w:pStyle w:val="Heading2"/>
      </w:pPr>
      <w:r w:rsidRPr="009C7E3F">
        <w:t>Clause</w:t>
      </w:r>
      <w:r w:rsidR="009C7E3F" w:rsidRPr="009C7E3F">
        <w:t xml:space="preserve"> </w:t>
      </w:r>
      <w:r w:rsidR="004E420C" w:rsidRPr="009C7E3F">
        <w:t>1</w:t>
      </w:r>
      <w:r w:rsidR="004E420C">
        <w:t>6</w:t>
      </w:r>
      <w:r w:rsidR="009C7E3F" w:rsidRPr="009C7E3F">
        <w:tab/>
      </w:r>
      <w:r w:rsidR="00DF2DD8">
        <w:t>Section 13(2)(b) Calculating an energy savings obligation</w:t>
      </w:r>
    </w:p>
    <w:p w14:paraId="27C46426" w14:textId="77777777" w:rsidR="00DF2DD8" w:rsidRPr="00746468" w:rsidRDefault="00DF2DD8" w:rsidP="00DF2DD8">
      <w:pPr>
        <w:pStyle w:val="Default"/>
        <w:spacing w:after="240"/>
        <w:rPr>
          <w:rFonts w:ascii="Calibri" w:hAnsi="Calibri"/>
          <w:color w:val="auto"/>
        </w:rPr>
      </w:pPr>
      <w:r>
        <w:rPr>
          <w:rFonts w:ascii="Calibri" w:hAnsi="Calibri"/>
          <w:color w:val="auto"/>
        </w:rPr>
        <w:t>This clause amends section 1</w:t>
      </w:r>
      <w:r w:rsidR="002A69A3">
        <w:rPr>
          <w:rFonts w:ascii="Calibri" w:hAnsi="Calibri"/>
          <w:color w:val="auto"/>
        </w:rPr>
        <w:t>3(2)(b</w:t>
      </w:r>
      <w:r>
        <w:rPr>
          <w:rFonts w:ascii="Calibri" w:hAnsi="Calibri"/>
          <w:color w:val="auto"/>
        </w:rPr>
        <w:t xml:space="preserve">) of the Act, to </w:t>
      </w:r>
      <w:r w:rsidR="0000546E">
        <w:rPr>
          <w:rFonts w:ascii="Calibri" w:hAnsi="Calibri"/>
          <w:color w:val="auto"/>
        </w:rPr>
        <w:t>achieve</w:t>
      </w:r>
      <w:r>
        <w:rPr>
          <w:rFonts w:ascii="Calibri" w:hAnsi="Calibri"/>
          <w:color w:val="auto"/>
        </w:rPr>
        <w:t xml:space="preserve"> the replacement of a greenhouse gas emissions metric with an energy metric. </w:t>
      </w:r>
    </w:p>
    <w:p w14:paraId="3442C7D1" w14:textId="53A058FA" w:rsidR="00DF2DD8" w:rsidRDefault="00F8094C" w:rsidP="003350BB">
      <w:pPr>
        <w:pStyle w:val="Heading2"/>
      </w:pPr>
      <w:r w:rsidRPr="00A36E0B">
        <w:t>Clause</w:t>
      </w:r>
      <w:r w:rsidR="009C7E3F">
        <w:t xml:space="preserve"> </w:t>
      </w:r>
      <w:r w:rsidR="004E420C">
        <w:t>17</w:t>
      </w:r>
      <w:r w:rsidR="009C7E3F">
        <w:tab/>
      </w:r>
      <w:r w:rsidR="00DF2DD8">
        <w:t xml:space="preserve">Section 13(2)(b) Definition of </w:t>
      </w:r>
      <w:r w:rsidR="00DF2DD8" w:rsidRPr="00DF2DD8">
        <w:rPr>
          <w:i/>
        </w:rPr>
        <w:t>emissions multiplier</w:t>
      </w:r>
    </w:p>
    <w:p w14:paraId="00F877BE" w14:textId="77777777" w:rsidR="00DF2DD8" w:rsidRPr="00746468" w:rsidRDefault="00DF2DD8" w:rsidP="00DF2DD8">
      <w:pPr>
        <w:pStyle w:val="Default"/>
        <w:spacing w:after="240"/>
        <w:rPr>
          <w:rFonts w:ascii="Calibri" w:hAnsi="Calibri"/>
          <w:color w:val="auto"/>
        </w:rPr>
      </w:pPr>
      <w:r>
        <w:rPr>
          <w:rFonts w:ascii="Calibri" w:hAnsi="Calibri"/>
          <w:color w:val="auto"/>
        </w:rPr>
        <w:t xml:space="preserve">This clause amends section 13(2)(a) of the Act, to </w:t>
      </w:r>
      <w:r w:rsidR="0000546E">
        <w:rPr>
          <w:rFonts w:ascii="Calibri" w:hAnsi="Calibri"/>
          <w:color w:val="auto"/>
        </w:rPr>
        <w:t>achieve</w:t>
      </w:r>
      <w:r>
        <w:rPr>
          <w:rFonts w:ascii="Calibri" w:hAnsi="Calibri"/>
          <w:color w:val="auto"/>
        </w:rPr>
        <w:t xml:space="preserve"> the replacement of a greenhouse gas emissions metric with an energy metric. This change means that the factor for an emissions multiplier is no longer required in working out an energy savings obligation.</w:t>
      </w:r>
    </w:p>
    <w:p w14:paraId="57166D31" w14:textId="50BDC8C0" w:rsidR="00AE6A8F" w:rsidRDefault="00F8094C" w:rsidP="003350BB">
      <w:pPr>
        <w:pStyle w:val="Heading2"/>
      </w:pPr>
      <w:r w:rsidRPr="007A3F46">
        <w:t>Clause</w:t>
      </w:r>
      <w:r w:rsidR="007A3F46" w:rsidRPr="007A3F46">
        <w:t xml:space="preserve"> </w:t>
      </w:r>
      <w:r w:rsidR="004E420C" w:rsidRPr="007A3F46">
        <w:t>1</w:t>
      </w:r>
      <w:r w:rsidR="004E420C">
        <w:t>8</w:t>
      </w:r>
      <w:r w:rsidR="007A3F46" w:rsidRPr="007A3F46">
        <w:tab/>
      </w:r>
      <w:r w:rsidR="006A341B">
        <w:t>Section 15(2)</w:t>
      </w:r>
      <w:r w:rsidR="004E420C">
        <w:t>(a)</w:t>
      </w:r>
      <w:r w:rsidR="006A341B">
        <w:t xml:space="preserve"> Working out priority household obligation</w:t>
      </w:r>
    </w:p>
    <w:p w14:paraId="4BFFFB9F" w14:textId="79A01089" w:rsidR="003350BB" w:rsidRPr="003350BB" w:rsidRDefault="00FF0D3D" w:rsidP="003350BB">
      <w:pPr>
        <w:pStyle w:val="Default"/>
        <w:spacing w:after="240"/>
        <w:rPr>
          <w:b/>
          <w:bCs/>
          <w:iCs/>
        </w:rPr>
      </w:pPr>
      <w:r w:rsidRPr="003350BB">
        <w:rPr>
          <w:rFonts w:ascii="Calibri" w:hAnsi="Calibri"/>
          <w:color w:val="auto"/>
        </w:rPr>
        <w:t xml:space="preserve">This clause amends section </w:t>
      </w:r>
      <w:r w:rsidR="004E420C" w:rsidRPr="003350BB">
        <w:rPr>
          <w:rFonts w:ascii="Calibri" w:hAnsi="Calibri"/>
          <w:color w:val="auto"/>
        </w:rPr>
        <w:t>15</w:t>
      </w:r>
      <w:r w:rsidRPr="003350BB">
        <w:rPr>
          <w:rFonts w:ascii="Calibri" w:hAnsi="Calibri"/>
          <w:color w:val="auto"/>
        </w:rPr>
        <w:t xml:space="preserve">(2)(a) of the Act, to </w:t>
      </w:r>
      <w:r w:rsidR="0000546E" w:rsidRPr="003350BB">
        <w:rPr>
          <w:rFonts w:ascii="Calibri" w:hAnsi="Calibri"/>
          <w:color w:val="auto"/>
        </w:rPr>
        <w:t>achieve</w:t>
      </w:r>
      <w:r w:rsidRPr="003350BB">
        <w:rPr>
          <w:rFonts w:ascii="Calibri" w:hAnsi="Calibri"/>
          <w:color w:val="auto"/>
        </w:rPr>
        <w:t xml:space="preserve"> the replacement of a greenhouse gas</w:t>
      </w:r>
      <w:r w:rsidR="00D3306D">
        <w:rPr>
          <w:rFonts w:ascii="Calibri" w:hAnsi="Calibri"/>
          <w:color w:val="auto"/>
        </w:rPr>
        <w:t xml:space="preserve"> </w:t>
      </w:r>
      <w:r w:rsidRPr="003350BB">
        <w:rPr>
          <w:rFonts w:ascii="Calibri" w:hAnsi="Calibri"/>
          <w:color w:val="auto"/>
        </w:rPr>
        <w:t>emissions metric with an energy metric.</w:t>
      </w:r>
    </w:p>
    <w:p w14:paraId="062CC871" w14:textId="60F289E1" w:rsidR="003350BB" w:rsidRDefault="003350BB" w:rsidP="003350BB">
      <w:pPr>
        <w:pStyle w:val="Heading2"/>
      </w:pPr>
      <w:r w:rsidRPr="00A36E0B">
        <w:t>Clause</w:t>
      </w:r>
      <w:r>
        <w:t xml:space="preserve"> 19</w:t>
      </w:r>
      <w:r>
        <w:tab/>
        <w:t>Section 18</w:t>
      </w:r>
      <w:r w:rsidR="00157E6C">
        <w:t xml:space="preserve"> </w:t>
      </w:r>
      <w:r>
        <w:t>Approval of acquired energy savings factor</w:t>
      </w:r>
    </w:p>
    <w:p w14:paraId="4DE4D0E4" w14:textId="7A467FC8" w:rsidR="003350BB" w:rsidRPr="00746468" w:rsidRDefault="003350BB" w:rsidP="00FF0D3D">
      <w:pPr>
        <w:pStyle w:val="Default"/>
        <w:spacing w:after="240"/>
        <w:rPr>
          <w:rFonts w:ascii="Calibri" w:hAnsi="Calibri"/>
          <w:color w:val="auto"/>
        </w:rPr>
      </w:pPr>
      <w:r>
        <w:rPr>
          <w:rFonts w:ascii="Calibri" w:hAnsi="Calibri"/>
          <w:color w:val="auto"/>
        </w:rPr>
        <w:t xml:space="preserve">This clause amends section 18 of the Act, to achieve the replacement of a greenhouse gas emissions metric with an energy metric. </w:t>
      </w:r>
    </w:p>
    <w:p w14:paraId="75D23A33" w14:textId="303BD6D7" w:rsidR="00F8094C" w:rsidRDefault="00F8094C" w:rsidP="003350BB">
      <w:pPr>
        <w:pStyle w:val="Heading2"/>
      </w:pPr>
      <w:r w:rsidRPr="00A36E0B">
        <w:lastRenderedPageBreak/>
        <w:t>Clause</w:t>
      </w:r>
      <w:r w:rsidR="008A003B">
        <w:t xml:space="preserve"> </w:t>
      </w:r>
      <w:r w:rsidR="003350BB">
        <w:t>20</w:t>
      </w:r>
      <w:r w:rsidR="008A003B">
        <w:tab/>
      </w:r>
      <w:r w:rsidR="003350BB">
        <w:tab/>
        <w:t xml:space="preserve">Section </w:t>
      </w:r>
      <w:r w:rsidR="00B666BE">
        <w:t>20(2) Compliance with energy savings obligation – retailer energy savings result</w:t>
      </w:r>
    </w:p>
    <w:p w14:paraId="1D0F9F21" w14:textId="77777777" w:rsidR="00B666BE" w:rsidRPr="00746468" w:rsidRDefault="00B666BE" w:rsidP="00B666BE">
      <w:pPr>
        <w:pStyle w:val="Default"/>
        <w:spacing w:after="240"/>
        <w:rPr>
          <w:rFonts w:ascii="Calibri" w:hAnsi="Calibri"/>
          <w:color w:val="auto"/>
        </w:rPr>
      </w:pPr>
      <w:r>
        <w:rPr>
          <w:rFonts w:ascii="Calibri" w:hAnsi="Calibri"/>
          <w:color w:val="auto"/>
        </w:rPr>
        <w:t xml:space="preserve">This clause amends section 20(2) of the Act, to </w:t>
      </w:r>
      <w:r w:rsidR="0000546E">
        <w:rPr>
          <w:rFonts w:ascii="Calibri" w:hAnsi="Calibri"/>
          <w:color w:val="auto"/>
        </w:rPr>
        <w:t>achieve</w:t>
      </w:r>
      <w:r>
        <w:rPr>
          <w:rFonts w:ascii="Calibri" w:hAnsi="Calibri"/>
          <w:color w:val="auto"/>
        </w:rPr>
        <w:t xml:space="preserve"> the replacement of a greenhouse gas emissions metric with an energy metric. </w:t>
      </w:r>
    </w:p>
    <w:p w14:paraId="7B587E57" w14:textId="6A4D445D" w:rsidR="00F8094C" w:rsidRDefault="00F8094C" w:rsidP="003350BB">
      <w:pPr>
        <w:pStyle w:val="Heading2"/>
      </w:pPr>
      <w:r w:rsidRPr="00A36E0B">
        <w:t>Clause</w:t>
      </w:r>
      <w:r w:rsidR="008A003B">
        <w:t xml:space="preserve"> </w:t>
      </w:r>
      <w:r w:rsidR="003350BB">
        <w:t>21</w:t>
      </w:r>
      <w:r w:rsidR="008A003B">
        <w:tab/>
      </w:r>
      <w:r w:rsidR="003350BB">
        <w:tab/>
        <w:t xml:space="preserve">Section </w:t>
      </w:r>
      <w:r w:rsidR="00B666BE">
        <w:t>20(9)(b)</w:t>
      </w:r>
      <w:r w:rsidR="00157E6C">
        <w:t xml:space="preserve"> </w:t>
      </w:r>
      <w:r w:rsidR="00B666BE">
        <w:t>Compliance with energy savings obligation – retailer energy savings result</w:t>
      </w:r>
    </w:p>
    <w:p w14:paraId="0CF3C925" w14:textId="77777777" w:rsidR="00B666BE" w:rsidRPr="00694EC7" w:rsidRDefault="00B666BE" w:rsidP="00B666BE">
      <w:pPr>
        <w:pStyle w:val="Default"/>
        <w:spacing w:after="240"/>
        <w:rPr>
          <w:rFonts w:ascii="Calibri" w:hAnsi="Calibri"/>
          <w:color w:val="auto"/>
        </w:rPr>
      </w:pPr>
      <w:r>
        <w:rPr>
          <w:rFonts w:ascii="Calibri" w:hAnsi="Calibri"/>
          <w:color w:val="auto"/>
        </w:rPr>
        <w:t xml:space="preserve">This clause amends section 20(9)(b) of the Act, to achieve the extension until 31 December 2030. In particular, it allows for a 10% of a shortfall in energy savings result to be carried over to the next compliance period. </w:t>
      </w:r>
    </w:p>
    <w:p w14:paraId="7F783587" w14:textId="2CB97E9C" w:rsidR="00B666BE" w:rsidRDefault="00F8094C" w:rsidP="003350BB">
      <w:pPr>
        <w:pStyle w:val="Heading2"/>
      </w:pPr>
      <w:r w:rsidRPr="00A36E0B">
        <w:t>Clause</w:t>
      </w:r>
      <w:r w:rsidR="002B4090">
        <w:t xml:space="preserve"> </w:t>
      </w:r>
      <w:r w:rsidR="003350BB">
        <w:t xml:space="preserve">22 </w:t>
      </w:r>
      <w:r w:rsidR="00B666BE">
        <w:tab/>
      </w:r>
      <w:r w:rsidR="003350BB">
        <w:t xml:space="preserve">Section </w:t>
      </w:r>
      <w:r w:rsidR="00B666BE">
        <w:t>20(A)2</w:t>
      </w:r>
      <w:r w:rsidR="00157E6C">
        <w:t xml:space="preserve"> </w:t>
      </w:r>
      <w:r w:rsidR="00B666BE">
        <w:t>Co</w:t>
      </w:r>
      <w:r w:rsidR="00B666BE" w:rsidRPr="00B666BE">
        <w:t>mpliance with</w:t>
      </w:r>
      <w:r w:rsidR="00B666BE">
        <w:t xml:space="preserve"> </w:t>
      </w:r>
      <w:r w:rsidR="00B666BE" w:rsidRPr="00B666BE">
        <w:t>energy savings obligations—tier 2 retailer energy savings result and contribution</w:t>
      </w:r>
    </w:p>
    <w:p w14:paraId="41AA78E0" w14:textId="77777777" w:rsidR="00B666BE" w:rsidRPr="00746468" w:rsidRDefault="00B666BE" w:rsidP="00B666BE">
      <w:pPr>
        <w:pStyle w:val="Default"/>
        <w:spacing w:after="240"/>
        <w:rPr>
          <w:rFonts w:ascii="Calibri" w:hAnsi="Calibri"/>
          <w:color w:val="auto"/>
        </w:rPr>
      </w:pPr>
      <w:r>
        <w:rPr>
          <w:rFonts w:ascii="Calibri" w:hAnsi="Calibri"/>
          <w:color w:val="auto"/>
        </w:rPr>
        <w:t xml:space="preserve">This clause amends section 20(A)2 of the Act, to </w:t>
      </w:r>
      <w:r w:rsidR="0000546E">
        <w:rPr>
          <w:rFonts w:ascii="Calibri" w:hAnsi="Calibri"/>
          <w:color w:val="auto"/>
        </w:rPr>
        <w:t>achieve</w:t>
      </w:r>
      <w:r>
        <w:rPr>
          <w:rFonts w:ascii="Calibri" w:hAnsi="Calibri"/>
          <w:color w:val="auto"/>
        </w:rPr>
        <w:t xml:space="preserve"> the replacement of a greenhouse gas emissions metric with an energy metric. </w:t>
      </w:r>
    </w:p>
    <w:p w14:paraId="43EBF487" w14:textId="6861A0D7" w:rsidR="00B666BE" w:rsidRDefault="00B666BE" w:rsidP="003350BB">
      <w:pPr>
        <w:pStyle w:val="Heading2"/>
      </w:pPr>
      <w:r w:rsidRPr="00A36E0B">
        <w:t>Clause</w:t>
      </w:r>
      <w:r>
        <w:t xml:space="preserve"> 2</w:t>
      </w:r>
      <w:r w:rsidR="003350BB">
        <w:t>3</w:t>
      </w:r>
      <w:r>
        <w:t xml:space="preserve"> </w:t>
      </w:r>
      <w:r>
        <w:tab/>
      </w:r>
      <w:r w:rsidR="002C6F47">
        <w:t xml:space="preserve">Section </w:t>
      </w:r>
      <w:r>
        <w:t>20(B)(2)(b)</w:t>
      </w:r>
      <w:r w:rsidR="00157E6C">
        <w:t xml:space="preserve"> </w:t>
      </w:r>
      <w:r>
        <w:t>Compliance with e</w:t>
      </w:r>
      <w:r w:rsidRPr="00B666BE">
        <w:t>nergy savings obligations—tier 2 retailer contribution for shortfall</w:t>
      </w:r>
    </w:p>
    <w:p w14:paraId="4E10C000" w14:textId="1FAC6CEA" w:rsidR="00B666BE" w:rsidRPr="00694EC7" w:rsidRDefault="00B666BE" w:rsidP="00B666BE">
      <w:pPr>
        <w:pStyle w:val="Default"/>
        <w:spacing w:after="240"/>
        <w:rPr>
          <w:rFonts w:ascii="Calibri" w:hAnsi="Calibri"/>
          <w:color w:val="auto"/>
        </w:rPr>
      </w:pPr>
      <w:r>
        <w:rPr>
          <w:rFonts w:ascii="Calibri" w:hAnsi="Calibri"/>
          <w:color w:val="auto"/>
        </w:rPr>
        <w:t>This clause amends section 20(B)(2)(b) of the Act, to achieve the extension until 31 December 2030. In particular, it allows for a 10% of a shortfall in energy savings result to be carried over to the next compliance period</w:t>
      </w:r>
      <w:r w:rsidR="0086460F">
        <w:rPr>
          <w:rFonts w:ascii="Calibri" w:hAnsi="Calibri"/>
          <w:color w:val="auto"/>
        </w:rPr>
        <w:t xml:space="preserve"> between 01 January 2013 to 31 December 2029 and nil of a shortfall in the compliance period 1 January 2029 to 31 December 2030</w:t>
      </w:r>
      <w:r>
        <w:rPr>
          <w:rFonts w:ascii="Calibri" w:hAnsi="Calibri"/>
          <w:color w:val="auto"/>
        </w:rPr>
        <w:t xml:space="preserve">. </w:t>
      </w:r>
    </w:p>
    <w:p w14:paraId="73A29B7C" w14:textId="429C18E7" w:rsidR="00B666BE" w:rsidRDefault="00B666BE" w:rsidP="003350BB">
      <w:pPr>
        <w:pStyle w:val="Heading2"/>
      </w:pPr>
      <w:r w:rsidRPr="00A36E0B">
        <w:t>Clause</w:t>
      </w:r>
      <w:r>
        <w:t xml:space="preserve"> 2</w:t>
      </w:r>
      <w:r w:rsidR="003350BB">
        <w:t>4</w:t>
      </w:r>
      <w:r>
        <w:t xml:space="preserve"> </w:t>
      </w:r>
      <w:r>
        <w:tab/>
      </w:r>
      <w:r w:rsidR="002C6F47">
        <w:t xml:space="preserve">Section </w:t>
      </w:r>
      <w:r w:rsidR="000A3D73">
        <w:t>21(1)</w:t>
      </w:r>
      <w:r w:rsidR="00157E6C">
        <w:t xml:space="preserve"> </w:t>
      </w:r>
      <w:r w:rsidR="000A3D73" w:rsidRPr="000A3D73">
        <w:t>Compliance with priority household obligations—retailer priority household result</w:t>
      </w:r>
      <w:r>
        <w:tab/>
      </w:r>
    </w:p>
    <w:p w14:paraId="4033DBEF" w14:textId="77777777" w:rsidR="00B666BE" w:rsidRPr="00746468" w:rsidRDefault="00B666BE" w:rsidP="00B666BE">
      <w:pPr>
        <w:pStyle w:val="Default"/>
        <w:spacing w:after="240"/>
        <w:rPr>
          <w:rFonts w:ascii="Calibri" w:hAnsi="Calibri"/>
          <w:color w:val="auto"/>
        </w:rPr>
      </w:pPr>
      <w:r>
        <w:rPr>
          <w:rFonts w:ascii="Calibri" w:hAnsi="Calibri"/>
          <w:color w:val="auto"/>
        </w:rPr>
        <w:t xml:space="preserve">This clause amends section </w:t>
      </w:r>
      <w:r w:rsidR="000A3D73">
        <w:rPr>
          <w:rFonts w:ascii="Calibri" w:hAnsi="Calibri"/>
          <w:color w:val="auto"/>
        </w:rPr>
        <w:t>21(1)</w:t>
      </w:r>
      <w:r>
        <w:rPr>
          <w:rFonts w:ascii="Calibri" w:hAnsi="Calibri"/>
          <w:color w:val="auto"/>
        </w:rPr>
        <w:t xml:space="preserve"> of the Act, to </w:t>
      </w:r>
      <w:r w:rsidR="0000546E">
        <w:rPr>
          <w:rFonts w:ascii="Calibri" w:hAnsi="Calibri"/>
          <w:color w:val="auto"/>
        </w:rPr>
        <w:t>achieve</w:t>
      </w:r>
      <w:r>
        <w:rPr>
          <w:rFonts w:ascii="Calibri" w:hAnsi="Calibri"/>
          <w:color w:val="auto"/>
        </w:rPr>
        <w:t xml:space="preserve"> the replacement of a greenhouse gas emissions metric with an energy metric. </w:t>
      </w:r>
    </w:p>
    <w:p w14:paraId="20892B47" w14:textId="7974311A" w:rsidR="00B666BE" w:rsidRDefault="00B666BE" w:rsidP="003350BB">
      <w:pPr>
        <w:pStyle w:val="Heading2"/>
      </w:pPr>
      <w:r w:rsidRPr="00A36E0B">
        <w:t>Clause</w:t>
      </w:r>
      <w:r>
        <w:t xml:space="preserve"> 2</w:t>
      </w:r>
      <w:r w:rsidR="003350BB">
        <w:t>5</w:t>
      </w:r>
      <w:r>
        <w:t xml:space="preserve"> </w:t>
      </w:r>
      <w:r>
        <w:tab/>
      </w:r>
      <w:r w:rsidR="002C6F47">
        <w:t xml:space="preserve">Section </w:t>
      </w:r>
      <w:r w:rsidR="000A3D73">
        <w:t xml:space="preserve">21(8)(b) </w:t>
      </w:r>
      <w:r w:rsidR="000A3D73" w:rsidRPr="000A3D73">
        <w:t>Compliance with priority household obligations—retailer priority household result</w:t>
      </w:r>
      <w:r w:rsidR="000A3D73">
        <w:tab/>
      </w:r>
    </w:p>
    <w:p w14:paraId="494E1943" w14:textId="77777777" w:rsidR="005B45E4" w:rsidRPr="00694EC7" w:rsidRDefault="005B45E4" w:rsidP="005B45E4">
      <w:pPr>
        <w:pStyle w:val="Default"/>
        <w:spacing w:after="240"/>
        <w:rPr>
          <w:rFonts w:ascii="Calibri" w:hAnsi="Calibri"/>
          <w:color w:val="auto"/>
        </w:rPr>
      </w:pPr>
      <w:r>
        <w:rPr>
          <w:rFonts w:ascii="Calibri" w:hAnsi="Calibri"/>
          <w:color w:val="auto"/>
        </w:rPr>
        <w:t xml:space="preserve">This clause amends section 21(8)(b) of the Act, to achieve the extension until 31 December 2030. In particular, it allows for a 10% carry forward in the priority household energy savings result to the next compliance period. </w:t>
      </w:r>
    </w:p>
    <w:p w14:paraId="542BEA58" w14:textId="798CB4D1" w:rsidR="00B666BE" w:rsidRDefault="00B666BE" w:rsidP="003350BB">
      <w:pPr>
        <w:pStyle w:val="Heading2"/>
      </w:pPr>
      <w:r w:rsidRPr="00A36E0B">
        <w:t>Clause</w:t>
      </w:r>
      <w:r>
        <w:t xml:space="preserve"> 2</w:t>
      </w:r>
      <w:r w:rsidR="003350BB">
        <w:t>6</w:t>
      </w:r>
      <w:r>
        <w:t xml:space="preserve"> </w:t>
      </w:r>
      <w:r>
        <w:tab/>
      </w:r>
      <w:r w:rsidR="002C6F47">
        <w:t xml:space="preserve">Section </w:t>
      </w:r>
      <w:r w:rsidR="005B45E4">
        <w:t>22(3)</w:t>
      </w:r>
      <w:r w:rsidR="000A3D73">
        <w:t xml:space="preserve"> </w:t>
      </w:r>
      <w:r w:rsidR="005B45E4">
        <w:t>Penalties for noncompliance</w:t>
      </w:r>
    </w:p>
    <w:p w14:paraId="33CA04FE" w14:textId="77777777" w:rsidR="005B45E4" w:rsidRPr="005B45E4" w:rsidRDefault="005B45E4" w:rsidP="005B45E4">
      <w:pPr>
        <w:pStyle w:val="Default"/>
        <w:spacing w:after="240"/>
        <w:rPr>
          <w:rFonts w:ascii="Calibri" w:hAnsi="Calibri"/>
          <w:color w:val="auto"/>
        </w:rPr>
      </w:pPr>
      <w:r>
        <w:rPr>
          <w:rFonts w:ascii="Calibri" w:hAnsi="Calibri"/>
          <w:color w:val="auto"/>
        </w:rPr>
        <w:t xml:space="preserve">This clause amends section 22(3) of the Act, to </w:t>
      </w:r>
      <w:r w:rsidR="0000546E">
        <w:rPr>
          <w:rFonts w:ascii="Calibri" w:hAnsi="Calibri"/>
          <w:color w:val="auto"/>
        </w:rPr>
        <w:t>achieve</w:t>
      </w:r>
      <w:r>
        <w:rPr>
          <w:rFonts w:ascii="Calibri" w:hAnsi="Calibri"/>
          <w:color w:val="auto"/>
        </w:rPr>
        <w:t xml:space="preserve"> the replacement of a greenhouse gas emissions metric with an energy metric. </w:t>
      </w:r>
    </w:p>
    <w:p w14:paraId="53158E62" w14:textId="41EB324A" w:rsidR="00B666BE" w:rsidRDefault="00B666BE" w:rsidP="003350BB">
      <w:pPr>
        <w:pStyle w:val="Heading2"/>
      </w:pPr>
      <w:r w:rsidRPr="00A36E0B">
        <w:t>Clause</w:t>
      </w:r>
      <w:r>
        <w:t xml:space="preserve"> 2</w:t>
      </w:r>
      <w:r w:rsidR="002C6F47">
        <w:t>7</w:t>
      </w:r>
      <w:r>
        <w:t xml:space="preserve"> </w:t>
      </w:r>
      <w:r>
        <w:tab/>
      </w:r>
      <w:r w:rsidR="002C6F47">
        <w:t xml:space="preserve">Section </w:t>
      </w:r>
      <w:r w:rsidR="00240FE1">
        <w:t>25(2)</w:t>
      </w:r>
      <w:r>
        <w:tab/>
      </w:r>
    </w:p>
    <w:p w14:paraId="7D042A01" w14:textId="77777777" w:rsidR="00240FE1" w:rsidRDefault="00240FE1" w:rsidP="00240FE1">
      <w:pPr>
        <w:pStyle w:val="Default"/>
        <w:spacing w:after="240"/>
        <w:rPr>
          <w:rFonts w:ascii="Calibri" w:hAnsi="Calibri"/>
          <w:color w:val="auto"/>
        </w:rPr>
      </w:pPr>
      <w:r>
        <w:rPr>
          <w:rFonts w:ascii="Calibri" w:hAnsi="Calibri"/>
          <w:color w:val="auto"/>
        </w:rPr>
        <w:t xml:space="preserve">This clause amends section 25(2)) of the Act, removing the arrangement for codes of practice to be determined by disallowable instrument and requiring that they be determined by notifiable instrument. </w:t>
      </w:r>
    </w:p>
    <w:p w14:paraId="23CC517D" w14:textId="77777777" w:rsidR="00240FE1" w:rsidRPr="00746468" w:rsidRDefault="00240FE1" w:rsidP="00240FE1">
      <w:pPr>
        <w:pStyle w:val="Default"/>
        <w:spacing w:after="240"/>
        <w:rPr>
          <w:rFonts w:ascii="Calibri" w:hAnsi="Calibri"/>
          <w:color w:val="auto"/>
        </w:rPr>
      </w:pPr>
      <w:r>
        <w:rPr>
          <w:rFonts w:ascii="Calibri" w:hAnsi="Calibri"/>
          <w:color w:val="auto"/>
        </w:rPr>
        <w:lastRenderedPageBreak/>
        <w:t xml:space="preserve">The amendment is part of a two-part amendment aiming to streamline administrative arrangements for activities determinations and codes of practice. The determination of eligible activities will now be achieved by disallowable instrument, while codes of practice will be established by notifiable instrument. This change is justified since policy positions, which demand more scrutiny are best achieved by disallowable instrument, while codes of practice are more technical codes of practice and are best established by notifiable instrument. </w:t>
      </w:r>
    </w:p>
    <w:p w14:paraId="705EFC41" w14:textId="2B055E1E" w:rsidR="00B666BE" w:rsidRDefault="00B666BE" w:rsidP="003350BB">
      <w:pPr>
        <w:pStyle w:val="Heading2"/>
      </w:pPr>
      <w:r w:rsidRPr="00A36E0B">
        <w:t>Clause</w:t>
      </w:r>
      <w:r w:rsidR="002245D5">
        <w:t xml:space="preserve"> </w:t>
      </w:r>
      <w:r w:rsidR="002C6F47">
        <w:t>28</w:t>
      </w:r>
      <w:r>
        <w:t xml:space="preserve"> </w:t>
      </w:r>
      <w:r>
        <w:tab/>
      </w:r>
      <w:r w:rsidR="002C6F47">
        <w:t xml:space="preserve">Section </w:t>
      </w:r>
      <w:r w:rsidR="0027111B">
        <w:t>28A, pt 4A</w:t>
      </w:r>
      <w:r w:rsidR="00157E6C">
        <w:t xml:space="preserve"> </w:t>
      </w:r>
      <w:r w:rsidR="0027111B">
        <w:t>Definition</w:t>
      </w:r>
      <w:r w:rsidR="00C41724">
        <w:t xml:space="preserve"> of non-regulatory agency</w:t>
      </w:r>
      <w:r>
        <w:tab/>
      </w:r>
    </w:p>
    <w:p w14:paraId="07002D46" w14:textId="77777777" w:rsidR="00B666BE" w:rsidRPr="00746468" w:rsidRDefault="00B666BE" w:rsidP="00B666BE">
      <w:pPr>
        <w:pStyle w:val="Default"/>
        <w:spacing w:after="240"/>
        <w:rPr>
          <w:rFonts w:ascii="Calibri" w:hAnsi="Calibri"/>
          <w:color w:val="auto"/>
        </w:rPr>
      </w:pPr>
      <w:r>
        <w:rPr>
          <w:rFonts w:ascii="Calibri" w:hAnsi="Calibri"/>
          <w:color w:val="auto"/>
        </w:rPr>
        <w:t xml:space="preserve">This clause amends section </w:t>
      </w:r>
      <w:r w:rsidR="00C41724">
        <w:rPr>
          <w:rFonts w:ascii="Calibri" w:hAnsi="Calibri"/>
          <w:color w:val="auto"/>
        </w:rPr>
        <w:t xml:space="preserve">28A of the Act to clarify the types of agencies that can receive information about the operation of the Act. </w:t>
      </w:r>
      <w:r>
        <w:rPr>
          <w:rFonts w:ascii="Calibri" w:hAnsi="Calibri"/>
          <w:color w:val="auto"/>
        </w:rPr>
        <w:t xml:space="preserve"> </w:t>
      </w:r>
    </w:p>
    <w:p w14:paraId="2512DF29" w14:textId="7977322B" w:rsidR="007105CE" w:rsidRDefault="00EF3924" w:rsidP="003350BB">
      <w:pPr>
        <w:pStyle w:val="Heading2"/>
      </w:pPr>
      <w:r>
        <w:t xml:space="preserve">Clause </w:t>
      </w:r>
      <w:r w:rsidR="00837C05">
        <w:t>29</w:t>
      </w:r>
      <w:r>
        <w:tab/>
      </w:r>
      <w:r w:rsidR="00DF7A1A">
        <w:t xml:space="preserve">Dictionary definitions of </w:t>
      </w:r>
      <w:r w:rsidR="00DF7A1A" w:rsidRPr="00DF7A1A">
        <w:t>abatement factor</w:t>
      </w:r>
      <w:r w:rsidR="00DF7A1A">
        <w:t xml:space="preserve">, </w:t>
      </w:r>
      <w:r w:rsidR="00DF7A1A" w:rsidRPr="00DF7A1A">
        <w:t>approved abatement factor</w:t>
      </w:r>
      <w:r w:rsidR="00DF7A1A">
        <w:t xml:space="preserve"> and </w:t>
      </w:r>
      <w:r w:rsidR="00DF7A1A" w:rsidRPr="00DF7A1A">
        <w:t>approved abatement provider</w:t>
      </w:r>
    </w:p>
    <w:p w14:paraId="6007E1BD" w14:textId="77777777" w:rsidR="00DF7A1A" w:rsidRPr="00746468" w:rsidRDefault="00DF7A1A" w:rsidP="00DF7A1A">
      <w:pPr>
        <w:pStyle w:val="Default"/>
        <w:spacing w:after="240"/>
        <w:rPr>
          <w:rFonts w:ascii="Calibri" w:hAnsi="Calibri"/>
          <w:color w:val="auto"/>
        </w:rPr>
      </w:pPr>
      <w:r>
        <w:rPr>
          <w:rFonts w:ascii="Calibri" w:hAnsi="Calibri"/>
          <w:color w:val="auto"/>
        </w:rPr>
        <w:t xml:space="preserve">This clause amends the dictionary of the Act, to </w:t>
      </w:r>
      <w:r w:rsidR="0000546E">
        <w:rPr>
          <w:rFonts w:ascii="Calibri" w:hAnsi="Calibri"/>
          <w:color w:val="auto"/>
        </w:rPr>
        <w:t>achieve</w:t>
      </w:r>
      <w:r>
        <w:rPr>
          <w:rFonts w:ascii="Calibri" w:hAnsi="Calibri"/>
          <w:color w:val="auto"/>
        </w:rPr>
        <w:t xml:space="preserve"> the replacement of a greenhouse gas emissions metric with an energy metric. </w:t>
      </w:r>
    </w:p>
    <w:p w14:paraId="296BF231" w14:textId="7E253D73" w:rsidR="007105CE" w:rsidRDefault="007105CE" w:rsidP="003350BB">
      <w:pPr>
        <w:pStyle w:val="Heading2"/>
      </w:pPr>
      <w:r>
        <w:t>Clause 3</w:t>
      </w:r>
      <w:r w:rsidR="00837C05">
        <w:t>0</w:t>
      </w:r>
      <w:r>
        <w:tab/>
      </w:r>
      <w:r w:rsidR="00DF7A1A">
        <w:t xml:space="preserve">Dictionary, new definitions of </w:t>
      </w:r>
      <w:r w:rsidR="00DF7A1A" w:rsidRPr="00DF7A1A">
        <w:t>approved energy savings factor</w:t>
      </w:r>
      <w:r w:rsidR="00DF7A1A">
        <w:t xml:space="preserve"> and </w:t>
      </w:r>
      <w:r w:rsidR="00DF7A1A" w:rsidRPr="00DF7A1A">
        <w:t>approved energy savings provider</w:t>
      </w:r>
    </w:p>
    <w:p w14:paraId="2D37162C" w14:textId="77777777" w:rsidR="00DF7A1A" w:rsidRPr="00746468" w:rsidRDefault="00DF7A1A" w:rsidP="00DF7A1A">
      <w:pPr>
        <w:pStyle w:val="Default"/>
        <w:spacing w:after="240"/>
        <w:rPr>
          <w:rFonts w:ascii="Calibri" w:hAnsi="Calibri"/>
          <w:color w:val="auto"/>
        </w:rPr>
      </w:pPr>
      <w:r>
        <w:rPr>
          <w:rFonts w:ascii="Calibri" w:hAnsi="Calibri"/>
          <w:color w:val="auto"/>
        </w:rPr>
        <w:t xml:space="preserve">This clause amends the dictionary of the Act, to </w:t>
      </w:r>
      <w:r w:rsidR="0000546E">
        <w:rPr>
          <w:rFonts w:ascii="Calibri" w:hAnsi="Calibri"/>
          <w:color w:val="auto"/>
        </w:rPr>
        <w:t>achieve</w:t>
      </w:r>
      <w:r>
        <w:rPr>
          <w:rFonts w:ascii="Calibri" w:hAnsi="Calibri"/>
          <w:color w:val="auto"/>
        </w:rPr>
        <w:t xml:space="preserve"> the replacement of a greenhouse gas emissions metric with an energy metric. </w:t>
      </w:r>
    </w:p>
    <w:p w14:paraId="355A5DB1" w14:textId="7ACBEA3E" w:rsidR="002245D5" w:rsidRDefault="002245D5" w:rsidP="003350BB">
      <w:pPr>
        <w:pStyle w:val="Heading2"/>
      </w:pPr>
      <w:r w:rsidRPr="00A36E0B">
        <w:t>Clause</w:t>
      </w:r>
      <w:r>
        <w:t xml:space="preserve"> 3</w:t>
      </w:r>
      <w:r w:rsidR="00837C05">
        <w:t>1</w:t>
      </w:r>
      <w:r>
        <w:t xml:space="preserve"> </w:t>
      </w:r>
      <w:r>
        <w:tab/>
      </w:r>
      <w:r w:rsidR="00DF7A1A">
        <w:t xml:space="preserve">Dictionary, definition of </w:t>
      </w:r>
      <w:r w:rsidR="00DF7A1A" w:rsidRPr="0000546E">
        <w:rPr>
          <w:i/>
        </w:rPr>
        <w:t>carbon dioxide equivalent</w:t>
      </w:r>
      <w:r>
        <w:tab/>
      </w:r>
    </w:p>
    <w:p w14:paraId="66C9229E" w14:textId="77777777" w:rsidR="00DF7A1A" w:rsidRPr="00746468" w:rsidRDefault="00DF7A1A" w:rsidP="00DF7A1A">
      <w:pPr>
        <w:pStyle w:val="Default"/>
        <w:spacing w:after="240"/>
        <w:rPr>
          <w:rFonts w:ascii="Calibri" w:hAnsi="Calibri"/>
          <w:color w:val="auto"/>
        </w:rPr>
      </w:pPr>
      <w:r>
        <w:rPr>
          <w:rFonts w:ascii="Calibri" w:hAnsi="Calibri"/>
          <w:color w:val="auto"/>
        </w:rPr>
        <w:t xml:space="preserve">This clause amends the dictionary of the Act, to </w:t>
      </w:r>
      <w:r w:rsidR="0000546E">
        <w:rPr>
          <w:rFonts w:ascii="Calibri" w:hAnsi="Calibri"/>
          <w:color w:val="auto"/>
        </w:rPr>
        <w:t>achieve</w:t>
      </w:r>
      <w:r>
        <w:rPr>
          <w:rFonts w:ascii="Calibri" w:hAnsi="Calibri"/>
          <w:color w:val="auto"/>
        </w:rPr>
        <w:t xml:space="preserve"> the replacement of a greenhouse gas emissions metric with an energy metric. </w:t>
      </w:r>
    </w:p>
    <w:p w14:paraId="79FBE7A9" w14:textId="19FE674E" w:rsidR="0000546E" w:rsidRDefault="002245D5" w:rsidP="003350BB">
      <w:pPr>
        <w:pStyle w:val="Heading2"/>
      </w:pPr>
      <w:r w:rsidRPr="00A36E0B">
        <w:t>Clause</w:t>
      </w:r>
      <w:r>
        <w:t xml:space="preserve"> 3</w:t>
      </w:r>
      <w:r w:rsidR="00837C05">
        <w:t>2</w:t>
      </w:r>
      <w:r>
        <w:t xml:space="preserve"> </w:t>
      </w:r>
      <w:r>
        <w:tab/>
      </w:r>
      <w:r w:rsidR="0000546E">
        <w:t xml:space="preserve">Dictionary definition of </w:t>
      </w:r>
      <w:r w:rsidR="0000546E">
        <w:rPr>
          <w:i/>
        </w:rPr>
        <w:t>emissions multiplier</w:t>
      </w:r>
      <w:r w:rsidR="0000546E">
        <w:tab/>
      </w:r>
    </w:p>
    <w:p w14:paraId="4FF3300F" w14:textId="4669ABF4" w:rsidR="0000546E" w:rsidRDefault="0000546E" w:rsidP="0000546E">
      <w:pPr>
        <w:pStyle w:val="Default"/>
        <w:spacing w:after="240"/>
        <w:rPr>
          <w:rFonts w:ascii="Calibri" w:hAnsi="Calibri"/>
          <w:color w:val="auto"/>
        </w:rPr>
      </w:pPr>
      <w:r>
        <w:rPr>
          <w:rFonts w:ascii="Calibri" w:hAnsi="Calibri"/>
          <w:color w:val="auto"/>
        </w:rPr>
        <w:t xml:space="preserve">This clause amends the dictionary of the Act, to achieve the replacement of a greenhouse gas emissions metric with an energy metric. </w:t>
      </w:r>
    </w:p>
    <w:p w14:paraId="325E4CDC" w14:textId="27893BF5" w:rsidR="00837C05" w:rsidRDefault="00837C05" w:rsidP="00837C05">
      <w:pPr>
        <w:pStyle w:val="Heading2"/>
      </w:pPr>
      <w:r w:rsidRPr="00A36E0B">
        <w:t>Clause</w:t>
      </w:r>
      <w:r>
        <w:t xml:space="preserve"> 33 </w:t>
      </w:r>
      <w:r>
        <w:tab/>
        <w:t xml:space="preserve">Dictionary definition of </w:t>
      </w:r>
      <w:r w:rsidRPr="0000546E">
        <w:rPr>
          <w:i/>
        </w:rPr>
        <w:t>energy savings factor</w:t>
      </w:r>
      <w:r>
        <w:tab/>
      </w:r>
    </w:p>
    <w:p w14:paraId="5EF68522" w14:textId="217CD73F" w:rsidR="00837C05" w:rsidRPr="00746468" w:rsidRDefault="00837C05" w:rsidP="0000546E">
      <w:pPr>
        <w:pStyle w:val="Default"/>
        <w:spacing w:after="240"/>
        <w:rPr>
          <w:rFonts w:ascii="Calibri" w:hAnsi="Calibri"/>
          <w:color w:val="auto"/>
        </w:rPr>
      </w:pPr>
      <w:r>
        <w:rPr>
          <w:rFonts w:ascii="Calibri" w:hAnsi="Calibri"/>
          <w:color w:val="auto"/>
        </w:rPr>
        <w:t xml:space="preserve">This clause amends the dictionary of the Act, to achieve the replacement of a greenhouse gas emissions metric with an energy metric. </w:t>
      </w:r>
    </w:p>
    <w:p w14:paraId="3F879E6B" w14:textId="35DD2A29" w:rsidR="0000546E" w:rsidRDefault="0000546E" w:rsidP="003350BB">
      <w:pPr>
        <w:pStyle w:val="Heading2"/>
      </w:pPr>
      <w:r w:rsidRPr="00A36E0B">
        <w:t>Clause</w:t>
      </w:r>
      <w:r>
        <w:t xml:space="preserve"> 3</w:t>
      </w:r>
      <w:r w:rsidR="00837C05">
        <w:t>4</w:t>
      </w:r>
      <w:r>
        <w:t xml:space="preserve"> </w:t>
      </w:r>
      <w:r>
        <w:tab/>
        <w:t xml:space="preserve">Dictionary definition of </w:t>
      </w:r>
      <w:r>
        <w:rPr>
          <w:i/>
        </w:rPr>
        <w:t>priority household</w:t>
      </w:r>
      <w:r>
        <w:tab/>
      </w:r>
    </w:p>
    <w:p w14:paraId="50D54916" w14:textId="6B9C565C" w:rsidR="0000546E" w:rsidRDefault="0000546E" w:rsidP="0000546E">
      <w:pPr>
        <w:pStyle w:val="Default"/>
        <w:spacing w:after="240"/>
        <w:rPr>
          <w:rFonts w:ascii="Calibri" w:hAnsi="Calibri"/>
          <w:color w:val="auto"/>
        </w:rPr>
      </w:pPr>
      <w:r>
        <w:rPr>
          <w:rFonts w:ascii="Calibri" w:hAnsi="Calibri"/>
          <w:color w:val="auto"/>
        </w:rPr>
        <w:t xml:space="preserve">This clause amends the dictionary of the Act, so that the definition of a priority household is determined under section 7A, by disallowable instrument instead of in several different places. </w:t>
      </w:r>
    </w:p>
    <w:p w14:paraId="7E542507" w14:textId="475EC05F" w:rsidR="00837C05" w:rsidRDefault="00837C05" w:rsidP="00837C05">
      <w:pPr>
        <w:pStyle w:val="Heading2"/>
      </w:pPr>
      <w:r w:rsidRPr="00A36E0B">
        <w:t>Clause</w:t>
      </w:r>
      <w:r>
        <w:t xml:space="preserve"> 35 </w:t>
      </w:r>
      <w:r>
        <w:tab/>
        <w:t xml:space="preserve">Further amendments, mentions of </w:t>
      </w:r>
      <w:r>
        <w:rPr>
          <w:i/>
        </w:rPr>
        <w:t>abatement</w:t>
      </w:r>
      <w:r>
        <w:tab/>
      </w:r>
    </w:p>
    <w:p w14:paraId="61AAB214" w14:textId="05026163" w:rsidR="0000546E" w:rsidRPr="00837C05" w:rsidRDefault="00837C05" w:rsidP="0000546E">
      <w:pPr>
        <w:pStyle w:val="Default"/>
        <w:spacing w:after="240"/>
        <w:rPr>
          <w:rFonts w:ascii="Calibri" w:hAnsi="Calibri"/>
          <w:color w:val="auto"/>
        </w:rPr>
      </w:pPr>
      <w:r>
        <w:rPr>
          <w:rFonts w:ascii="Calibri" w:hAnsi="Calibri"/>
          <w:color w:val="auto"/>
        </w:rPr>
        <w:t xml:space="preserve">This clause amends multiple sections of the Act, to achieve the replacement of a greenhouse gas emissions metric with an energy metric. </w:t>
      </w:r>
    </w:p>
    <w:sectPr w:rsidR="0000546E" w:rsidRPr="00837C05" w:rsidSect="001F162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34BD9" w14:textId="77777777" w:rsidR="00A34EAB" w:rsidRDefault="00A34EAB" w:rsidP="00962E04">
      <w:pPr>
        <w:spacing w:before="0"/>
      </w:pPr>
      <w:r>
        <w:separator/>
      </w:r>
    </w:p>
  </w:endnote>
  <w:endnote w:type="continuationSeparator" w:id="0">
    <w:p w14:paraId="7DE557A4" w14:textId="77777777" w:rsidR="00A34EAB" w:rsidRDefault="00A34EAB" w:rsidP="00962E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B045" w14:textId="77777777" w:rsidR="001152FC" w:rsidRDefault="00115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8866" w14:textId="20E1567A" w:rsidR="00DB07BA" w:rsidRDefault="00DB07BA">
    <w:pPr>
      <w:pStyle w:val="Footer"/>
      <w:jc w:val="right"/>
    </w:pPr>
    <w:r>
      <w:fldChar w:fldCharType="begin"/>
    </w:r>
    <w:r>
      <w:instrText xml:space="preserve"> PAGE   \* MERGEFORMAT </w:instrText>
    </w:r>
    <w:r>
      <w:fldChar w:fldCharType="separate"/>
    </w:r>
    <w:r w:rsidR="00191AD4">
      <w:rPr>
        <w:noProof/>
      </w:rPr>
      <w:t>7</w:t>
    </w:r>
    <w:r>
      <w:fldChar w:fldCharType="end"/>
    </w:r>
  </w:p>
  <w:p w14:paraId="7FBF390B" w14:textId="65FC5A13" w:rsidR="001152FC" w:rsidRPr="001152FC" w:rsidRDefault="001152FC" w:rsidP="001152FC">
    <w:pPr>
      <w:pStyle w:val="Footer"/>
      <w:jc w:val="center"/>
      <w:rPr>
        <w:rFonts w:ascii="Arial" w:hAnsi="Arial" w:cs="Arial"/>
        <w:sz w:val="14"/>
      </w:rPr>
    </w:pPr>
    <w:r w:rsidRPr="001152F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2118" w14:textId="78CE640E" w:rsidR="001152FC" w:rsidRPr="001152FC" w:rsidRDefault="001152FC" w:rsidP="001152FC">
    <w:pPr>
      <w:pStyle w:val="Footer"/>
      <w:jc w:val="center"/>
      <w:rPr>
        <w:rFonts w:ascii="Arial" w:hAnsi="Arial" w:cs="Arial"/>
        <w:sz w:val="14"/>
      </w:rPr>
    </w:pPr>
    <w:r w:rsidRPr="001152F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9C183" w14:textId="77777777" w:rsidR="00A34EAB" w:rsidRDefault="00A34EAB" w:rsidP="00962E04">
      <w:pPr>
        <w:spacing w:before="0"/>
      </w:pPr>
      <w:r>
        <w:separator/>
      </w:r>
    </w:p>
  </w:footnote>
  <w:footnote w:type="continuationSeparator" w:id="0">
    <w:p w14:paraId="074AD78A" w14:textId="77777777" w:rsidR="00A34EAB" w:rsidRDefault="00A34EAB" w:rsidP="00962E0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74E25" w14:textId="77777777" w:rsidR="001152FC" w:rsidRDefault="00115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6FFC" w14:textId="77777777" w:rsidR="001152FC" w:rsidRDefault="00115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669CF" w14:textId="139B3672" w:rsidR="00FA3E04" w:rsidRPr="00FA3E04" w:rsidRDefault="00FA3E04" w:rsidP="00FA3E04">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254"/>
    <w:multiLevelType w:val="multilevel"/>
    <w:tmpl w:val="9DB256A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98853FA"/>
    <w:multiLevelType w:val="hybridMultilevel"/>
    <w:tmpl w:val="E0E2C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A36A5"/>
    <w:multiLevelType w:val="hybridMultilevel"/>
    <w:tmpl w:val="2BAAA146"/>
    <w:lvl w:ilvl="0" w:tplc="B2C239E8">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983D9D"/>
    <w:multiLevelType w:val="hybridMultilevel"/>
    <w:tmpl w:val="C4A8D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6157A"/>
    <w:multiLevelType w:val="hybridMultilevel"/>
    <w:tmpl w:val="142AF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A822ED"/>
    <w:multiLevelType w:val="hybridMultilevel"/>
    <w:tmpl w:val="3A647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910FE5"/>
    <w:multiLevelType w:val="hybridMultilevel"/>
    <w:tmpl w:val="C4B2860E"/>
    <w:lvl w:ilvl="0" w:tplc="7A1863A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CF4923"/>
    <w:multiLevelType w:val="multilevel"/>
    <w:tmpl w:val="3392BFE2"/>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28"/>
      <w:numFmt w:val="decimal"/>
      <w:lvlRestart w:val="0"/>
      <w:pStyle w:val="AH5Sec"/>
      <w:lvlText w:val="%5"/>
      <w:lvlJc w:val="left"/>
      <w:pPr>
        <w:tabs>
          <w:tab w:val="num" w:pos="1100"/>
        </w:tabs>
        <w:ind w:left="1100" w:hanging="1100"/>
      </w:pPr>
      <w:rPr>
        <w:rFonts w:cs="Times New Roman" w:hint="default"/>
        <w:b/>
        <w:i w:val="0"/>
      </w:rPr>
    </w:lvl>
    <w:lvl w:ilvl="5">
      <w:start w:val="1"/>
      <w:numFmt w:val="decimal"/>
      <w:pStyle w:val="Amain"/>
      <w:lvlText w:val="(%6)"/>
      <w:lvlJc w:val="right"/>
      <w:pPr>
        <w:tabs>
          <w:tab w:val="num" w:pos="1100"/>
        </w:tabs>
        <w:ind w:left="1100" w:hanging="200"/>
      </w:pPr>
      <w:rPr>
        <w:rFonts w:cs="Times New Roman" w:hint="default"/>
        <w:b w:val="0"/>
      </w:rPr>
    </w:lvl>
    <w:lvl w:ilvl="6">
      <w:start w:val="1"/>
      <w:numFmt w:val="lowerLetter"/>
      <w:pStyle w:val="Apara"/>
      <w:lvlText w:val="(%7)"/>
      <w:lvlJc w:val="right"/>
      <w:pPr>
        <w:tabs>
          <w:tab w:val="num" w:pos="1600"/>
        </w:tabs>
        <w:ind w:left="1600" w:hanging="200"/>
      </w:pPr>
      <w:rPr>
        <w:rFonts w:cs="Times New Roman" w:hint="default"/>
        <w:b w:val="0"/>
        <w:i w:val="0"/>
      </w:rPr>
    </w:lvl>
    <w:lvl w:ilvl="7">
      <w:start w:val="1"/>
      <w:numFmt w:val="lowerRoman"/>
      <w:pStyle w:val="Asubpara"/>
      <w:lvlText w:val="(%8)"/>
      <w:lvlJc w:val="right"/>
      <w:pPr>
        <w:tabs>
          <w:tab w:val="num" w:pos="2140"/>
        </w:tabs>
        <w:ind w:left="2140" w:hanging="200"/>
      </w:pPr>
      <w:rPr>
        <w:rFonts w:cs="Times New Roman" w:hint="default"/>
        <w:b w:val="0"/>
        <w:i w:val="0"/>
      </w:rPr>
    </w:lvl>
    <w:lvl w:ilvl="8">
      <w:start w:val="1"/>
      <w:numFmt w:val="upperLetter"/>
      <w:pStyle w:val="Asubsubpara"/>
      <w:lvlText w:val="(%9)"/>
      <w:lvlJc w:val="right"/>
      <w:pPr>
        <w:tabs>
          <w:tab w:val="num" w:pos="2660"/>
        </w:tabs>
        <w:ind w:left="2660" w:hanging="200"/>
      </w:pPr>
      <w:rPr>
        <w:rFonts w:cs="Times New Roman" w:hint="default"/>
        <w:b w:val="0"/>
        <w:i w:val="0"/>
      </w:rPr>
    </w:lvl>
  </w:abstractNum>
  <w:abstractNum w:abstractNumId="8" w15:restartNumberingAfterBreak="0">
    <w:nsid w:val="233F4EAE"/>
    <w:multiLevelType w:val="hybridMultilevel"/>
    <w:tmpl w:val="938E1BA4"/>
    <w:lvl w:ilvl="0" w:tplc="F7F8B01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2AF94F00"/>
    <w:multiLevelType w:val="hybridMultilevel"/>
    <w:tmpl w:val="FFCE20B0"/>
    <w:lvl w:ilvl="0" w:tplc="23F6E014">
      <w:start w:val="24"/>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4A433C"/>
    <w:multiLevelType w:val="hybridMultilevel"/>
    <w:tmpl w:val="127C6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89245F"/>
    <w:multiLevelType w:val="hybridMultilevel"/>
    <w:tmpl w:val="F63E3590"/>
    <w:lvl w:ilvl="0" w:tplc="B2C239E8">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D0CE3"/>
    <w:multiLevelType w:val="hybridMultilevel"/>
    <w:tmpl w:val="0B283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F473C1"/>
    <w:multiLevelType w:val="hybridMultilevel"/>
    <w:tmpl w:val="ABA45B6E"/>
    <w:lvl w:ilvl="0" w:tplc="026EB8D0">
      <w:start w:val="5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4C0601"/>
    <w:multiLevelType w:val="hybridMultilevel"/>
    <w:tmpl w:val="29B43DC8"/>
    <w:lvl w:ilvl="0" w:tplc="B2C239E8">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327FA5"/>
    <w:multiLevelType w:val="hybridMultilevel"/>
    <w:tmpl w:val="4E00C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417A07"/>
    <w:multiLevelType w:val="hybridMultilevel"/>
    <w:tmpl w:val="8482D5FA"/>
    <w:lvl w:ilvl="0" w:tplc="B2C239E8">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0A06A8"/>
    <w:multiLevelType w:val="hybridMultilevel"/>
    <w:tmpl w:val="8682A6FA"/>
    <w:lvl w:ilvl="0" w:tplc="F738BDA8">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CD69BD"/>
    <w:multiLevelType w:val="multilevel"/>
    <w:tmpl w:val="9DB256A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5D95728D"/>
    <w:multiLevelType w:val="multilevel"/>
    <w:tmpl w:val="9DB256A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61E02B18"/>
    <w:multiLevelType w:val="hybridMultilevel"/>
    <w:tmpl w:val="EA844894"/>
    <w:lvl w:ilvl="0" w:tplc="B2C239E8">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B46DE9"/>
    <w:multiLevelType w:val="hybridMultilevel"/>
    <w:tmpl w:val="8A148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C343B9"/>
    <w:multiLevelType w:val="hybridMultilevel"/>
    <w:tmpl w:val="B11639DE"/>
    <w:lvl w:ilvl="0" w:tplc="B2C239E8">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5"/>
  </w:num>
  <w:num w:numId="5">
    <w:abstractNumId w:val="21"/>
  </w:num>
  <w:num w:numId="6">
    <w:abstractNumId w:val="10"/>
  </w:num>
  <w:num w:numId="7">
    <w:abstractNumId w:val="8"/>
  </w:num>
  <w:num w:numId="8">
    <w:abstractNumId w:val="1"/>
  </w:num>
  <w:num w:numId="9">
    <w:abstractNumId w:val="9"/>
  </w:num>
  <w:num w:numId="10">
    <w:abstractNumId w:val="20"/>
  </w:num>
  <w:num w:numId="11">
    <w:abstractNumId w:val="16"/>
  </w:num>
  <w:num w:numId="12">
    <w:abstractNumId w:val="22"/>
  </w:num>
  <w:num w:numId="13">
    <w:abstractNumId w:val="11"/>
  </w:num>
  <w:num w:numId="14">
    <w:abstractNumId w:val="6"/>
  </w:num>
  <w:num w:numId="15">
    <w:abstractNumId w:val="2"/>
  </w:num>
  <w:num w:numId="16">
    <w:abstractNumId w:val="14"/>
  </w:num>
  <w:num w:numId="17">
    <w:abstractNumId w:val="17"/>
  </w:num>
  <w:num w:numId="18">
    <w:abstractNumId w:val="7"/>
  </w:num>
  <w:num w:numId="19">
    <w:abstractNumId w:val="19"/>
  </w:num>
  <w:num w:numId="20">
    <w:abstractNumId w:val="0"/>
  </w:num>
  <w:num w:numId="21">
    <w:abstractNumId w:val="18"/>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D8"/>
    <w:rsid w:val="00003EDF"/>
    <w:rsid w:val="0000546E"/>
    <w:rsid w:val="0000740B"/>
    <w:rsid w:val="00013EB4"/>
    <w:rsid w:val="000162BA"/>
    <w:rsid w:val="00027497"/>
    <w:rsid w:val="0003013F"/>
    <w:rsid w:val="00041E8E"/>
    <w:rsid w:val="000423A9"/>
    <w:rsid w:val="00042F9F"/>
    <w:rsid w:val="00046708"/>
    <w:rsid w:val="00052027"/>
    <w:rsid w:val="00052ACC"/>
    <w:rsid w:val="000551A9"/>
    <w:rsid w:val="00057979"/>
    <w:rsid w:val="000601CB"/>
    <w:rsid w:val="00063DCE"/>
    <w:rsid w:val="00066632"/>
    <w:rsid w:val="00066D85"/>
    <w:rsid w:val="00071636"/>
    <w:rsid w:val="00073822"/>
    <w:rsid w:val="000777EC"/>
    <w:rsid w:val="000902E3"/>
    <w:rsid w:val="000A3D73"/>
    <w:rsid w:val="000A7A23"/>
    <w:rsid w:val="000B0214"/>
    <w:rsid w:val="000B1AD8"/>
    <w:rsid w:val="000B5035"/>
    <w:rsid w:val="000B61C5"/>
    <w:rsid w:val="000C1EBD"/>
    <w:rsid w:val="000C419F"/>
    <w:rsid w:val="000D3078"/>
    <w:rsid w:val="000D360E"/>
    <w:rsid w:val="000E14B6"/>
    <w:rsid w:val="000E39F9"/>
    <w:rsid w:val="000E41DC"/>
    <w:rsid w:val="000E4E9D"/>
    <w:rsid w:val="000E73C2"/>
    <w:rsid w:val="000F698F"/>
    <w:rsid w:val="00105E11"/>
    <w:rsid w:val="00110B15"/>
    <w:rsid w:val="001152FC"/>
    <w:rsid w:val="00117567"/>
    <w:rsid w:val="00120862"/>
    <w:rsid w:val="00135D03"/>
    <w:rsid w:val="0013630B"/>
    <w:rsid w:val="00142C73"/>
    <w:rsid w:val="0014737C"/>
    <w:rsid w:val="00150193"/>
    <w:rsid w:val="00157E6C"/>
    <w:rsid w:val="00160D5B"/>
    <w:rsid w:val="00161C23"/>
    <w:rsid w:val="00162298"/>
    <w:rsid w:val="00162C8C"/>
    <w:rsid w:val="00182FAD"/>
    <w:rsid w:val="00183319"/>
    <w:rsid w:val="00185076"/>
    <w:rsid w:val="00191A0D"/>
    <w:rsid w:val="00191AD4"/>
    <w:rsid w:val="00196CB2"/>
    <w:rsid w:val="001B72FB"/>
    <w:rsid w:val="001C4589"/>
    <w:rsid w:val="001C60A6"/>
    <w:rsid w:val="001D0733"/>
    <w:rsid w:val="001D2EAB"/>
    <w:rsid w:val="001D3F27"/>
    <w:rsid w:val="001E35B7"/>
    <w:rsid w:val="001E793C"/>
    <w:rsid w:val="001F1623"/>
    <w:rsid w:val="001F230E"/>
    <w:rsid w:val="002030D2"/>
    <w:rsid w:val="00205772"/>
    <w:rsid w:val="002215AF"/>
    <w:rsid w:val="00223B60"/>
    <w:rsid w:val="002245D5"/>
    <w:rsid w:val="00226896"/>
    <w:rsid w:val="00227208"/>
    <w:rsid w:val="00236540"/>
    <w:rsid w:val="00240FE1"/>
    <w:rsid w:val="00253CE7"/>
    <w:rsid w:val="0026037C"/>
    <w:rsid w:val="0026380E"/>
    <w:rsid w:val="00263FFC"/>
    <w:rsid w:val="0026437E"/>
    <w:rsid w:val="00267F95"/>
    <w:rsid w:val="0027111B"/>
    <w:rsid w:val="00271146"/>
    <w:rsid w:val="00275804"/>
    <w:rsid w:val="00281C3D"/>
    <w:rsid w:val="00291B5C"/>
    <w:rsid w:val="00292F03"/>
    <w:rsid w:val="00295C11"/>
    <w:rsid w:val="00297FDA"/>
    <w:rsid w:val="002A003B"/>
    <w:rsid w:val="002A48E3"/>
    <w:rsid w:val="002A69A3"/>
    <w:rsid w:val="002B1085"/>
    <w:rsid w:val="002B304C"/>
    <w:rsid w:val="002B4090"/>
    <w:rsid w:val="002B5F2B"/>
    <w:rsid w:val="002B6278"/>
    <w:rsid w:val="002C0EE9"/>
    <w:rsid w:val="002C2B88"/>
    <w:rsid w:val="002C557D"/>
    <w:rsid w:val="002C6F47"/>
    <w:rsid w:val="002C784B"/>
    <w:rsid w:val="002D150D"/>
    <w:rsid w:val="002D416C"/>
    <w:rsid w:val="002D6C79"/>
    <w:rsid w:val="002D7B68"/>
    <w:rsid w:val="002F0A3C"/>
    <w:rsid w:val="002F3024"/>
    <w:rsid w:val="002F5459"/>
    <w:rsid w:val="003034CE"/>
    <w:rsid w:val="00305F82"/>
    <w:rsid w:val="00311428"/>
    <w:rsid w:val="00312178"/>
    <w:rsid w:val="003210A0"/>
    <w:rsid w:val="003226F2"/>
    <w:rsid w:val="00324604"/>
    <w:rsid w:val="003322F5"/>
    <w:rsid w:val="003350BB"/>
    <w:rsid w:val="003355F6"/>
    <w:rsid w:val="00335A2F"/>
    <w:rsid w:val="00337C99"/>
    <w:rsid w:val="003578AC"/>
    <w:rsid w:val="003619A4"/>
    <w:rsid w:val="0037607E"/>
    <w:rsid w:val="003829D8"/>
    <w:rsid w:val="00393B2B"/>
    <w:rsid w:val="003A4AA4"/>
    <w:rsid w:val="003B17D5"/>
    <w:rsid w:val="003B5BDD"/>
    <w:rsid w:val="003B7C81"/>
    <w:rsid w:val="003C571A"/>
    <w:rsid w:val="003C65A9"/>
    <w:rsid w:val="003D305F"/>
    <w:rsid w:val="003D3406"/>
    <w:rsid w:val="003D421E"/>
    <w:rsid w:val="003D42F4"/>
    <w:rsid w:val="003D5784"/>
    <w:rsid w:val="003E199E"/>
    <w:rsid w:val="003E1EDB"/>
    <w:rsid w:val="003E614B"/>
    <w:rsid w:val="003F1345"/>
    <w:rsid w:val="003F51FB"/>
    <w:rsid w:val="003F5E97"/>
    <w:rsid w:val="004037A4"/>
    <w:rsid w:val="00405E9D"/>
    <w:rsid w:val="0040674E"/>
    <w:rsid w:val="00410458"/>
    <w:rsid w:val="00415631"/>
    <w:rsid w:val="00421C00"/>
    <w:rsid w:val="00434466"/>
    <w:rsid w:val="00434FF6"/>
    <w:rsid w:val="004471E8"/>
    <w:rsid w:val="0045331A"/>
    <w:rsid w:val="00467749"/>
    <w:rsid w:val="00475873"/>
    <w:rsid w:val="00476F19"/>
    <w:rsid w:val="00480169"/>
    <w:rsid w:val="00483CB7"/>
    <w:rsid w:val="00496A56"/>
    <w:rsid w:val="004B1408"/>
    <w:rsid w:val="004B2AC3"/>
    <w:rsid w:val="004D2B04"/>
    <w:rsid w:val="004E420C"/>
    <w:rsid w:val="004E7935"/>
    <w:rsid w:val="004F1E4D"/>
    <w:rsid w:val="005007CD"/>
    <w:rsid w:val="00505A16"/>
    <w:rsid w:val="00506002"/>
    <w:rsid w:val="00513C40"/>
    <w:rsid w:val="00521890"/>
    <w:rsid w:val="005323BA"/>
    <w:rsid w:val="00537023"/>
    <w:rsid w:val="00542023"/>
    <w:rsid w:val="00543E1F"/>
    <w:rsid w:val="00544CA2"/>
    <w:rsid w:val="00545332"/>
    <w:rsid w:val="00546F8D"/>
    <w:rsid w:val="0056220D"/>
    <w:rsid w:val="00566E38"/>
    <w:rsid w:val="00572F9D"/>
    <w:rsid w:val="00577022"/>
    <w:rsid w:val="005807CE"/>
    <w:rsid w:val="0058201B"/>
    <w:rsid w:val="00586C61"/>
    <w:rsid w:val="00597EBB"/>
    <w:rsid w:val="005A45C6"/>
    <w:rsid w:val="005B3E07"/>
    <w:rsid w:val="005B45E4"/>
    <w:rsid w:val="005B6CA6"/>
    <w:rsid w:val="005D6E82"/>
    <w:rsid w:val="005D73B9"/>
    <w:rsid w:val="005E09FB"/>
    <w:rsid w:val="005E0F51"/>
    <w:rsid w:val="005E2826"/>
    <w:rsid w:val="005E5751"/>
    <w:rsid w:val="005E68CB"/>
    <w:rsid w:val="005F59A1"/>
    <w:rsid w:val="005F6F5B"/>
    <w:rsid w:val="005F7FCF"/>
    <w:rsid w:val="006027BE"/>
    <w:rsid w:val="00605D17"/>
    <w:rsid w:val="00621BD2"/>
    <w:rsid w:val="006279FF"/>
    <w:rsid w:val="00631277"/>
    <w:rsid w:val="00636BBA"/>
    <w:rsid w:val="00647CF1"/>
    <w:rsid w:val="00652F5C"/>
    <w:rsid w:val="00654E06"/>
    <w:rsid w:val="00655AA3"/>
    <w:rsid w:val="00671E7C"/>
    <w:rsid w:val="00680270"/>
    <w:rsid w:val="0068484F"/>
    <w:rsid w:val="00687B33"/>
    <w:rsid w:val="00693723"/>
    <w:rsid w:val="00694EC7"/>
    <w:rsid w:val="00695BA6"/>
    <w:rsid w:val="006A341B"/>
    <w:rsid w:val="006C513D"/>
    <w:rsid w:val="006C63AC"/>
    <w:rsid w:val="006D1169"/>
    <w:rsid w:val="006D293C"/>
    <w:rsid w:val="006E3853"/>
    <w:rsid w:val="006E68C5"/>
    <w:rsid w:val="006F13FA"/>
    <w:rsid w:val="006F2C8A"/>
    <w:rsid w:val="006F3FD0"/>
    <w:rsid w:val="007039A8"/>
    <w:rsid w:val="007105CE"/>
    <w:rsid w:val="00711CBB"/>
    <w:rsid w:val="007226D0"/>
    <w:rsid w:val="007240FE"/>
    <w:rsid w:val="00730B10"/>
    <w:rsid w:val="00737C66"/>
    <w:rsid w:val="0074078B"/>
    <w:rsid w:val="00743968"/>
    <w:rsid w:val="00746468"/>
    <w:rsid w:val="007564D5"/>
    <w:rsid w:val="007569EC"/>
    <w:rsid w:val="00767357"/>
    <w:rsid w:val="0077144C"/>
    <w:rsid w:val="00771B3B"/>
    <w:rsid w:val="00773E09"/>
    <w:rsid w:val="007764ED"/>
    <w:rsid w:val="00781F44"/>
    <w:rsid w:val="00797B35"/>
    <w:rsid w:val="007A3F46"/>
    <w:rsid w:val="007A5BD0"/>
    <w:rsid w:val="007B02AC"/>
    <w:rsid w:val="007B1CA6"/>
    <w:rsid w:val="007B2B3C"/>
    <w:rsid w:val="007B5B12"/>
    <w:rsid w:val="007B62F7"/>
    <w:rsid w:val="007C1170"/>
    <w:rsid w:val="007D537F"/>
    <w:rsid w:val="0080088E"/>
    <w:rsid w:val="00801B6C"/>
    <w:rsid w:val="008048D0"/>
    <w:rsid w:val="0081537F"/>
    <w:rsid w:val="00816458"/>
    <w:rsid w:val="0082141D"/>
    <w:rsid w:val="00824188"/>
    <w:rsid w:val="00826D13"/>
    <w:rsid w:val="00837C05"/>
    <w:rsid w:val="008456D8"/>
    <w:rsid w:val="00847EDB"/>
    <w:rsid w:val="00851AEA"/>
    <w:rsid w:val="00853200"/>
    <w:rsid w:val="0086460F"/>
    <w:rsid w:val="00864EFA"/>
    <w:rsid w:val="00866C4A"/>
    <w:rsid w:val="008946F4"/>
    <w:rsid w:val="008A003B"/>
    <w:rsid w:val="008A40EA"/>
    <w:rsid w:val="008A558A"/>
    <w:rsid w:val="008A74F1"/>
    <w:rsid w:val="008B3398"/>
    <w:rsid w:val="008B3FCE"/>
    <w:rsid w:val="008B4701"/>
    <w:rsid w:val="008B7DE1"/>
    <w:rsid w:val="008C0454"/>
    <w:rsid w:val="008C64C2"/>
    <w:rsid w:val="008D2F23"/>
    <w:rsid w:val="008D5076"/>
    <w:rsid w:val="008E1057"/>
    <w:rsid w:val="008E486D"/>
    <w:rsid w:val="008F1C99"/>
    <w:rsid w:val="008F25C0"/>
    <w:rsid w:val="008F5DD4"/>
    <w:rsid w:val="00906346"/>
    <w:rsid w:val="0091315F"/>
    <w:rsid w:val="009275D6"/>
    <w:rsid w:val="00957CEA"/>
    <w:rsid w:val="00961226"/>
    <w:rsid w:val="00962E04"/>
    <w:rsid w:val="00974261"/>
    <w:rsid w:val="00982863"/>
    <w:rsid w:val="00992687"/>
    <w:rsid w:val="00994AB2"/>
    <w:rsid w:val="009A402A"/>
    <w:rsid w:val="009B2A6D"/>
    <w:rsid w:val="009B3990"/>
    <w:rsid w:val="009B5B2E"/>
    <w:rsid w:val="009C1BD4"/>
    <w:rsid w:val="009C7E3F"/>
    <w:rsid w:val="009C7FC1"/>
    <w:rsid w:val="009D581E"/>
    <w:rsid w:val="009E6C30"/>
    <w:rsid w:val="009F43E3"/>
    <w:rsid w:val="009F4C81"/>
    <w:rsid w:val="009F752C"/>
    <w:rsid w:val="00A04DA3"/>
    <w:rsid w:val="00A07660"/>
    <w:rsid w:val="00A115D8"/>
    <w:rsid w:val="00A16000"/>
    <w:rsid w:val="00A17FB1"/>
    <w:rsid w:val="00A25796"/>
    <w:rsid w:val="00A34EAB"/>
    <w:rsid w:val="00A35C4A"/>
    <w:rsid w:val="00A36E0B"/>
    <w:rsid w:val="00A40006"/>
    <w:rsid w:val="00A470C4"/>
    <w:rsid w:val="00A4733A"/>
    <w:rsid w:val="00A517DF"/>
    <w:rsid w:val="00A5366D"/>
    <w:rsid w:val="00A55C7B"/>
    <w:rsid w:val="00A61FB9"/>
    <w:rsid w:val="00A64FDE"/>
    <w:rsid w:val="00A7000C"/>
    <w:rsid w:val="00A702F7"/>
    <w:rsid w:val="00A73A70"/>
    <w:rsid w:val="00A804FC"/>
    <w:rsid w:val="00A84A62"/>
    <w:rsid w:val="00A91E56"/>
    <w:rsid w:val="00A96868"/>
    <w:rsid w:val="00A9742E"/>
    <w:rsid w:val="00AA398B"/>
    <w:rsid w:val="00AA4D0C"/>
    <w:rsid w:val="00AA5479"/>
    <w:rsid w:val="00AA65A6"/>
    <w:rsid w:val="00AB0794"/>
    <w:rsid w:val="00AB4582"/>
    <w:rsid w:val="00AC7574"/>
    <w:rsid w:val="00AD0FAC"/>
    <w:rsid w:val="00AD7BFC"/>
    <w:rsid w:val="00AE259A"/>
    <w:rsid w:val="00AE28C3"/>
    <w:rsid w:val="00AE606E"/>
    <w:rsid w:val="00AE6A8F"/>
    <w:rsid w:val="00AF0867"/>
    <w:rsid w:val="00B0039A"/>
    <w:rsid w:val="00B05B90"/>
    <w:rsid w:val="00B23F42"/>
    <w:rsid w:val="00B2797F"/>
    <w:rsid w:val="00B323A2"/>
    <w:rsid w:val="00B35FDE"/>
    <w:rsid w:val="00B379C5"/>
    <w:rsid w:val="00B40FB0"/>
    <w:rsid w:val="00B5429D"/>
    <w:rsid w:val="00B6032F"/>
    <w:rsid w:val="00B60F6F"/>
    <w:rsid w:val="00B666BE"/>
    <w:rsid w:val="00B73261"/>
    <w:rsid w:val="00B81B10"/>
    <w:rsid w:val="00B828B6"/>
    <w:rsid w:val="00B842D9"/>
    <w:rsid w:val="00BA0297"/>
    <w:rsid w:val="00BA734B"/>
    <w:rsid w:val="00BB5DCB"/>
    <w:rsid w:val="00BC4995"/>
    <w:rsid w:val="00BD20B4"/>
    <w:rsid w:val="00BD79BE"/>
    <w:rsid w:val="00BF2A82"/>
    <w:rsid w:val="00C03927"/>
    <w:rsid w:val="00C049FE"/>
    <w:rsid w:val="00C05D88"/>
    <w:rsid w:val="00C072B1"/>
    <w:rsid w:val="00C1309B"/>
    <w:rsid w:val="00C27AB9"/>
    <w:rsid w:val="00C41724"/>
    <w:rsid w:val="00C41D4C"/>
    <w:rsid w:val="00C47CFF"/>
    <w:rsid w:val="00C5376D"/>
    <w:rsid w:val="00C54D4A"/>
    <w:rsid w:val="00C67B88"/>
    <w:rsid w:val="00C71376"/>
    <w:rsid w:val="00C754FF"/>
    <w:rsid w:val="00C80993"/>
    <w:rsid w:val="00CA0F1C"/>
    <w:rsid w:val="00CA3D09"/>
    <w:rsid w:val="00CA518E"/>
    <w:rsid w:val="00CA795A"/>
    <w:rsid w:val="00CB1D8F"/>
    <w:rsid w:val="00CB396B"/>
    <w:rsid w:val="00CB48C9"/>
    <w:rsid w:val="00CC1118"/>
    <w:rsid w:val="00CD016C"/>
    <w:rsid w:val="00CD2068"/>
    <w:rsid w:val="00CD4B06"/>
    <w:rsid w:val="00CE4490"/>
    <w:rsid w:val="00CF5CE0"/>
    <w:rsid w:val="00CF7903"/>
    <w:rsid w:val="00D0424C"/>
    <w:rsid w:val="00D050AD"/>
    <w:rsid w:val="00D10F58"/>
    <w:rsid w:val="00D14D53"/>
    <w:rsid w:val="00D26774"/>
    <w:rsid w:val="00D270F1"/>
    <w:rsid w:val="00D27B76"/>
    <w:rsid w:val="00D3306D"/>
    <w:rsid w:val="00D6214B"/>
    <w:rsid w:val="00D63FA3"/>
    <w:rsid w:val="00D664E2"/>
    <w:rsid w:val="00D770F6"/>
    <w:rsid w:val="00D8147D"/>
    <w:rsid w:val="00D90D4A"/>
    <w:rsid w:val="00D9311E"/>
    <w:rsid w:val="00DA6BF0"/>
    <w:rsid w:val="00DB07BA"/>
    <w:rsid w:val="00DB135D"/>
    <w:rsid w:val="00DB6166"/>
    <w:rsid w:val="00DD2F7D"/>
    <w:rsid w:val="00DD5F11"/>
    <w:rsid w:val="00DD77AA"/>
    <w:rsid w:val="00DF0958"/>
    <w:rsid w:val="00DF16F6"/>
    <w:rsid w:val="00DF2DD8"/>
    <w:rsid w:val="00DF6506"/>
    <w:rsid w:val="00DF6778"/>
    <w:rsid w:val="00DF7A1A"/>
    <w:rsid w:val="00E027D5"/>
    <w:rsid w:val="00E04B3A"/>
    <w:rsid w:val="00E12184"/>
    <w:rsid w:val="00E13AB3"/>
    <w:rsid w:val="00E25C52"/>
    <w:rsid w:val="00E324A1"/>
    <w:rsid w:val="00E37C4F"/>
    <w:rsid w:val="00E43779"/>
    <w:rsid w:val="00E437EA"/>
    <w:rsid w:val="00E50561"/>
    <w:rsid w:val="00E578C7"/>
    <w:rsid w:val="00E67E10"/>
    <w:rsid w:val="00E7068D"/>
    <w:rsid w:val="00E70E22"/>
    <w:rsid w:val="00E7158F"/>
    <w:rsid w:val="00E7482A"/>
    <w:rsid w:val="00E75939"/>
    <w:rsid w:val="00EA1F34"/>
    <w:rsid w:val="00EA56BA"/>
    <w:rsid w:val="00EB6DF6"/>
    <w:rsid w:val="00EB7359"/>
    <w:rsid w:val="00EB78BE"/>
    <w:rsid w:val="00EC5CA8"/>
    <w:rsid w:val="00EC5E3D"/>
    <w:rsid w:val="00EC7821"/>
    <w:rsid w:val="00EF3924"/>
    <w:rsid w:val="00EF4375"/>
    <w:rsid w:val="00F03377"/>
    <w:rsid w:val="00F161C8"/>
    <w:rsid w:val="00F36B2D"/>
    <w:rsid w:val="00F40E45"/>
    <w:rsid w:val="00F45E26"/>
    <w:rsid w:val="00F50B2C"/>
    <w:rsid w:val="00F5456D"/>
    <w:rsid w:val="00F658AC"/>
    <w:rsid w:val="00F65CF7"/>
    <w:rsid w:val="00F67191"/>
    <w:rsid w:val="00F67970"/>
    <w:rsid w:val="00F679C7"/>
    <w:rsid w:val="00F76740"/>
    <w:rsid w:val="00F8094C"/>
    <w:rsid w:val="00F81E68"/>
    <w:rsid w:val="00F8444D"/>
    <w:rsid w:val="00F85F80"/>
    <w:rsid w:val="00F8616D"/>
    <w:rsid w:val="00F94ACE"/>
    <w:rsid w:val="00FA3E04"/>
    <w:rsid w:val="00FB221C"/>
    <w:rsid w:val="00FD086B"/>
    <w:rsid w:val="00FE1C61"/>
    <w:rsid w:val="00FF0D3D"/>
    <w:rsid w:val="00FF1031"/>
    <w:rsid w:val="00FF45B6"/>
    <w:rsid w:val="00FF52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B4ECA"/>
  <w14:defaultImageDpi w14:val="0"/>
  <w15:docId w15:val="{18C86839-65B2-4705-8F70-A26DE80B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CBB"/>
    <w:pPr>
      <w:spacing w:before="120"/>
    </w:pPr>
    <w:rPr>
      <w:rFonts w:cs="Times New Roman"/>
      <w:sz w:val="24"/>
    </w:rPr>
  </w:style>
  <w:style w:type="paragraph" w:styleId="Heading1">
    <w:name w:val="heading 1"/>
    <w:basedOn w:val="Normal"/>
    <w:next w:val="Normal"/>
    <w:link w:val="Heading1Char"/>
    <w:autoRedefine/>
    <w:uiPriority w:val="9"/>
    <w:qFormat/>
    <w:rsid w:val="00FF1031"/>
    <w:pPr>
      <w:keepNext/>
      <w:keepLines/>
      <w:pageBreakBefore/>
      <w:spacing w:before="0" w:after="240"/>
      <w:outlineLvl w:val="0"/>
    </w:pPr>
    <w:rPr>
      <w:b/>
      <w:bCs/>
      <w:color w:val="FF0000"/>
      <w:sz w:val="36"/>
      <w:szCs w:val="36"/>
    </w:rPr>
  </w:style>
  <w:style w:type="paragraph" w:styleId="Heading2">
    <w:name w:val="heading 2"/>
    <w:basedOn w:val="Normal"/>
    <w:next w:val="Normal"/>
    <w:link w:val="Heading2Char"/>
    <w:autoRedefine/>
    <w:uiPriority w:val="9"/>
    <w:unhideWhenUsed/>
    <w:qFormat/>
    <w:rsid w:val="003350BB"/>
    <w:pPr>
      <w:keepNext/>
      <w:spacing w:before="240" w:after="120"/>
      <w:ind w:left="1418" w:right="-306" w:hanging="1418"/>
      <w:outlineLvl w:val="1"/>
    </w:pPr>
    <w:rPr>
      <w:b/>
      <w:bCs/>
      <w:iCs/>
      <w:sz w:val="28"/>
      <w:szCs w:val="28"/>
    </w:rPr>
  </w:style>
  <w:style w:type="paragraph" w:styleId="Heading3">
    <w:name w:val="heading 3"/>
    <w:basedOn w:val="Normal"/>
    <w:next w:val="Normal"/>
    <w:link w:val="Heading3Char"/>
    <w:autoRedefine/>
    <w:uiPriority w:val="9"/>
    <w:unhideWhenUsed/>
    <w:qFormat/>
    <w:rsid w:val="00E70E22"/>
    <w:pPr>
      <w:keepNext/>
      <w:spacing w:before="240" w:after="24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031"/>
    <w:rPr>
      <w:b/>
      <w:color w:val="FF0000"/>
      <w:sz w:val="36"/>
    </w:rPr>
  </w:style>
  <w:style w:type="character" w:customStyle="1" w:styleId="Heading2Char">
    <w:name w:val="Heading 2 Char"/>
    <w:basedOn w:val="DefaultParagraphFont"/>
    <w:link w:val="Heading2"/>
    <w:uiPriority w:val="9"/>
    <w:locked/>
    <w:rsid w:val="003350BB"/>
    <w:rPr>
      <w:rFonts w:cs="Times New Roman"/>
      <w:b/>
      <w:bCs/>
      <w:iCs/>
      <w:sz w:val="28"/>
      <w:szCs w:val="28"/>
    </w:rPr>
  </w:style>
  <w:style w:type="character" w:customStyle="1" w:styleId="Heading3Char">
    <w:name w:val="Heading 3 Char"/>
    <w:basedOn w:val="DefaultParagraphFont"/>
    <w:link w:val="Heading3"/>
    <w:uiPriority w:val="9"/>
    <w:locked/>
    <w:rsid w:val="00E70E22"/>
    <w:rPr>
      <w:b/>
      <w:sz w:val="26"/>
    </w:rPr>
  </w:style>
  <w:style w:type="paragraph" w:styleId="Title">
    <w:name w:val="Title"/>
    <w:basedOn w:val="Normal"/>
    <w:next w:val="Normal"/>
    <w:link w:val="TitleChar"/>
    <w:autoRedefine/>
    <w:uiPriority w:val="10"/>
    <w:qFormat/>
    <w:rsid w:val="00A7000C"/>
    <w:pPr>
      <w:spacing w:before="240" w:after="60"/>
      <w:jc w:val="center"/>
      <w:outlineLvl w:val="0"/>
    </w:pPr>
    <w:rPr>
      <w:b/>
      <w:bCs/>
      <w:kern w:val="28"/>
      <w:sz w:val="32"/>
      <w:szCs w:val="32"/>
      <w:lang w:eastAsia="en-US"/>
    </w:rPr>
  </w:style>
  <w:style w:type="character" w:customStyle="1" w:styleId="TitleChar">
    <w:name w:val="Title Char"/>
    <w:basedOn w:val="DefaultParagraphFont"/>
    <w:link w:val="Title"/>
    <w:uiPriority w:val="10"/>
    <w:locked/>
    <w:rsid w:val="00A7000C"/>
    <w:rPr>
      <w:rFonts w:ascii="Calibri" w:hAnsi="Calibri"/>
      <w:b/>
      <w:kern w:val="28"/>
      <w:sz w:val="32"/>
      <w:lang w:val="x-none" w:eastAsia="en-US"/>
    </w:rPr>
  </w:style>
  <w:style w:type="paragraph" w:styleId="TOC1">
    <w:name w:val="toc 1"/>
    <w:basedOn w:val="Normal"/>
    <w:next w:val="Normal"/>
    <w:autoRedefine/>
    <w:uiPriority w:val="39"/>
    <w:unhideWhenUsed/>
    <w:rsid w:val="00711CBB"/>
  </w:style>
  <w:style w:type="paragraph" w:customStyle="1" w:styleId="Default">
    <w:name w:val="Default"/>
    <w:rsid w:val="00A115D8"/>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uiPriority w:val="99"/>
    <w:semiHidden/>
    <w:rsid w:val="00962E04"/>
    <w:pPr>
      <w:spacing w:before="160"/>
    </w:pPr>
    <w:rPr>
      <w:rFonts w:ascii="Times New Roman" w:hAnsi="Times New Roman"/>
      <w:sz w:val="20"/>
    </w:rPr>
  </w:style>
  <w:style w:type="character" w:customStyle="1" w:styleId="FootnoteTextChar">
    <w:name w:val="Footnote Text Char"/>
    <w:basedOn w:val="DefaultParagraphFont"/>
    <w:link w:val="FootnoteText"/>
    <w:uiPriority w:val="99"/>
    <w:semiHidden/>
    <w:locked/>
    <w:rsid w:val="00962E04"/>
    <w:rPr>
      <w:rFonts w:ascii="Times New Roman" w:hAnsi="Times New Roman"/>
    </w:rPr>
  </w:style>
  <w:style w:type="character" w:styleId="FootnoteReference">
    <w:name w:val="footnote reference"/>
    <w:basedOn w:val="DefaultParagraphFont"/>
    <w:uiPriority w:val="99"/>
    <w:semiHidden/>
    <w:rsid w:val="00962E04"/>
    <w:rPr>
      <w:vertAlign w:val="superscript"/>
    </w:rPr>
  </w:style>
  <w:style w:type="character" w:styleId="Hyperlink">
    <w:name w:val="Hyperlink"/>
    <w:basedOn w:val="DefaultParagraphFont"/>
    <w:uiPriority w:val="99"/>
    <w:unhideWhenUsed/>
    <w:rsid w:val="00962E04"/>
    <w:rPr>
      <w:color w:val="0000FF"/>
      <w:u w:val="single"/>
    </w:rPr>
  </w:style>
  <w:style w:type="paragraph" w:styleId="ListParagraph">
    <w:name w:val="List Paragraph"/>
    <w:basedOn w:val="Normal"/>
    <w:link w:val="ListParagraphChar"/>
    <w:uiPriority w:val="34"/>
    <w:qFormat/>
    <w:rsid w:val="00E67E10"/>
    <w:pPr>
      <w:spacing w:before="160" w:after="160" w:line="276" w:lineRule="auto"/>
      <w:ind w:left="720"/>
      <w:contextualSpacing/>
    </w:pPr>
    <w:rPr>
      <w:sz w:val="22"/>
      <w:szCs w:val="22"/>
      <w:lang w:eastAsia="en-US"/>
    </w:rPr>
  </w:style>
  <w:style w:type="character" w:customStyle="1" w:styleId="ListParagraphChar">
    <w:name w:val="List Paragraph Char"/>
    <w:link w:val="ListParagraph"/>
    <w:uiPriority w:val="34"/>
    <w:locked/>
    <w:rsid w:val="00E67E10"/>
    <w:rPr>
      <w:rFonts w:eastAsia="Times New Roman"/>
      <w:sz w:val="22"/>
      <w:lang w:val="x-none" w:eastAsia="en-US"/>
    </w:rPr>
  </w:style>
  <w:style w:type="paragraph" w:styleId="BalloonText">
    <w:name w:val="Balloon Text"/>
    <w:basedOn w:val="Normal"/>
    <w:link w:val="BalloonTextChar"/>
    <w:uiPriority w:val="99"/>
    <w:semiHidden/>
    <w:unhideWhenUsed/>
    <w:rsid w:val="00B73261"/>
    <w:pPr>
      <w:spacing w:before="0"/>
    </w:pPr>
    <w:rPr>
      <w:rFonts w:ascii="Tahoma" w:hAnsi="Tahoma"/>
      <w:sz w:val="16"/>
      <w:szCs w:val="16"/>
    </w:rPr>
  </w:style>
  <w:style w:type="character" w:customStyle="1" w:styleId="BalloonTextChar">
    <w:name w:val="Balloon Text Char"/>
    <w:basedOn w:val="DefaultParagraphFont"/>
    <w:link w:val="BalloonText"/>
    <w:uiPriority w:val="99"/>
    <w:semiHidden/>
    <w:locked/>
    <w:rsid w:val="00B73261"/>
    <w:rPr>
      <w:rFonts w:ascii="Tahoma" w:hAnsi="Tahoma"/>
      <w:sz w:val="16"/>
    </w:rPr>
  </w:style>
  <w:style w:type="character" w:styleId="CommentReference">
    <w:name w:val="annotation reference"/>
    <w:basedOn w:val="DefaultParagraphFont"/>
    <w:uiPriority w:val="99"/>
    <w:semiHidden/>
    <w:unhideWhenUsed/>
    <w:rsid w:val="001B72FB"/>
    <w:rPr>
      <w:sz w:val="16"/>
    </w:rPr>
  </w:style>
  <w:style w:type="paragraph" w:styleId="CommentText">
    <w:name w:val="annotation text"/>
    <w:basedOn w:val="Normal"/>
    <w:link w:val="CommentTextChar"/>
    <w:uiPriority w:val="99"/>
    <w:semiHidden/>
    <w:unhideWhenUsed/>
    <w:rsid w:val="001B72FB"/>
    <w:rPr>
      <w:sz w:val="20"/>
    </w:rPr>
  </w:style>
  <w:style w:type="character" w:customStyle="1" w:styleId="CommentTextChar">
    <w:name w:val="Comment Text Char"/>
    <w:basedOn w:val="DefaultParagraphFont"/>
    <w:link w:val="CommentText"/>
    <w:uiPriority w:val="99"/>
    <w:semiHidden/>
    <w:locked/>
    <w:rsid w:val="001B72FB"/>
    <w:rPr>
      <w:rFonts w:cs="Times New Roman"/>
    </w:rPr>
  </w:style>
  <w:style w:type="paragraph" w:styleId="CommentSubject">
    <w:name w:val="annotation subject"/>
    <w:basedOn w:val="CommentText"/>
    <w:next w:val="CommentText"/>
    <w:link w:val="CommentSubjectChar"/>
    <w:uiPriority w:val="99"/>
    <w:semiHidden/>
    <w:unhideWhenUsed/>
    <w:rsid w:val="001B72FB"/>
    <w:rPr>
      <w:b/>
      <w:bCs/>
    </w:rPr>
  </w:style>
  <w:style w:type="character" w:customStyle="1" w:styleId="CommentSubjectChar">
    <w:name w:val="Comment Subject Char"/>
    <w:basedOn w:val="CommentTextChar"/>
    <w:link w:val="CommentSubject"/>
    <w:uiPriority w:val="99"/>
    <w:semiHidden/>
    <w:locked/>
    <w:rsid w:val="001B72FB"/>
    <w:rPr>
      <w:rFonts w:cs="Times New Roman"/>
      <w:b/>
    </w:rPr>
  </w:style>
  <w:style w:type="paragraph" w:customStyle="1" w:styleId="Amain">
    <w:name w:val="A main"/>
    <w:basedOn w:val="Normal"/>
    <w:rsid w:val="008F25C0"/>
    <w:pPr>
      <w:numPr>
        <w:ilvl w:val="5"/>
        <w:numId w:val="18"/>
      </w:numPr>
      <w:spacing w:before="80" w:after="60"/>
      <w:jc w:val="both"/>
      <w:outlineLvl w:val="5"/>
    </w:pPr>
    <w:rPr>
      <w:rFonts w:ascii="Times New Roman" w:hAnsi="Times New Roman"/>
      <w:lang w:eastAsia="en-US"/>
    </w:rPr>
  </w:style>
  <w:style w:type="paragraph" w:customStyle="1" w:styleId="Apara">
    <w:name w:val="A para"/>
    <w:basedOn w:val="Normal"/>
    <w:rsid w:val="008F25C0"/>
    <w:pPr>
      <w:numPr>
        <w:ilvl w:val="6"/>
        <w:numId w:val="18"/>
      </w:numPr>
      <w:spacing w:before="80" w:after="60"/>
      <w:jc w:val="both"/>
      <w:outlineLvl w:val="6"/>
    </w:pPr>
    <w:rPr>
      <w:rFonts w:ascii="Times New Roman" w:hAnsi="Times New Roman"/>
      <w:lang w:eastAsia="en-US"/>
    </w:rPr>
  </w:style>
  <w:style w:type="paragraph" w:customStyle="1" w:styleId="Asubpara">
    <w:name w:val="A subpara"/>
    <w:basedOn w:val="Normal"/>
    <w:rsid w:val="008F25C0"/>
    <w:pPr>
      <w:numPr>
        <w:ilvl w:val="7"/>
        <w:numId w:val="18"/>
      </w:numPr>
      <w:spacing w:before="80" w:after="60"/>
      <w:jc w:val="both"/>
      <w:outlineLvl w:val="7"/>
    </w:pPr>
    <w:rPr>
      <w:rFonts w:ascii="Times New Roman" w:hAnsi="Times New Roman"/>
      <w:lang w:eastAsia="en-US"/>
    </w:rPr>
  </w:style>
  <w:style w:type="paragraph" w:customStyle="1" w:styleId="Asubsubpara">
    <w:name w:val="A subsubpara"/>
    <w:basedOn w:val="Normal"/>
    <w:rsid w:val="008F25C0"/>
    <w:pPr>
      <w:numPr>
        <w:ilvl w:val="8"/>
        <w:numId w:val="18"/>
      </w:numPr>
      <w:spacing w:before="80" w:after="60"/>
      <w:jc w:val="both"/>
      <w:outlineLvl w:val="8"/>
    </w:pPr>
    <w:rPr>
      <w:rFonts w:ascii="Times New Roman" w:hAnsi="Times New Roman"/>
      <w:lang w:eastAsia="en-US"/>
    </w:rPr>
  </w:style>
  <w:style w:type="paragraph" w:customStyle="1" w:styleId="AH5Sec">
    <w:name w:val="A H5 Sec"/>
    <w:aliases w:val="s"/>
    <w:basedOn w:val="Normal"/>
    <w:next w:val="Amain"/>
    <w:rsid w:val="008F25C0"/>
    <w:pPr>
      <w:keepNext/>
      <w:numPr>
        <w:ilvl w:val="4"/>
        <w:numId w:val="18"/>
      </w:numPr>
      <w:tabs>
        <w:tab w:val="left" w:pos="2600"/>
      </w:tabs>
      <w:spacing w:before="180" w:after="60"/>
      <w:jc w:val="both"/>
      <w:outlineLvl w:val="4"/>
    </w:pPr>
    <w:rPr>
      <w:rFonts w:ascii="Arial" w:hAnsi="Arial"/>
      <w:b/>
      <w:lang w:eastAsia="en-US"/>
    </w:rPr>
  </w:style>
  <w:style w:type="paragraph" w:styleId="Header">
    <w:name w:val="header"/>
    <w:basedOn w:val="Normal"/>
    <w:link w:val="HeaderChar"/>
    <w:uiPriority w:val="99"/>
    <w:unhideWhenUsed/>
    <w:rsid w:val="001F1623"/>
    <w:pPr>
      <w:tabs>
        <w:tab w:val="center" w:pos="4513"/>
        <w:tab w:val="right" w:pos="9026"/>
      </w:tabs>
    </w:pPr>
  </w:style>
  <w:style w:type="character" w:customStyle="1" w:styleId="HeaderChar">
    <w:name w:val="Header Char"/>
    <w:basedOn w:val="DefaultParagraphFont"/>
    <w:link w:val="Header"/>
    <w:uiPriority w:val="99"/>
    <w:locked/>
    <w:rsid w:val="001F1623"/>
    <w:rPr>
      <w:rFonts w:cs="Times New Roman"/>
      <w:sz w:val="24"/>
    </w:rPr>
  </w:style>
  <w:style w:type="paragraph" w:styleId="Footer">
    <w:name w:val="footer"/>
    <w:basedOn w:val="Normal"/>
    <w:link w:val="FooterChar"/>
    <w:uiPriority w:val="99"/>
    <w:unhideWhenUsed/>
    <w:rsid w:val="001F1623"/>
    <w:pPr>
      <w:tabs>
        <w:tab w:val="center" w:pos="4513"/>
        <w:tab w:val="right" w:pos="9026"/>
      </w:tabs>
    </w:pPr>
  </w:style>
  <w:style w:type="character" w:customStyle="1" w:styleId="FooterChar">
    <w:name w:val="Footer Char"/>
    <w:basedOn w:val="DefaultParagraphFont"/>
    <w:link w:val="Footer"/>
    <w:uiPriority w:val="99"/>
    <w:locked/>
    <w:rsid w:val="001F1623"/>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869469">
      <w:bodyDiv w:val="1"/>
      <w:marLeft w:val="0"/>
      <w:marRight w:val="0"/>
      <w:marTop w:val="0"/>
      <w:marBottom w:val="0"/>
      <w:divBdr>
        <w:top w:val="none" w:sz="0" w:space="0" w:color="auto"/>
        <w:left w:val="none" w:sz="0" w:space="0" w:color="auto"/>
        <w:bottom w:val="none" w:sz="0" w:space="0" w:color="auto"/>
        <w:right w:val="none" w:sz="0" w:space="0" w:color="auto"/>
      </w:divBdr>
      <w:divsChild>
        <w:div w:id="1014646709">
          <w:marLeft w:val="0"/>
          <w:marRight w:val="0"/>
          <w:marTop w:val="0"/>
          <w:marBottom w:val="0"/>
          <w:divBdr>
            <w:top w:val="none" w:sz="0" w:space="0" w:color="auto"/>
            <w:left w:val="none" w:sz="0" w:space="0" w:color="auto"/>
            <w:bottom w:val="none" w:sz="0" w:space="0" w:color="auto"/>
            <w:right w:val="none" w:sz="0" w:space="0" w:color="auto"/>
          </w:divBdr>
        </w:div>
        <w:div w:id="240991908">
          <w:marLeft w:val="0"/>
          <w:marRight w:val="0"/>
          <w:marTop w:val="0"/>
          <w:marBottom w:val="0"/>
          <w:divBdr>
            <w:top w:val="none" w:sz="0" w:space="0" w:color="auto"/>
            <w:left w:val="none" w:sz="0" w:space="0" w:color="auto"/>
            <w:bottom w:val="none" w:sz="0" w:space="0" w:color="auto"/>
            <w:right w:val="none" w:sz="0" w:space="0" w:color="auto"/>
          </w:divBdr>
        </w:div>
        <w:div w:id="716395803">
          <w:marLeft w:val="0"/>
          <w:marRight w:val="0"/>
          <w:marTop w:val="0"/>
          <w:marBottom w:val="0"/>
          <w:divBdr>
            <w:top w:val="none" w:sz="0" w:space="0" w:color="auto"/>
            <w:left w:val="none" w:sz="0" w:space="0" w:color="auto"/>
            <w:bottom w:val="none" w:sz="0" w:space="0" w:color="auto"/>
            <w:right w:val="none" w:sz="0" w:space="0" w:color="auto"/>
          </w:divBdr>
        </w:div>
        <w:div w:id="326247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41E3-74C4-420D-8EFC-46A14E58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2135</Words>
  <Characters>11879</Characters>
  <Application>Microsoft Office Word</Application>
  <DocSecurity>0</DocSecurity>
  <Lines>230</Lines>
  <Paragraphs>110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2012-03-20T06:31:00Z</cp:lastPrinted>
  <dcterms:created xsi:type="dcterms:W3CDTF">2019-08-13T01:44:00Z</dcterms:created>
  <dcterms:modified xsi:type="dcterms:W3CDTF">2019-08-13T01:44:00Z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A20490497</vt:lpwstr>
  </property>
  <property fmtid="{D5CDD505-2E9C-101B-9397-08002B2CF9AE}" pid="3" name="Objective-Title">
    <vt:lpwstr>Attachment D - Explanatory Statement</vt:lpwstr>
  </property>
  <property fmtid="{D5CDD505-2E9C-101B-9397-08002B2CF9AE}" pid="4" name="Objective-Comment">
    <vt:lpwstr/>
  </property>
  <property fmtid="{D5CDD505-2E9C-101B-9397-08002B2CF9AE}" pid="5" name="Objective-CreationStamp">
    <vt:filetime>2019-07-03T04:47:53Z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2019-07-16T01:32:04Z</vt:filetime>
  </property>
  <property fmtid="{D5CDD505-2E9C-101B-9397-08002B2CF9AE}" pid="9" name="Objective-ModificationStamp">
    <vt:filetime>2019-07-16T01:32:04Z</vt:filetime>
  </property>
  <property fmtid="{D5CDD505-2E9C-101B-9397-08002B2CF9AE}" pid="10" name="Objective-Owner">
    <vt:lpwstr>Su Wild-River</vt:lpwstr>
  </property>
  <property fmtid="{D5CDD505-2E9C-101B-9397-08002B2CF9AE}" pid="11" name="Objective-Path">
    <vt:lpwstr>Whole of ACT Government:EPSDD - Environment Planning and Sustainable Development Directorate:07. Ministerial, Cabinet and Government Relations:05. Cabinet:01. 9th Assembly:02. EPSDD Active Cabinet Submissions:19/295 - Cabinet - Energy Efficiency (Cost of </vt:lpwstr>
  </property>
  <property fmtid="{D5CDD505-2E9C-101B-9397-08002B2CF9AE}" pid="12" name="Objective-Parent">
    <vt:lpwstr>02. Final Review Documentation</vt:lpwstr>
  </property>
  <property fmtid="{D5CDD505-2E9C-101B-9397-08002B2CF9AE}" pid="13" name="Objective-State">
    <vt:lpwstr>Published</vt:lpwstr>
  </property>
  <property fmtid="{D5CDD505-2E9C-101B-9397-08002B2CF9AE}" pid="14" name="Objective-Version">
    <vt:lpwstr>18.0</vt:lpwstr>
  </property>
  <property fmtid="{D5CDD505-2E9C-101B-9397-08002B2CF9AE}" pid="15" name="Objective-VersionNumber">
    <vt:r8>21</vt:r8>
  </property>
  <property fmtid="{D5CDD505-2E9C-101B-9397-08002B2CF9AE}" pid="16" name="Objective-VersionComment">
    <vt:lpwstr/>
  </property>
  <property fmtid="{D5CDD505-2E9C-101B-9397-08002B2CF9AE}" pid="17" name="Objective-FileNumber">
    <vt:lpwstr>1-2019/13058</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