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49A" w:rsidRDefault="0079749A" w:rsidP="0079749A">
      <w:pPr>
        <w:autoSpaceDE w:val="0"/>
        <w:autoSpaceDN w:val="0"/>
        <w:adjustRightInd w:val="0"/>
        <w:spacing w:after="0" w:line="240" w:lineRule="auto"/>
        <w:rPr>
          <w:rFonts w:ascii="ArialMT" w:hAnsi="ArialMT" w:cs="ArialMT"/>
          <w:sz w:val="24"/>
          <w:szCs w:val="24"/>
        </w:rPr>
      </w:pPr>
      <w:bookmarkStart w:id="0" w:name="_GoBack"/>
      <w:bookmarkEnd w:id="0"/>
      <w:r>
        <w:rPr>
          <w:rFonts w:ascii="ArialMT" w:hAnsi="ArialMT" w:cs="ArialMT"/>
          <w:sz w:val="24"/>
          <w:szCs w:val="24"/>
        </w:rPr>
        <w:t>Australian Capital Territory</w:t>
      </w:r>
    </w:p>
    <w:p w:rsidR="0079749A" w:rsidRDefault="0079749A" w:rsidP="0079749A">
      <w:pPr>
        <w:autoSpaceDE w:val="0"/>
        <w:autoSpaceDN w:val="0"/>
        <w:adjustRightInd w:val="0"/>
        <w:spacing w:after="0" w:line="240" w:lineRule="auto"/>
        <w:rPr>
          <w:rFonts w:ascii="Arial-BoldMT" w:hAnsi="Arial-BoldMT" w:cs="Arial-BoldMT"/>
          <w:b/>
          <w:bCs/>
          <w:sz w:val="40"/>
          <w:szCs w:val="40"/>
        </w:rPr>
      </w:pPr>
    </w:p>
    <w:p w:rsidR="0079749A" w:rsidRDefault="001C18BC" w:rsidP="0079749A">
      <w:pPr>
        <w:autoSpaceDE w:val="0"/>
        <w:autoSpaceDN w:val="0"/>
        <w:adjustRightInd w:val="0"/>
        <w:spacing w:after="0" w:line="240" w:lineRule="auto"/>
        <w:rPr>
          <w:rFonts w:ascii="Arial-BoldMT" w:hAnsi="Arial-BoldMT" w:cs="Arial-BoldMT"/>
          <w:b/>
          <w:bCs/>
          <w:sz w:val="40"/>
          <w:szCs w:val="40"/>
        </w:rPr>
      </w:pPr>
      <w:r w:rsidRPr="001C18BC">
        <w:rPr>
          <w:rFonts w:ascii="Arial-BoldMT" w:hAnsi="Arial-BoldMT" w:cs="Arial-BoldMT"/>
          <w:b/>
          <w:bCs/>
          <w:sz w:val="40"/>
          <w:szCs w:val="40"/>
        </w:rPr>
        <w:t xml:space="preserve">Controlled Sports (Fees) Determination 2019 </w:t>
      </w:r>
      <w:r w:rsidR="0079749A">
        <w:rPr>
          <w:rFonts w:ascii="Arial-BoldMT" w:hAnsi="Arial-BoldMT" w:cs="Arial-BoldMT"/>
          <w:b/>
          <w:bCs/>
          <w:sz w:val="40"/>
          <w:szCs w:val="40"/>
        </w:rPr>
        <w:t>(No 1)</w:t>
      </w:r>
    </w:p>
    <w:p w:rsidR="0079749A" w:rsidRDefault="0079749A" w:rsidP="0079749A">
      <w:pPr>
        <w:autoSpaceDE w:val="0"/>
        <w:autoSpaceDN w:val="0"/>
        <w:adjustRightInd w:val="0"/>
        <w:spacing w:after="0" w:line="240" w:lineRule="auto"/>
        <w:rPr>
          <w:rFonts w:ascii="Arial-BoldMT" w:hAnsi="Arial-BoldMT" w:cs="Arial-BoldMT"/>
          <w:b/>
          <w:bCs/>
          <w:sz w:val="24"/>
          <w:szCs w:val="24"/>
        </w:rPr>
      </w:pPr>
    </w:p>
    <w:p w:rsidR="0079749A" w:rsidRDefault="0079749A" w:rsidP="0079749A">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Disallowable instrument</w:t>
      </w:r>
      <w:r w:rsidR="001629AE">
        <w:rPr>
          <w:rFonts w:ascii="Arial-BoldMT" w:hAnsi="Arial-BoldMT" w:cs="Arial-BoldMT"/>
          <w:b/>
          <w:bCs/>
          <w:sz w:val="24"/>
          <w:szCs w:val="24"/>
        </w:rPr>
        <w:t xml:space="preserve"> </w:t>
      </w:r>
      <w:r w:rsidR="001629AE" w:rsidRPr="001629AE">
        <w:rPr>
          <w:rFonts w:ascii="Arial-BoldMT" w:hAnsi="Arial-BoldMT" w:cs="Arial-BoldMT"/>
          <w:b/>
          <w:bCs/>
          <w:sz w:val="24"/>
          <w:szCs w:val="24"/>
        </w:rPr>
        <w:t>DI2019–196</w:t>
      </w:r>
    </w:p>
    <w:p w:rsidR="0079749A" w:rsidRDefault="0079749A" w:rsidP="0079749A">
      <w:pPr>
        <w:autoSpaceDE w:val="0"/>
        <w:autoSpaceDN w:val="0"/>
        <w:adjustRightInd w:val="0"/>
        <w:spacing w:after="0" w:line="240" w:lineRule="auto"/>
        <w:rPr>
          <w:rFonts w:ascii="ArialMT" w:hAnsi="ArialMT" w:cs="ArialMT"/>
          <w:sz w:val="24"/>
          <w:szCs w:val="24"/>
        </w:rPr>
      </w:pPr>
    </w:p>
    <w:p w:rsidR="0079749A" w:rsidRDefault="0079749A" w:rsidP="0079749A">
      <w:pPr>
        <w:autoSpaceDE w:val="0"/>
        <w:autoSpaceDN w:val="0"/>
        <w:adjustRightInd w:val="0"/>
        <w:spacing w:after="0" w:line="240" w:lineRule="auto"/>
        <w:rPr>
          <w:rFonts w:ascii="ArialMT" w:hAnsi="ArialMT" w:cs="ArialMT"/>
          <w:sz w:val="24"/>
          <w:szCs w:val="24"/>
        </w:rPr>
      </w:pPr>
      <w:r>
        <w:rPr>
          <w:rFonts w:ascii="ArialMT" w:hAnsi="ArialMT" w:cs="ArialMT"/>
          <w:sz w:val="24"/>
          <w:szCs w:val="24"/>
        </w:rPr>
        <w:t>made under the</w:t>
      </w:r>
    </w:p>
    <w:p w:rsidR="0079749A" w:rsidRDefault="0079749A" w:rsidP="0079749A">
      <w:pPr>
        <w:autoSpaceDE w:val="0"/>
        <w:autoSpaceDN w:val="0"/>
        <w:adjustRightInd w:val="0"/>
        <w:spacing w:after="0" w:line="240" w:lineRule="auto"/>
        <w:rPr>
          <w:rFonts w:ascii="Arial-BoldMT" w:hAnsi="Arial-BoldMT" w:cs="Arial-BoldMT"/>
          <w:b/>
          <w:bCs/>
          <w:sz w:val="24"/>
          <w:szCs w:val="24"/>
        </w:rPr>
      </w:pPr>
    </w:p>
    <w:p w:rsidR="0079749A" w:rsidRDefault="0079749A" w:rsidP="0079749A">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Controlled Sports Act 2019, Section 89 (Determination of fees)</w:t>
      </w:r>
    </w:p>
    <w:p w:rsidR="0019071F" w:rsidRDefault="0019071F"/>
    <w:p w:rsidR="0079749A" w:rsidRDefault="0079749A"/>
    <w:p w:rsidR="0079749A" w:rsidRDefault="0079749A">
      <w:pPr>
        <w:pBdr>
          <w:bottom w:val="single" w:sz="12" w:space="1" w:color="auto"/>
        </w:pBdr>
        <w:rPr>
          <w:b/>
          <w:sz w:val="40"/>
        </w:rPr>
      </w:pPr>
      <w:r w:rsidRPr="0079749A">
        <w:rPr>
          <w:b/>
          <w:sz w:val="40"/>
        </w:rPr>
        <w:t xml:space="preserve">EXPLANATORY STATEMENT </w:t>
      </w:r>
    </w:p>
    <w:p w:rsidR="0079749A" w:rsidRDefault="0079749A">
      <w:pPr>
        <w:rPr>
          <w:sz w:val="24"/>
        </w:rPr>
      </w:pPr>
    </w:p>
    <w:p w:rsidR="0079749A" w:rsidRDefault="0079749A">
      <w:r w:rsidRPr="0079749A">
        <w:t xml:space="preserve">The </w:t>
      </w:r>
      <w:r w:rsidRPr="0079749A">
        <w:rPr>
          <w:i/>
        </w:rPr>
        <w:t>Controlled Sports Act 2019</w:t>
      </w:r>
      <w:r w:rsidRPr="0079749A">
        <w:t xml:space="preserve"> (the Act) </w:t>
      </w:r>
      <w:r>
        <w:t xml:space="preserve">commences operation on 11 October 2019. Section 89 of the Act provides that the Minister may determine fees for the Act. </w:t>
      </w:r>
    </w:p>
    <w:p w:rsidR="0079749A" w:rsidRDefault="0079749A">
      <w:r>
        <w:t xml:space="preserve">The Act repeals the previous </w:t>
      </w:r>
      <w:r w:rsidRPr="0079749A">
        <w:rPr>
          <w:i/>
        </w:rPr>
        <w:t>Boxing Control Act 1993</w:t>
      </w:r>
      <w:r w:rsidR="00361FA9">
        <w:rPr>
          <w:i/>
        </w:rPr>
        <w:t xml:space="preserve"> </w:t>
      </w:r>
      <w:r w:rsidR="00361FA9">
        <w:t>and its instruments</w:t>
      </w:r>
      <w:r>
        <w:t>, of which fees were determined under Section 20. Fees under the Boxing Control Act were last reviewed in 2010 and are not reflective of the administrative cost of processing applications to hold</w:t>
      </w:r>
      <w:r w:rsidR="009A6657">
        <w:t xml:space="preserve"> combat sports events in the ACT</w:t>
      </w:r>
      <w:r>
        <w:t xml:space="preserve">. </w:t>
      </w:r>
    </w:p>
    <w:p w:rsidR="0079749A" w:rsidRDefault="0079749A">
      <w:r>
        <w:t xml:space="preserve">In addition to the setting of fees for applications for events that were previously made under the Boxing Control Act, the Act also sets fees for the first time on a range of new services provided by the ACT Government to regulate controlled sports events. </w:t>
      </w:r>
    </w:p>
    <w:p w:rsidR="0079749A" w:rsidRDefault="0079749A">
      <w:r>
        <w:t xml:space="preserve">Additionally, the ACT will be inspecting events for the first time. These provisions did not exist under the Boxing Control Act, and therefore has raised the cost of administering legislation relating to regulating controlled sports (combat sports) events. </w:t>
      </w:r>
      <w:r w:rsidR="00BD19AA">
        <w:t xml:space="preserve">This cost is partially offset by a rise in fees. </w:t>
      </w:r>
    </w:p>
    <w:p w:rsidR="00506A43" w:rsidRDefault="00361FA9">
      <w:r>
        <w:t>Table 1 below indicates the amount of the old fee (under the Boxing Control Act), the amount of the new fee</w:t>
      </w:r>
      <w:r w:rsidR="00BD19AA">
        <w:t xml:space="preserve"> for comparable items</w:t>
      </w:r>
      <w:r>
        <w:t xml:space="preserve">, and a summary of the reason for the change as a result of the commencement of the Act and notification of this instrument. </w:t>
      </w:r>
      <w:r w:rsidR="00BD19AA">
        <w:t>All other matters are</w:t>
      </w:r>
      <w:r>
        <w:t xml:space="preserve"> new fees made under the Act.</w:t>
      </w:r>
      <w:r w:rsidR="00BD19AA">
        <w:t xml:space="preserve"> All fees align with comparative costs in other regulating jurisdictions, and are most reflective of the fees made under the </w:t>
      </w:r>
      <w:r w:rsidR="00BD19AA" w:rsidRPr="00BD19AA">
        <w:rPr>
          <w:i/>
        </w:rPr>
        <w:t>Combat Sports Act 2013</w:t>
      </w:r>
      <w:r w:rsidR="00BD19AA">
        <w:t xml:space="preserve"> (NSW). </w:t>
      </w:r>
      <w:r w:rsidR="00506A43">
        <w:t xml:space="preserve"> </w:t>
      </w:r>
    </w:p>
    <w:p w:rsidR="00506A43" w:rsidRDefault="00506A43">
      <w:pPr>
        <w:sectPr w:rsidR="00506A43" w:rsidSect="0060356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r>
        <w:t xml:space="preserve">Fees relating to registrable events can potentially be offset for promoters by a small increase in ticket prices of around $1-2, given that the fee payable is based on ticket sales. </w:t>
      </w:r>
    </w:p>
    <w:p w:rsidR="00603561" w:rsidRDefault="00603561"/>
    <w:p w:rsidR="00361FA9" w:rsidRPr="00603561" w:rsidRDefault="00361FA9">
      <w:pPr>
        <w:rPr>
          <w:b/>
        </w:rPr>
      </w:pPr>
      <w:r w:rsidRPr="00603561">
        <w:rPr>
          <w:b/>
        </w:rPr>
        <w:t xml:space="preserve">Table 1: </w:t>
      </w:r>
    </w:p>
    <w:tbl>
      <w:tblPr>
        <w:tblW w:w="13841" w:type="dxa"/>
        <w:tblInd w:w="-244" w:type="dxa"/>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1095"/>
        <w:gridCol w:w="2126"/>
        <w:gridCol w:w="2693"/>
        <w:gridCol w:w="1560"/>
        <w:gridCol w:w="2126"/>
        <w:gridCol w:w="4241"/>
      </w:tblGrid>
      <w:tr w:rsidR="00603561" w:rsidRPr="00C86F9A" w:rsidTr="00BD19AA">
        <w:trPr>
          <w:trHeight w:val="1666"/>
          <w:tblHeader/>
        </w:trPr>
        <w:tc>
          <w:tcPr>
            <w:tcW w:w="1095" w:type="dxa"/>
            <w:shd w:val="clear" w:color="C0C0C0" w:fill="auto"/>
          </w:tcPr>
          <w:p w:rsidR="009A6657" w:rsidRPr="00C86F9A" w:rsidRDefault="009A6657" w:rsidP="00464BFD">
            <w:pPr>
              <w:pStyle w:val="tableheading"/>
              <w:rPr>
                <w:rFonts w:ascii="Arial" w:hAnsi="Arial" w:cs="Arial"/>
              </w:rPr>
            </w:pPr>
            <w:r w:rsidRPr="00C86F9A">
              <w:rPr>
                <w:rFonts w:ascii="Arial" w:hAnsi="Arial" w:cs="Arial"/>
              </w:rPr>
              <w:t>column 1</w:t>
            </w:r>
          </w:p>
          <w:p w:rsidR="009A6657" w:rsidRPr="00C86F9A" w:rsidRDefault="009A6657" w:rsidP="00464BFD">
            <w:pPr>
              <w:pStyle w:val="tableheading"/>
              <w:rPr>
                <w:rFonts w:ascii="Arial" w:hAnsi="Arial" w:cs="Arial"/>
              </w:rPr>
            </w:pPr>
            <w:r w:rsidRPr="00C86F9A">
              <w:rPr>
                <w:rFonts w:ascii="Arial" w:hAnsi="Arial" w:cs="Arial"/>
              </w:rPr>
              <w:t>Item Number</w:t>
            </w:r>
          </w:p>
        </w:tc>
        <w:tc>
          <w:tcPr>
            <w:tcW w:w="2126" w:type="dxa"/>
            <w:shd w:val="clear" w:color="C0C0C0" w:fill="auto"/>
          </w:tcPr>
          <w:p w:rsidR="009A6657" w:rsidRPr="00C86F9A" w:rsidRDefault="009A6657" w:rsidP="00464BFD">
            <w:pPr>
              <w:pStyle w:val="tableheading"/>
              <w:ind w:left="102"/>
              <w:rPr>
                <w:rFonts w:ascii="Arial" w:hAnsi="Arial" w:cs="Arial"/>
              </w:rPr>
            </w:pPr>
            <w:r w:rsidRPr="00C86F9A">
              <w:rPr>
                <w:rFonts w:ascii="Arial" w:hAnsi="Arial" w:cs="Arial"/>
              </w:rPr>
              <w:t>column 2</w:t>
            </w:r>
          </w:p>
          <w:p w:rsidR="009A6657" w:rsidRPr="00C86F9A" w:rsidRDefault="009A6657" w:rsidP="00464BFD">
            <w:pPr>
              <w:pStyle w:val="tableheading"/>
              <w:ind w:left="102"/>
              <w:rPr>
                <w:rFonts w:ascii="Arial" w:hAnsi="Arial" w:cs="Arial"/>
              </w:rPr>
            </w:pPr>
            <w:r w:rsidRPr="00C86F9A">
              <w:rPr>
                <w:rFonts w:ascii="Arial" w:hAnsi="Arial" w:cs="Arial"/>
              </w:rPr>
              <w:t>Relevant section of Act or Regulation for which the fee is payable</w:t>
            </w:r>
          </w:p>
        </w:tc>
        <w:tc>
          <w:tcPr>
            <w:tcW w:w="2693" w:type="dxa"/>
            <w:shd w:val="clear" w:color="C0C0C0" w:fill="auto"/>
          </w:tcPr>
          <w:p w:rsidR="009A6657" w:rsidRPr="00C86F9A" w:rsidRDefault="009A6657" w:rsidP="00464BFD">
            <w:pPr>
              <w:pStyle w:val="tableheading"/>
              <w:ind w:left="102" w:right="244"/>
              <w:rPr>
                <w:rFonts w:ascii="Arial" w:hAnsi="Arial" w:cs="Arial"/>
              </w:rPr>
            </w:pPr>
            <w:r w:rsidRPr="00C86F9A">
              <w:rPr>
                <w:rFonts w:ascii="Arial" w:hAnsi="Arial" w:cs="Arial"/>
              </w:rPr>
              <w:t>column 3</w:t>
            </w:r>
          </w:p>
          <w:p w:rsidR="009A6657" w:rsidRPr="00C86F9A" w:rsidRDefault="009A6657" w:rsidP="00464BFD">
            <w:pPr>
              <w:pStyle w:val="tableheading"/>
              <w:ind w:left="102" w:right="244"/>
              <w:rPr>
                <w:rFonts w:ascii="Arial" w:hAnsi="Arial" w:cs="Arial"/>
              </w:rPr>
            </w:pPr>
            <w:r w:rsidRPr="00C86F9A">
              <w:rPr>
                <w:rFonts w:ascii="Arial" w:hAnsi="Arial" w:cs="Arial"/>
              </w:rPr>
              <w:t>Description of Matter for which fee is payable</w:t>
            </w:r>
          </w:p>
        </w:tc>
        <w:tc>
          <w:tcPr>
            <w:tcW w:w="1560" w:type="dxa"/>
            <w:shd w:val="clear" w:color="C0C0C0" w:fill="auto"/>
          </w:tcPr>
          <w:p w:rsidR="009A6657" w:rsidRDefault="00603561" w:rsidP="00603561">
            <w:pPr>
              <w:pStyle w:val="tableheading"/>
              <w:rPr>
                <w:rFonts w:ascii="Arial" w:hAnsi="Arial" w:cs="Arial"/>
              </w:rPr>
            </w:pPr>
            <w:r>
              <w:rPr>
                <w:rFonts w:ascii="Arial" w:hAnsi="Arial" w:cs="Arial"/>
              </w:rPr>
              <w:t xml:space="preserve">column 4 </w:t>
            </w:r>
          </w:p>
          <w:p w:rsidR="00603561" w:rsidRPr="00603561" w:rsidRDefault="00603561" w:rsidP="00603561">
            <w:pPr>
              <w:rPr>
                <w:b/>
              </w:rPr>
            </w:pPr>
            <w:r w:rsidRPr="00603561">
              <w:rPr>
                <w:b/>
              </w:rPr>
              <w:t>Previous fee payable (under Boxing Control Act)</w:t>
            </w:r>
          </w:p>
        </w:tc>
        <w:tc>
          <w:tcPr>
            <w:tcW w:w="2126" w:type="dxa"/>
            <w:shd w:val="clear" w:color="C0C0C0" w:fill="auto"/>
          </w:tcPr>
          <w:p w:rsidR="009A6657" w:rsidRPr="00C86F9A" w:rsidRDefault="009A6657" w:rsidP="00464BFD">
            <w:pPr>
              <w:pStyle w:val="tableheading"/>
              <w:ind w:left="243"/>
              <w:rPr>
                <w:rFonts w:ascii="Arial" w:hAnsi="Arial" w:cs="Arial"/>
              </w:rPr>
            </w:pPr>
            <w:r w:rsidRPr="00C86F9A">
              <w:rPr>
                <w:rFonts w:ascii="Arial" w:hAnsi="Arial" w:cs="Arial"/>
              </w:rPr>
              <w:t>column 4</w:t>
            </w:r>
          </w:p>
          <w:p w:rsidR="009A6657" w:rsidRPr="00C86F9A" w:rsidRDefault="009A6657" w:rsidP="00464BFD">
            <w:pPr>
              <w:pStyle w:val="tableheading"/>
              <w:ind w:left="243"/>
              <w:rPr>
                <w:rFonts w:ascii="Arial" w:hAnsi="Arial" w:cs="Arial"/>
              </w:rPr>
            </w:pPr>
            <w:r w:rsidRPr="00C86F9A">
              <w:rPr>
                <w:rFonts w:ascii="Arial" w:hAnsi="Arial" w:cs="Arial"/>
              </w:rPr>
              <w:t>Current fee payable</w:t>
            </w:r>
          </w:p>
        </w:tc>
        <w:tc>
          <w:tcPr>
            <w:tcW w:w="4241" w:type="dxa"/>
            <w:shd w:val="clear" w:color="C0C0C0" w:fill="auto"/>
          </w:tcPr>
          <w:p w:rsidR="009A6657" w:rsidRPr="00C86F9A" w:rsidRDefault="009A6657" w:rsidP="00603561">
            <w:pPr>
              <w:pStyle w:val="tableheading"/>
              <w:rPr>
                <w:rFonts w:ascii="Arial" w:hAnsi="Arial" w:cs="Arial"/>
              </w:rPr>
            </w:pPr>
            <w:r>
              <w:rPr>
                <w:rFonts w:ascii="Arial" w:hAnsi="Arial" w:cs="Arial"/>
              </w:rPr>
              <w:t>Reason for change</w:t>
            </w:r>
          </w:p>
        </w:tc>
      </w:tr>
      <w:tr w:rsidR="00603561" w:rsidRPr="00C86F9A" w:rsidTr="00BD19AA">
        <w:trPr>
          <w:cantSplit/>
          <w:trHeight w:val="1666"/>
          <w:tblHeader/>
        </w:trPr>
        <w:tc>
          <w:tcPr>
            <w:tcW w:w="1095" w:type="dxa"/>
            <w:shd w:val="clear" w:color="C0C0C0" w:fill="auto"/>
          </w:tcPr>
          <w:p w:rsidR="00603561" w:rsidRDefault="00603561" w:rsidP="00464BFD">
            <w:pPr>
              <w:pStyle w:val="tableheading"/>
              <w:rPr>
                <w:rFonts w:ascii="Arial" w:hAnsi="Arial" w:cs="Arial"/>
                <w:b w:val="0"/>
              </w:rPr>
            </w:pPr>
          </w:p>
          <w:p w:rsidR="00603561" w:rsidRDefault="00603561" w:rsidP="00464BFD">
            <w:pPr>
              <w:pStyle w:val="tableheading"/>
              <w:rPr>
                <w:rFonts w:ascii="Arial" w:hAnsi="Arial" w:cs="Arial"/>
                <w:b w:val="0"/>
              </w:rPr>
            </w:pPr>
          </w:p>
          <w:p w:rsidR="00603561" w:rsidRDefault="00603561" w:rsidP="00464BFD">
            <w:pPr>
              <w:pStyle w:val="tableheading"/>
              <w:rPr>
                <w:rFonts w:ascii="Arial" w:hAnsi="Arial" w:cs="Arial"/>
                <w:b w:val="0"/>
              </w:rPr>
            </w:pPr>
            <w:r w:rsidRPr="00603561">
              <w:rPr>
                <w:rFonts w:ascii="Arial" w:hAnsi="Arial" w:cs="Arial"/>
                <w:b w:val="0"/>
              </w:rPr>
              <w:t>2.1</w:t>
            </w:r>
          </w:p>
          <w:p w:rsidR="00603561" w:rsidRDefault="00603561" w:rsidP="00603561">
            <w:r>
              <w:t>2.2</w:t>
            </w:r>
          </w:p>
          <w:p w:rsidR="00603561" w:rsidRPr="00603561" w:rsidRDefault="00603561" w:rsidP="00603561">
            <w:r>
              <w:t xml:space="preserve">2.3 </w:t>
            </w:r>
          </w:p>
        </w:tc>
        <w:tc>
          <w:tcPr>
            <w:tcW w:w="2126" w:type="dxa"/>
            <w:shd w:val="clear" w:color="C0C0C0" w:fill="auto"/>
          </w:tcPr>
          <w:p w:rsidR="00603561" w:rsidRDefault="00603561" w:rsidP="00464BFD">
            <w:pPr>
              <w:pStyle w:val="tableheading"/>
              <w:ind w:left="102"/>
              <w:rPr>
                <w:rFonts w:ascii="Arial" w:hAnsi="Arial" w:cs="Arial"/>
                <w:b w:val="0"/>
              </w:rPr>
            </w:pPr>
            <w:r>
              <w:rPr>
                <w:rFonts w:ascii="Arial" w:hAnsi="Arial" w:cs="Arial"/>
                <w:b w:val="0"/>
              </w:rPr>
              <w:t xml:space="preserve">s.34 </w:t>
            </w:r>
          </w:p>
          <w:p w:rsidR="00603561" w:rsidRPr="00603561" w:rsidRDefault="00603561" w:rsidP="00603561"/>
        </w:tc>
        <w:tc>
          <w:tcPr>
            <w:tcW w:w="2693" w:type="dxa"/>
            <w:shd w:val="clear" w:color="C0C0C0" w:fill="auto"/>
          </w:tcPr>
          <w:p w:rsidR="00603561" w:rsidRDefault="00603561" w:rsidP="00603561">
            <w:pPr>
              <w:pStyle w:val="tableheading"/>
              <w:ind w:right="244"/>
              <w:rPr>
                <w:rFonts w:ascii="Arial" w:hAnsi="Arial" w:cs="Arial"/>
                <w:b w:val="0"/>
              </w:rPr>
            </w:pPr>
            <w:r>
              <w:rPr>
                <w:rFonts w:ascii="Arial" w:hAnsi="Arial" w:cs="Arial"/>
                <w:b w:val="0"/>
              </w:rPr>
              <w:t xml:space="preserve">Application for registrable events </w:t>
            </w:r>
          </w:p>
          <w:p w:rsidR="00603561" w:rsidRDefault="00603561" w:rsidP="00603561">
            <w:r>
              <w:t>Up to 500 tickets sold (2.1)</w:t>
            </w:r>
          </w:p>
          <w:p w:rsidR="00603561" w:rsidRDefault="00603561" w:rsidP="00603561">
            <w:r>
              <w:t>Between 501 – 2000 tickets sold (2.2)</w:t>
            </w:r>
          </w:p>
          <w:p w:rsidR="00603561" w:rsidRPr="00603561" w:rsidRDefault="00603561" w:rsidP="00603561">
            <w:r>
              <w:t>2001 or more tickets sold (2.3)</w:t>
            </w:r>
          </w:p>
        </w:tc>
        <w:tc>
          <w:tcPr>
            <w:tcW w:w="1560" w:type="dxa"/>
            <w:shd w:val="clear" w:color="C0C0C0" w:fill="auto"/>
          </w:tcPr>
          <w:p w:rsidR="00603561" w:rsidRPr="00603561" w:rsidRDefault="00603561" w:rsidP="00603561">
            <w:pPr>
              <w:pStyle w:val="tableheading"/>
              <w:rPr>
                <w:rFonts w:ascii="Arial" w:hAnsi="Arial" w:cs="Arial"/>
                <w:b w:val="0"/>
              </w:rPr>
            </w:pPr>
            <w:r>
              <w:rPr>
                <w:rFonts w:ascii="Arial" w:hAnsi="Arial" w:cs="Arial"/>
                <w:b w:val="0"/>
              </w:rPr>
              <w:t xml:space="preserve">$124.50 (professional boxing contest s.6) </w:t>
            </w:r>
          </w:p>
        </w:tc>
        <w:tc>
          <w:tcPr>
            <w:tcW w:w="2126" w:type="dxa"/>
            <w:shd w:val="clear" w:color="C0C0C0" w:fill="auto"/>
          </w:tcPr>
          <w:p w:rsidR="00603561" w:rsidRDefault="00603561" w:rsidP="00464BFD">
            <w:pPr>
              <w:pStyle w:val="tableheading"/>
              <w:ind w:left="243"/>
              <w:rPr>
                <w:rFonts w:ascii="Arial" w:hAnsi="Arial" w:cs="Arial"/>
                <w:b w:val="0"/>
              </w:rPr>
            </w:pPr>
          </w:p>
          <w:p w:rsidR="00603561" w:rsidRDefault="00603561" w:rsidP="00603561">
            <w:r>
              <w:br/>
              <w:t xml:space="preserve">$850.00 (2.1) </w:t>
            </w:r>
          </w:p>
          <w:p w:rsidR="00603561" w:rsidRDefault="00603561" w:rsidP="00603561">
            <w:r>
              <w:t>$2000.00 (2.2)</w:t>
            </w:r>
          </w:p>
          <w:p w:rsidR="00603561" w:rsidRPr="00603561" w:rsidRDefault="00603561" w:rsidP="00603561">
            <w:r>
              <w:br/>
              <w:t xml:space="preserve">$5000.00 (2.3) </w:t>
            </w:r>
          </w:p>
        </w:tc>
        <w:tc>
          <w:tcPr>
            <w:tcW w:w="4241" w:type="dxa"/>
            <w:shd w:val="clear" w:color="C0C0C0" w:fill="auto"/>
          </w:tcPr>
          <w:p w:rsidR="00603561" w:rsidRDefault="00603561" w:rsidP="00800F38">
            <w:pPr>
              <w:pStyle w:val="tableheading"/>
              <w:rPr>
                <w:rFonts w:ascii="Arial" w:hAnsi="Arial" w:cs="Arial"/>
                <w:b w:val="0"/>
              </w:rPr>
            </w:pPr>
            <w:r>
              <w:rPr>
                <w:rFonts w:ascii="Arial" w:hAnsi="Arial" w:cs="Arial"/>
                <w:b w:val="0"/>
              </w:rPr>
              <w:t>New costs reflect operational experience of administering legislation relating to combat sports, including the processing of applications, cross-checking of interjurisdictional registrations,</w:t>
            </w:r>
            <w:r w:rsidR="00800F38">
              <w:rPr>
                <w:rFonts w:ascii="Arial" w:hAnsi="Arial" w:cs="Arial"/>
                <w:b w:val="0"/>
              </w:rPr>
              <w:t xml:space="preserve"> and</w:t>
            </w:r>
            <w:r>
              <w:rPr>
                <w:rFonts w:ascii="Arial" w:hAnsi="Arial" w:cs="Arial"/>
                <w:b w:val="0"/>
              </w:rPr>
              <w:t xml:space="preserve"> checking medical clearances</w:t>
            </w:r>
            <w:r w:rsidR="00800F38">
              <w:rPr>
                <w:rFonts w:ascii="Arial" w:hAnsi="Arial" w:cs="Arial"/>
                <w:b w:val="0"/>
              </w:rPr>
              <w:t xml:space="preserve">. Cost of inspection for events also reflected in new price. </w:t>
            </w:r>
          </w:p>
          <w:p w:rsidR="00800F38" w:rsidRPr="00800F38" w:rsidRDefault="00800F38" w:rsidP="00800F38">
            <w:pPr>
              <w:rPr>
                <w:rFonts w:ascii="Arial" w:eastAsia="Times New Roman" w:hAnsi="Arial" w:cs="Arial"/>
                <w:bCs/>
                <w:sz w:val="20"/>
                <w:szCs w:val="20"/>
              </w:rPr>
            </w:pPr>
          </w:p>
          <w:p w:rsidR="00800F38" w:rsidRPr="00800F38" w:rsidRDefault="00800F38" w:rsidP="00800F38">
            <w:pPr>
              <w:rPr>
                <w:rFonts w:ascii="Arial" w:eastAsia="Times New Roman" w:hAnsi="Arial" w:cs="Arial"/>
                <w:bCs/>
                <w:sz w:val="20"/>
                <w:szCs w:val="20"/>
              </w:rPr>
            </w:pPr>
            <w:r w:rsidRPr="00800F38">
              <w:rPr>
                <w:rFonts w:ascii="Arial" w:eastAsia="Times New Roman" w:hAnsi="Arial" w:cs="Arial"/>
                <w:bCs/>
                <w:sz w:val="20"/>
                <w:szCs w:val="20"/>
              </w:rPr>
              <w:t>The previous fee is not reflective of the administrative time spent processing applications, which currently takes on average 15.5 hours of processing time.</w:t>
            </w:r>
            <w:r>
              <w:rPr>
                <w:rFonts w:ascii="Arial" w:eastAsia="Times New Roman" w:hAnsi="Arial" w:cs="Arial"/>
                <w:bCs/>
                <w:sz w:val="20"/>
                <w:szCs w:val="20"/>
              </w:rPr>
              <w:t xml:space="preserve"> This does not include inspectorate costs. </w:t>
            </w:r>
            <w:r w:rsidRPr="00800F38">
              <w:rPr>
                <w:rFonts w:ascii="Arial" w:eastAsia="Times New Roman" w:hAnsi="Arial" w:cs="Arial"/>
                <w:bCs/>
                <w:sz w:val="20"/>
                <w:szCs w:val="20"/>
              </w:rPr>
              <w:t xml:space="preserve"> </w:t>
            </w:r>
          </w:p>
        </w:tc>
      </w:tr>
      <w:tr w:rsidR="00800F38" w:rsidRPr="00C86F9A" w:rsidTr="00BD19AA">
        <w:trPr>
          <w:cantSplit/>
          <w:trHeight w:val="1666"/>
          <w:tblHeader/>
        </w:trPr>
        <w:tc>
          <w:tcPr>
            <w:tcW w:w="1095" w:type="dxa"/>
            <w:shd w:val="clear" w:color="C0C0C0" w:fill="auto"/>
          </w:tcPr>
          <w:p w:rsidR="00800F38" w:rsidRDefault="00800F38" w:rsidP="00464BFD">
            <w:pPr>
              <w:pStyle w:val="tableheading"/>
              <w:rPr>
                <w:rFonts w:ascii="Arial" w:hAnsi="Arial" w:cs="Arial"/>
                <w:b w:val="0"/>
              </w:rPr>
            </w:pPr>
          </w:p>
          <w:p w:rsidR="00800F38" w:rsidRPr="00800F38" w:rsidRDefault="00800F38" w:rsidP="00800F38">
            <w:r>
              <w:t>3.2</w:t>
            </w:r>
          </w:p>
        </w:tc>
        <w:tc>
          <w:tcPr>
            <w:tcW w:w="2126" w:type="dxa"/>
            <w:shd w:val="clear" w:color="C0C0C0" w:fill="auto"/>
          </w:tcPr>
          <w:p w:rsidR="00800F38" w:rsidRDefault="00800F38" w:rsidP="00464BFD">
            <w:pPr>
              <w:pStyle w:val="tableheading"/>
              <w:ind w:left="102"/>
              <w:rPr>
                <w:rFonts w:ascii="Arial" w:hAnsi="Arial" w:cs="Arial"/>
                <w:b w:val="0"/>
              </w:rPr>
            </w:pPr>
            <w:r>
              <w:rPr>
                <w:rFonts w:ascii="Arial" w:hAnsi="Arial" w:cs="Arial"/>
                <w:b w:val="0"/>
              </w:rPr>
              <w:t>s.64</w:t>
            </w:r>
          </w:p>
        </w:tc>
        <w:tc>
          <w:tcPr>
            <w:tcW w:w="2693" w:type="dxa"/>
            <w:shd w:val="clear" w:color="C0C0C0" w:fill="auto"/>
          </w:tcPr>
          <w:p w:rsidR="00800F38" w:rsidRDefault="00800F38" w:rsidP="00603561">
            <w:pPr>
              <w:pStyle w:val="tableheading"/>
              <w:ind w:right="244"/>
              <w:rPr>
                <w:rFonts w:ascii="Arial" w:hAnsi="Arial" w:cs="Arial"/>
                <w:b w:val="0"/>
              </w:rPr>
            </w:pPr>
            <w:r>
              <w:rPr>
                <w:rFonts w:ascii="Arial" w:hAnsi="Arial" w:cs="Arial"/>
                <w:b w:val="0"/>
              </w:rPr>
              <w:t xml:space="preserve">Notification of non-registrable event </w:t>
            </w:r>
          </w:p>
        </w:tc>
        <w:tc>
          <w:tcPr>
            <w:tcW w:w="1560" w:type="dxa"/>
            <w:shd w:val="clear" w:color="C0C0C0" w:fill="auto"/>
          </w:tcPr>
          <w:p w:rsidR="00800F38" w:rsidRDefault="00800F38" w:rsidP="00603561">
            <w:pPr>
              <w:pStyle w:val="tableheading"/>
              <w:rPr>
                <w:rFonts w:ascii="Arial" w:hAnsi="Arial" w:cs="Arial"/>
                <w:b w:val="0"/>
              </w:rPr>
            </w:pPr>
            <w:r>
              <w:rPr>
                <w:rFonts w:ascii="Arial" w:hAnsi="Arial" w:cs="Arial"/>
                <w:b w:val="0"/>
              </w:rPr>
              <w:t xml:space="preserve">$31.10 (application for approval to conduct amateur boxing contest) </w:t>
            </w:r>
          </w:p>
        </w:tc>
        <w:tc>
          <w:tcPr>
            <w:tcW w:w="2126" w:type="dxa"/>
            <w:shd w:val="clear" w:color="C0C0C0" w:fill="auto"/>
          </w:tcPr>
          <w:p w:rsidR="00800F38" w:rsidRDefault="00800F38" w:rsidP="00464BFD">
            <w:pPr>
              <w:pStyle w:val="tableheading"/>
              <w:ind w:left="243"/>
              <w:rPr>
                <w:rFonts w:ascii="Arial" w:hAnsi="Arial" w:cs="Arial"/>
                <w:b w:val="0"/>
              </w:rPr>
            </w:pPr>
            <w:r>
              <w:rPr>
                <w:rFonts w:ascii="Arial" w:hAnsi="Arial" w:cs="Arial"/>
                <w:b w:val="0"/>
              </w:rPr>
              <w:t xml:space="preserve">Nil </w:t>
            </w:r>
          </w:p>
        </w:tc>
        <w:tc>
          <w:tcPr>
            <w:tcW w:w="4241" w:type="dxa"/>
            <w:shd w:val="clear" w:color="C0C0C0" w:fill="auto"/>
          </w:tcPr>
          <w:p w:rsidR="00800F38" w:rsidRDefault="00800F38" w:rsidP="00800F38">
            <w:pPr>
              <w:pStyle w:val="tableheading"/>
              <w:rPr>
                <w:rFonts w:ascii="Arial" w:hAnsi="Arial" w:cs="Arial"/>
                <w:b w:val="0"/>
              </w:rPr>
            </w:pPr>
            <w:r>
              <w:rPr>
                <w:rFonts w:ascii="Arial" w:hAnsi="Arial" w:cs="Arial"/>
                <w:b w:val="0"/>
              </w:rPr>
              <w:t>The costs of administering the Act have been directed towards large scale registrable events (see 2.1, 2.2 and 2.3 above), allowing Government to offset the costs for sporting organisations to notify events. While there will still be a cost of administering this service and providing an inspectorate service for these events, this cost has not been passed onto the s</w:t>
            </w:r>
            <w:r w:rsidR="00BD19AA">
              <w:rPr>
                <w:rFonts w:ascii="Arial" w:hAnsi="Arial" w:cs="Arial"/>
                <w:b w:val="0"/>
              </w:rPr>
              <w:t xml:space="preserve">porting organisations so as not to discourage participation. </w:t>
            </w:r>
          </w:p>
        </w:tc>
      </w:tr>
    </w:tbl>
    <w:p w:rsidR="00BD19AA" w:rsidRDefault="00BD19AA"/>
    <w:sectPr w:rsidR="00BD19AA" w:rsidSect="00BD19A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9AA" w:rsidRDefault="00BD19AA" w:rsidP="00BD19AA">
      <w:pPr>
        <w:spacing w:after="0" w:line="240" w:lineRule="auto"/>
      </w:pPr>
      <w:r>
        <w:separator/>
      </w:r>
    </w:p>
  </w:endnote>
  <w:endnote w:type="continuationSeparator" w:id="0">
    <w:p w:rsidR="00BD19AA" w:rsidRDefault="00BD19AA" w:rsidP="00BD1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38D" w:rsidRDefault="00E073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rPr>
      <w:id w:val="-1728603744"/>
      <w:docPartObj>
        <w:docPartGallery w:val="Page Numbers (Bottom of Page)"/>
        <w:docPartUnique/>
      </w:docPartObj>
    </w:sdtPr>
    <w:sdtEndPr>
      <w:rPr>
        <w:noProof/>
      </w:rPr>
    </w:sdtEndPr>
    <w:sdtContent>
      <w:p w:rsidR="00BD19AA" w:rsidRPr="00BD19AA" w:rsidRDefault="00BD19AA">
        <w:pPr>
          <w:pStyle w:val="Footer"/>
          <w:jc w:val="right"/>
          <w:rPr>
            <w:noProof/>
            <w:sz w:val="16"/>
          </w:rPr>
        </w:pPr>
        <w:r w:rsidRPr="00BD19AA">
          <w:rPr>
            <w:sz w:val="16"/>
          </w:rPr>
          <w:fldChar w:fldCharType="begin"/>
        </w:r>
        <w:r w:rsidRPr="00BD19AA">
          <w:rPr>
            <w:sz w:val="16"/>
          </w:rPr>
          <w:instrText xml:space="preserve"> PAGE   \* MERGEFORMAT </w:instrText>
        </w:r>
        <w:r w:rsidRPr="00BD19AA">
          <w:rPr>
            <w:sz w:val="16"/>
          </w:rPr>
          <w:fldChar w:fldCharType="separate"/>
        </w:r>
        <w:r w:rsidR="00506A43">
          <w:rPr>
            <w:noProof/>
            <w:sz w:val="16"/>
          </w:rPr>
          <w:t>2</w:t>
        </w:r>
        <w:r w:rsidRPr="00BD19AA">
          <w:rPr>
            <w:noProof/>
            <w:sz w:val="16"/>
          </w:rPr>
          <w:fldChar w:fldCharType="end"/>
        </w:r>
      </w:p>
      <w:p w:rsidR="00BD19AA" w:rsidRPr="00BD19AA" w:rsidRDefault="00BD19AA" w:rsidP="00BD19AA">
        <w:pPr>
          <w:pStyle w:val="Footer"/>
          <w:rPr>
            <w:sz w:val="16"/>
          </w:rPr>
        </w:pPr>
        <w:r w:rsidRPr="00BD19AA">
          <w:rPr>
            <w:sz w:val="16"/>
          </w:rPr>
          <w:t>Controlled Sports Act 2019 (Fees) Determination 2019 (No 1) Explanatory Statement</w:t>
        </w:r>
      </w:p>
    </w:sdtContent>
  </w:sdt>
  <w:p w:rsidR="00BD19AA" w:rsidRPr="00E0738D" w:rsidRDefault="00E0738D" w:rsidP="00E0738D">
    <w:pPr>
      <w:pStyle w:val="Footer"/>
      <w:jc w:val="center"/>
      <w:rPr>
        <w:rFonts w:ascii="Arial" w:hAnsi="Arial" w:cs="Arial"/>
        <w:sz w:val="14"/>
      </w:rPr>
    </w:pPr>
    <w:r w:rsidRPr="00E0738D">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38D" w:rsidRDefault="00E07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9AA" w:rsidRDefault="00BD19AA" w:rsidP="00BD19AA">
      <w:pPr>
        <w:spacing w:after="0" w:line="240" w:lineRule="auto"/>
      </w:pPr>
      <w:r>
        <w:separator/>
      </w:r>
    </w:p>
  </w:footnote>
  <w:footnote w:type="continuationSeparator" w:id="0">
    <w:p w:rsidR="00BD19AA" w:rsidRDefault="00BD19AA" w:rsidP="00BD1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38D" w:rsidRDefault="00E073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38D" w:rsidRDefault="00E073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38D" w:rsidRDefault="00E073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49A"/>
    <w:rsid w:val="00130FF9"/>
    <w:rsid w:val="001629AE"/>
    <w:rsid w:val="0019071F"/>
    <w:rsid w:val="001C18BC"/>
    <w:rsid w:val="00361FA9"/>
    <w:rsid w:val="00506A43"/>
    <w:rsid w:val="00577795"/>
    <w:rsid w:val="00603561"/>
    <w:rsid w:val="0079749A"/>
    <w:rsid w:val="00800F38"/>
    <w:rsid w:val="008E6437"/>
    <w:rsid w:val="009A6657"/>
    <w:rsid w:val="00BD19AA"/>
    <w:rsid w:val="00E0738D"/>
    <w:rsid w:val="00EE7B5C"/>
    <w:rsid w:val="00F441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B8C79175-C657-4C94-AB6F-8C4E9F6C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74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uiPriority w:val="99"/>
    <w:rsid w:val="009A6657"/>
    <w:pPr>
      <w:spacing w:before="80" w:after="80" w:line="240" w:lineRule="auto"/>
    </w:pPr>
    <w:rPr>
      <w:rFonts w:ascii="Arial Bold" w:eastAsia="Times New Roman" w:hAnsi="Arial Bold" w:cs="Times New Roman"/>
      <w:b/>
      <w:bCs/>
      <w:sz w:val="20"/>
      <w:szCs w:val="20"/>
    </w:rPr>
  </w:style>
  <w:style w:type="paragraph" w:styleId="Header">
    <w:name w:val="header"/>
    <w:basedOn w:val="Normal"/>
    <w:link w:val="HeaderChar"/>
    <w:uiPriority w:val="99"/>
    <w:unhideWhenUsed/>
    <w:rsid w:val="00BD19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9AA"/>
  </w:style>
  <w:style w:type="paragraph" w:styleId="Footer">
    <w:name w:val="footer"/>
    <w:basedOn w:val="Normal"/>
    <w:link w:val="FooterChar"/>
    <w:uiPriority w:val="99"/>
    <w:unhideWhenUsed/>
    <w:rsid w:val="00BD19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2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CF326-9E41-448F-B5D1-F181B3E4E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2871</Characters>
  <Application>Microsoft Office Word</Application>
  <DocSecurity>0</DocSecurity>
  <Lines>115</Lines>
  <Paragraphs>44</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dcterms:created xsi:type="dcterms:W3CDTF">2019-08-15T00:30:00Z</dcterms:created>
  <dcterms:modified xsi:type="dcterms:W3CDTF">2019-08-15T00:30:00Z</dcterms:modified>
</cp:coreProperties>
</file>