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CC2C" w14:textId="563DFD30" w:rsidR="003F206C" w:rsidRPr="007D580B" w:rsidRDefault="003F206C" w:rsidP="003F206C">
      <w:pPr>
        <w:spacing w:after="0"/>
        <w:jc w:val="center"/>
        <w:rPr>
          <w:rFonts w:ascii="Arial" w:hAnsi="Arial" w:cs="Arial"/>
          <w:b/>
          <w:bCs/>
          <w:sz w:val="24"/>
          <w:szCs w:val="24"/>
        </w:rPr>
      </w:pPr>
      <w:bookmarkStart w:id="0" w:name="_GoBack"/>
      <w:bookmarkEnd w:id="0"/>
      <w:r w:rsidRPr="007D580B">
        <w:rPr>
          <w:rFonts w:ascii="Arial" w:hAnsi="Arial" w:cs="Arial"/>
          <w:b/>
          <w:bCs/>
          <w:sz w:val="24"/>
          <w:szCs w:val="24"/>
        </w:rPr>
        <w:t>201</w:t>
      </w:r>
      <w:r w:rsidR="00527368">
        <w:rPr>
          <w:rFonts w:ascii="Arial" w:hAnsi="Arial" w:cs="Arial"/>
          <w:b/>
          <w:bCs/>
          <w:sz w:val="24"/>
          <w:szCs w:val="24"/>
        </w:rPr>
        <w:t>9</w:t>
      </w:r>
    </w:p>
    <w:p w14:paraId="5196BB27" w14:textId="77777777" w:rsidR="003F206C" w:rsidRPr="007D580B" w:rsidRDefault="003F206C" w:rsidP="003F206C">
      <w:pPr>
        <w:spacing w:after="0"/>
        <w:jc w:val="center"/>
        <w:rPr>
          <w:rFonts w:ascii="Arial" w:hAnsi="Arial" w:cs="Arial"/>
          <w:b/>
          <w:sz w:val="24"/>
          <w:szCs w:val="24"/>
        </w:rPr>
      </w:pPr>
    </w:p>
    <w:p w14:paraId="1E96BB16" w14:textId="77777777" w:rsidR="003F206C" w:rsidRPr="007D580B" w:rsidRDefault="003F206C" w:rsidP="003F206C">
      <w:pPr>
        <w:spacing w:after="0"/>
        <w:jc w:val="center"/>
        <w:rPr>
          <w:rFonts w:ascii="Arial" w:hAnsi="Arial" w:cs="Arial"/>
          <w:b/>
          <w:sz w:val="24"/>
          <w:szCs w:val="24"/>
        </w:rPr>
      </w:pPr>
    </w:p>
    <w:p w14:paraId="1793EE65" w14:textId="77777777" w:rsidR="003F206C" w:rsidRPr="007D580B" w:rsidRDefault="003F206C" w:rsidP="003F206C">
      <w:pPr>
        <w:spacing w:after="0"/>
        <w:jc w:val="center"/>
        <w:rPr>
          <w:rFonts w:ascii="Arial" w:hAnsi="Arial" w:cs="Arial"/>
          <w:b/>
          <w:sz w:val="24"/>
          <w:szCs w:val="24"/>
        </w:rPr>
      </w:pPr>
    </w:p>
    <w:p w14:paraId="212D6366" w14:textId="77777777" w:rsidR="003F206C" w:rsidRDefault="003F206C" w:rsidP="003F206C">
      <w:pPr>
        <w:spacing w:after="0"/>
        <w:jc w:val="center"/>
        <w:rPr>
          <w:rFonts w:ascii="Arial" w:hAnsi="Arial" w:cs="Arial"/>
          <w:b/>
          <w:sz w:val="24"/>
          <w:szCs w:val="24"/>
        </w:rPr>
      </w:pPr>
    </w:p>
    <w:p w14:paraId="48BFD6ED" w14:textId="77777777" w:rsidR="007D580B" w:rsidRPr="007D580B" w:rsidRDefault="007D580B" w:rsidP="003F206C">
      <w:pPr>
        <w:spacing w:after="0"/>
        <w:jc w:val="center"/>
        <w:rPr>
          <w:rFonts w:ascii="Arial" w:hAnsi="Arial" w:cs="Arial"/>
          <w:b/>
          <w:sz w:val="24"/>
          <w:szCs w:val="24"/>
        </w:rPr>
      </w:pPr>
    </w:p>
    <w:p w14:paraId="654AF733" w14:textId="77777777" w:rsidR="003F206C" w:rsidRPr="007D580B" w:rsidRDefault="003F206C" w:rsidP="003F206C">
      <w:pPr>
        <w:spacing w:after="0"/>
        <w:jc w:val="center"/>
        <w:rPr>
          <w:rFonts w:ascii="Arial" w:hAnsi="Arial" w:cs="Arial"/>
          <w:b/>
          <w:bCs/>
          <w:sz w:val="24"/>
          <w:szCs w:val="24"/>
        </w:rPr>
      </w:pPr>
    </w:p>
    <w:p w14:paraId="07FA53BF" w14:textId="77777777" w:rsidR="003F206C" w:rsidRPr="007D580B" w:rsidRDefault="003F206C" w:rsidP="003F206C">
      <w:pPr>
        <w:spacing w:after="0"/>
        <w:jc w:val="center"/>
        <w:rPr>
          <w:rFonts w:ascii="Arial" w:hAnsi="Arial" w:cs="Arial"/>
          <w:b/>
          <w:bCs/>
          <w:sz w:val="24"/>
          <w:szCs w:val="24"/>
        </w:rPr>
      </w:pPr>
    </w:p>
    <w:p w14:paraId="296B6F4D" w14:textId="77777777" w:rsidR="003F206C" w:rsidRPr="007D580B" w:rsidRDefault="003F206C" w:rsidP="003F206C">
      <w:pPr>
        <w:spacing w:after="0"/>
        <w:jc w:val="center"/>
        <w:rPr>
          <w:rFonts w:ascii="Arial" w:hAnsi="Arial" w:cs="Arial"/>
          <w:b/>
          <w:bCs/>
          <w:sz w:val="24"/>
          <w:szCs w:val="24"/>
        </w:rPr>
      </w:pPr>
      <w:r w:rsidRPr="007D580B">
        <w:rPr>
          <w:rFonts w:ascii="Arial" w:hAnsi="Arial" w:cs="Arial"/>
          <w:b/>
          <w:bCs/>
          <w:sz w:val="24"/>
          <w:szCs w:val="24"/>
        </w:rPr>
        <w:t>THE LEGISLATIVE ASSEMBLY FOR THE</w:t>
      </w:r>
    </w:p>
    <w:p w14:paraId="19999732" w14:textId="77777777" w:rsidR="003F206C" w:rsidRPr="007D580B" w:rsidRDefault="003F206C" w:rsidP="003F206C">
      <w:pPr>
        <w:spacing w:after="0"/>
        <w:jc w:val="center"/>
        <w:rPr>
          <w:rFonts w:ascii="Arial" w:hAnsi="Arial" w:cs="Arial"/>
          <w:b/>
          <w:sz w:val="24"/>
          <w:szCs w:val="24"/>
        </w:rPr>
      </w:pPr>
      <w:r w:rsidRPr="007D580B">
        <w:rPr>
          <w:rFonts w:ascii="Arial" w:hAnsi="Arial" w:cs="Arial"/>
          <w:b/>
          <w:bCs/>
          <w:sz w:val="24"/>
          <w:szCs w:val="24"/>
        </w:rPr>
        <w:t>AUSTRALIAN CAPITAL TERRITORY</w:t>
      </w:r>
    </w:p>
    <w:p w14:paraId="344A11D0" w14:textId="77777777" w:rsidR="003F206C" w:rsidRPr="007D580B" w:rsidRDefault="003F206C" w:rsidP="003F206C">
      <w:pPr>
        <w:spacing w:after="0"/>
        <w:jc w:val="center"/>
        <w:rPr>
          <w:rFonts w:ascii="Arial" w:hAnsi="Arial" w:cs="Arial"/>
          <w:b/>
          <w:sz w:val="24"/>
          <w:szCs w:val="24"/>
        </w:rPr>
      </w:pPr>
    </w:p>
    <w:p w14:paraId="189A1854" w14:textId="77777777" w:rsidR="003F206C" w:rsidRPr="007D580B" w:rsidRDefault="003F206C" w:rsidP="003F206C">
      <w:pPr>
        <w:spacing w:after="0"/>
        <w:jc w:val="center"/>
        <w:rPr>
          <w:rFonts w:ascii="Arial" w:hAnsi="Arial" w:cs="Arial"/>
          <w:b/>
          <w:sz w:val="24"/>
          <w:szCs w:val="24"/>
        </w:rPr>
      </w:pPr>
    </w:p>
    <w:p w14:paraId="6AA41818" w14:textId="77777777" w:rsidR="003F206C" w:rsidRPr="007D580B" w:rsidRDefault="003F206C" w:rsidP="003F206C">
      <w:pPr>
        <w:spacing w:after="0"/>
        <w:jc w:val="center"/>
        <w:rPr>
          <w:rFonts w:ascii="Arial" w:hAnsi="Arial" w:cs="Arial"/>
          <w:b/>
          <w:sz w:val="24"/>
          <w:szCs w:val="24"/>
        </w:rPr>
      </w:pPr>
    </w:p>
    <w:p w14:paraId="343D38CC" w14:textId="77777777" w:rsidR="003F206C" w:rsidRPr="007D580B" w:rsidRDefault="003F206C" w:rsidP="003F206C">
      <w:pPr>
        <w:spacing w:after="0"/>
        <w:jc w:val="center"/>
        <w:rPr>
          <w:rFonts w:ascii="Arial" w:hAnsi="Arial" w:cs="Arial"/>
          <w:b/>
          <w:sz w:val="24"/>
          <w:szCs w:val="24"/>
        </w:rPr>
      </w:pPr>
    </w:p>
    <w:p w14:paraId="2BB8A90D" w14:textId="77777777" w:rsidR="003F206C" w:rsidRPr="007D580B" w:rsidRDefault="003F206C" w:rsidP="003F206C">
      <w:pPr>
        <w:spacing w:after="0"/>
        <w:jc w:val="center"/>
        <w:rPr>
          <w:rFonts w:ascii="Arial" w:hAnsi="Arial" w:cs="Arial"/>
          <w:b/>
          <w:sz w:val="24"/>
          <w:szCs w:val="24"/>
        </w:rPr>
      </w:pPr>
    </w:p>
    <w:p w14:paraId="663A2160" w14:textId="77777777" w:rsidR="003F206C" w:rsidRPr="007D580B" w:rsidRDefault="003F206C" w:rsidP="003F206C">
      <w:pPr>
        <w:spacing w:after="0"/>
        <w:jc w:val="center"/>
        <w:rPr>
          <w:rFonts w:ascii="Arial" w:hAnsi="Arial" w:cs="Arial"/>
          <w:b/>
          <w:sz w:val="24"/>
          <w:szCs w:val="24"/>
        </w:rPr>
      </w:pPr>
    </w:p>
    <w:p w14:paraId="5F1F4EEB" w14:textId="77777777" w:rsidR="003F206C" w:rsidRPr="007D580B" w:rsidRDefault="003F206C" w:rsidP="003F206C">
      <w:pPr>
        <w:spacing w:after="0"/>
        <w:jc w:val="center"/>
        <w:rPr>
          <w:rFonts w:ascii="Arial" w:hAnsi="Arial" w:cs="Arial"/>
          <w:b/>
          <w:sz w:val="24"/>
          <w:szCs w:val="24"/>
        </w:rPr>
      </w:pPr>
    </w:p>
    <w:p w14:paraId="4F236E8D" w14:textId="77777777" w:rsidR="003F206C" w:rsidRPr="007D580B" w:rsidRDefault="003F206C" w:rsidP="003F206C">
      <w:pPr>
        <w:spacing w:after="0"/>
        <w:jc w:val="center"/>
        <w:rPr>
          <w:rFonts w:ascii="Arial" w:hAnsi="Arial" w:cs="Arial"/>
          <w:b/>
          <w:sz w:val="24"/>
          <w:szCs w:val="24"/>
        </w:rPr>
      </w:pPr>
    </w:p>
    <w:p w14:paraId="1D55079E" w14:textId="77777777" w:rsidR="003F206C" w:rsidRPr="007D580B" w:rsidRDefault="003F206C" w:rsidP="003F206C">
      <w:pPr>
        <w:spacing w:after="0"/>
        <w:jc w:val="center"/>
        <w:rPr>
          <w:rFonts w:ascii="Arial" w:hAnsi="Arial" w:cs="Arial"/>
          <w:b/>
          <w:sz w:val="24"/>
          <w:szCs w:val="24"/>
        </w:rPr>
      </w:pPr>
    </w:p>
    <w:p w14:paraId="6211FD8E" w14:textId="77777777" w:rsidR="003F206C" w:rsidRPr="007D580B" w:rsidRDefault="003F206C" w:rsidP="003F206C">
      <w:pPr>
        <w:spacing w:after="0"/>
        <w:jc w:val="center"/>
        <w:rPr>
          <w:rFonts w:ascii="Arial" w:hAnsi="Arial" w:cs="Arial"/>
          <w:b/>
          <w:sz w:val="24"/>
          <w:szCs w:val="24"/>
        </w:rPr>
      </w:pPr>
    </w:p>
    <w:p w14:paraId="67392386" w14:textId="2C59F0AD" w:rsidR="003F206C" w:rsidRPr="007D580B" w:rsidRDefault="003F206C" w:rsidP="003F206C">
      <w:pPr>
        <w:spacing w:after="0"/>
        <w:jc w:val="center"/>
        <w:rPr>
          <w:rFonts w:ascii="Arial" w:hAnsi="Arial" w:cs="Arial"/>
          <w:b/>
          <w:bCs/>
          <w:sz w:val="24"/>
          <w:szCs w:val="24"/>
        </w:rPr>
      </w:pPr>
      <w:r w:rsidRPr="007D580B">
        <w:rPr>
          <w:rFonts w:ascii="Arial" w:hAnsi="Arial" w:cs="Arial"/>
          <w:b/>
          <w:bCs/>
          <w:sz w:val="24"/>
          <w:szCs w:val="24"/>
        </w:rPr>
        <w:t xml:space="preserve">GAMING </w:t>
      </w:r>
      <w:r w:rsidR="000C506E" w:rsidRPr="007D580B">
        <w:rPr>
          <w:rFonts w:ascii="Arial" w:hAnsi="Arial" w:cs="Arial"/>
          <w:b/>
          <w:bCs/>
          <w:sz w:val="24"/>
          <w:szCs w:val="24"/>
        </w:rPr>
        <w:t xml:space="preserve">MACHINE </w:t>
      </w:r>
      <w:r w:rsidR="00527368">
        <w:rPr>
          <w:rFonts w:ascii="Arial" w:hAnsi="Arial" w:cs="Arial"/>
          <w:b/>
          <w:bCs/>
          <w:sz w:val="24"/>
          <w:szCs w:val="24"/>
        </w:rPr>
        <w:t>AMENDMENT</w:t>
      </w:r>
      <w:r w:rsidRPr="007D580B">
        <w:rPr>
          <w:rFonts w:ascii="Arial" w:hAnsi="Arial" w:cs="Arial"/>
          <w:b/>
          <w:bCs/>
          <w:sz w:val="24"/>
          <w:szCs w:val="24"/>
        </w:rPr>
        <w:t xml:space="preserve"> </w:t>
      </w:r>
      <w:r w:rsidR="000C506E" w:rsidRPr="007D580B">
        <w:rPr>
          <w:rFonts w:ascii="Arial" w:hAnsi="Arial" w:cs="Arial"/>
          <w:b/>
          <w:bCs/>
          <w:sz w:val="24"/>
          <w:szCs w:val="24"/>
        </w:rPr>
        <w:t>REGULATION</w:t>
      </w:r>
      <w:r w:rsidRPr="007D580B">
        <w:rPr>
          <w:rFonts w:ascii="Arial" w:hAnsi="Arial" w:cs="Arial"/>
          <w:b/>
          <w:bCs/>
          <w:sz w:val="24"/>
          <w:szCs w:val="24"/>
        </w:rPr>
        <w:t xml:space="preserve"> 201</w:t>
      </w:r>
      <w:r w:rsidR="00527368">
        <w:rPr>
          <w:rFonts w:ascii="Arial" w:hAnsi="Arial" w:cs="Arial"/>
          <w:b/>
          <w:bCs/>
          <w:sz w:val="24"/>
          <w:szCs w:val="24"/>
        </w:rPr>
        <w:t>9 (NO 2)</w:t>
      </w:r>
    </w:p>
    <w:p w14:paraId="1614BDF3" w14:textId="77777777" w:rsidR="003F206C" w:rsidRPr="007D580B" w:rsidRDefault="003F206C" w:rsidP="003F206C">
      <w:pPr>
        <w:spacing w:after="0"/>
        <w:jc w:val="center"/>
        <w:rPr>
          <w:rFonts w:ascii="Arial" w:hAnsi="Arial" w:cs="Arial"/>
          <w:b/>
          <w:bCs/>
          <w:sz w:val="24"/>
          <w:szCs w:val="24"/>
        </w:rPr>
      </w:pPr>
    </w:p>
    <w:p w14:paraId="34C7C6D4" w14:textId="79C8D94B" w:rsidR="003F206C" w:rsidRPr="007D580B" w:rsidRDefault="00305757" w:rsidP="003F206C">
      <w:pPr>
        <w:spacing w:after="0"/>
        <w:jc w:val="center"/>
        <w:rPr>
          <w:rFonts w:ascii="Arial" w:hAnsi="Arial" w:cs="Arial"/>
          <w:b/>
          <w:sz w:val="24"/>
          <w:szCs w:val="24"/>
        </w:rPr>
      </w:pPr>
      <w:r w:rsidRPr="007D580B">
        <w:rPr>
          <w:rFonts w:ascii="Arial" w:hAnsi="Arial" w:cs="Arial"/>
          <w:b/>
          <w:sz w:val="24"/>
          <w:szCs w:val="24"/>
        </w:rPr>
        <w:t>SL201</w:t>
      </w:r>
      <w:r w:rsidR="00527368">
        <w:rPr>
          <w:rFonts w:ascii="Arial" w:hAnsi="Arial" w:cs="Arial"/>
          <w:b/>
          <w:sz w:val="24"/>
          <w:szCs w:val="24"/>
        </w:rPr>
        <w:t>9</w:t>
      </w:r>
      <w:r w:rsidR="00527368">
        <w:rPr>
          <w:rFonts w:ascii="Arial" w:hAnsi="Arial" w:cs="Arial"/>
          <w:b/>
          <w:szCs w:val="24"/>
        </w:rPr>
        <w:t>–</w:t>
      </w:r>
      <w:r w:rsidR="00E00DD2">
        <w:rPr>
          <w:rFonts w:ascii="Arial" w:hAnsi="Arial" w:cs="Arial"/>
          <w:b/>
          <w:szCs w:val="24"/>
        </w:rPr>
        <w:t>22</w:t>
      </w:r>
    </w:p>
    <w:p w14:paraId="6F238BA7" w14:textId="77777777" w:rsidR="003F206C" w:rsidRPr="007D580B" w:rsidRDefault="003F206C" w:rsidP="003F206C">
      <w:pPr>
        <w:spacing w:after="0"/>
        <w:jc w:val="center"/>
        <w:rPr>
          <w:rFonts w:ascii="Arial" w:hAnsi="Arial" w:cs="Arial"/>
          <w:b/>
          <w:bCs/>
          <w:sz w:val="24"/>
          <w:szCs w:val="24"/>
        </w:rPr>
      </w:pPr>
    </w:p>
    <w:p w14:paraId="41B1814D" w14:textId="77777777" w:rsidR="003F206C" w:rsidRPr="007D580B" w:rsidRDefault="003F206C" w:rsidP="003F206C">
      <w:pPr>
        <w:spacing w:after="0"/>
        <w:jc w:val="center"/>
        <w:rPr>
          <w:rFonts w:ascii="Arial" w:hAnsi="Arial" w:cs="Arial"/>
          <w:b/>
          <w:sz w:val="24"/>
          <w:szCs w:val="24"/>
        </w:rPr>
      </w:pPr>
      <w:r w:rsidRPr="007D580B">
        <w:rPr>
          <w:rFonts w:ascii="Arial" w:hAnsi="Arial" w:cs="Arial"/>
          <w:b/>
          <w:bCs/>
          <w:sz w:val="24"/>
          <w:szCs w:val="24"/>
        </w:rPr>
        <w:t>EXPLANATORY STATEMENT</w:t>
      </w:r>
    </w:p>
    <w:p w14:paraId="51BA35B9" w14:textId="77777777" w:rsidR="00526662" w:rsidRPr="007D580B" w:rsidRDefault="00526662">
      <w:pPr>
        <w:rPr>
          <w:rFonts w:ascii="Arial" w:hAnsi="Arial" w:cs="Arial"/>
        </w:rPr>
      </w:pPr>
    </w:p>
    <w:p w14:paraId="6FABD05F" w14:textId="77777777" w:rsidR="003F206C" w:rsidRPr="007D580B" w:rsidRDefault="003F206C">
      <w:pPr>
        <w:rPr>
          <w:rFonts w:ascii="Arial" w:hAnsi="Arial" w:cs="Arial"/>
        </w:rPr>
      </w:pPr>
    </w:p>
    <w:p w14:paraId="2D65C85F" w14:textId="77777777" w:rsidR="003F206C" w:rsidRPr="007D580B" w:rsidRDefault="003F206C">
      <w:pPr>
        <w:rPr>
          <w:rFonts w:ascii="Arial" w:hAnsi="Arial" w:cs="Arial"/>
        </w:rPr>
      </w:pPr>
    </w:p>
    <w:p w14:paraId="34C4A1BB" w14:textId="77777777" w:rsidR="003F206C" w:rsidRPr="007D580B" w:rsidRDefault="003F206C">
      <w:pPr>
        <w:rPr>
          <w:rFonts w:ascii="Arial" w:hAnsi="Arial" w:cs="Arial"/>
        </w:rPr>
      </w:pPr>
    </w:p>
    <w:p w14:paraId="767D45C4" w14:textId="77777777" w:rsidR="003F206C" w:rsidRPr="007D580B" w:rsidRDefault="003F206C">
      <w:pPr>
        <w:rPr>
          <w:rFonts w:ascii="Arial" w:hAnsi="Arial" w:cs="Arial"/>
        </w:rPr>
      </w:pPr>
    </w:p>
    <w:p w14:paraId="3EEA714E" w14:textId="77777777" w:rsidR="003F206C" w:rsidRPr="007D580B" w:rsidRDefault="003F206C">
      <w:pPr>
        <w:rPr>
          <w:rFonts w:ascii="Arial" w:hAnsi="Arial" w:cs="Arial"/>
        </w:rPr>
      </w:pPr>
    </w:p>
    <w:p w14:paraId="430995FA" w14:textId="77777777" w:rsidR="003F206C" w:rsidRPr="007D580B" w:rsidRDefault="003F206C">
      <w:pPr>
        <w:rPr>
          <w:rFonts w:ascii="Arial" w:hAnsi="Arial" w:cs="Arial"/>
        </w:rPr>
      </w:pPr>
    </w:p>
    <w:p w14:paraId="61CB6D16" w14:textId="77777777" w:rsidR="003F206C" w:rsidRPr="007D580B" w:rsidRDefault="003F206C">
      <w:pPr>
        <w:rPr>
          <w:rFonts w:ascii="Arial" w:hAnsi="Arial" w:cs="Arial"/>
        </w:rPr>
      </w:pPr>
    </w:p>
    <w:p w14:paraId="5424D9F4" w14:textId="77777777" w:rsidR="003F206C" w:rsidRPr="007D580B" w:rsidRDefault="003F206C" w:rsidP="003F206C">
      <w:pPr>
        <w:pStyle w:val="Heading8"/>
        <w:spacing w:line="276" w:lineRule="auto"/>
        <w:jc w:val="center"/>
        <w:rPr>
          <w:rFonts w:ascii="Arial" w:hAnsi="Arial" w:cs="Arial"/>
          <w:bCs/>
          <w:lang w:val="en-AU"/>
        </w:rPr>
      </w:pPr>
    </w:p>
    <w:p w14:paraId="24CA543D" w14:textId="22B58207" w:rsidR="003F206C" w:rsidRPr="007D580B" w:rsidRDefault="00305757" w:rsidP="003F206C">
      <w:pPr>
        <w:pStyle w:val="Heading8"/>
        <w:spacing w:line="276" w:lineRule="auto"/>
        <w:ind w:right="686"/>
        <w:rPr>
          <w:rFonts w:ascii="Arial" w:hAnsi="Arial" w:cs="Arial"/>
          <w:bCs/>
          <w:lang w:val="en-AU"/>
        </w:rPr>
      </w:pPr>
      <w:r w:rsidRPr="007D580B">
        <w:rPr>
          <w:rFonts w:ascii="Arial" w:hAnsi="Arial" w:cs="Arial"/>
          <w:bCs/>
          <w:lang w:val="en-AU"/>
        </w:rPr>
        <w:t>Circulated</w:t>
      </w:r>
      <w:r w:rsidR="003F206C" w:rsidRPr="007D580B">
        <w:rPr>
          <w:rFonts w:ascii="Arial" w:hAnsi="Arial" w:cs="Arial"/>
          <w:bCs/>
          <w:lang w:val="en-AU"/>
        </w:rPr>
        <w:t xml:space="preserve"> by</w:t>
      </w:r>
      <w:r w:rsidRPr="007D580B">
        <w:rPr>
          <w:rFonts w:ascii="Arial" w:hAnsi="Arial" w:cs="Arial"/>
          <w:bCs/>
          <w:lang w:val="en-AU"/>
        </w:rPr>
        <w:t xml:space="preserve"> the authority of</w:t>
      </w:r>
    </w:p>
    <w:p w14:paraId="010E5F89" w14:textId="77777777" w:rsidR="003F206C" w:rsidRPr="007D580B" w:rsidRDefault="003F206C" w:rsidP="003F206C">
      <w:pPr>
        <w:spacing w:after="0"/>
        <w:ind w:right="686"/>
        <w:jc w:val="right"/>
        <w:rPr>
          <w:rFonts w:ascii="Arial" w:hAnsi="Arial" w:cs="Arial"/>
          <w:b/>
          <w:bCs/>
          <w:sz w:val="24"/>
          <w:szCs w:val="24"/>
        </w:rPr>
      </w:pPr>
      <w:r w:rsidRPr="007D580B">
        <w:rPr>
          <w:rFonts w:ascii="Arial" w:hAnsi="Arial" w:cs="Arial"/>
          <w:b/>
          <w:bCs/>
          <w:sz w:val="24"/>
          <w:szCs w:val="24"/>
        </w:rPr>
        <w:t>Gordon Ramsay MLA</w:t>
      </w:r>
    </w:p>
    <w:p w14:paraId="1F73C72A" w14:textId="77777777" w:rsidR="003F206C" w:rsidRPr="007D580B" w:rsidRDefault="003F206C" w:rsidP="003F206C">
      <w:pPr>
        <w:spacing w:after="0"/>
        <w:ind w:right="686"/>
        <w:jc w:val="right"/>
        <w:rPr>
          <w:rFonts w:ascii="Arial" w:hAnsi="Arial" w:cs="Arial"/>
          <w:b/>
          <w:bCs/>
          <w:sz w:val="24"/>
          <w:szCs w:val="24"/>
        </w:rPr>
      </w:pPr>
      <w:r w:rsidRPr="007D580B">
        <w:rPr>
          <w:rFonts w:ascii="Arial" w:hAnsi="Arial" w:cs="Arial"/>
          <w:b/>
          <w:bCs/>
          <w:sz w:val="24"/>
          <w:szCs w:val="24"/>
        </w:rPr>
        <w:t>Attorney-General</w:t>
      </w:r>
    </w:p>
    <w:p w14:paraId="37AC592C" w14:textId="1F3CDDA1" w:rsidR="007D580B" w:rsidRDefault="007D580B">
      <w:pPr>
        <w:spacing w:after="160" w:line="259" w:lineRule="auto"/>
        <w:rPr>
          <w:rFonts w:ascii="Arial" w:hAnsi="Arial" w:cs="Arial"/>
        </w:rPr>
      </w:pPr>
      <w:r>
        <w:rPr>
          <w:rFonts w:ascii="Arial" w:hAnsi="Arial" w:cs="Arial"/>
        </w:rPr>
        <w:br w:type="page"/>
      </w:r>
    </w:p>
    <w:p w14:paraId="723EDC06" w14:textId="6D9AFE83" w:rsidR="006D17DF" w:rsidRPr="007D580B" w:rsidRDefault="007D580B" w:rsidP="007D580B">
      <w:pPr>
        <w:rPr>
          <w:rFonts w:ascii="Arial" w:hAnsi="Arial" w:cs="Arial"/>
          <w:b/>
          <w:sz w:val="24"/>
          <w:szCs w:val="24"/>
        </w:rPr>
      </w:pPr>
      <w:r>
        <w:rPr>
          <w:rFonts w:ascii="Arial" w:hAnsi="Arial" w:cs="Arial"/>
          <w:b/>
          <w:sz w:val="24"/>
          <w:szCs w:val="24"/>
        </w:rPr>
        <w:lastRenderedPageBreak/>
        <w:t>OVERVIEW</w:t>
      </w:r>
    </w:p>
    <w:p w14:paraId="4FF06D69" w14:textId="561E50FE" w:rsidR="00A94CD2" w:rsidRDefault="00A94CD2" w:rsidP="00A94CD2">
      <w:pPr>
        <w:spacing w:after="0"/>
        <w:rPr>
          <w:rFonts w:ascii="Arial" w:hAnsi="Arial" w:cs="Arial"/>
          <w:sz w:val="24"/>
          <w:szCs w:val="24"/>
        </w:rPr>
      </w:pPr>
      <w:r w:rsidRPr="007D580B">
        <w:rPr>
          <w:rFonts w:ascii="Arial" w:hAnsi="Arial" w:cs="Arial"/>
          <w:sz w:val="24"/>
          <w:szCs w:val="24"/>
        </w:rPr>
        <w:t xml:space="preserve">The </w:t>
      </w:r>
      <w:r w:rsidRPr="007D580B">
        <w:rPr>
          <w:rFonts w:ascii="Arial" w:hAnsi="Arial" w:cs="Arial"/>
          <w:i/>
          <w:sz w:val="24"/>
          <w:szCs w:val="24"/>
        </w:rPr>
        <w:t>Gaming Machine Act 2004</w:t>
      </w:r>
      <w:r w:rsidRPr="007D580B">
        <w:rPr>
          <w:rFonts w:ascii="Arial" w:hAnsi="Arial" w:cs="Arial"/>
          <w:sz w:val="24"/>
          <w:szCs w:val="24"/>
        </w:rPr>
        <w:t xml:space="preserve"> (the Gaming Machine Act) and the </w:t>
      </w:r>
      <w:r w:rsidRPr="007D580B">
        <w:rPr>
          <w:rFonts w:ascii="Arial" w:hAnsi="Arial" w:cs="Arial"/>
          <w:i/>
          <w:sz w:val="24"/>
          <w:szCs w:val="24"/>
        </w:rPr>
        <w:t>Gaming Machine Regulation 2004</w:t>
      </w:r>
      <w:r w:rsidRPr="007D580B">
        <w:rPr>
          <w:rFonts w:ascii="Arial" w:hAnsi="Arial" w:cs="Arial"/>
          <w:sz w:val="24"/>
          <w:szCs w:val="24"/>
        </w:rPr>
        <w:t xml:space="preserve"> (the Gaming Machine Regulation) regulate gaming machine operators, venues and gaming machines.</w:t>
      </w:r>
    </w:p>
    <w:p w14:paraId="55A2344D" w14:textId="77777777" w:rsidR="00A94CD2" w:rsidRPr="007D580B" w:rsidRDefault="00A94CD2" w:rsidP="00A94CD2">
      <w:pPr>
        <w:spacing w:after="0"/>
        <w:rPr>
          <w:rFonts w:ascii="Arial" w:hAnsi="Arial" w:cs="Arial"/>
          <w:sz w:val="24"/>
          <w:szCs w:val="24"/>
        </w:rPr>
      </w:pPr>
    </w:p>
    <w:p w14:paraId="253DCF6A" w14:textId="60BC71A5" w:rsidR="005B30A9" w:rsidRPr="00FF551E" w:rsidRDefault="005B30A9" w:rsidP="00FF551E">
      <w:pPr>
        <w:spacing w:after="120"/>
        <w:rPr>
          <w:rFonts w:ascii="Arial" w:hAnsi="Arial" w:cs="Arial"/>
          <w:sz w:val="24"/>
          <w:szCs w:val="24"/>
        </w:rPr>
      </w:pPr>
      <w:r w:rsidRPr="00FF551E">
        <w:rPr>
          <w:rFonts w:ascii="Arial" w:hAnsi="Arial" w:cs="Arial"/>
          <w:sz w:val="24"/>
          <w:szCs w:val="24"/>
        </w:rPr>
        <w:t xml:space="preserve">The ACT Government committed in the </w:t>
      </w:r>
      <w:r w:rsidRPr="00FF551E">
        <w:rPr>
          <w:rFonts w:ascii="Arial" w:hAnsi="Arial" w:cs="Arial"/>
          <w:i/>
          <w:sz w:val="24"/>
          <w:szCs w:val="24"/>
        </w:rPr>
        <w:t>Parliamentary Agreement for the 9</w:t>
      </w:r>
      <w:r w:rsidRPr="00FF551E">
        <w:rPr>
          <w:rFonts w:ascii="Arial" w:hAnsi="Arial" w:cs="Arial"/>
          <w:i/>
          <w:sz w:val="24"/>
          <w:szCs w:val="24"/>
          <w:vertAlign w:val="superscript"/>
        </w:rPr>
        <w:t>th</w:t>
      </w:r>
      <w:r w:rsidRPr="00FF551E">
        <w:rPr>
          <w:rFonts w:ascii="Arial" w:hAnsi="Arial" w:cs="Arial"/>
          <w:i/>
          <w:sz w:val="24"/>
          <w:szCs w:val="24"/>
        </w:rPr>
        <w:t xml:space="preserve"> Legislative Assembly </w:t>
      </w:r>
      <w:r w:rsidRPr="00FF551E">
        <w:rPr>
          <w:rFonts w:ascii="Arial" w:hAnsi="Arial" w:cs="Arial"/>
          <w:sz w:val="24"/>
          <w:szCs w:val="24"/>
        </w:rPr>
        <w:t>to:</w:t>
      </w:r>
    </w:p>
    <w:p w14:paraId="4F4ACEAD" w14:textId="77777777" w:rsidR="005B30A9" w:rsidRPr="00FF551E" w:rsidRDefault="005B30A9" w:rsidP="005B30A9">
      <w:pPr>
        <w:pStyle w:val="ListParagraph"/>
        <w:numPr>
          <w:ilvl w:val="0"/>
          <w:numId w:val="32"/>
        </w:numPr>
        <w:spacing w:line="276" w:lineRule="auto"/>
        <w:rPr>
          <w:rFonts w:ascii="Arial" w:hAnsi="Arial" w:cs="Arial"/>
          <w:sz w:val="24"/>
          <w:szCs w:val="24"/>
        </w:rPr>
      </w:pPr>
      <w:r w:rsidRPr="00FF551E">
        <w:rPr>
          <w:rFonts w:ascii="Arial" w:hAnsi="Arial" w:cs="Arial"/>
          <w:sz w:val="24"/>
          <w:szCs w:val="24"/>
        </w:rPr>
        <w:t>review the current community contribution scheme to maximise the direct community benefit; and</w:t>
      </w:r>
    </w:p>
    <w:p w14:paraId="03E7B365" w14:textId="77777777" w:rsidR="005B30A9" w:rsidRPr="00FF551E" w:rsidRDefault="005B30A9" w:rsidP="005B30A9">
      <w:pPr>
        <w:pStyle w:val="ListParagraph"/>
        <w:numPr>
          <w:ilvl w:val="0"/>
          <w:numId w:val="32"/>
        </w:numPr>
        <w:spacing w:line="276" w:lineRule="auto"/>
        <w:rPr>
          <w:rFonts w:ascii="Arial" w:hAnsi="Arial" w:cs="Arial"/>
          <w:sz w:val="24"/>
          <w:szCs w:val="24"/>
        </w:rPr>
      </w:pPr>
      <w:r w:rsidRPr="00FF551E">
        <w:rPr>
          <w:rFonts w:ascii="Arial" w:hAnsi="Arial" w:cs="Arial"/>
          <w:sz w:val="24"/>
          <w:szCs w:val="24"/>
        </w:rPr>
        <w:t>establish an independent charitable fund to distribute funds to charitable and community causes.</w:t>
      </w:r>
    </w:p>
    <w:p w14:paraId="4DC8D97F" w14:textId="77777777" w:rsidR="00FF551E" w:rsidRDefault="00FF551E" w:rsidP="00154355">
      <w:pPr>
        <w:spacing w:after="0"/>
        <w:rPr>
          <w:rFonts w:ascii="Arial" w:hAnsi="Arial" w:cs="Arial"/>
        </w:rPr>
      </w:pPr>
    </w:p>
    <w:p w14:paraId="4203D7EF" w14:textId="5364828F" w:rsidR="005B30A9" w:rsidRPr="00154355" w:rsidRDefault="007565E1" w:rsidP="005B30A9">
      <w:pPr>
        <w:rPr>
          <w:rFonts w:ascii="Arial" w:hAnsi="Arial" w:cs="Arial"/>
          <w:sz w:val="24"/>
          <w:szCs w:val="24"/>
        </w:rPr>
      </w:pPr>
      <w:r>
        <w:rPr>
          <w:rFonts w:ascii="Arial" w:hAnsi="Arial" w:cs="Arial"/>
          <w:sz w:val="24"/>
          <w:szCs w:val="24"/>
        </w:rPr>
        <w:t>Following extensive consultation, r</w:t>
      </w:r>
      <w:r w:rsidR="00154355" w:rsidRPr="00154355">
        <w:rPr>
          <w:rFonts w:ascii="Arial" w:hAnsi="Arial" w:cs="Arial"/>
          <w:sz w:val="24"/>
          <w:szCs w:val="24"/>
        </w:rPr>
        <w:t>eforms to the community contributions scheme were progressed through the</w:t>
      </w:r>
      <w:r w:rsidR="005B30A9" w:rsidRPr="00154355">
        <w:rPr>
          <w:rFonts w:ascii="Arial" w:hAnsi="Arial" w:cs="Arial"/>
          <w:sz w:val="24"/>
          <w:szCs w:val="24"/>
        </w:rPr>
        <w:t xml:space="preserve"> </w:t>
      </w:r>
      <w:r w:rsidR="005B30A9" w:rsidRPr="00154355">
        <w:rPr>
          <w:rFonts w:ascii="Arial" w:hAnsi="Arial" w:cs="Arial"/>
          <w:i/>
          <w:sz w:val="24"/>
          <w:szCs w:val="24"/>
        </w:rPr>
        <w:t>Gaming Legislation Amendment Act 2018</w:t>
      </w:r>
      <w:r w:rsidR="005B30A9" w:rsidRPr="00154355">
        <w:rPr>
          <w:rFonts w:ascii="Arial" w:hAnsi="Arial" w:cs="Arial"/>
          <w:sz w:val="24"/>
          <w:szCs w:val="24"/>
        </w:rPr>
        <w:t xml:space="preserve"> </w:t>
      </w:r>
      <w:r w:rsidR="00985F44">
        <w:rPr>
          <w:rFonts w:ascii="Arial" w:hAnsi="Arial" w:cs="Arial"/>
          <w:sz w:val="24"/>
          <w:szCs w:val="24"/>
        </w:rPr>
        <w:t xml:space="preserve">(the Amendment Act) </w:t>
      </w:r>
      <w:r w:rsidR="00154355" w:rsidRPr="00154355">
        <w:rPr>
          <w:rFonts w:ascii="Arial" w:hAnsi="Arial" w:cs="Arial"/>
          <w:sz w:val="24"/>
          <w:szCs w:val="24"/>
        </w:rPr>
        <w:t xml:space="preserve">and the </w:t>
      </w:r>
      <w:r w:rsidR="00154355" w:rsidRPr="00154355">
        <w:rPr>
          <w:rFonts w:ascii="Arial" w:hAnsi="Arial" w:cs="Arial"/>
          <w:i/>
          <w:sz w:val="24"/>
          <w:szCs w:val="24"/>
        </w:rPr>
        <w:t>Gaming Legislation Amendment Regulation 2019 (No 1)</w:t>
      </w:r>
      <w:r w:rsidR="00154355" w:rsidRPr="00154355">
        <w:rPr>
          <w:rFonts w:ascii="Arial" w:hAnsi="Arial" w:cs="Arial"/>
          <w:sz w:val="24"/>
          <w:szCs w:val="24"/>
        </w:rPr>
        <w:t xml:space="preserve">. The reforms, which commenced on </w:t>
      </w:r>
      <w:r w:rsidR="005B30A9" w:rsidRPr="00154355">
        <w:rPr>
          <w:rFonts w:ascii="Arial" w:hAnsi="Arial" w:cs="Arial"/>
          <w:sz w:val="24"/>
          <w:szCs w:val="24"/>
        </w:rPr>
        <w:t>1 July 2019 include:</w:t>
      </w:r>
    </w:p>
    <w:p w14:paraId="287FB87A" w14:textId="77777777" w:rsidR="005B30A9" w:rsidRPr="00154355" w:rsidRDefault="005B30A9" w:rsidP="005B30A9">
      <w:pPr>
        <w:pStyle w:val="ListParagraph"/>
        <w:numPr>
          <w:ilvl w:val="0"/>
          <w:numId w:val="32"/>
        </w:numPr>
        <w:spacing w:line="276" w:lineRule="auto"/>
        <w:rPr>
          <w:rFonts w:ascii="Arial" w:hAnsi="Arial" w:cs="Arial"/>
          <w:sz w:val="24"/>
          <w:szCs w:val="24"/>
        </w:rPr>
      </w:pPr>
      <w:r w:rsidRPr="00154355">
        <w:rPr>
          <w:rFonts w:ascii="Arial" w:hAnsi="Arial" w:cs="Arial"/>
          <w:sz w:val="24"/>
          <w:szCs w:val="24"/>
        </w:rPr>
        <w:t>an increase to the contribution rate for club licensees;</w:t>
      </w:r>
    </w:p>
    <w:p w14:paraId="46D4F331" w14:textId="77777777" w:rsidR="005B30A9" w:rsidRPr="00154355" w:rsidRDefault="005B30A9" w:rsidP="005B30A9">
      <w:pPr>
        <w:pStyle w:val="ListParagraph"/>
        <w:numPr>
          <w:ilvl w:val="0"/>
          <w:numId w:val="32"/>
        </w:numPr>
        <w:spacing w:line="276" w:lineRule="auto"/>
        <w:rPr>
          <w:rFonts w:ascii="Arial" w:hAnsi="Arial" w:cs="Arial"/>
          <w:sz w:val="24"/>
          <w:szCs w:val="24"/>
        </w:rPr>
      </w:pPr>
      <w:r w:rsidRPr="00154355">
        <w:rPr>
          <w:rFonts w:ascii="Arial" w:hAnsi="Arial" w:cs="Arial"/>
          <w:sz w:val="24"/>
          <w:szCs w:val="24"/>
        </w:rPr>
        <w:t>a new mandatory minimum community contribution from hotel licensees;</w:t>
      </w:r>
    </w:p>
    <w:p w14:paraId="72827497" w14:textId="77777777" w:rsidR="005B30A9" w:rsidRPr="00154355" w:rsidRDefault="005B30A9" w:rsidP="005B30A9">
      <w:pPr>
        <w:pStyle w:val="ListParagraph"/>
        <w:numPr>
          <w:ilvl w:val="0"/>
          <w:numId w:val="32"/>
        </w:numPr>
        <w:spacing w:line="276" w:lineRule="auto"/>
        <w:rPr>
          <w:rFonts w:ascii="Arial" w:hAnsi="Arial" w:cs="Arial"/>
          <w:sz w:val="24"/>
          <w:szCs w:val="24"/>
        </w:rPr>
      </w:pPr>
      <w:r w:rsidRPr="00154355">
        <w:rPr>
          <w:rFonts w:ascii="Arial" w:hAnsi="Arial" w:cs="Arial"/>
          <w:sz w:val="24"/>
          <w:szCs w:val="24"/>
        </w:rPr>
        <w:t>reforms to improve the effectiveness of the current scheme and enhance its community benefit by broadening the distribution of community contributions;</w:t>
      </w:r>
    </w:p>
    <w:p w14:paraId="11BFC43D" w14:textId="77777777" w:rsidR="005B30A9" w:rsidRPr="00154355" w:rsidRDefault="005B30A9" w:rsidP="005B30A9">
      <w:pPr>
        <w:pStyle w:val="ListParagraph"/>
        <w:numPr>
          <w:ilvl w:val="0"/>
          <w:numId w:val="32"/>
        </w:numPr>
        <w:spacing w:line="276" w:lineRule="auto"/>
        <w:rPr>
          <w:rFonts w:ascii="Arial" w:hAnsi="Arial" w:cs="Arial"/>
          <w:sz w:val="24"/>
          <w:szCs w:val="24"/>
        </w:rPr>
      </w:pPr>
      <w:r w:rsidRPr="00154355">
        <w:rPr>
          <w:rFonts w:ascii="Arial" w:hAnsi="Arial" w:cs="Arial"/>
          <w:sz w:val="24"/>
          <w:szCs w:val="24"/>
        </w:rPr>
        <w:t>increased transparency about contributions made and revised reporting arrangements; and</w:t>
      </w:r>
    </w:p>
    <w:p w14:paraId="6E0CCBDA" w14:textId="58633035" w:rsidR="005B30A9" w:rsidRDefault="005B30A9" w:rsidP="005B30A9">
      <w:pPr>
        <w:pStyle w:val="ListParagraph"/>
        <w:numPr>
          <w:ilvl w:val="0"/>
          <w:numId w:val="32"/>
        </w:numPr>
        <w:spacing w:line="276" w:lineRule="auto"/>
        <w:rPr>
          <w:rFonts w:ascii="Arial" w:hAnsi="Arial" w:cs="Arial"/>
          <w:sz w:val="24"/>
          <w:szCs w:val="24"/>
        </w:rPr>
      </w:pPr>
      <w:r w:rsidRPr="00154355">
        <w:rPr>
          <w:rFonts w:ascii="Arial" w:hAnsi="Arial" w:cs="Arial"/>
          <w:sz w:val="24"/>
          <w:szCs w:val="24"/>
        </w:rPr>
        <w:t>a range of specific exclusions from the scheme.</w:t>
      </w:r>
    </w:p>
    <w:p w14:paraId="10F67E39" w14:textId="77777777" w:rsidR="00154355" w:rsidRPr="00A75907" w:rsidRDefault="00154355" w:rsidP="00154355">
      <w:pPr>
        <w:spacing w:after="0"/>
        <w:rPr>
          <w:rFonts w:ascii="Arial" w:hAnsi="Arial" w:cs="Arial"/>
          <w:bCs/>
          <w:sz w:val="24"/>
          <w:szCs w:val="24"/>
        </w:rPr>
      </w:pPr>
    </w:p>
    <w:p w14:paraId="12559F25" w14:textId="2C6B5DB1" w:rsidR="00727E12" w:rsidRDefault="00154355" w:rsidP="00A75907">
      <w:pPr>
        <w:spacing w:after="0"/>
        <w:rPr>
          <w:rFonts w:ascii="Arial" w:hAnsi="Arial" w:cs="Arial"/>
          <w:bCs/>
          <w:sz w:val="24"/>
          <w:szCs w:val="24"/>
        </w:rPr>
      </w:pPr>
      <w:r w:rsidRPr="00A75907">
        <w:rPr>
          <w:rFonts w:ascii="Arial" w:hAnsi="Arial" w:cs="Arial"/>
          <w:bCs/>
          <w:sz w:val="24"/>
          <w:szCs w:val="24"/>
        </w:rPr>
        <w:t>Under the reforms</w:t>
      </w:r>
      <w:r w:rsidR="00727E12">
        <w:rPr>
          <w:rFonts w:ascii="Arial" w:hAnsi="Arial" w:cs="Arial"/>
          <w:bCs/>
          <w:sz w:val="24"/>
          <w:szCs w:val="24"/>
        </w:rPr>
        <w:t xml:space="preserve"> that increase transparency and revise reporting arrangements</w:t>
      </w:r>
      <w:r w:rsidRPr="00A75907">
        <w:rPr>
          <w:rFonts w:ascii="Arial" w:hAnsi="Arial" w:cs="Arial"/>
          <w:bCs/>
          <w:sz w:val="24"/>
          <w:szCs w:val="24"/>
        </w:rPr>
        <w:t xml:space="preserve">, a club is no longer required to provide the ACT Gambling and Racing Commission </w:t>
      </w:r>
      <w:r w:rsidR="00AB71D9">
        <w:rPr>
          <w:rFonts w:ascii="Arial" w:hAnsi="Arial" w:cs="Arial"/>
          <w:bCs/>
          <w:sz w:val="24"/>
          <w:szCs w:val="24"/>
        </w:rPr>
        <w:t xml:space="preserve">(the Commission) </w:t>
      </w:r>
      <w:r w:rsidRPr="00A75907">
        <w:rPr>
          <w:rFonts w:ascii="Arial" w:hAnsi="Arial" w:cs="Arial"/>
          <w:bCs/>
          <w:sz w:val="24"/>
          <w:szCs w:val="24"/>
        </w:rPr>
        <w:t>with a separate report at the end of the financial year about their community contributions. Instead, a club’s</w:t>
      </w:r>
      <w:r w:rsidR="00A75907">
        <w:rPr>
          <w:rFonts w:ascii="Arial" w:hAnsi="Arial" w:cs="Arial"/>
          <w:bCs/>
          <w:sz w:val="24"/>
          <w:szCs w:val="24"/>
        </w:rPr>
        <w:t xml:space="preserve"> </w:t>
      </w:r>
      <w:r w:rsidRPr="00A75907">
        <w:rPr>
          <w:rFonts w:ascii="Arial" w:hAnsi="Arial" w:cs="Arial"/>
          <w:bCs/>
          <w:sz w:val="24"/>
          <w:szCs w:val="24"/>
        </w:rPr>
        <w:t>annual report is required to include detail about the community purpose contributions made during the reporting yea</w:t>
      </w:r>
      <w:r w:rsidR="00727E12">
        <w:rPr>
          <w:rFonts w:ascii="Arial" w:hAnsi="Arial" w:cs="Arial"/>
          <w:bCs/>
          <w:sz w:val="24"/>
          <w:szCs w:val="24"/>
        </w:rPr>
        <w:t>r. There is a long</w:t>
      </w:r>
      <w:r w:rsidR="00727E12">
        <w:rPr>
          <w:rFonts w:ascii="Arial" w:hAnsi="Arial" w:cs="Arial"/>
          <w:bCs/>
          <w:sz w:val="24"/>
          <w:szCs w:val="24"/>
        </w:rPr>
        <w:noBreakHyphen/>
        <w:t>standing requirement for financial information in annual reports to be audited.</w:t>
      </w:r>
    </w:p>
    <w:p w14:paraId="64C0AD99" w14:textId="77777777" w:rsidR="00727E12" w:rsidRDefault="00727E12" w:rsidP="00A75907">
      <w:pPr>
        <w:spacing w:after="0"/>
        <w:rPr>
          <w:rFonts w:ascii="Arial" w:hAnsi="Arial" w:cs="Arial"/>
          <w:bCs/>
          <w:sz w:val="24"/>
          <w:szCs w:val="24"/>
        </w:rPr>
      </w:pPr>
    </w:p>
    <w:p w14:paraId="262DAA84" w14:textId="128836E7" w:rsidR="00A75907" w:rsidRDefault="007565E1" w:rsidP="00A75907">
      <w:pPr>
        <w:spacing w:after="0"/>
        <w:rPr>
          <w:rFonts w:ascii="Arial" w:hAnsi="Arial" w:cs="Arial"/>
          <w:bCs/>
          <w:sz w:val="24"/>
          <w:szCs w:val="24"/>
        </w:rPr>
      </w:pPr>
      <w:r>
        <w:rPr>
          <w:rFonts w:ascii="Arial" w:hAnsi="Arial" w:cs="Arial"/>
          <w:bCs/>
          <w:sz w:val="24"/>
          <w:szCs w:val="24"/>
        </w:rPr>
        <w:t>The reforms also provide that a</w:t>
      </w:r>
      <w:r w:rsidR="00727E12">
        <w:rPr>
          <w:rFonts w:ascii="Arial" w:hAnsi="Arial" w:cs="Arial"/>
          <w:bCs/>
          <w:sz w:val="24"/>
          <w:szCs w:val="24"/>
        </w:rPr>
        <w:t xml:space="preserve"> c</w:t>
      </w:r>
      <w:r w:rsidR="00A75907" w:rsidRPr="00A75907">
        <w:rPr>
          <w:rFonts w:ascii="Arial" w:hAnsi="Arial" w:cs="Arial"/>
          <w:bCs/>
          <w:sz w:val="24"/>
          <w:szCs w:val="24"/>
        </w:rPr>
        <w:t>lub</w:t>
      </w:r>
      <w:r w:rsidR="00727E12">
        <w:rPr>
          <w:rFonts w:ascii="Arial" w:hAnsi="Arial" w:cs="Arial"/>
          <w:bCs/>
          <w:sz w:val="24"/>
          <w:szCs w:val="24"/>
        </w:rPr>
        <w:t>’s</w:t>
      </w:r>
      <w:r w:rsidR="00A75907" w:rsidRPr="00A75907">
        <w:rPr>
          <w:rFonts w:ascii="Arial" w:hAnsi="Arial" w:cs="Arial"/>
          <w:bCs/>
          <w:sz w:val="24"/>
          <w:szCs w:val="24"/>
        </w:rPr>
        <w:t xml:space="preserve"> annual report</w:t>
      </w:r>
      <w:r>
        <w:rPr>
          <w:rFonts w:ascii="Arial" w:hAnsi="Arial" w:cs="Arial"/>
          <w:bCs/>
          <w:sz w:val="24"/>
          <w:szCs w:val="24"/>
        </w:rPr>
        <w:t xml:space="preserve">, </w:t>
      </w:r>
      <w:r w:rsidR="00727E12">
        <w:rPr>
          <w:rFonts w:ascii="Arial" w:hAnsi="Arial" w:cs="Arial"/>
          <w:bCs/>
          <w:sz w:val="24"/>
          <w:szCs w:val="24"/>
        </w:rPr>
        <w:t>including</w:t>
      </w:r>
      <w:r>
        <w:rPr>
          <w:rFonts w:ascii="Arial" w:hAnsi="Arial" w:cs="Arial"/>
          <w:bCs/>
          <w:sz w:val="24"/>
          <w:szCs w:val="24"/>
        </w:rPr>
        <w:t xml:space="preserve"> its</w:t>
      </w:r>
      <w:r w:rsidR="00727E12">
        <w:rPr>
          <w:rFonts w:ascii="Arial" w:hAnsi="Arial" w:cs="Arial"/>
          <w:bCs/>
          <w:sz w:val="24"/>
          <w:szCs w:val="24"/>
        </w:rPr>
        <w:t xml:space="preserve"> financial statements, must</w:t>
      </w:r>
      <w:r w:rsidR="00A75907" w:rsidRPr="00A75907">
        <w:rPr>
          <w:rFonts w:ascii="Arial" w:hAnsi="Arial" w:cs="Arial"/>
          <w:bCs/>
          <w:sz w:val="24"/>
          <w:szCs w:val="24"/>
        </w:rPr>
        <w:t xml:space="preserve"> be published </w:t>
      </w:r>
      <w:r w:rsidR="00727E12">
        <w:rPr>
          <w:rFonts w:ascii="Arial" w:hAnsi="Arial" w:cs="Arial"/>
          <w:bCs/>
          <w:sz w:val="24"/>
          <w:szCs w:val="24"/>
        </w:rPr>
        <w:t>on the club’s website t</w:t>
      </w:r>
      <w:r w:rsidR="00A75907" w:rsidRPr="00A75907">
        <w:rPr>
          <w:rFonts w:ascii="Arial" w:hAnsi="Arial" w:cs="Arial"/>
          <w:bCs/>
          <w:sz w:val="24"/>
          <w:szCs w:val="24"/>
        </w:rPr>
        <w:t>o ensure that information on community purpose contributions is supported by context about club operations and revenues.</w:t>
      </w:r>
    </w:p>
    <w:p w14:paraId="6B0A3DD6" w14:textId="02F32D9C" w:rsidR="00A75907" w:rsidRDefault="00A75907" w:rsidP="00A75907">
      <w:pPr>
        <w:spacing w:after="0"/>
        <w:rPr>
          <w:rFonts w:ascii="Arial" w:hAnsi="Arial" w:cs="Arial"/>
          <w:bCs/>
          <w:sz w:val="24"/>
          <w:szCs w:val="24"/>
        </w:rPr>
      </w:pPr>
    </w:p>
    <w:p w14:paraId="7A19E284" w14:textId="31DC4AB4" w:rsidR="00154355" w:rsidRPr="00154355" w:rsidRDefault="00154355" w:rsidP="00727E12">
      <w:pPr>
        <w:spacing w:after="0"/>
        <w:rPr>
          <w:rFonts w:ascii="Arial" w:hAnsi="Arial" w:cs="Arial"/>
          <w:color w:val="000000"/>
          <w:sz w:val="24"/>
        </w:rPr>
      </w:pPr>
      <w:r w:rsidRPr="00154355">
        <w:rPr>
          <w:rFonts w:ascii="Arial" w:hAnsi="Arial" w:cs="Arial"/>
          <w:bCs/>
          <w:sz w:val="24"/>
        </w:rPr>
        <w:t xml:space="preserve">Section 54 (1) of the Gaming Machine Act provides that it </w:t>
      </w:r>
      <w:r w:rsidRPr="00154355">
        <w:rPr>
          <w:rFonts w:ascii="Arial" w:hAnsi="Arial" w:cs="Arial"/>
          <w:color w:val="000000"/>
          <w:sz w:val="24"/>
        </w:rPr>
        <w:t>is a condition of a licence for a club that the club’s annual report for a financial year include information about a range of matters. Section 54 (1) (f) provides that other matters prescribed by regulation must be included in a club’s annual report.</w:t>
      </w:r>
      <w:r>
        <w:rPr>
          <w:rFonts w:ascii="Arial" w:hAnsi="Arial" w:cs="Arial"/>
          <w:color w:val="000000"/>
          <w:sz w:val="24"/>
        </w:rPr>
        <w:t xml:space="preserve"> Section 178 provides the regulation-making power for the Gaming Machine Act.</w:t>
      </w:r>
    </w:p>
    <w:p w14:paraId="70FCD76B" w14:textId="6C319CFD" w:rsidR="00A216D1" w:rsidRDefault="00A216D1" w:rsidP="00430287">
      <w:pPr>
        <w:spacing w:after="0"/>
        <w:rPr>
          <w:rFonts w:ascii="Arial" w:hAnsi="Arial" w:cs="Arial"/>
          <w:sz w:val="24"/>
          <w:szCs w:val="24"/>
        </w:rPr>
      </w:pPr>
    </w:p>
    <w:p w14:paraId="2CD5203E" w14:textId="6B2A9F0C" w:rsidR="00727E12" w:rsidRDefault="00727E12" w:rsidP="00727E12">
      <w:pPr>
        <w:spacing w:after="0"/>
        <w:rPr>
          <w:rFonts w:ascii="Arial" w:hAnsi="Arial" w:cs="Arial"/>
          <w:sz w:val="24"/>
          <w:szCs w:val="24"/>
          <w:lang w:eastAsia="en-AU"/>
        </w:rPr>
      </w:pPr>
      <w:r>
        <w:rPr>
          <w:rFonts w:ascii="Arial" w:hAnsi="Arial" w:cs="Arial"/>
          <w:sz w:val="24"/>
          <w:szCs w:val="24"/>
          <w:lang w:eastAsia="en-AU"/>
        </w:rPr>
        <w:lastRenderedPageBreak/>
        <w:t xml:space="preserve">As a result of industry </w:t>
      </w:r>
      <w:r w:rsidR="00125E99">
        <w:rPr>
          <w:rFonts w:ascii="Arial" w:hAnsi="Arial" w:cs="Arial"/>
          <w:sz w:val="24"/>
          <w:szCs w:val="24"/>
          <w:lang w:eastAsia="en-AU"/>
        </w:rPr>
        <w:t xml:space="preserve">enquiries </w:t>
      </w:r>
      <w:r>
        <w:rPr>
          <w:rFonts w:ascii="Arial" w:hAnsi="Arial" w:cs="Arial"/>
          <w:sz w:val="24"/>
          <w:szCs w:val="24"/>
          <w:lang w:eastAsia="en-AU"/>
        </w:rPr>
        <w:t>about the new requirements, this</w:t>
      </w:r>
      <w:r w:rsidRPr="00A216D1">
        <w:rPr>
          <w:rFonts w:ascii="Arial" w:hAnsi="Arial" w:cs="Arial"/>
          <w:sz w:val="24"/>
          <w:szCs w:val="24"/>
          <w:lang w:eastAsia="en-AU"/>
        </w:rPr>
        <w:t xml:space="preserve"> </w:t>
      </w:r>
      <w:r>
        <w:rPr>
          <w:rFonts w:ascii="Arial" w:hAnsi="Arial" w:cs="Arial"/>
          <w:sz w:val="24"/>
          <w:szCs w:val="24"/>
          <w:lang w:eastAsia="en-AU"/>
        </w:rPr>
        <w:t xml:space="preserve">Amendment </w:t>
      </w:r>
      <w:r w:rsidRPr="00A216D1">
        <w:rPr>
          <w:rFonts w:ascii="Arial" w:hAnsi="Arial" w:cs="Arial"/>
          <w:sz w:val="24"/>
          <w:szCs w:val="24"/>
          <w:lang w:eastAsia="en-AU"/>
        </w:rPr>
        <w:t xml:space="preserve">Regulation </w:t>
      </w:r>
      <w:r>
        <w:rPr>
          <w:rFonts w:ascii="Arial" w:hAnsi="Arial" w:cs="Arial"/>
          <w:sz w:val="24"/>
          <w:szCs w:val="24"/>
          <w:lang w:eastAsia="en-AU"/>
        </w:rPr>
        <w:t>clarifies the reporting and publishing requirements for community purpose contributions for clubs with gross gaming machine revenue of $200,000 or more</w:t>
      </w:r>
      <w:r w:rsidR="00985F44">
        <w:rPr>
          <w:rFonts w:ascii="Arial" w:hAnsi="Arial" w:cs="Arial"/>
          <w:sz w:val="24"/>
          <w:szCs w:val="24"/>
          <w:lang w:eastAsia="en-AU"/>
        </w:rPr>
        <w:t xml:space="preserve"> per reporting year</w:t>
      </w:r>
      <w:r>
        <w:rPr>
          <w:rFonts w:ascii="Arial" w:hAnsi="Arial" w:cs="Arial"/>
          <w:sz w:val="24"/>
          <w:szCs w:val="24"/>
          <w:lang w:eastAsia="en-AU"/>
        </w:rPr>
        <w:t>.</w:t>
      </w:r>
    </w:p>
    <w:p w14:paraId="6DB8A1BD" w14:textId="5F21B9FB" w:rsidR="007565E1" w:rsidRDefault="007565E1" w:rsidP="00727E12">
      <w:pPr>
        <w:spacing w:after="0"/>
        <w:rPr>
          <w:rFonts w:ascii="Arial" w:hAnsi="Arial" w:cs="Arial"/>
          <w:sz w:val="24"/>
          <w:szCs w:val="24"/>
          <w:lang w:eastAsia="en-AU"/>
        </w:rPr>
      </w:pPr>
    </w:p>
    <w:p w14:paraId="1C6C0231" w14:textId="47285A39" w:rsidR="007565E1" w:rsidRDefault="007565E1" w:rsidP="007565E1">
      <w:pPr>
        <w:spacing w:after="0"/>
        <w:rPr>
          <w:rFonts w:ascii="Arial" w:hAnsi="Arial" w:cs="Arial"/>
          <w:bCs/>
          <w:sz w:val="24"/>
          <w:szCs w:val="24"/>
        </w:rPr>
      </w:pPr>
      <w:r>
        <w:rPr>
          <w:rFonts w:ascii="Arial" w:hAnsi="Arial" w:cs="Arial"/>
          <w:bCs/>
          <w:sz w:val="24"/>
          <w:szCs w:val="24"/>
        </w:rPr>
        <w:t>In line with long-standing</w:t>
      </w:r>
      <w:r w:rsidR="00AB71D9">
        <w:rPr>
          <w:rFonts w:ascii="Arial" w:hAnsi="Arial" w:cs="Arial"/>
          <w:bCs/>
          <w:sz w:val="24"/>
          <w:szCs w:val="24"/>
        </w:rPr>
        <w:t xml:space="preserve"> arrangements for smaller clubs, </w:t>
      </w:r>
      <w:r>
        <w:rPr>
          <w:rFonts w:ascii="Arial" w:hAnsi="Arial" w:cs="Arial"/>
          <w:bCs/>
          <w:sz w:val="24"/>
          <w:szCs w:val="24"/>
        </w:rPr>
        <w:t xml:space="preserve">clubs </w:t>
      </w:r>
      <w:r w:rsidR="00985F44">
        <w:rPr>
          <w:rFonts w:ascii="Arial" w:hAnsi="Arial" w:cs="Arial"/>
          <w:bCs/>
          <w:sz w:val="24"/>
          <w:szCs w:val="24"/>
        </w:rPr>
        <w:t>with</w:t>
      </w:r>
      <w:r>
        <w:rPr>
          <w:rFonts w:ascii="Arial" w:hAnsi="Arial" w:cs="Arial"/>
          <w:bCs/>
          <w:sz w:val="24"/>
          <w:szCs w:val="24"/>
        </w:rPr>
        <w:t xml:space="preserve"> </w:t>
      </w:r>
      <w:r w:rsidR="00985F44">
        <w:rPr>
          <w:rFonts w:ascii="Arial" w:hAnsi="Arial" w:cs="Arial"/>
          <w:bCs/>
          <w:sz w:val="24"/>
          <w:szCs w:val="24"/>
        </w:rPr>
        <w:t xml:space="preserve">gross gaming machine revenue </w:t>
      </w:r>
      <w:r>
        <w:rPr>
          <w:rFonts w:ascii="Arial" w:hAnsi="Arial" w:cs="Arial"/>
          <w:bCs/>
          <w:sz w:val="24"/>
          <w:szCs w:val="24"/>
        </w:rPr>
        <w:t xml:space="preserve">under $200,000 </w:t>
      </w:r>
      <w:r w:rsidR="00985F44">
        <w:rPr>
          <w:rFonts w:ascii="Arial" w:hAnsi="Arial" w:cs="Arial"/>
          <w:bCs/>
          <w:sz w:val="24"/>
          <w:szCs w:val="24"/>
        </w:rPr>
        <w:t xml:space="preserve">per reporting year </w:t>
      </w:r>
      <w:r w:rsidR="00AB71D9">
        <w:rPr>
          <w:rFonts w:ascii="Arial" w:hAnsi="Arial" w:cs="Arial"/>
          <w:bCs/>
          <w:sz w:val="24"/>
          <w:szCs w:val="24"/>
        </w:rPr>
        <w:t>are required to provide the Commission</w:t>
      </w:r>
      <w:r>
        <w:rPr>
          <w:rFonts w:ascii="Arial" w:hAnsi="Arial" w:cs="Arial"/>
          <w:bCs/>
          <w:sz w:val="24"/>
          <w:szCs w:val="24"/>
        </w:rPr>
        <w:t xml:space="preserve"> with a written statement of </w:t>
      </w:r>
      <w:r w:rsidR="00AB71D9">
        <w:rPr>
          <w:rFonts w:ascii="Arial" w:hAnsi="Arial" w:cs="Arial"/>
          <w:bCs/>
          <w:sz w:val="24"/>
          <w:szCs w:val="24"/>
        </w:rPr>
        <w:t xml:space="preserve">their </w:t>
      </w:r>
      <w:r>
        <w:rPr>
          <w:rFonts w:ascii="Arial" w:hAnsi="Arial" w:cs="Arial"/>
          <w:bCs/>
          <w:sz w:val="24"/>
          <w:szCs w:val="24"/>
        </w:rPr>
        <w:t>community purpose contributions, attached to their certified income and expenditure statements.</w:t>
      </w:r>
      <w:r w:rsidR="00AB71D9">
        <w:rPr>
          <w:rFonts w:ascii="Arial" w:hAnsi="Arial" w:cs="Arial"/>
          <w:bCs/>
          <w:sz w:val="24"/>
          <w:szCs w:val="24"/>
        </w:rPr>
        <w:t xml:space="preserve"> The statement must include the same information provided by larger clubs.</w:t>
      </w:r>
    </w:p>
    <w:p w14:paraId="54BB1D41" w14:textId="77777777" w:rsidR="001144FC" w:rsidRPr="007D580B" w:rsidRDefault="001144FC" w:rsidP="00DB1759">
      <w:pPr>
        <w:spacing w:after="0"/>
        <w:rPr>
          <w:rFonts w:ascii="Arial" w:hAnsi="Arial" w:cs="Arial"/>
          <w:sz w:val="24"/>
          <w:szCs w:val="24"/>
        </w:rPr>
      </w:pPr>
    </w:p>
    <w:p w14:paraId="015F6B87" w14:textId="77777777" w:rsidR="003F206C" w:rsidRPr="007D580B" w:rsidRDefault="007D3A80">
      <w:pPr>
        <w:rPr>
          <w:rFonts w:ascii="Arial" w:hAnsi="Arial" w:cs="Arial"/>
          <w:b/>
          <w:sz w:val="24"/>
          <w:szCs w:val="24"/>
        </w:rPr>
      </w:pPr>
      <w:r w:rsidRPr="007D580B">
        <w:rPr>
          <w:rFonts w:ascii="Arial" w:hAnsi="Arial" w:cs="Arial"/>
          <w:b/>
          <w:sz w:val="24"/>
          <w:szCs w:val="24"/>
        </w:rPr>
        <w:t>HUMAN RIGHTS IMPLICATIONS</w:t>
      </w:r>
    </w:p>
    <w:p w14:paraId="44ACBD09" w14:textId="2A92FC54" w:rsidR="00CE158D" w:rsidRDefault="00D60D4F" w:rsidP="007D3A80">
      <w:pPr>
        <w:spacing w:after="0"/>
        <w:rPr>
          <w:rFonts w:ascii="Arial" w:hAnsi="Arial" w:cs="Arial"/>
          <w:sz w:val="24"/>
          <w:szCs w:val="24"/>
          <w:lang w:eastAsia="en-AU"/>
        </w:rPr>
      </w:pPr>
      <w:r w:rsidRPr="007D580B">
        <w:rPr>
          <w:rFonts w:ascii="Arial" w:hAnsi="Arial" w:cs="Arial"/>
          <w:sz w:val="24"/>
          <w:szCs w:val="24"/>
          <w:lang w:eastAsia="en-AU"/>
        </w:rPr>
        <w:t>The</w:t>
      </w:r>
      <w:r w:rsidR="00CE158D" w:rsidRPr="007D580B">
        <w:rPr>
          <w:rFonts w:ascii="Arial" w:hAnsi="Arial" w:cs="Arial"/>
          <w:sz w:val="24"/>
          <w:szCs w:val="24"/>
          <w:lang w:eastAsia="en-AU"/>
        </w:rPr>
        <w:t xml:space="preserve"> Regulation does not engage any human rights set out in the </w:t>
      </w:r>
      <w:r w:rsidR="00CE158D" w:rsidRPr="007D580B">
        <w:rPr>
          <w:rFonts w:ascii="Arial" w:hAnsi="Arial" w:cs="Arial"/>
          <w:i/>
          <w:sz w:val="24"/>
          <w:szCs w:val="24"/>
          <w:lang w:eastAsia="en-AU"/>
        </w:rPr>
        <w:t>Human Rights Act 2004</w:t>
      </w:r>
      <w:r w:rsidR="00985F44">
        <w:rPr>
          <w:rFonts w:ascii="Arial" w:hAnsi="Arial" w:cs="Arial"/>
          <w:i/>
          <w:sz w:val="24"/>
          <w:szCs w:val="24"/>
          <w:lang w:eastAsia="en-AU"/>
        </w:rPr>
        <w:t xml:space="preserve"> </w:t>
      </w:r>
      <w:r w:rsidR="00985F44" w:rsidRPr="00985F44">
        <w:rPr>
          <w:rFonts w:ascii="Arial" w:hAnsi="Arial" w:cs="Arial"/>
          <w:sz w:val="24"/>
          <w:szCs w:val="24"/>
          <w:lang w:eastAsia="en-AU"/>
        </w:rPr>
        <w:t>(HRA)</w:t>
      </w:r>
      <w:r w:rsidR="00985F44">
        <w:rPr>
          <w:rFonts w:ascii="Arial" w:hAnsi="Arial" w:cs="Arial"/>
          <w:sz w:val="24"/>
          <w:szCs w:val="24"/>
          <w:lang w:eastAsia="en-AU"/>
        </w:rPr>
        <w:t>. T</w:t>
      </w:r>
      <w:r w:rsidR="00CE158D" w:rsidRPr="007D580B">
        <w:rPr>
          <w:rFonts w:ascii="Arial" w:hAnsi="Arial" w:cs="Arial"/>
          <w:sz w:val="24"/>
          <w:szCs w:val="24"/>
          <w:lang w:eastAsia="en-AU"/>
        </w:rPr>
        <w:t xml:space="preserve">he </w:t>
      </w:r>
      <w:r w:rsidR="003C4633">
        <w:rPr>
          <w:rFonts w:ascii="Arial" w:hAnsi="Arial" w:cs="Arial"/>
          <w:sz w:val="24"/>
          <w:szCs w:val="24"/>
          <w:lang w:eastAsia="en-AU"/>
        </w:rPr>
        <w:t xml:space="preserve">reporting </w:t>
      </w:r>
      <w:r w:rsidR="00727E12">
        <w:rPr>
          <w:rFonts w:ascii="Arial" w:hAnsi="Arial" w:cs="Arial"/>
          <w:sz w:val="24"/>
          <w:szCs w:val="24"/>
          <w:lang w:eastAsia="en-AU"/>
        </w:rPr>
        <w:t xml:space="preserve">and publishing </w:t>
      </w:r>
      <w:r w:rsidR="003C4633">
        <w:rPr>
          <w:rFonts w:ascii="Arial" w:hAnsi="Arial" w:cs="Arial"/>
          <w:sz w:val="24"/>
          <w:szCs w:val="24"/>
          <w:lang w:eastAsia="en-AU"/>
        </w:rPr>
        <w:t>requirements for community purpose contribution</w:t>
      </w:r>
      <w:r w:rsidR="00727E12">
        <w:rPr>
          <w:rFonts w:ascii="Arial" w:hAnsi="Arial" w:cs="Arial"/>
          <w:sz w:val="24"/>
          <w:szCs w:val="24"/>
          <w:lang w:eastAsia="en-AU"/>
        </w:rPr>
        <w:t xml:space="preserve">s information in club annual reports </w:t>
      </w:r>
      <w:r w:rsidR="003C4633">
        <w:rPr>
          <w:rFonts w:ascii="Arial" w:hAnsi="Arial" w:cs="Arial"/>
          <w:sz w:val="24"/>
          <w:szCs w:val="24"/>
          <w:lang w:eastAsia="en-AU"/>
        </w:rPr>
        <w:t>apply only to club gaming machine licensees</w:t>
      </w:r>
      <w:r w:rsidR="001144FC">
        <w:rPr>
          <w:rFonts w:ascii="Arial" w:hAnsi="Arial" w:cs="Arial"/>
          <w:sz w:val="24"/>
          <w:szCs w:val="24"/>
          <w:lang w:eastAsia="en-AU"/>
        </w:rPr>
        <w:t>, and a</w:t>
      </w:r>
      <w:r w:rsidR="00CE158D" w:rsidRPr="007D580B">
        <w:rPr>
          <w:rFonts w:ascii="Arial" w:hAnsi="Arial" w:cs="Arial"/>
          <w:sz w:val="24"/>
          <w:szCs w:val="24"/>
          <w:lang w:eastAsia="en-AU"/>
        </w:rPr>
        <w:t>ll club licensees operate within a corporate or incorporated association structure.</w:t>
      </w:r>
    </w:p>
    <w:p w14:paraId="4F57524A" w14:textId="63FCCCB4" w:rsidR="00985F44" w:rsidRDefault="00985F44" w:rsidP="007D3A80">
      <w:pPr>
        <w:spacing w:after="0"/>
        <w:rPr>
          <w:rFonts w:ascii="Arial" w:hAnsi="Arial" w:cs="Arial"/>
          <w:sz w:val="24"/>
          <w:szCs w:val="24"/>
          <w:lang w:eastAsia="en-AU"/>
        </w:rPr>
      </w:pPr>
    </w:p>
    <w:p w14:paraId="7290E577" w14:textId="3FE7F278" w:rsidR="00985F44" w:rsidRDefault="00985F44" w:rsidP="007D3A80">
      <w:pPr>
        <w:spacing w:after="0"/>
        <w:rPr>
          <w:rFonts w:ascii="Arial" w:hAnsi="Arial" w:cs="Arial"/>
          <w:sz w:val="24"/>
          <w:szCs w:val="24"/>
          <w:lang w:eastAsia="en-AU"/>
        </w:rPr>
      </w:pPr>
      <w:r>
        <w:rPr>
          <w:rFonts w:ascii="Arial" w:hAnsi="Arial" w:cs="Arial"/>
          <w:sz w:val="24"/>
          <w:szCs w:val="24"/>
          <w:lang w:eastAsia="en-AU"/>
        </w:rPr>
        <w:t>In relation to the right to privacy and reputation (section 12 HRA), the Gaming Machine Act provides that community purpose contribution information does not require the reporting or publication of an individual recipient’s name.</w:t>
      </w:r>
    </w:p>
    <w:p w14:paraId="7F0C8A30" w14:textId="77777777" w:rsidR="005B30A9" w:rsidRDefault="005B30A9" w:rsidP="007D3A80">
      <w:pPr>
        <w:spacing w:after="0"/>
        <w:rPr>
          <w:rFonts w:ascii="Arial" w:hAnsi="Arial" w:cs="Arial"/>
          <w:sz w:val="24"/>
          <w:szCs w:val="24"/>
          <w:lang w:eastAsia="en-AU"/>
        </w:rPr>
      </w:pPr>
    </w:p>
    <w:p w14:paraId="686FD154" w14:textId="16416EAB" w:rsidR="00A216D1" w:rsidRPr="00A216D1" w:rsidRDefault="00A216D1" w:rsidP="00A216D1">
      <w:pPr>
        <w:keepNext/>
        <w:rPr>
          <w:rFonts w:ascii="Arial" w:hAnsi="Arial" w:cs="Arial"/>
          <w:b/>
          <w:sz w:val="24"/>
          <w:szCs w:val="24"/>
        </w:rPr>
      </w:pPr>
      <w:r w:rsidRPr="00A216D1">
        <w:rPr>
          <w:rFonts w:ascii="Arial" w:hAnsi="Arial" w:cs="Arial"/>
          <w:b/>
          <w:sz w:val="24"/>
          <w:szCs w:val="24"/>
        </w:rPr>
        <w:t>REGULATORY IMPACT STATEMENT</w:t>
      </w:r>
    </w:p>
    <w:p w14:paraId="746E9567" w14:textId="77777777" w:rsidR="00A216D1" w:rsidRPr="00A216D1" w:rsidRDefault="00A216D1" w:rsidP="00A216D1">
      <w:pPr>
        <w:spacing w:after="0"/>
        <w:rPr>
          <w:rFonts w:ascii="Arial" w:hAnsi="Arial" w:cs="Arial"/>
          <w:sz w:val="24"/>
          <w:szCs w:val="24"/>
          <w:lang w:eastAsia="en-AU"/>
        </w:rPr>
      </w:pPr>
      <w:r w:rsidRPr="00A216D1">
        <w:rPr>
          <w:rFonts w:ascii="Arial" w:hAnsi="Arial" w:cs="Arial"/>
          <w:sz w:val="24"/>
          <w:szCs w:val="24"/>
          <w:lang w:eastAsia="en-AU"/>
        </w:rPr>
        <w:t xml:space="preserve">Section 34 of the </w:t>
      </w:r>
      <w:r w:rsidRPr="00A216D1">
        <w:rPr>
          <w:rFonts w:ascii="Arial" w:hAnsi="Arial" w:cs="Arial"/>
          <w:i/>
          <w:sz w:val="24"/>
          <w:szCs w:val="24"/>
          <w:lang w:eastAsia="en-AU"/>
        </w:rPr>
        <w:t>Legislation Act 2001</w:t>
      </w:r>
      <w:r w:rsidRPr="00A216D1">
        <w:rPr>
          <w:rFonts w:ascii="Arial" w:hAnsi="Arial" w:cs="Arial"/>
          <w:sz w:val="24"/>
          <w:szCs w:val="24"/>
          <w:lang w:eastAsia="en-AU"/>
        </w:rPr>
        <w:t xml:space="preserve"> requires the preparation of a Regulatory Impact Statement where a subordinate law is likely to impose appreciable costs on the community, or a part of the community.</w:t>
      </w:r>
    </w:p>
    <w:p w14:paraId="6437C8A2" w14:textId="77777777" w:rsidR="00A216D1" w:rsidRPr="00A216D1" w:rsidRDefault="00A216D1" w:rsidP="00A216D1">
      <w:pPr>
        <w:spacing w:after="0"/>
        <w:rPr>
          <w:rFonts w:ascii="Arial" w:hAnsi="Arial" w:cs="Arial"/>
          <w:sz w:val="24"/>
          <w:szCs w:val="24"/>
          <w:lang w:eastAsia="en-AU"/>
        </w:rPr>
      </w:pPr>
    </w:p>
    <w:p w14:paraId="5D18F3AE" w14:textId="256FAD50" w:rsidR="00A216D1" w:rsidRDefault="00912A7A" w:rsidP="00DB1759">
      <w:pPr>
        <w:spacing w:after="0"/>
        <w:rPr>
          <w:rFonts w:ascii="Arial" w:hAnsi="Arial" w:cs="Arial"/>
          <w:sz w:val="24"/>
          <w:szCs w:val="24"/>
          <w:lang w:eastAsia="en-AU"/>
        </w:rPr>
      </w:pPr>
      <w:r>
        <w:rPr>
          <w:rFonts w:ascii="Arial" w:hAnsi="Arial" w:cs="Arial"/>
          <w:sz w:val="24"/>
          <w:szCs w:val="24"/>
          <w:lang w:eastAsia="en-AU"/>
        </w:rPr>
        <w:t>R</w:t>
      </w:r>
      <w:r w:rsidR="00985F44">
        <w:rPr>
          <w:rFonts w:ascii="Arial" w:hAnsi="Arial" w:cs="Arial"/>
          <w:sz w:val="24"/>
          <w:szCs w:val="24"/>
          <w:lang w:eastAsia="en-AU"/>
        </w:rPr>
        <w:t xml:space="preserve">eforms </w:t>
      </w:r>
      <w:r>
        <w:rPr>
          <w:rFonts w:ascii="Arial" w:hAnsi="Arial" w:cs="Arial"/>
          <w:sz w:val="24"/>
          <w:szCs w:val="24"/>
          <w:lang w:eastAsia="en-AU"/>
        </w:rPr>
        <w:t>to t</w:t>
      </w:r>
      <w:r w:rsidR="00985F44">
        <w:rPr>
          <w:rFonts w:ascii="Arial" w:hAnsi="Arial" w:cs="Arial"/>
          <w:sz w:val="24"/>
          <w:szCs w:val="24"/>
          <w:lang w:eastAsia="en-AU"/>
        </w:rPr>
        <w:t>ransparency and reporting requirements are part of changes to the scheme</w:t>
      </w:r>
      <w:r>
        <w:rPr>
          <w:rFonts w:ascii="Arial" w:hAnsi="Arial" w:cs="Arial"/>
          <w:sz w:val="24"/>
          <w:szCs w:val="24"/>
          <w:lang w:eastAsia="en-AU"/>
        </w:rPr>
        <w:t xml:space="preserve"> that were</w:t>
      </w:r>
      <w:r w:rsidR="00985F44">
        <w:rPr>
          <w:rFonts w:ascii="Arial" w:hAnsi="Arial" w:cs="Arial"/>
          <w:sz w:val="24"/>
          <w:szCs w:val="24"/>
          <w:lang w:eastAsia="en-AU"/>
        </w:rPr>
        <w:t xml:space="preserve"> introduced by the Amendment Act</w:t>
      </w:r>
      <w:r>
        <w:rPr>
          <w:rFonts w:ascii="Arial" w:hAnsi="Arial" w:cs="Arial"/>
          <w:sz w:val="24"/>
          <w:szCs w:val="24"/>
          <w:lang w:eastAsia="en-AU"/>
        </w:rPr>
        <w:t xml:space="preserve"> last year</w:t>
      </w:r>
      <w:r w:rsidR="00985F44">
        <w:rPr>
          <w:rFonts w:ascii="Arial" w:hAnsi="Arial" w:cs="Arial"/>
          <w:sz w:val="24"/>
          <w:szCs w:val="24"/>
          <w:lang w:eastAsia="en-AU"/>
        </w:rPr>
        <w:t xml:space="preserve">. </w:t>
      </w:r>
      <w:r w:rsidR="007565E1" w:rsidRPr="00AB71D9">
        <w:rPr>
          <w:rFonts w:ascii="Arial" w:hAnsi="Arial" w:cs="Arial"/>
          <w:sz w:val="24"/>
          <w:szCs w:val="24"/>
          <w:lang w:eastAsia="en-AU"/>
        </w:rPr>
        <w:t>The</w:t>
      </w:r>
      <w:r w:rsidR="007565E1">
        <w:rPr>
          <w:rFonts w:ascii="Arial" w:hAnsi="Arial" w:cs="Arial"/>
          <w:sz w:val="24"/>
          <w:szCs w:val="24"/>
          <w:lang w:eastAsia="en-AU"/>
        </w:rPr>
        <w:t xml:space="preserve"> requirement to </w:t>
      </w:r>
      <w:r w:rsidR="00AB71D9">
        <w:rPr>
          <w:rFonts w:ascii="Arial" w:hAnsi="Arial" w:cs="Arial"/>
          <w:sz w:val="24"/>
          <w:szCs w:val="24"/>
          <w:lang w:eastAsia="en-AU"/>
        </w:rPr>
        <w:t>include</w:t>
      </w:r>
      <w:r w:rsidR="007565E1">
        <w:rPr>
          <w:rFonts w:ascii="Arial" w:hAnsi="Arial" w:cs="Arial"/>
          <w:sz w:val="24"/>
          <w:szCs w:val="24"/>
          <w:lang w:eastAsia="en-AU"/>
        </w:rPr>
        <w:t xml:space="preserve"> community purpose contributions information </w:t>
      </w:r>
      <w:r w:rsidR="00AB71D9">
        <w:rPr>
          <w:rFonts w:ascii="Arial" w:hAnsi="Arial" w:cs="Arial"/>
          <w:sz w:val="24"/>
          <w:szCs w:val="24"/>
          <w:lang w:eastAsia="en-AU"/>
        </w:rPr>
        <w:t xml:space="preserve">as part of third-party auditing of club financial information </w:t>
      </w:r>
      <w:r w:rsidR="007565E1">
        <w:rPr>
          <w:rFonts w:ascii="Arial" w:hAnsi="Arial" w:cs="Arial"/>
          <w:sz w:val="24"/>
          <w:szCs w:val="24"/>
          <w:lang w:eastAsia="en-AU"/>
        </w:rPr>
        <w:t xml:space="preserve">is offset by the removal of the requirement to provide a separate community contributions return </w:t>
      </w:r>
      <w:r w:rsidR="00AB71D9">
        <w:rPr>
          <w:rFonts w:ascii="Arial" w:hAnsi="Arial" w:cs="Arial"/>
          <w:sz w:val="24"/>
          <w:szCs w:val="24"/>
          <w:lang w:eastAsia="en-AU"/>
        </w:rPr>
        <w:t xml:space="preserve">to the Commission </w:t>
      </w:r>
      <w:r w:rsidR="007565E1">
        <w:rPr>
          <w:rFonts w:ascii="Arial" w:hAnsi="Arial" w:cs="Arial"/>
          <w:sz w:val="24"/>
          <w:szCs w:val="24"/>
          <w:lang w:eastAsia="en-AU"/>
        </w:rPr>
        <w:t>at the end of each financial year– which was a particular burden for clubs that prepare their annual reports on a non-standard financial year.</w:t>
      </w:r>
    </w:p>
    <w:p w14:paraId="564FAE21" w14:textId="49D80E44" w:rsidR="00985F44" w:rsidRDefault="00985F44" w:rsidP="00DB1759">
      <w:pPr>
        <w:spacing w:after="0"/>
        <w:rPr>
          <w:rFonts w:ascii="Arial" w:hAnsi="Arial" w:cs="Arial"/>
          <w:sz w:val="24"/>
          <w:szCs w:val="24"/>
          <w:lang w:eastAsia="en-AU"/>
        </w:rPr>
      </w:pPr>
    </w:p>
    <w:p w14:paraId="48A0375C" w14:textId="77777777" w:rsidR="00985F44" w:rsidRDefault="00985F44" w:rsidP="00985F44">
      <w:pPr>
        <w:spacing w:after="0"/>
        <w:rPr>
          <w:rFonts w:ascii="Arial" w:hAnsi="Arial" w:cs="Arial"/>
          <w:sz w:val="24"/>
          <w:szCs w:val="24"/>
          <w:lang w:eastAsia="en-AU"/>
        </w:rPr>
      </w:pPr>
      <w:r>
        <w:rPr>
          <w:rFonts w:ascii="Arial" w:hAnsi="Arial" w:cs="Arial"/>
          <w:sz w:val="24"/>
          <w:szCs w:val="24"/>
          <w:lang w:eastAsia="en-AU"/>
        </w:rPr>
        <w:t xml:space="preserve">As noted above, this Amendment </w:t>
      </w:r>
      <w:r w:rsidRPr="00A216D1">
        <w:rPr>
          <w:rFonts w:ascii="Arial" w:hAnsi="Arial" w:cs="Arial"/>
          <w:sz w:val="24"/>
          <w:szCs w:val="24"/>
          <w:lang w:eastAsia="en-AU"/>
        </w:rPr>
        <w:t xml:space="preserve">Regulation </w:t>
      </w:r>
      <w:r>
        <w:rPr>
          <w:rFonts w:ascii="Arial" w:hAnsi="Arial" w:cs="Arial"/>
          <w:sz w:val="24"/>
          <w:szCs w:val="24"/>
          <w:lang w:eastAsia="en-AU"/>
        </w:rPr>
        <w:t xml:space="preserve">clarifies reporting and publishing requirements for community purpose contributions in club annual </w:t>
      </w:r>
      <w:r w:rsidRPr="00AB71D9">
        <w:rPr>
          <w:rFonts w:ascii="Arial" w:hAnsi="Arial" w:cs="Arial"/>
          <w:sz w:val="24"/>
          <w:szCs w:val="24"/>
          <w:lang w:eastAsia="en-AU"/>
        </w:rPr>
        <w:t xml:space="preserve">reports </w:t>
      </w:r>
      <w:r>
        <w:rPr>
          <w:rFonts w:ascii="Arial" w:hAnsi="Arial" w:cs="Arial"/>
          <w:sz w:val="24"/>
          <w:szCs w:val="24"/>
          <w:lang w:eastAsia="en-AU"/>
        </w:rPr>
        <w:t>following</w:t>
      </w:r>
      <w:r w:rsidRPr="00AB71D9">
        <w:rPr>
          <w:rFonts w:ascii="Arial" w:hAnsi="Arial" w:cs="Arial"/>
          <w:sz w:val="24"/>
          <w:szCs w:val="24"/>
          <w:lang w:eastAsia="en-AU"/>
        </w:rPr>
        <w:t xml:space="preserve"> industry uncertainty about </w:t>
      </w:r>
      <w:r>
        <w:rPr>
          <w:rFonts w:ascii="Arial" w:hAnsi="Arial" w:cs="Arial"/>
          <w:sz w:val="24"/>
          <w:szCs w:val="24"/>
          <w:lang w:eastAsia="en-AU"/>
        </w:rPr>
        <w:t>new</w:t>
      </w:r>
      <w:r w:rsidRPr="00AB71D9">
        <w:rPr>
          <w:rFonts w:ascii="Arial" w:hAnsi="Arial" w:cs="Arial"/>
          <w:sz w:val="24"/>
          <w:szCs w:val="24"/>
          <w:lang w:eastAsia="en-AU"/>
        </w:rPr>
        <w:t xml:space="preserve"> </w:t>
      </w:r>
      <w:r>
        <w:rPr>
          <w:rFonts w:ascii="Arial" w:hAnsi="Arial" w:cs="Arial"/>
          <w:sz w:val="24"/>
          <w:szCs w:val="24"/>
          <w:lang w:eastAsia="en-AU"/>
        </w:rPr>
        <w:t xml:space="preserve">requirements under the </w:t>
      </w:r>
      <w:r w:rsidRPr="00AB71D9">
        <w:rPr>
          <w:rFonts w:ascii="Arial" w:hAnsi="Arial" w:cs="Arial"/>
          <w:sz w:val="24"/>
          <w:szCs w:val="24"/>
          <w:lang w:eastAsia="en-AU"/>
        </w:rPr>
        <w:t>community contributions reforms</w:t>
      </w:r>
      <w:r>
        <w:rPr>
          <w:rFonts w:ascii="Arial" w:hAnsi="Arial" w:cs="Arial"/>
          <w:sz w:val="24"/>
          <w:szCs w:val="24"/>
          <w:lang w:eastAsia="en-AU"/>
        </w:rPr>
        <w:t>.</w:t>
      </w:r>
    </w:p>
    <w:p w14:paraId="45789E09" w14:textId="77777777" w:rsidR="00985F44" w:rsidRDefault="00985F44" w:rsidP="00985F44">
      <w:pPr>
        <w:spacing w:after="0"/>
        <w:rPr>
          <w:rFonts w:ascii="Arial" w:hAnsi="Arial" w:cs="Arial"/>
          <w:sz w:val="24"/>
          <w:szCs w:val="24"/>
          <w:lang w:eastAsia="en-AU"/>
        </w:rPr>
      </w:pPr>
    </w:p>
    <w:p w14:paraId="7E9C966F" w14:textId="58441DE7" w:rsidR="007D6EE0" w:rsidRDefault="00985F44" w:rsidP="007D6EE0">
      <w:pPr>
        <w:spacing w:after="0"/>
        <w:rPr>
          <w:rFonts w:ascii="Arial" w:hAnsi="Arial" w:cs="Arial"/>
          <w:sz w:val="24"/>
          <w:szCs w:val="24"/>
          <w:lang w:eastAsia="en-AU"/>
        </w:rPr>
      </w:pPr>
      <w:r w:rsidRPr="00985F44">
        <w:rPr>
          <w:rFonts w:ascii="Arial" w:hAnsi="Arial" w:cs="Arial"/>
          <w:sz w:val="24"/>
          <w:szCs w:val="24"/>
          <w:lang w:eastAsia="en-AU"/>
        </w:rPr>
        <w:t>For this reason, a Regulatory Impact Statement has not been prepared for the Amendment Regulation.</w:t>
      </w:r>
      <w:r w:rsidR="007D6EE0">
        <w:rPr>
          <w:rFonts w:ascii="Arial" w:hAnsi="Arial" w:cs="Arial"/>
          <w:sz w:val="24"/>
          <w:szCs w:val="24"/>
          <w:lang w:eastAsia="en-AU"/>
        </w:rPr>
        <w:br w:type="page"/>
      </w:r>
    </w:p>
    <w:p w14:paraId="7ADF06CD" w14:textId="56869709" w:rsidR="006A3AD6" w:rsidRPr="007D580B" w:rsidRDefault="00811648" w:rsidP="00A216D1">
      <w:pPr>
        <w:keepNext/>
        <w:spacing w:after="0" w:line="259" w:lineRule="auto"/>
        <w:rPr>
          <w:rFonts w:ascii="Arial" w:hAnsi="Arial" w:cs="Arial"/>
          <w:sz w:val="24"/>
          <w:szCs w:val="24"/>
        </w:rPr>
      </w:pPr>
      <w:r w:rsidRPr="007D580B">
        <w:rPr>
          <w:rFonts w:ascii="Arial" w:hAnsi="Arial" w:cs="Arial"/>
          <w:b/>
          <w:sz w:val="24"/>
          <w:szCs w:val="24"/>
        </w:rPr>
        <w:lastRenderedPageBreak/>
        <w:t>NOTES</w:t>
      </w:r>
      <w:r w:rsidR="007D580B">
        <w:rPr>
          <w:rFonts w:ascii="Arial" w:hAnsi="Arial" w:cs="Arial"/>
          <w:b/>
          <w:sz w:val="24"/>
          <w:szCs w:val="24"/>
        </w:rPr>
        <w:t xml:space="preserve"> ON CLAUSES</w:t>
      </w:r>
    </w:p>
    <w:p w14:paraId="5914CF72" w14:textId="77777777" w:rsidR="00811648" w:rsidRPr="007D580B" w:rsidRDefault="00811648" w:rsidP="006A3AD6">
      <w:pPr>
        <w:keepNext/>
        <w:spacing w:after="0"/>
        <w:rPr>
          <w:rFonts w:ascii="Arial" w:hAnsi="Arial" w:cs="Arial"/>
          <w:sz w:val="24"/>
          <w:szCs w:val="24"/>
        </w:rPr>
      </w:pPr>
    </w:p>
    <w:p w14:paraId="0E6734B0" w14:textId="77777777" w:rsidR="009821DF" w:rsidRPr="007D580B" w:rsidRDefault="00811648" w:rsidP="003D1D9D">
      <w:pPr>
        <w:keepNext/>
        <w:spacing w:after="120"/>
        <w:rPr>
          <w:rFonts w:ascii="Arial" w:hAnsi="Arial" w:cs="Arial"/>
          <w:b/>
          <w:sz w:val="24"/>
          <w:szCs w:val="24"/>
        </w:rPr>
      </w:pPr>
      <w:r w:rsidRPr="007D580B">
        <w:rPr>
          <w:rFonts w:ascii="Arial" w:hAnsi="Arial" w:cs="Arial"/>
          <w:b/>
          <w:sz w:val="24"/>
          <w:szCs w:val="24"/>
        </w:rPr>
        <w:t>Clause 1</w:t>
      </w:r>
      <w:r w:rsidRPr="007D580B">
        <w:rPr>
          <w:rFonts w:ascii="Arial" w:hAnsi="Arial" w:cs="Arial"/>
          <w:b/>
          <w:sz w:val="24"/>
          <w:szCs w:val="24"/>
        </w:rPr>
        <w:tab/>
        <w:t>Name of regulation</w:t>
      </w:r>
    </w:p>
    <w:p w14:paraId="332E2B9B" w14:textId="7388B5FD" w:rsidR="003D1D9D" w:rsidRPr="007D580B" w:rsidRDefault="001144FC" w:rsidP="003D1D9D">
      <w:pPr>
        <w:spacing w:after="0"/>
        <w:rPr>
          <w:rFonts w:ascii="Arial" w:hAnsi="Arial" w:cs="Arial"/>
          <w:sz w:val="24"/>
          <w:szCs w:val="24"/>
        </w:rPr>
      </w:pPr>
      <w:r>
        <w:rPr>
          <w:rFonts w:ascii="Arial" w:hAnsi="Arial" w:cs="Arial"/>
          <w:sz w:val="24"/>
          <w:szCs w:val="24"/>
        </w:rPr>
        <w:t>Clause 1</w:t>
      </w:r>
      <w:r w:rsidR="003D1D9D" w:rsidRPr="007D580B">
        <w:rPr>
          <w:rFonts w:ascii="Arial" w:hAnsi="Arial" w:cs="Arial"/>
          <w:sz w:val="24"/>
          <w:szCs w:val="24"/>
        </w:rPr>
        <w:t xml:space="preserve"> is a formal provision setting out the name of the </w:t>
      </w:r>
      <w:r w:rsidR="00591F3C">
        <w:rPr>
          <w:rFonts w:ascii="Arial" w:hAnsi="Arial" w:cs="Arial"/>
          <w:sz w:val="24"/>
          <w:szCs w:val="24"/>
        </w:rPr>
        <w:t xml:space="preserve">Amendment </w:t>
      </w:r>
      <w:r w:rsidR="003D1D9D" w:rsidRPr="007D580B">
        <w:rPr>
          <w:rFonts w:ascii="Arial" w:hAnsi="Arial" w:cs="Arial"/>
          <w:sz w:val="24"/>
          <w:szCs w:val="24"/>
        </w:rPr>
        <w:t xml:space="preserve">Regulation as the </w:t>
      </w:r>
      <w:r w:rsidR="003D1D9D" w:rsidRPr="007D580B">
        <w:rPr>
          <w:rFonts w:ascii="Arial" w:hAnsi="Arial" w:cs="Arial"/>
          <w:i/>
          <w:sz w:val="24"/>
          <w:szCs w:val="24"/>
        </w:rPr>
        <w:t xml:space="preserve">Gaming Machine </w:t>
      </w:r>
      <w:r w:rsidR="00527368">
        <w:rPr>
          <w:rFonts w:ascii="Arial" w:hAnsi="Arial" w:cs="Arial"/>
          <w:i/>
          <w:sz w:val="24"/>
          <w:szCs w:val="24"/>
        </w:rPr>
        <w:t xml:space="preserve">Amendment </w:t>
      </w:r>
      <w:r w:rsidR="003D1D9D" w:rsidRPr="007D580B">
        <w:rPr>
          <w:rFonts w:ascii="Arial" w:hAnsi="Arial" w:cs="Arial"/>
          <w:i/>
          <w:sz w:val="24"/>
          <w:szCs w:val="24"/>
        </w:rPr>
        <w:t>Regulation 201</w:t>
      </w:r>
      <w:r w:rsidR="00527368">
        <w:rPr>
          <w:rFonts w:ascii="Arial" w:hAnsi="Arial" w:cs="Arial"/>
          <w:i/>
          <w:sz w:val="24"/>
          <w:szCs w:val="24"/>
        </w:rPr>
        <w:t>9 (No 2)</w:t>
      </w:r>
      <w:r w:rsidR="003D1D9D" w:rsidRPr="007D580B">
        <w:rPr>
          <w:rFonts w:ascii="Arial" w:hAnsi="Arial" w:cs="Arial"/>
          <w:sz w:val="24"/>
          <w:szCs w:val="24"/>
        </w:rPr>
        <w:t>.</w:t>
      </w:r>
    </w:p>
    <w:p w14:paraId="14413004" w14:textId="77777777" w:rsidR="00BB47AC" w:rsidRPr="007D580B" w:rsidRDefault="00BB47AC" w:rsidP="002372BC">
      <w:pPr>
        <w:spacing w:after="0"/>
        <w:rPr>
          <w:rFonts w:ascii="Arial" w:hAnsi="Arial" w:cs="Arial"/>
          <w:sz w:val="24"/>
          <w:szCs w:val="24"/>
        </w:rPr>
      </w:pPr>
    </w:p>
    <w:p w14:paraId="23DBC0C1" w14:textId="77777777" w:rsidR="00BB47AC" w:rsidRPr="007D580B" w:rsidRDefault="00811648" w:rsidP="003D1D9D">
      <w:pPr>
        <w:keepNext/>
        <w:spacing w:after="120"/>
        <w:rPr>
          <w:rFonts w:ascii="Arial" w:hAnsi="Arial" w:cs="Arial"/>
          <w:b/>
          <w:sz w:val="24"/>
          <w:szCs w:val="24"/>
        </w:rPr>
      </w:pPr>
      <w:r w:rsidRPr="007D580B">
        <w:rPr>
          <w:rFonts w:ascii="Arial" w:hAnsi="Arial" w:cs="Arial"/>
          <w:b/>
          <w:sz w:val="24"/>
          <w:szCs w:val="24"/>
        </w:rPr>
        <w:t>Clause</w:t>
      </w:r>
      <w:r w:rsidR="00BB47AC" w:rsidRPr="007D580B">
        <w:rPr>
          <w:rFonts w:ascii="Arial" w:hAnsi="Arial" w:cs="Arial"/>
          <w:b/>
          <w:sz w:val="24"/>
          <w:szCs w:val="24"/>
        </w:rPr>
        <w:t xml:space="preserve"> 2</w:t>
      </w:r>
      <w:r w:rsidRPr="007D580B">
        <w:rPr>
          <w:rFonts w:ascii="Arial" w:hAnsi="Arial" w:cs="Arial"/>
          <w:b/>
          <w:sz w:val="24"/>
          <w:szCs w:val="24"/>
        </w:rPr>
        <w:tab/>
        <w:t>Commencement</w:t>
      </w:r>
    </w:p>
    <w:p w14:paraId="3D6FD697" w14:textId="6032552D" w:rsidR="00811648" w:rsidRDefault="00811648" w:rsidP="002372BC">
      <w:pPr>
        <w:spacing w:after="0"/>
        <w:rPr>
          <w:rFonts w:ascii="Arial" w:hAnsi="Arial" w:cs="Arial"/>
          <w:sz w:val="24"/>
          <w:szCs w:val="24"/>
        </w:rPr>
      </w:pPr>
      <w:r w:rsidRPr="007D580B">
        <w:rPr>
          <w:rFonts w:ascii="Arial" w:hAnsi="Arial" w:cs="Arial"/>
          <w:sz w:val="24"/>
          <w:szCs w:val="24"/>
        </w:rPr>
        <w:t>Clause</w:t>
      </w:r>
      <w:r w:rsidR="00BB47AC" w:rsidRPr="007D580B">
        <w:rPr>
          <w:rFonts w:ascii="Arial" w:hAnsi="Arial" w:cs="Arial"/>
          <w:sz w:val="24"/>
          <w:szCs w:val="24"/>
        </w:rPr>
        <w:t xml:space="preserve"> 2 provides the commencement date for the </w:t>
      </w:r>
      <w:r w:rsidR="00591F3C">
        <w:rPr>
          <w:rFonts w:ascii="Arial" w:hAnsi="Arial" w:cs="Arial"/>
          <w:sz w:val="24"/>
          <w:szCs w:val="24"/>
        </w:rPr>
        <w:t xml:space="preserve">Amendment </w:t>
      </w:r>
      <w:r w:rsidR="00BB47AC" w:rsidRPr="007D580B">
        <w:rPr>
          <w:rFonts w:ascii="Arial" w:hAnsi="Arial" w:cs="Arial"/>
          <w:sz w:val="24"/>
          <w:szCs w:val="24"/>
        </w:rPr>
        <w:t>Regulation.</w:t>
      </w:r>
      <w:r w:rsidR="001144FC">
        <w:rPr>
          <w:rFonts w:ascii="Arial" w:hAnsi="Arial" w:cs="Arial"/>
          <w:sz w:val="24"/>
          <w:szCs w:val="24"/>
        </w:rPr>
        <w:t xml:space="preserve"> </w:t>
      </w:r>
      <w:r w:rsidRPr="007D580B">
        <w:rPr>
          <w:rFonts w:ascii="Arial" w:hAnsi="Arial" w:cs="Arial"/>
          <w:sz w:val="24"/>
          <w:szCs w:val="24"/>
        </w:rPr>
        <w:t xml:space="preserve">The </w:t>
      </w:r>
      <w:r w:rsidR="00591F3C">
        <w:rPr>
          <w:rFonts w:ascii="Arial" w:hAnsi="Arial" w:cs="Arial"/>
          <w:sz w:val="24"/>
          <w:szCs w:val="24"/>
        </w:rPr>
        <w:t xml:space="preserve">Amendment </w:t>
      </w:r>
      <w:r w:rsidRPr="007D580B">
        <w:rPr>
          <w:rFonts w:ascii="Arial" w:hAnsi="Arial" w:cs="Arial"/>
          <w:sz w:val="24"/>
          <w:szCs w:val="24"/>
        </w:rPr>
        <w:t xml:space="preserve">Regulation </w:t>
      </w:r>
      <w:r w:rsidR="00527368">
        <w:rPr>
          <w:rFonts w:ascii="Arial" w:hAnsi="Arial" w:cs="Arial"/>
          <w:sz w:val="24"/>
          <w:szCs w:val="24"/>
        </w:rPr>
        <w:t xml:space="preserve">commences on the day after </w:t>
      </w:r>
      <w:r w:rsidR="00591F3C">
        <w:rPr>
          <w:rFonts w:ascii="Arial" w:hAnsi="Arial" w:cs="Arial"/>
          <w:sz w:val="24"/>
          <w:szCs w:val="24"/>
        </w:rPr>
        <w:t>it is notified on the ACT Legislation Register.</w:t>
      </w:r>
    </w:p>
    <w:p w14:paraId="3DE52DCB" w14:textId="77777777" w:rsidR="00BB47AC" w:rsidRPr="007D580B" w:rsidRDefault="00BB47AC" w:rsidP="002372BC">
      <w:pPr>
        <w:spacing w:after="0"/>
        <w:rPr>
          <w:rFonts w:ascii="Arial" w:hAnsi="Arial" w:cs="Arial"/>
          <w:sz w:val="24"/>
          <w:szCs w:val="24"/>
          <w:u w:val="single"/>
        </w:rPr>
      </w:pPr>
    </w:p>
    <w:p w14:paraId="7B56A12E" w14:textId="77777777" w:rsidR="00591F3C" w:rsidRPr="00E928AC" w:rsidRDefault="00591F3C" w:rsidP="00591F3C">
      <w:pPr>
        <w:keepNext/>
        <w:spacing w:after="120"/>
        <w:rPr>
          <w:rFonts w:ascii="Arial" w:hAnsi="Arial" w:cs="Arial"/>
          <w:b/>
          <w:sz w:val="24"/>
          <w:szCs w:val="24"/>
        </w:rPr>
      </w:pPr>
      <w:r w:rsidRPr="00591F3C">
        <w:rPr>
          <w:rFonts w:ascii="Arial" w:hAnsi="Arial" w:cs="Arial"/>
          <w:b/>
          <w:sz w:val="24"/>
          <w:szCs w:val="24"/>
        </w:rPr>
        <w:t>Clause 3 – Legislation amended</w:t>
      </w:r>
    </w:p>
    <w:p w14:paraId="45726EA7" w14:textId="432FA0A4" w:rsidR="00591F3C" w:rsidRPr="00E928AC" w:rsidRDefault="00591F3C" w:rsidP="00591F3C">
      <w:pPr>
        <w:pStyle w:val="Heading2"/>
        <w:keepNext w:val="0"/>
        <w:spacing w:before="0"/>
        <w:rPr>
          <w:rFonts w:ascii="Arial" w:hAnsi="Arial" w:cs="Arial"/>
          <w:b/>
          <w:color w:val="auto"/>
          <w:sz w:val="24"/>
          <w:szCs w:val="24"/>
        </w:rPr>
      </w:pPr>
      <w:r w:rsidRPr="00E928AC">
        <w:rPr>
          <w:rFonts w:ascii="Arial" w:hAnsi="Arial" w:cs="Arial"/>
          <w:color w:val="auto"/>
          <w:sz w:val="24"/>
          <w:szCs w:val="24"/>
        </w:rPr>
        <w:t xml:space="preserve">Clause 3 provides that the Amendment Regulation amends the </w:t>
      </w:r>
      <w:r w:rsidRPr="00E928AC">
        <w:rPr>
          <w:rFonts w:ascii="Arial" w:hAnsi="Arial" w:cs="Arial"/>
          <w:i/>
          <w:iCs/>
          <w:color w:val="auto"/>
          <w:sz w:val="24"/>
          <w:szCs w:val="24"/>
        </w:rPr>
        <w:t>Gam</w:t>
      </w:r>
      <w:r>
        <w:rPr>
          <w:rFonts w:ascii="Arial" w:hAnsi="Arial" w:cs="Arial"/>
          <w:i/>
          <w:iCs/>
          <w:color w:val="auto"/>
          <w:sz w:val="24"/>
          <w:szCs w:val="24"/>
        </w:rPr>
        <w:t xml:space="preserve">ing Machine </w:t>
      </w:r>
      <w:r w:rsidRPr="00E928AC">
        <w:rPr>
          <w:rFonts w:ascii="Arial" w:hAnsi="Arial" w:cs="Arial"/>
          <w:i/>
          <w:iCs/>
          <w:color w:val="auto"/>
          <w:sz w:val="24"/>
          <w:szCs w:val="24"/>
        </w:rPr>
        <w:t>Regulation 200</w:t>
      </w:r>
      <w:r>
        <w:rPr>
          <w:rFonts w:ascii="Arial" w:hAnsi="Arial" w:cs="Arial"/>
          <w:i/>
          <w:iCs/>
          <w:color w:val="auto"/>
          <w:sz w:val="24"/>
          <w:szCs w:val="24"/>
        </w:rPr>
        <w:t>4</w:t>
      </w:r>
      <w:r w:rsidR="00002D10">
        <w:rPr>
          <w:rFonts w:ascii="Arial" w:hAnsi="Arial" w:cs="Arial"/>
          <w:iCs/>
          <w:color w:val="auto"/>
          <w:sz w:val="24"/>
          <w:szCs w:val="24"/>
        </w:rPr>
        <w:t xml:space="preserve"> (the Regulation)</w:t>
      </w:r>
      <w:r w:rsidRPr="00E928AC">
        <w:rPr>
          <w:rFonts w:ascii="Arial" w:hAnsi="Arial" w:cs="Arial"/>
          <w:i/>
          <w:iCs/>
          <w:color w:val="auto"/>
          <w:sz w:val="24"/>
          <w:szCs w:val="24"/>
        </w:rPr>
        <w:t>.</w:t>
      </w:r>
    </w:p>
    <w:p w14:paraId="4C13559D" w14:textId="77777777" w:rsidR="00970F33" w:rsidRPr="007D580B" w:rsidRDefault="00970F33" w:rsidP="00970F33">
      <w:pPr>
        <w:spacing w:after="0"/>
        <w:rPr>
          <w:rFonts w:ascii="Arial" w:hAnsi="Arial" w:cs="Arial"/>
          <w:sz w:val="24"/>
          <w:szCs w:val="24"/>
          <w:u w:val="single"/>
        </w:rPr>
      </w:pPr>
    </w:p>
    <w:p w14:paraId="294860E3" w14:textId="2CDD1FA5" w:rsidR="00591F3C" w:rsidRPr="00591F3C" w:rsidRDefault="00591F3C" w:rsidP="00591F3C">
      <w:pPr>
        <w:keepNext/>
        <w:spacing w:after="120"/>
        <w:rPr>
          <w:rFonts w:ascii="Arial" w:hAnsi="Arial" w:cs="Arial"/>
          <w:b/>
          <w:sz w:val="24"/>
          <w:szCs w:val="24"/>
        </w:rPr>
      </w:pPr>
      <w:r w:rsidRPr="00591F3C">
        <w:rPr>
          <w:rFonts w:ascii="Arial" w:hAnsi="Arial" w:cs="Arial"/>
          <w:b/>
          <w:sz w:val="24"/>
          <w:szCs w:val="24"/>
        </w:rPr>
        <w:t xml:space="preserve">Clause 4 – </w:t>
      </w:r>
      <w:r>
        <w:rPr>
          <w:rFonts w:ascii="Arial" w:hAnsi="Arial" w:cs="Arial"/>
          <w:b/>
          <w:sz w:val="24"/>
          <w:szCs w:val="24"/>
        </w:rPr>
        <w:t>New section 74A</w:t>
      </w:r>
    </w:p>
    <w:p w14:paraId="3A47D40F" w14:textId="36E9FA76" w:rsidR="00002D10" w:rsidRDefault="00591F3C" w:rsidP="007B7065">
      <w:pPr>
        <w:spacing w:after="0"/>
        <w:rPr>
          <w:rFonts w:ascii="Arial" w:hAnsi="Arial" w:cs="Arial"/>
          <w:sz w:val="24"/>
          <w:szCs w:val="24"/>
        </w:rPr>
      </w:pPr>
      <w:r>
        <w:rPr>
          <w:rFonts w:ascii="Arial" w:hAnsi="Arial" w:cs="Arial"/>
          <w:sz w:val="24"/>
          <w:szCs w:val="24"/>
        </w:rPr>
        <w:t xml:space="preserve">Clause 4 inserts </w:t>
      </w:r>
      <w:r w:rsidR="00002D10">
        <w:rPr>
          <w:rFonts w:ascii="Arial" w:hAnsi="Arial" w:cs="Arial"/>
          <w:sz w:val="24"/>
          <w:szCs w:val="24"/>
        </w:rPr>
        <w:t>new section 74A into the Regulation.</w:t>
      </w:r>
      <w:r w:rsidR="00291030">
        <w:rPr>
          <w:rFonts w:ascii="Arial" w:hAnsi="Arial" w:cs="Arial"/>
          <w:sz w:val="24"/>
          <w:szCs w:val="24"/>
        </w:rPr>
        <w:t xml:space="preserve"> </w:t>
      </w:r>
      <w:r w:rsidR="00002D10">
        <w:rPr>
          <w:rFonts w:ascii="Arial" w:hAnsi="Arial" w:cs="Arial"/>
          <w:sz w:val="24"/>
          <w:szCs w:val="24"/>
        </w:rPr>
        <w:t xml:space="preserve">New section 74A </w:t>
      </w:r>
      <w:r w:rsidR="00D87A2F">
        <w:rPr>
          <w:rFonts w:ascii="Arial" w:hAnsi="Arial" w:cs="Arial"/>
          <w:sz w:val="24"/>
          <w:szCs w:val="24"/>
        </w:rPr>
        <w:t>applies to clubs with</w:t>
      </w:r>
      <w:r w:rsidR="00BF31EC">
        <w:rPr>
          <w:rFonts w:ascii="Arial" w:hAnsi="Arial" w:cs="Arial"/>
          <w:sz w:val="24"/>
          <w:szCs w:val="24"/>
        </w:rPr>
        <w:t xml:space="preserve"> gross gaming machine revenue </w:t>
      </w:r>
      <w:r w:rsidR="00D87A2F">
        <w:rPr>
          <w:rFonts w:ascii="Arial" w:hAnsi="Arial" w:cs="Arial"/>
          <w:sz w:val="24"/>
          <w:szCs w:val="24"/>
        </w:rPr>
        <w:t xml:space="preserve">of </w:t>
      </w:r>
      <w:r w:rsidR="00BF31EC">
        <w:rPr>
          <w:rFonts w:ascii="Arial" w:hAnsi="Arial" w:cs="Arial"/>
          <w:sz w:val="24"/>
          <w:szCs w:val="24"/>
        </w:rPr>
        <w:t>$200,000 or more</w:t>
      </w:r>
      <w:r w:rsidR="00D87A2F">
        <w:rPr>
          <w:rFonts w:ascii="Arial" w:hAnsi="Arial" w:cs="Arial"/>
          <w:sz w:val="24"/>
          <w:szCs w:val="24"/>
        </w:rPr>
        <w:t xml:space="preserve"> </w:t>
      </w:r>
      <w:r w:rsidR="00291030">
        <w:rPr>
          <w:rFonts w:ascii="Arial" w:hAnsi="Arial" w:cs="Arial"/>
          <w:sz w:val="24"/>
          <w:szCs w:val="24"/>
        </w:rPr>
        <w:t xml:space="preserve">for a </w:t>
      </w:r>
      <w:r w:rsidR="00366CFB" w:rsidRPr="00291030">
        <w:rPr>
          <w:rFonts w:ascii="Arial" w:hAnsi="Arial" w:cs="Arial"/>
          <w:sz w:val="24"/>
          <w:szCs w:val="24"/>
        </w:rPr>
        <w:t>reporting year</w:t>
      </w:r>
      <w:r w:rsidR="00D87A2F">
        <w:rPr>
          <w:rFonts w:ascii="Arial" w:hAnsi="Arial" w:cs="Arial"/>
          <w:sz w:val="24"/>
          <w:szCs w:val="24"/>
        </w:rPr>
        <w:t>.</w:t>
      </w:r>
    </w:p>
    <w:p w14:paraId="7325841F" w14:textId="014A7DD2" w:rsidR="00D87A2F" w:rsidRDefault="00D87A2F" w:rsidP="007B7065">
      <w:pPr>
        <w:spacing w:after="0"/>
        <w:rPr>
          <w:rFonts w:ascii="Arial" w:hAnsi="Arial" w:cs="Arial"/>
          <w:sz w:val="24"/>
          <w:szCs w:val="24"/>
        </w:rPr>
      </w:pPr>
    </w:p>
    <w:p w14:paraId="21621D5C" w14:textId="2161E3A2" w:rsidR="00591F3C" w:rsidRPr="00591F3C" w:rsidRDefault="00D87A2F" w:rsidP="00D87A2F">
      <w:pPr>
        <w:spacing w:after="0"/>
        <w:rPr>
          <w:rFonts w:ascii="Times New Roman" w:eastAsiaTheme="minorHAnsi" w:hAnsi="Times New Roman"/>
          <w:color w:val="000000"/>
          <w:sz w:val="23"/>
          <w:szCs w:val="23"/>
        </w:rPr>
      </w:pPr>
      <w:r>
        <w:rPr>
          <w:rFonts w:ascii="Arial" w:hAnsi="Arial" w:cs="Arial"/>
          <w:sz w:val="24"/>
          <w:szCs w:val="24"/>
        </w:rPr>
        <w:t>New subsection 74A (1) clarifies that these clubs’ annual reports must include:</w:t>
      </w:r>
    </w:p>
    <w:p w14:paraId="2F510A67" w14:textId="5C22A3C6" w:rsidR="00591F3C" w:rsidRPr="00591F3C" w:rsidRDefault="00591F3C" w:rsidP="00D87A2F">
      <w:pPr>
        <w:spacing w:after="0"/>
        <w:ind w:left="720" w:hanging="720"/>
        <w:rPr>
          <w:rFonts w:ascii="Arial" w:hAnsi="Arial" w:cs="Arial"/>
          <w:sz w:val="24"/>
          <w:szCs w:val="24"/>
        </w:rPr>
      </w:pPr>
      <w:r w:rsidRPr="00591F3C">
        <w:rPr>
          <w:rFonts w:ascii="Arial" w:hAnsi="Arial" w:cs="Arial"/>
          <w:sz w:val="24"/>
          <w:szCs w:val="24"/>
        </w:rPr>
        <w:t>(a)</w:t>
      </w:r>
      <w:r w:rsidR="00D87A2F">
        <w:rPr>
          <w:rFonts w:ascii="Arial" w:hAnsi="Arial" w:cs="Arial"/>
          <w:sz w:val="24"/>
          <w:szCs w:val="24"/>
        </w:rPr>
        <w:tab/>
      </w:r>
      <w:r w:rsidRPr="00591F3C">
        <w:rPr>
          <w:rFonts w:ascii="Arial" w:hAnsi="Arial" w:cs="Arial"/>
          <w:sz w:val="24"/>
          <w:szCs w:val="24"/>
        </w:rPr>
        <w:t xml:space="preserve">a copy of the audited financial statements given to the </w:t>
      </w:r>
      <w:r w:rsidR="00D87A2F">
        <w:rPr>
          <w:rFonts w:ascii="Arial" w:hAnsi="Arial" w:cs="Arial"/>
          <w:sz w:val="24"/>
          <w:szCs w:val="24"/>
        </w:rPr>
        <w:t>C</w:t>
      </w:r>
      <w:r w:rsidRPr="00591F3C">
        <w:rPr>
          <w:rFonts w:ascii="Arial" w:hAnsi="Arial" w:cs="Arial"/>
          <w:sz w:val="24"/>
          <w:szCs w:val="24"/>
        </w:rPr>
        <w:t xml:space="preserve">ommission under the Act, section 158; and </w:t>
      </w:r>
    </w:p>
    <w:p w14:paraId="5308DBBF" w14:textId="218C0349" w:rsidR="00591F3C" w:rsidRDefault="00591F3C" w:rsidP="00D87A2F">
      <w:pPr>
        <w:spacing w:after="0"/>
        <w:rPr>
          <w:rFonts w:ascii="Arial" w:hAnsi="Arial" w:cs="Arial"/>
          <w:sz w:val="24"/>
          <w:szCs w:val="24"/>
        </w:rPr>
      </w:pPr>
      <w:r w:rsidRPr="00591F3C">
        <w:rPr>
          <w:rFonts w:ascii="Arial" w:hAnsi="Arial" w:cs="Arial"/>
          <w:sz w:val="24"/>
          <w:szCs w:val="24"/>
        </w:rPr>
        <w:t>(b)</w:t>
      </w:r>
      <w:r w:rsidR="00D87A2F">
        <w:rPr>
          <w:rFonts w:ascii="Arial" w:hAnsi="Arial" w:cs="Arial"/>
          <w:sz w:val="24"/>
          <w:szCs w:val="24"/>
        </w:rPr>
        <w:tab/>
      </w:r>
      <w:r w:rsidRPr="00591F3C">
        <w:rPr>
          <w:rFonts w:ascii="Arial" w:hAnsi="Arial" w:cs="Arial"/>
          <w:sz w:val="24"/>
          <w:szCs w:val="24"/>
        </w:rPr>
        <w:t>an audited community purpose contribution statement.</w:t>
      </w:r>
    </w:p>
    <w:p w14:paraId="1366C377" w14:textId="68656BB1" w:rsidR="00D87A2F" w:rsidRDefault="00D87A2F" w:rsidP="00D87A2F">
      <w:pPr>
        <w:spacing w:after="0"/>
        <w:rPr>
          <w:rFonts w:ascii="Arial" w:hAnsi="Arial" w:cs="Arial"/>
          <w:sz w:val="24"/>
          <w:szCs w:val="24"/>
        </w:rPr>
      </w:pPr>
    </w:p>
    <w:p w14:paraId="15E15FBD" w14:textId="1274D591" w:rsidR="00D87A2F" w:rsidRDefault="00D87A2F" w:rsidP="00D87A2F">
      <w:pPr>
        <w:spacing w:after="0"/>
        <w:rPr>
          <w:rFonts w:ascii="Arial" w:hAnsi="Arial" w:cs="Arial"/>
          <w:sz w:val="24"/>
          <w:szCs w:val="24"/>
        </w:rPr>
      </w:pPr>
      <w:r>
        <w:rPr>
          <w:rFonts w:ascii="Arial" w:hAnsi="Arial" w:cs="Arial"/>
          <w:sz w:val="24"/>
          <w:szCs w:val="24"/>
        </w:rPr>
        <w:t xml:space="preserve">New subsection 74A (2) defines </w:t>
      </w:r>
      <w:r w:rsidR="00970F33">
        <w:rPr>
          <w:rFonts w:ascii="Arial" w:hAnsi="Arial" w:cs="Arial"/>
          <w:sz w:val="24"/>
          <w:szCs w:val="24"/>
        </w:rPr>
        <w:t>the terms ‘audited community purpose contribution statement’ and ‘qualified accountant’ for the section</w:t>
      </w:r>
      <w:r>
        <w:rPr>
          <w:rFonts w:ascii="Arial" w:hAnsi="Arial" w:cs="Arial"/>
          <w:sz w:val="24"/>
          <w:szCs w:val="24"/>
        </w:rPr>
        <w:t>.</w:t>
      </w:r>
    </w:p>
    <w:p w14:paraId="15E30F6C" w14:textId="2CC3DA55" w:rsidR="00591F3C" w:rsidRPr="00591F3C" w:rsidRDefault="00591F3C" w:rsidP="00D87A2F">
      <w:pPr>
        <w:spacing w:after="0"/>
        <w:rPr>
          <w:rFonts w:ascii="Arial" w:hAnsi="Arial" w:cs="Arial"/>
          <w:sz w:val="24"/>
          <w:szCs w:val="24"/>
        </w:rPr>
      </w:pPr>
    </w:p>
    <w:p w14:paraId="42D35E54" w14:textId="4E18A5E7" w:rsidR="00591F3C" w:rsidRPr="00591F3C" w:rsidRDefault="00D87A2F" w:rsidP="00D87A2F">
      <w:pPr>
        <w:spacing w:after="0"/>
        <w:rPr>
          <w:rFonts w:ascii="Arial" w:hAnsi="Arial" w:cs="Arial"/>
          <w:sz w:val="24"/>
          <w:szCs w:val="24"/>
        </w:rPr>
      </w:pPr>
      <w:r w:rsidRPr="00D87A2F">
        <w:rPr>
          <w:rFonts w:ascii="Arial" w:hAnsi="Arial" w:cs="Arial"/>
          <w:sz w:val="24"/>
          <w:szCs w:val="24"/>
        </w:rPr>
        <w:t>‘A</w:t>
      </w:r>
      <w:r w:rsidR="00591F3C" w:rsidRPr="00591F3C">
        <w:rPr>
          <w:rFonts w:ascii="Arial" w:hAnsi="Arial" w:cs="Arial"/>
          <w:sz w:val="24"/>
          <w:szCs w:val="24"/>
        </w:rPr>
        <w:t>udited community purpose contribution statement</w:t>
      </w:r>
      <w:r>
        <w:rPr>
          <w:rFonts w:ascii="Arial" w:hAnsi="Arial" w:cs="Arial"/>
          <w:sz w:val="24"/>
          <w:szCs w:val="24"/>
        </w:rPr>
        <w:t>’</w:t>
      </w:r>
      <w:r w:rsidR="00591F3C" w:rsidRPr="00591F3C">
        <w:rPr>
          <w:rFonts w:ascii="Arial" w:hAnsi="Arial" w:cs="Arial"/>
          <w:sz w:val="24"/>
          <w:szCs w:val="24"/>
        </w:rPr>
        <w:t xml:space="preserve"> means a statement that— </w:t>
      </w:r>
    </w:p>
    <w:p w14:paraId="41D689EB" w14:textId="2E83306A" w:rsidR="00591F3C" w:rsidRPr="00591F3C" w:rsidRDefault="00591F3C" w:rsidP="00D87A2F">
      <w:pPr>
        <w:spacing w:after="0"/>
        <w:ind w:left="720" w:hanging="720"/>
        <w:rPr>
          <w:rFonts w:ascii="Arial" w:hAnsi="Arial" w:cs="Arial"/>
          <w:sz w:val="24"/>
          <w:szCs w:val="24"/>
        </w:rPr>
      </w:pPr>
      <w:r w:rsidRPr="00591F3C">
        <w:rPr>
          <w:rFonts w:ascii="Arial" w:hAnsi="Arial" w:cs="Arial"/>
          <w:sz w:val="24"/>
          <w:szCs w:val="24"/>
        </w:rPr>
        <w:t>(a)</w:t>
      </w:r>
      <w:r w:rsidR="00D87A2F">
        <w:rPr>
          <w:rFonts w:ascii="Arial" w:hAnsi="Arial" w:cs="Arial"/>
          <w:sz w:val="24"/>
          <w:szCs w:val="24"/>
        </w:rPr>
        <w:tab/>
      </w:r>
      <w:r w:rsidRPr="00591F3C">
        <w:rPr>
          <w:rFonts w:ascii="Arial" w:hAnsi="Arial" w:cs="Arial"/>
          <w:sz w:val="24"/>
          <w:szCs w:val="24"/>
        </w:rPr>
        <w:t xml:space="preserve">sets out the matters required to be included in the annual report under the Act, section 172 (1) (b) to (e) and (2); and </w:t>
      </w:r>
    </w:p>
    <w:p w14:paraId="5E75C832" w14:textId="6ED29198" w:rsidR="00591F3C" w:rsidRDefault="00591F3C" w:rsidP="00D87A2F">
      <w:pPr>
        <w:spacing w:after="0"/>
        <w:rPr>
          <w:rFonts w:ascii="Arial" w:hAnsi="Arial" w:cs="Arial"/>
          <w:sz w:val="24"/>
          <w:szCs w:val="24"/>
        </w:rPr>
      </w:pPr>
      <w:r w:rsidRPr="00591F3C">
        <w:rPr>
          <w:rFonts w:ascii="Arial" w:hAnsi="Arial" w:cs="Arial"/>
          <w:sz w:val="24"/>
          <w:szCs w:val="24"/>
        </w:rPr>
        <w:t>(b)</w:t>
      </w:r>
      <w:r w:rsidR="00D87A2F">
        <w:rPr>
          <w:rFonts w:ascii="Arial" w:hAnsi="Arial" w:cs="Arial"/>
          <w:sz w:val="24"/>
          <w:szCs w:val="24"/>
        </w:rPr>
        <w:tab/>
      </w:r>
      <w:r w:rsidRPr="00591F3C">
        <w:rPr>
          <w:rFonts w:ascii="Arial" w:hAnsi="Arial" w:cs="Arial"/>
          <w:sz w:val="24"/>
          <w:szCs w:val="24"/>
        </w:rPr>
        <w:t>has been audited by a qualified accountant.</w:t>
      </w:r>
    </w:p>
    <w:p w14:paraId="14FA4765" w14:textId="77777777" w:rsidR="00757444" w:rsidRDefault="00757444" w:rsidP="00D87A2F">
      <w:pPr>
        <w:spacing w:after="0"/>
        <w:rPr>
          <w:rFonts w:ascii="Arial" w:hAnsi="Arial" w:cs="Arial"/>
          <w:sz w:val="24"/>
          <w:szCs w:val="24"/>
        </w:rPr>
      </w:pPr>
    </w:p>
    <w:p w14:paraId="0986B7CC" w14:textId="197F4574" w:rsidR="00D87A2F" w:rsidRDefault="00BA6CDB" w:rsidP="00D87A2F">
      <w:pPr>
        <w:spacing w:after="0"/>
        <w:rPr>
          <w:rFonts w:ascii="Arial" w:hAnsi="Arial" w:cs="Arial"/>
          <w:sz w:val="24"/>
          <w:szCs w:val="24"/>
        </w:rPr>
      </w:pPr>
      <w:r>
        <w:rPr>
          <w:rFonts w:ascii="Arial" w:hAnsi="Arial" w:cs="Arial"/>
          <w:sz w:val="24"/>
          <w:szCs w:val="24"/>
        </w:rPr>
        <w:t>Under</w:t>
      </w:r>
      <w:r w:rsidR="00757444">
        <w:rPr>
          <w:rFonts w:ascii="Arial" w:hAnsi="Arial" w:cs="Arial"/>
          <w:sz w:val="24"/>
          <w:szCs w:val="24"/>
        </w:rPr>
        <w:t xml:space="preserve"> amendments </w:t>
      </w:r>
      <w:r w:rsidR="00664EDE">
        <w:rPr>
          <w:rFonts w:ascii="Arial" w:hAnsi="Arial" w:cs="Arial"/>
          <w:sz w:val="24"/>
          <w:szCs w:val="24"/>
        </w:rPr>
        <w:t>made</w:t>
      </w:r>
      <w:r w:rsidR="00757444">
        <w:rPr>
          <w:rFonts w:ascii="Arial" w:hAnsi="Arial" w:cs="Arial"/>
          <w:sz w:val="24"/>
          <w:szCs w:val="24"/>
        </w:rPr>
        <w:t xml:space="preserve"> by the </w:t>
      </w:r>
      <w:r w:rsidR="00757444" w:rsidRPr="00757444">
        <w:rPr>
          <w:rFonts w:ascii="Arial" w:hAnsi="Arial" w:cs="Arial"/>
          <w:i/>
          <w:sz w:val="24"/>
          <w:szCs w:val="24"/>
        </w:rPr>
        <w:t>Gaming Machine Amendment Act 2018</w:t>
      </w:r>
      <w:r>
        <w:rPr>
          <w:rFonts w:ascii="Arial" w:hAnsi="Arial" w:cs="Arial"/>
          <w:sz w:val="24"/>
          <w:szCs w:val="24"/>
        </w:rPr>
        <w:t xml:space="preserve">, </w:t>
      </w:r>
      <w:r w:rsidR="00291030">
        <w:rPr>
          <w:rFonts w:ascii="Arial" w:hAnsi="Arial" w:cs="Arial"/>
          <w:sz w:val="24"/>
          <w:szCs w:val="24"/>
        </w:rPr>
        <w:t>section 172 (1) (b) to (e) of the</w:t>
      </w:r>
      <w:r w:rsidR="00757444">
        <w:rPr>
          <w:rFonts w:ascii="Arial" w:hAnsi="Arial" w:cs="Arial"/>
          <w:sz w:val="24"/>
          <w:szCs w:val="24"/>
        </w:rPr>
        <w:t xml:space="preserve"> Gaming Machine</w:t>
      </w:r>
      <w:r w:rsidR="00291030">
        <w:rPr>
          <w:rFonts w:ascii="Arial" w:hAnsi="Arial" w:cs="Arial"/>
          <w:sz w:val="24"/>
          <w:szCs w:val="24"/>
        </w:rPr>
        <w:t xml:space="preserve"> Act</w:t>
      </w:r>
      <w:r>
        <w:rPr>
          <w:rFonts w:ascii="Arial" w:hAnsi="Arial" w:cs="Arial"/>
          <w:sz w:val="24"/>
          <w:szCs w:val="24"/>
        </w:rPr>
        <w:t xml:space="preserve"> sets out the following</w:t>
      </w:r>
      <w:r w:rsidR="00D87A2F">
        <w:rPr>
          <w:rFonts w:ascii="Arial" w:hAnsi="Arial" w:cs="Arial"/>
          <w:sz w:val="24"/>
          <w:szCs w:val="24"/>
        </w:rPr>
        <w:t xml:space="preserve"> matters </w:t>
      </w:r>
      <w:r w:rsidR="00387573">
        <w:rPr>
          <w:rFonts w:ascii="Arial" w:hAnsi="Arial" w:cs="Arial"/>
          <w:sz w:val="24"/>
          <w:szCs w:val="24"/>
        </w:rPr>
        <w:t xml:space="preserve">that </w:t>
      </w:r>
      <w:r w:rsidR="00D87A2F">
        <w:rPr>
          <w:rFonts w:ascii="Arial" w:hAnsi="Arial" w:cs="Arial"/>
          <w:sz w:val="24"/>
          <w:szCs w:val="24"/>
        </w:rPr>
        <w:t xml:space="preserve">are required to be included </w:t>
      </w:r>
      <w:r w:rsidR="00970F33">
        <w:rPr>
          <w:rFonts w:ascii="Arial" w:hAnsi="Arial" w:cs="Arial"/>
          <w:sz w:val="24"/>
          <w:szCs w:val="24"/>
        </w:rPr>
        <w:t xml:space="preserve">as part of </w:t>
      </w:r>
      <w:r w:rsidR="00291030">
        <w:rPr>
          <w:rFonts w:ascii="Arial" w:hAnsi="Arial" w:cs="Arial"/>
          <w:sz w:val="24"/>
          <w:szCs w:val="24"/>
        </w:rPr>
        <w:t>a club’s</w:t>
      </w:r>
      <w:r w:rsidR="00D87A2F">
        <w:rPr>
          <w:rFonts w:ascii="Arial" w:hAnsi="Arial" w:cs="Arial"/>
          <w:sz w:val="24"/>
          <w:szCs w:val="24"/>
        </w:rPr>
        <w:t xml:space="preserve"> annual report</w:t>
      </w:r>
      <w:r w:rsidR="00291030">
        <w:rPr>
          <w:rFonts w:ascii="Arial" w:hAnsi="Arial" w:cs="Arial"/>
          <w:sz w:val="24"/>
          <w:szCs w:val="24"/>
        </w:rPr>
        <w:t>:</w:t>
      </w:r>
    </w:p>
    <w:p w14:paraId="15A816EC" w14:textId="2402215A"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(b)</w:t>
      </w:r>
      <w:r w:rsidRPr="00291030">
        <w:rPr>
          <w:rFonts w:ascii="Arial" w:hAnsi="Arial" w:cs="Arial"/>
          <w:sz w:val="24"/>
          <w:szCs w:val="24"/>
        </w:rPr>
        <w:tab/>
        <w:t>the net revenue of the licensee for the reporting year; and</w:t>
      </w:r>
    </w:p>
    <w:p w14:paraId="6C841ABF" w14:textId="00C62FCC"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(c)</w:t>
      </w:r>
      <w:r w:rsidRPr="00291030">
        <w:rPr>
          <w:rFonts w:ascii="Arial" w:hAnsi="Arial" w:cs="Arial"/>
          <w:sz w:val="24"/>
          <w:szCs w:val="24"/>
        </w:rPr>
        <w:tab/>
        <w:t>the total value of community purpose contributions made by the licensee during the reporting year; and</w:t>
      </w:r>
    </w:p>
    <w:p w14:paraId="23030860" w14:textId="4E245E21"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(d)</w:t>
      </w:r>
      <w:r w:rsidRPr="00291030">
        <w:rPr>
          <w:rFonts w:ascii="Arial" w:hAnsi="Arial" w:cs="Arial"/>
          <w:sz w:val="24"/>
          <w:szCs w:val="24"/>
        </w:rPr>
        <w:tab/>
        <w:t>the percentage of the licensee’s net revenue for the reporting year that was paid as a community purpose contribution; and</w:t>
      </w:r>
    </w:p>
    <w:p w14:paraId="5827AF5B" w14:textId="54AD26CD" w:rsidR="00E8300B" w:rsidRDefault="00366CFB" w:rsidP="00291030">
      <w:pPr>
        <w:spacing w:after="0"/>
        <w:ind w:left="720" w:hanging="720"/>
        <w:rPr>
          <w:rFonts w:ascii="Arial" w:hAnsi="Arial" w:cs="Arial"/>
          <w:sz w:val="24"/>
          <w:szCs w:val="24"/>
        </w:rPr>
      </w:pPr>
      <w:r w:rsidRPr="00291030">
        <w:rPr>
          <w:rFonts w:ascii="Arial" w:hAnsi="Arial" w:cs="Arial"/>
          <w:sz w:val="24"/>
          <w:szCs w:val="24"/>
        </w:rPr>
        <w:lastRenderedPageBreak/>
        <w:t>(e)</w:t>
      </w:r>
      <w:r w:rsidRPr="00291030">
        <w:rPr>
          <w:rFonts w:ascii="Arial" w:hAnsi="Arial" w:cs="Arial"/>
          <w:sz w:val="24"/>
          <w:szCs w:val="24"/>
        </w:rPr>
        <w:tab/>
        <w:t>the contribution information (other than the name of an individual who is a recipient) for each community purpose contribution made by the licensee during the reporting year</w:t>
      </w:r>
      <w:r w:rsidR="00291030">
        <w:rPr>
          <w:rFonts w:ascii="Arial" w:hAnsi="Arial" w:cs="Arial"/>
          <w:sz w:val="24"/>
          <w:szCs w:val="24"/>
        </w:rPr>
        <w:t>.</w:t>
      </w:r>
    </w:p>
    <w:p w14:paraId="11B65D3E" w14:textId="1C23D40A" w:rsidR="00291030" w:rsidRDefault="00291030" w:rsidP="00291030">
      <w:pPr>
        <w:spacing w:after="0"/>
        <w:ind w:left="720" w:hanging="720"/>
        <w:rPr>
          <w:rFonts w:ascii="Arial" w:hAnsi="Arial" w:cs="Arial"/>
          <w:sz w:val="24"/>
          <w:szCs w:val="24"/>
        </w:rPr>
      </w:pPr>
    </w:p>
    <w:p w14:paraId="258A462C" w14:textId="5D516D88" w:rsidR="00291030" w:rsidRPr="00291030" w:rsidRDefault="00291030" w:rsidP="00291030">
      <w:pPr>
        <w:spacing w:after="0"/>
        <w:rPr>
          <w:rFonts w:ascii="Arial" w:hAnsi="Arial" w:cs="Arial"/>
          <w:sz w:val="24"/>
          <w:szCs w:val="24"/>
        </w:rPr>
      </w:pPr>
      <w:r>
        <w:rPr>
          <w:rFonts w:ascii="Arial" w:hAnsi="Arial" w:cs="Arial"/>
          <w:sz w:val="24"/>
          <w:szCs w:val="24"/>
        </w:rPr>
        <w:t>(Note that reporting on the club’s gross gaming machine revenue is provided for under section 158 (1) (a) (ii)).</w:t>
      </w:r>
    </w:p>
    <w:p w14:paraId="60A938C3" w14:textId="56F38C3F" w:rsidR="00D87A2F" w:rsidRDefault="00D87A2F" w:rsidP="00D87A2F">
      <w:pPr>
        <w:spacing w:after="0"/>
        <w:rPr>
          <w:rFonts w:ascii="Arial" w:hAnsi="Arial" w:cs="Arial"/>
          <w:sz w:val="24"/>
          <w:szCs w:val="24"/>
        </w:rPr>
      </w:pPr>
    </w:p>
    <w:p w14:paraId="58582CF2" w14:textId="4FCAA99A" w:rsidR="00D87A2F" w:rsidRDefault="00291030" w:rsidP="00D87A2F">
      <w:pPr>
        <w:spacing w:after="0"/>
        <w:rPr>
          <w:rFonts w:ascii="Arial" w:hAnsi="Arial" w:cs="Arial"/>
          <w:sz w:val="24"/>
          <w:szCs w:val="24"/>
        </w:rPr>
      </w:pPr>
      <w:r>
        <w:rPr>
          <w:rFonts w:ascii="Arial" w:hAnsi="Arial" w:cs="Arial"/>
          <w:sz w:val="24"/>
          <w:szCs w:val="24"/>
        </w:rPr>
        <w:t>U</w:t>
      </w:r>
      <w:r w:rsidR="00E8300B">
        <w:rPr>
          <w:rFonts w:ascii="Arial" w:hAnsi="Arial" w:cs="Arial"/>
          <w:sz w:val="24"/>
          <w:szCs w:val="24"/>
        </w:rPr>
        <w:t>nder section 172 (2)</w:t>
      </w:r>
      <w:r w:rsidR="00366CFB">
        <w:rPr>
          <w:rFonts w:ascii="Arial" w:hAnsi="Arial" w:cs="Arial"/>
          <w:sz w:val="24"/>
          <w:szCs w:val="24"/>
        </w:rPr>
        <w:t xml:space="preserve"> </w:t>
      </w:r>
      <w:r>
        <w:rPr>
          <w:rFonts w:ascii="Arial" w:hAnsi="Arial" w:cs="Arial"/>
          <w:sz w:val="24"/>
          <w:szCs w:val="24"/>
        </w:rPr>
        <w:t>of the</w:t>
      </w:r>
      <w:r w:rsidR="00757444">
        <w:rPr>
          <w:rFonts w:ascii="Arial" w:hAnsi="Arial" w:cs="Arial"/>
          <w:sz w:val="24"/>
          <w:szCs w:val="24"/>
        </w:rPr>
        <w:t xml:space="preserve"> Gaming Machine</w:t>
      </w:r>
      <w:r>
        <w:rPr>
          <w:rFonts w:ascii="Arial" w:hAnsi="Arial" w:cs="Arial"/>
          <w:sz w:val="24"/>
          <w:szCs w:val="24"/>
        </w:rPr>
        <w:t xml:space="preserve"> Act, for </w:t>
      </w:r>
      <w:r w:rsidR="00366CFB">
        <w:rPr>
          <w:rFonts w:ascii="Arial" w:hAnsi="Arial" w:cs="Arial"/>
          <w:sz w:val="24"/>
          <w:szCs w:val="24"/>
        </w:rPr>
        <w:t>subsection 172 (1) (d) of the Act</w:t>
      </w:r>
      <w:r>
        <w:rPr>
          <w:rFonts w:ascii="Arial" w:hAnsi="Arial" w:cs="Arial"/>
          <w:sz w:val="24"/>
          <w:szCs w:val="24"/>
        </w:rPr>
        <w:t>, the annual report must set out the percentage of the licensee’s net revenue for the reporting year that was made for each of the following:</w:t>
      </w:r>
    </w:p>
    <w:p w14:paraId="12322DE2" w14:textId="0A321061"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(a)</w:t>
      </w:r>
      <w:r w:rsidRPr="00291030">
        <w:rPr>
          <w:rFonts w:ascii="Arial" w:hAnsi="Arial" w:cs="Arial"/>
          <w:sz w:val="24"/>
          <w:szCs w:val="24"/>
        </w:rPr>
        <w:tab/>
        <w:t xml:space="preserve">supporting a charitable cause; </w:t>
      </w:r>
    </w:p>
    <w:p w14:paraId="2A16FEBC" w14:textId="3DAB0BBE"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(b)</w:t>
      </w:r>
      <w:r w:rsidRPr="00291030">
        <w:rPr>
          <w:rFonts w:ascii="Arial" w:hAnsi="Arial" w:cs="Arial"/>
          <w:sz w:val="24"/>
          <w:szCs w:val="24"/>
        </w:rPr>
        <w:tab/>
        <w:t>providing recreation opportunities;</w:t>
      </w:r>
    </w:p>
    <w:p w14:paraId="4F373EA6" w14:textId="65EE3BD5"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(c)</w:t>
      </w:r>
      <w:r w:rsidRPr="00291030">
        <w:rPr>
          <w:rFonts w:ascii="Arial" w:hAnsi="Arial" w:cs="Arial"/>
          <w:sz w:val="24"/>
          <w:szCs w:val="24"/>
        </w:rPr>
        <w:tab/>
        <w:t>providing education opportunities;</w:t>
      </w:r>
    </w:p>
    <w:p w14:paraId="156B43AB" w14:textId="7F7A42FA"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(d)</w:t>
      </w:r>
      <w:r w:rsidRPr="00291030">
        <w:rPr>
          <w:rFonts w:ascii="Arial" w:hAnsi="Arial" w:cs="Arial"/>
          <w:sz w:val="24"/>
          <w:szCs w:val="24"/>
        </w:rPr>
        <w:tab/>
        <w:t>improving social inclusion, equality or cultural diversity;</w:t>
      </w:r>
    </w:p>
    <w:p w14:paraId="4F0FB709" w14:textId="1068608B"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(e)</w:t>
      </w:r>
      <w:r w:rsidRPr="00291030">
        <w:rPr>
          <w:rFonts w:ascii="Arial" w:hAnsi="Arial" w:cs="Arial"/>
          <w:sz w:val="24"/>
          <w:szCs w:val="24"/>
        </w:rPr>
        <w:tab/>
        <w:t>benefitting or increasing participation in community sport;</w:t>
      </w:r>
    </w:p>
    <w:p w14:paraId="28EDABCA" w14:textId="0F4C6162"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(f)</w:t>
      </w:r>
      <w:r w:rsidRPr="00291030">
        <w:rPr>
          <w:rFonts w:ascii="Arial" w:hAnsi="Arial" w:cs="Arial"/>
          <w:sz w:val="24"/>
          <w:szCs w:val="24"/>
        </w:rPr>
        <w:tab/>
        <w:t>preventing or mitigating harm caused by drug or alcohol misuse or dependence;</w:t>
      </w:r>
    </w:p>
    <w:p w14:paraId="40E41DDA" w14:textId="00409884"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(g)</w:t>
      </w:r>
      <w:r w:rsidRPr="00291030">
        <w:rPr>
          <w:rFonts w:ascii="Arial" w:hAnsi="Arial" w:cs="Arial"/>
          <w:sz w:val="24"/>
          <w:szCs w:val="24"/>
        </w:rPr>
        <w:tab/>
        <w:t>benefitting or increasing participation in women’s sport conducted in the ACT, or with participants mainly based in the ACT;</w:t>
      </w:r>
    </w:p>
    <w:p w14:paraId="0A5A1A40" w14:textId="49279E00"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(h)</w:t>
      </w:r>
      <w:r w:rsidRPr="00291030">
        <w:rPr>
          <w:rFonts w:ascii="Arial" w:hAnsi="Arial" w:cs="Arial"/>
          <w:sz w:val="24"/>
          <w:szCs w:val="24"/>
        </w:rPr>
        <w:tab/>
        <w:t>providing relief or assistance to people living in Australia following a natural disaster;</w:t>
      </w:r>
    </w:p>
    <w:p w14:paraId="3DADCBDD" w14:textId="0FE539A0" w:rsidR="00366CFB" w:rsidRPr="00291030" w:rsidRDefault="00366CFB" w:rsidP="00291030">
      <w:pPr>
        <w:spacing w:after="0"/>
        <w:ind w:left="720" w:hanging="720"/>
        <w:rPr>
          <w:rFonts w:ascii="Arial" w:hAnsi="Arial" w:cs="Arial"/>
          <w:sz w:val="24"/>
          <w:szCs w:val="24"/>
        </w:rPr>
      </w:pPr>
      <w:r w:rsidRPr="00291030">
        <w:rPr>
          <w:rFonts w:ascii="Arial" w:hAnsi="Arial" w:cs="Arial"/>
          <w:sz w:val="24"/>
          <w:szCs w:val="24"/>
        </w:rPr>
        <w:t>(i)</w:t>
      </w:r>
      <w:r w:rsidRPr="00291030">
        <w:rPr>
          <w:rFonts w:ascii="Arial" w:hAnsi="Arial" w:cs="Arial"/>
          <w:sz w:val="24"/>
          <w:szCs w:val="24"/>
        </w:rPr>
        <w:tab/>
        <w:t xml:space="preserve">a purpose prescribed by regulation for section 166 (1), definition of </w:t>
      </w:r>
      <w:r w:rsidRPr="00291030">
        <w:rPr>
          <w:rFonts w:ascii="Arial" w:hAnsi="Arial" w:cs="Arial"/>
          <w:b/>
          <w:i/>
          <w:sz w:val="24"/>
          <w:szCs w:val="24"/>
        </w:rPr>
        <w:t>community purpose</w:t>
      </w:r>
      <w:r w:rsidRPr="00291030">
        <w:rPr>
          <w:rFonts w:ascii="Arial" w:hAnsi="Arial" w:cs="Arial"/>
          <w:sz w:val="24"/>
          <w:szCs w:val="24"/>
        </w:rPr>
        <w:t>, paragraph (d).</w:t>
      </w:r>
    </w:p>
    <w:p w14:paraId="12466D4D" w14:textId="77777777" w:rsidR="00E8300B" w:rsidRDefault="00E8300B" w:rsidP="00591F3C">
      <w:pPr>
        <w:spacing w:after="0"/>
        <w:rPr>
          <w:rFonts w:ascii="Arial" w:hAnsi="Arial" w:cs="Arial"/>
          <w:sz w:val="24"/>
          <w:szCs w:val="24"/>
        </w:rPr>
      </w:pPr>
    </w:p>
    <w:p w14:paraId="66A1028E" w14:textId="24D38057" w:rsidR="00D87A2F" w:rsidRDefault="00664EDE" w:rsidP="00591F3C">
      <w:pPr>
        <w:spacing w:after="0"/>
        <w:rPr>
          <w:rFonts w:ascii="Arial" w:hAnsi="Arial" w:cs="Arial"/>
          <w:sz w:val="24"/>
          <w:szCs w:val="24"/>
        </w:rPr>
      </w:pPr>
      <w:r>
        <w:rPr>
          <w:rFonts w:ascii="Arial" w:hAnsi="Arial" w:cs="Arial"/>
          <w:sz w:val="24"/>
          <w:szCs w:val="24"/>
        </w:rPr>
        <w:t xml:space="preserve">New section 74A (2) includes a signpost to the definition of </w:t>
      </w:r>
      <w:r w:rsidR="00D87A2F">
        <w:rPr>
          <w:rFonts w:ascii="Arial" w:hAnsi="Arial" w:cs="Arial"/>
          <w:sz w:val="24"/>
          <w:szCs w:val="24"/>
        </w:rPr>
        <w:t>‘</w:t>
      </w:r>
      <w:r>
        <w:rPr>
          <w:rFonts w:ascii="Arial" w:hAnsi="Arial" w:cs="Arial"/>
          <w:sz w:val="24"/>
          <w:szCs w:val="24"/>
        </w:rPr>
        <w:t>q</w:t>
      </w:r>
      <w:r w:rsidR="00591F3C" w:rsidRPr="00D87A2F">
        <w:rPr>
          <w:rFonts w:ascii="Arial" w:hAnsi="Arial" w:cs="Arial"/>
          <w:sz w:val="24"/>
          <w:szCs w:val="24"/>
        </w:rPr>
        <w:t>ualified accountant</w:t>
      </w:r>
      <w:r w:rsidR="00D87A2F">
        <w:rPr>
          <w:rFonts w:ascii="Arial" w:hAnsi="Arial" w:cs="Arial"/>
          <w:sz w:val="24"/>
          <w:szCs w:val="24"/>
        </w:rPr>
        <w:t>’ in the</w:t>
      </w:r>
      <w:r w:rsidR="00757444">
        <w:rPr>
          <w:rFonts w:ascii="Arial" w:hAnsi="Arial" w:cs="Arial"/>
          <w:sz w:val="24"/>
          <w:szCs w:val="24"/>
        </w:rPr>
        <w:t xml:space="preserve"> Gaming Machine</w:t>
      </w:r>
      <w:r w:rsidR="00D87A2F">
        <w:rPr>
          <w:rFonts w:ascii="Arial" w:hAnsi="Arial" w:cs="Arial"/>
          <w:sz w:val="24"/>
          <w:szCs w:val="24"/>
        </w:rPr>
        <w:t xml:space="preserve"> Act, section 158</w:t>
      </w:r>
      <w:r w:rsidR="00366CFB">
        <w:rPr>
          <w:rFonts w:ascii="Arial" w:hAnsi="Arial" w:cs="Arial"/>
          <w:sz w:val="24"/>
          <w:szCs w:val="24"/>
        </w:rPr>
        <w:t xml:space="preserve"> </w:t>
      </w:r>
      <w:r w:rsidR="00D87A2F">
        <w:rPr>
          <w:rFonts w:ascii="Arial" w:hAnsi="Arial" w:cs="Arial"/>
          <w:sz w:val="24"/>
          <w:szCs w:val="24"/>
        </w:rPr>
        <w:t>(3)</w:t>
      </w:r>
      <w:r>
        <w:rPr>
          <w:rFonts w:ascii="Arial" w:hAnsi="Arial" w:cs="Arial"/>
          <w:sz w:val="24"/>
          <w:szCs w:val="24"/>
        </w:rPr>
        <w:t xml:space="preserve"> meaning</w:t>
      </w:r>
      <w:r w:rsidR="00D87A2F">
        <w:rPr>
          <w:rFonts w:ascii="Arial" w:hAnsi="Arial" w:cs="Arial"/>
          <w:sz w:val="24"/>
          <w:szCs w:val="24"/>
        </w:rPr>
        <w:t>:</w:t>
      </w:r>
    </w:p>
    <w:p w14:paraId="21516A4D" w14:textId="3E7EBC16" w:rsidR="00366CFB" w:rsidRPr="00366CFB" w:rsidRDefault="00366CFB" w:rsidP="00366CFB">
      <w:pPr>
        <w:spacing w:after="0"/>
        <w:ind w:left="720" w:hanging="720"/>
        <w:rPr>
          <w:rFonts w:ascii="Arial" w:hAnsi="Arial" w:cs="Arial"/>
          <w:sz w:val="24"/>
          <w:szCs w:val="24"/>
        </w:rPr>
      </w:pPr>
      <w:r w:rsidRPr="00366CFB">
        <w:rPr>
          <w:rFonts w:ascii="Arial" w:hAnsi="Arial" w:cs="Arial"/>
          <w:sz w:val="24"/>
          <w:szCs w:val="24"/>
        </w:rPr>
        <w:t>(a)</w:t>
      </w:r>
      <w:r w:rsidRPr="00366CFB">
        <w:rPr>
          <w:rFonts w:ascii="Arial" w:hAnsi="Arial" w:cs="Arial"/>
          <w:sz w:val="24"/>
          <w:szCs w:val="24"/>
        </w:rPr>
        <w:tab/>
        <w:t>a member of the Institute of Chartered Accountants in Australia, the Institute of Public Accountants or the Australian Society of Certified Practising Accountants; or</w:t>
      </w:r>
    </w:p>
    <w:p w14:paraId="0273D2D5" w14:textId="17E3EA34" w:rsidR="00366CFB" w:rsidRPr="00E514DB" w:rsidRDefault="00366CFB" w:rsidP="00291030">
      <w:pPr>
        <w:spacing w:after="0"/>
        <w:ind w:left="720" w:hanging="720"/>
        <w:rPr>
          <w:rFonts w:ascii="Arial" w:hAnsi="Arial" w:cs="Arial"/>
          <w:sz w:val="24"/>
          <w:szCs w:val="24"/>
        </w:rPr>
      </w:pPr>
      <w:r w:rsidRPr="00366CFB">
        <w:rPr>
          <w:rFonts w:ascii="Arial" w:hAnsi="Arial" w:cs="Arial"/>
          <w:sz w:val="24"/>
          <w:szCs w:val="24"/>
        </w:rPr>
        <w:t>(b)</w:t>
      </w:r>
      <w:r w:rsidRPr="00366CFB">
        <w:rPr>
          <w:rFonts w:ascii="Arial" w:hAnsi="Arial" w:cs="Arial"/>
          <w:sz w:val="24"/>
          <w:szCs w:val="24"/>
        </w:rPr>
        <w:tab/>
        <w:t xml:space="preserve">a person registered as a registered company auditor under the </w:t>
      </w:r>
      <w:hyperlink r:id="rId7" w:tooltip="Act 2001 No 50 (Cwlth)" w:history="1">
        <w:r w:rsidRPr="00366CFB">
          <w:rPr>
            <w:rFonts w:ascii="Arial" w:hAnsi="Arial" w:cs="Arial"/>
            <w:i/>
            <w:sz w:val="24"/>
            <w:szCs w:val="24"/>
          </w:rPr>
          <w:t>Corporations Act</w:t>
        </w:r>
      </w:hyperlink>
      <w:r w:rsidRPr="00366CFB">
        <w:rPr>
          <w:rFonts w:ascii="Arial" w:hAnsi="Arial" w:cs="Arial"/>
          <w:i/>
          <w:sz w:val="24"/>
          <w:szCs w:val="24"/>
        </w:rPr>
        <w:t xml:space="preserve"> 2001</w:t>
      </w:r>
      <w:r>
        <w:rPr>
          <w:rFonts w:ascii="Arial" w:hAnsi="Arial" w:cs="Arial"/>
          <w:sz w:val="24"/>
          <w:szCs w:val="24"/>
        </w:rPr>
        <w:t xml:space="preserve"> (Cth)</w:t>
      </w:r>
      <w:r w:rsidRPr="00366CFB">
        <w:rPr>
          <w:rFonts w:ascii="Arial" w:hAnsi="Arial" w:cs="Arial"/>
          <w:sz w:val="24"/>
          <w:szCs w:val="24"/>
        </w:rPr>
        <w:t>.</w:t>
      </w:r>
    </w:p>
    <w:sectPr w:rsidR="00366CFB" w:rsidRPr="00E514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F129" w14:textId="77777777" w:rsidR="00A70935" w:rsidRDefault="00A70935" w:rsidP="001174E1">
      <w:pPr>
        <w:spacing w:after="0" w:line="240" w:lineRule="auto"/>
      </w:pPr>
      <w:r>
        <w:separator/>
      </w:r>
    </w:p>
  </w:endnote>
  <w:endnote w:type="continuationSeparator" w:id="0">
    <w:p w14:paraId="1B79D00A" w14:textId="77777777" w:rsidR="00A70935" w:rsidRDefault="00A70935" w:rsidP="0011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9652" w14:textId="77777777" w:rsidR="009F291F" w:rsidRDefault="009F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621019"/>
      <w:docPartObj>
        <w:docPartGallery w:val="Page Numbers (Bottom of Page)"/>
        <w:docPartUnique/>
      </w:docPartObj>
    </w:sdtPr>
    <w:sdtEndPr>
      <w:rPr>
        <w:noProof/>
      </w:rPr>
    </w:sdtEndPr>
    <w:sdtContent>
      <w:p w14:paraId="77F07C48" w14:textId="77777777" w:rsidR="009A1F09" w:rsidRDefault="000C506E" w:rsidP="00A42270">
        <w:pPr>
          <w:pStyle w:val="Footer"/>
          <w:jc w:val="right"/>
          <w:rPr>
            <w:rFonts w:ascii="Arial" w:hAnsi="Arial" w:cs="Arial"/>
            <w:noProof/>
            <w:sz w:val="20"/>
          </w:rPr>
        </w:pPr>
        <w:r w:rsidRPr="00213F6A">
          <w:rPr>
            <w:rFonts w:ascii="Arial" w:hAnsi="Arial" w:cs="Arial"/>
            <w:sz w:val="20"/>
          </w:rPr>
          <w:fldChar w:fldCharType="begin"/>
        </w:r>
        <w:r w:rsidRPr="00213F6A">
          <w:rPr>
            <w:rFonts w:ascii="Arial" w:hAnsi="Arial" w:cs="Arial"/>
            <w:sz w:val="20"/>
          </w:rPr>
          <w:instrText xml:space="preserve"> PAGE   \* MERGEFORMAT </w:instrText>
        </w:r>
        <w:r w:rsidRPr="00213F6A">
          <w:rPr>
            <w:rFonts w:ascii="Arial" w:hAnsi="Arial" w:cs="Arial"/>
            <w:sz w:val="20"/>
          </w:rPr>
          <w:fldChar w:fldCharType="separate"/>
        </w:r>
        <w:r w:rsidR="00181A31">
          <w:rPr>
            <w:rFonts w:ascii="Arial" w:hAnsi="Arial" w:cs="Arial"/>
            <w:noProof/>
            <w:sz w:val="20"/>
          </w:rPr>
          <w:t>5</w:t>
        </w:r>
        <w:r w:rsidRPr="00213F6A">
          <w:rPr>
            <w:rFonts w:ascii="Arial" w:hAnsi="Arial" w:cs="Arial"/>
            <w:noProof/>
            <w:sz w:val="20"/>
          </w:rPr>
          <w:fldChar w:fldCharType="end"/>
        </w:r>
      </w:p>
      <w:p w14:paraId="7B5D86E7" w14:textId="77777777" w:rsidR="009F291F" w:rsidRDefault="009F291F" w:rsidP="00BF31EC">
        <w:pPr>
          <w:pStyle w:val="Footer"/>
          <w:jc w:val="center"/>
          <w:rPr>
            <w:rFonts w:ascii="Arial" w:hAnsi="Arial" w:cs="Arial"/>
            <w:noProof/>
            <w:sz w:val="20"/>
          </w:rPr>
        </w:pPr>
      </w:p>
    </w:sdtContent>
  </w:sdt>
  <w:p w14:paraId="7A44E078" w14:textId="4E0D3EEF" w:rsidR="000C506E" w:rsidRPr="009F291F" w:rsidRDefault="009F291F" w:rsidP="009F291F">
    <w:pPr>
      <w:pStyle w:val="Footer"/>
      <w:jc w:val="center"/>
      <w:rPr>
        <w:rFonts w:ascii="Arial" w:hAnsi="Arial" w:cs="Arial"/>
        <w:noProof/>
        <w:sz w:val="14"/>
      </w:rPr>
    </w:pPr>
    <w:r w:rsidRPr="009F291F">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F315" w14:textId="77777777" w:rsidR="009F291F" w:rsidRDefault="009F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E435" w14:textId="77777777" w:rsidR="00A70935" w:rsidRDefault="00A70935" w:rsidP="001174E1">
      <w:pPr>
        <w:spacing w:after="0" w:line="240" w:lineRule="auto"/>
      </w:pPr>
      <w:r>
        <w:separator/>
      </w:r>
    </w:p>
  </w:footnote>
  <w:footnote w:type="continuationSeparator" w:id="0">
    <w:p w14:paraId="0357A5D3" w14:textId="77777777" w:rsidR="00A70935" w:rsidRDefault="00A70935" w:rsidP="0011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F909" w14:textId="77777777" w:rsidR="009F291F" w:rsidRDefault="009F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6912" w14:textId="77777777" w:rsidR="009F291F" w:rsidRDefault="009F2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1613" w14:textId="77777777" w:rsidR="009F291F" w:rsidRDefault="009F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E9"/>
    <w:multiLevelType w:val="hybridMultilevel"/>
    <w:tmpl w:val="3D845CC0"/>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72019"/>
    <w:multiLevelType w:val="hybridMultilevel"/>
    <w:tmpl w:val="2CE6D40A"/>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1735C8"/>
    <w:multiLevelType w:val="hybridMultilevel"/>
    <w:tmpl w:val="F7B46F88"/>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E4B43"/>
    <w:multiLevelType w:val="hybridMultilevel"/>
    <w:tmpl w:val="0D0E18F0"/>
    <w:lvl w:ilvl="0" w:tplc="C30E9E80">
      <w:start w:val="37"/>
      <w:numFmt w:val="bullet"/>
      <w:lvlText w:val="-"/>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4022B"/>
    <w:multiLevelType w:val="hybridMultilevel"/>
    <w:tmpl w:val="9A22B2EE"/>
    <w:lvl w:ilvl="0" w:tplc="653A00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D42633"/>
    <w:multiLevelType w:val="hybridMultilevel"/>
    <w:tmpl w:val="66CAE996"/>
    <w:lvl w:ilvl="0" w:tplc="CA0822C0">
      <w:start w:val="1"/>
      <w:numFmt w:val="lowerRoman"/>
      <w:lvlText w:val="(%1)"/>
      <w:lvlJc w:val="left"/>
      <w:pPr>
        <w:ind w:left="1286" w:hanging="360"/>
      </w:pPr>
      <w:rPr>
        <w:rFonts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8" w15:restartNumberingAfterBreak="0">
    <w:nsid w:val="20272826"/>
    <w:multiLevelType w:val="hybridMultilevel"/>
    <w:tmpl w:val="57DC0D7A"/>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64357"/>
    <w:multiLevelType w:val="hybridMultilevel"/>
    <w:tmpl w:val="5742D254"/>
    <w:lvl w:ilvl="0" w:tplc="54E4FFA2">
      <w:start w:val="1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A58EC"/>
    <w:multiLevelType w:val="hybridMultilevel"/>
    <w:tmpl w:val="56DA6AD8"/>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1" w15:restartNumberingAfterBreak="0">
    <w:nsid w:val="29875C06"/>
    <w:multiLevelType w:val="hybridMultilevel"/>
    <w:tmpl w:val="5E0C6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DB1787"/>
    <w:multiLevelType w:val="hybridMultilevel"/>
    <w:tmpl w:val="ACF8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643E9"/>
    <w:multiLevelType w:val="hybridMultilevel"/>
    <w:tmpl w:val="688898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FFD13DC"/>
    <w:multiLevelType w:val="hybridMultilevel"/>
    <w:tmpl w:val="1334F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D970E8"/>
    <w:multiLevelType w:val="hybridMultilevel"/>
    <w:tmpl w:val="97FC2C28"/>
    <w:lvl w:ilvl="0" w:tplc="CA0822C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4681D8C"/>
    <w:multiLevelType w:val="hybridMultilevel"/>
    <w:tmpl w:val="8DCA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B143C4"/>
    <w:multiLevelType w:val="hybridMultilevel"/>
    <w:tmpl w:val="C1DCC23E"/>
    <w:lvl w:ilvl="0" w:tplc="0FA8F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E0E54"/>
    <w:multiLevelType w:val="hybridMultilevel"/>
    <w:tmpl w:val="BC72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C22D10"/>
    <w:multiLevelType w:val="hybridMultilevel"/>
    <w:tmpl w:val="14CA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C5A44"/>
    <w:multiLevelType w:val="hybridMultilevel"/>
    <w:tmpl w:val="69069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DE1B1B"/>
    <w:multiLevelType w:val="hybridMultilevel"/>
    <w:tmpl w:val="1D56D2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7524D2"/>
    <w:multiLevelType w:val="hybridMultilevel"/>
    <w:tmpl w:val="BEA2D6D4"/>
    <w:lvl w:ilvl="0" w:tplc="CA0822C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0F7400F"/>
    <w:multiLevelType w:val="hybridMultilevel"/>
    <w:tmpl w:val="A6B872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29D7D4D"/>
    <w:multiLevelType w:val="hybridMultilevel"/>
    <w:tmpl w:val="8026BDC2"/>
    <w:lvl w:ilvl="0" w:tplc="C30E9E80">
      <w:start w:val="37"/>
      <w:numFmt w:val="bullet"/>
      <w:lvlText w:val="-"/>
      <w:lvlJc w:val="left"/>
      <w:pPr>
        <w:ind w:left="780" w:hanging="36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39C34CE"/>
    <w:multiLevelType w:val="hybridMultilevel"/>
    <w:tmpl w:val="DBB08D26"/>
    <w:lvl w:ilvl="0" w:tplc="C30E9E80">
      <w:start w:val="37"/>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2057A84"/>
    <w:multiLevelType w:val="hybridMultilevel"/>
    <w:tmpl w:val="C05C0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4116E"/>
    <w:multiLevelType w:val="hybridMultilevel"/>
    <w:tmpl w:val="A7924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A3636A8"/>
    <w:multiLevelType w:val="hybridMultilevel"/>
    <w:tmpl w:val="09D45FDE"/>
    <w:lvl w:ilvl="0" w:tplc="C30E9E80">
      <w:start w:val="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8"/>
  </w:num>
  <w:num w:numId="3">
    <w:abstractNumId w:val="23"/>
  </w:num>
  <w:num w:numId="4">
    <w:abstractNumId w:val="0"/>
  </w:num>
  <w:num w:numId="5">
    <w:abstractNumId w:val="5"/>
  </w:num>
  <w:num w:numId="6">
    <w:abstractNumId w:val="29"/>
  </w:num>
  <w:num w:numId="7">
    <w:abstractNumId w:val="1"/>
  </w:num>
  <w:num w:numId="8">
    <w:abstractNumId w:val="25"/>
  </w:num>
  <w:num w:numId="9">
    <w:abstractNumId w:val="9"/>
  </w:num>
  <w:num w:numId="10">
    <w:abstractNumId w:val="27"/>
  </w:num>
  <w:num w:numId="11">
    <w:abstractNumId w:val="18"/>
  </w:num>
  <w:num w:numId="12">
    <w:abstractNumId w:val="20"/>
  </w:num>
  <w:num w:numId="13">
    <w:abstractNumId w:val="17"/>
  </w:num>
  <w:num w:numId="14">
    <w:abstractNumId w:val="11"/>
  </w:num>
  <w:num w:numId="15">
    <w:abstractNumId w:val="15"/>
  </w:num>
  <w:num w:numId="16">
    <w:abstractNumId w:val="2"/>
  </w:num>
  <w:num w:numId="17">
    <w:abstractNumId w:val="26"/>
  </w:num>
  <w:num w:numId="18">
    <w:abstractNumId w:val="10"/>
  </w:num>
  <w:num w:numId="19">
    <w:abstractNumId w:val="4"/>
  </w:num>
  <w:num w:numId="20">
    <w:abstractNumId w:val="3"/>
  </w:num>
  <w:num w:numId="21">
    <w:abstractNumId w:val="16"/>
  </w:num>
  <w:num w:numId="22">
    <w:abstractNumId w:val="24"/>
  </w:num>
  <w:num w:numId="23">
    <w:abstractNumId w:val="7"/>
  </w:num>
  <w:num w:numId="24">
    <w:abstractNumId w:val="21"/>
  </w:num>
  <w:num w:numId="25">
    <w:abstractNumId w:val="30"/>
  </w:num>
  <w:num w:numId="26">
    <w:abstractNumId w:val="8"/>
  </w:num>
  <w:num w:numId="27">
    <w:abstractNumId w:val="14"/>
  </w:num>
  <w:num w:numId="28">
    <w:abstractNumId w:val="6"/>
  </w:num>
  <w:num w:numId="29">
    <w:abstractNumId w:val="12"/>
  </w:num>
  <w:num w:numId="30">
    <w:abstractNumId w:val="19"/>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6C"/>
    <w:rsid w:val="00002D10"/>
    <w:rsid w:val="0003092C"/>
    <w:rsid w:val="00032DC1"/>
    <w:rsid w:val="00043CE3"/>
    <w:rsid w:val="000555FA"/>
    <w:rsid w:val="00064BE1"/>
    <w:rsid w:val="000713BC"/>
    <w:rsid w:val="00072B2C"/>
    <w:rsid w:val="00077663"/>
    <w:rsid w:val="000851D9"/>
    <w:rsid w:val="00092B32"/>
    <w:rsid w:val="00093CF4"/>
    <w:rsid w:val="00093F3F"/>
    <w:rsid w:val="000C0EB3"/>
    <w:rsid w:val="000C47E8"/>
    <w:rsid w:val="000C506E"/>
    <w:rsid w:val="000C6A68"/>
    <w:rsid w:val="000D150D"/>
    <w:rsid w:val="000D4E14"/>
    <w:rsid w:val="000E06DC"/>
    <w:rsid w:val="000E20B2"/>
    <w:rsid w:val="000E2360"/>
    <w:rsid w:val="000E649E"/>
    <w:rsid w:val="000F1747"/>
    <w:rsid w:val="001005B7"/>
    <w:rsid w:val="00107325"/>
    <w:rsid w:val="001144FC"/>
    <w:rsid w:val="00116FB6"/>
    <w:rsid w:val="001174E1"/>
    <w:rsid w:val="00120679"/>
    <w:rsid w:val="00123655"/>
    <w:rsid w:val="00125E99"/>
    <w:rsid w:val="001366D7"/>
    <w:rsid w:val="001411EC"/>
    <w:rsid w:val="001422B3"/>
    <w:rsid w:val="00147A86"/>
    <w:rsid w:val="00154355"/>
    <w:rsid w:val="00162A28"/>
    <w:rsid w:val="00163759"/>
    <w:rsid w:val="00164530"/>
    <w:rsid w:val="001674CF"/>
    <w:rsid w:val="00174CC2"/>
    <w:rsid w:val="001776E2"/>
    <w:rsid w:val="001813DE"/>
    <w:rsid w:val="00181A31"/>
    <w:rsid w:val="00190FC6"/>
    <w:rsid w:val="00192E64"/>
    <w:rsid w:val="00193BE1"/>
    <w:rsid w:val="00193D78"/>
    <w:rsid w:val="001B402B"/>
    <w:rsid w:val="001C4771"/>
    <w:rsid w:val="001D0222"/>
    <w:rsid w:val="001E537A"/>
    <w:rsid w:val="001E7653"/>
    <w:rsid w:val="001F0A2B"/>
    <w:rsid w:val="00213F6A"/>
    <w:rsid w:val="00221679"/>
    <w:rsid w:val="00221C3C"/>
    <w:rsid w:val="00224064"/>
    <w:rsid w:val="002372BC"/>
    <w:rsid w:val="00241679"/>
    <w:rsid w:val="00253649"/>
    <w:rsid w:val="00263DAB"/>
    <w:rsid w:val="00264B2B"/>
    <w:rsid w:val="00266357"/>
    <w:rsid w:val="00273AFC"/>
    <w:rsid w:val="002832BF"/>
    <w:rsid w:val="00291030"/>
    <w:rsid w:val="00293480"/>
    <w:rsid w:val="00294DEA"/>
    <w:rsid w:val="00295BB7"/>
    <w:rsid w:val="002B0DB5"/>
    <w:rsid w:val="002D28FA"/>
    <w:rsid w:val="002D4CE2"/>
    <w:rsid w:val="002E45B1"/>
    <w:rsid w:val="002F3D32"/>
    <w:rsid w:val="00303256"/>
    <w:rsid w:val="00305757"/>
    <w:rsid w:val="00310442"/>
    <w:rsid w:val="00310F32"/>
    <w:rsid w:val="0031187C"/>
    <w:rsid w:val="00315DF7"/>
    <w:rsid w:val="00320EEB"/>
    <w:rsid w:val="00322109"/>
    <w:rsid w:val="00336918"/>
    <w:rsid w:val="00343F30"/>
    <w:rsid w:val="0034494F"/>
    <w:rsid w:val="00347741"/>
    <w:rsid w:val="00352509"/>
    <w:rsid w:val="00362E3C"/>
    <w:rsid w:val="0036330D"/>
    <w:rsid w:val="00366CFB"/>
    <w:rsid w:val="0037422D"/>
    <w:rsid w:val="00386CE9"/>
    <w:rsid w:val="00387573"/>
    <w:rsid w:val="00390A38"/>
    <w:rsid w:val="003A1159"/>
    <w:rsid w:val="003B0EE4"/>
    <w:rsid w:val="003B38E6"/>
    <w:rsid w:val="003B6E56"/>
    <w:rsid w:val="003C4633"/>
    <w:rsid w:val="003D1D9D"/>
    <w:rsid w:val="003D35ED"/>
    <w:rsid w:val="003D5FA4"/>
    <w:rsid w:val="003E3ED9"/>
    <w:rsid w:val="003F206C"/>
    <w:rsid w:val="0040234D"/>
    <w:rsid w:val="004107D1"/>
    <w:rsid w:val="00417218"/>
    <w:rsid w:val="00417ACF"/>
    <w:rsid w:val="00430287"/>
    <w:rsid w:val="0043277B"/>
    <w:rsid w:val="00436550"/>
    <w:rsid w:val="00450019"/>
    <w:rsid w:val="00450BD8"/>
    <w:rsid w:val="00455424"/>
    <w:rsid w:val="00474873"/>
    <w:rsid w:val="00474ADA"/>
    <w:rsid w:val="0048260E"/>
    <w:rsid w:val="00485CEF"/>
    <w:rsid w:val="0049208F"/>
    <w:rsid w:val="004A0B35"/>
    <w:rsid w:val="004A19B0"/>
    <w:rsid w:val="004A3019"/>
    <w:rsid w:val="004A6855"/>
    <w:rsid w:val="004C16CA"/>
    <w:rsid w:val="004C1F6F"/>
    <w:rsid w:val="004C4E12"/>
    <w:rsid w:val="004D452F"/>
    <w:rsid w:val="004D69A2"/>
    <w:rsid w:val="004F6CC2"/>
    <w:rsid w:val="0051089E"/>
    <w:rsid w:val="005134E5"/>
    <w:rsid w:val="005154C4"/>
    <w:rsid w:val="00526662"/>
    <w:rsid w:val="00527368"/>
    <w:rsid w:val="0053269B"/>
    <w:rsid w:val="0053617D"/>
    <w:rsid w:val="005376EF"/>
    <w:rsid w:val="00544413"/>
    <w:rsid w:val="00544472"/>
    <w:rsid w:val="005553A6"/>
    <w:rsid w:val="0055595B"/>
    <w:rsid w:val="00555A6E"/>
    <w:rsid w:val="00560E97"/>
    <w:rsid w:val="00566C88"/>
    <w:rsid w:val="00570A09"/>
    <w:rsid w:val="0057187D"/>
    <w:rsid w:val="0057346D"/>
    <w:rsid w:val="005771F4"/>
    <w:rsid w:val="00591F3C"/>
    <w:rsid w:val="005935AC"/>
    <w:rsid w:val="005A067E"/>
    <w:rsid w:val="005A38B0"/>
    <w:rsid w:val="005A67DE"/>
    <w:rsid w:val="005A77CA"/>
    <w:rsid w:val="005B30A9"/>
    <w:rsid w:val="005B7E21"/>
    <w:rsid w:val="005C0EB7"/>
    <w:rsid w:val="005C2641"/>
    <w:rsid w:val="005C4BD7"/>
    <w:rsid w:val="005C6627"/>
    <w:rsid w:val="005D0624"/>
    <w:rsid w:val="005D6D90"/>
    <w:rsid w:val="00606937"/>
    <w:rsid w:val="006136D1"/>
    <w:rsid w:val="00625411"/>
    <w:rsid w:val="00632072"/>
    <w:rsid w:val="0064206E"/>
    <w:rsid w:val="006533E8"/>
    <w:rsid w:val="0065420A"/>
    <w:rsid w:val="00664EDE"/>
    <w:rsid w:val="00670164"/>
    <w:rsid w:val="00682318"/>
    <w:rsid w:val="00687976"/>
    <w:rsid w:val="00694F8D"/>
    <w:rsid w:val="006A2447"/>
    <w:rsid w:val="006A3865"/>
    <w:rsid w:val="006A3AD6"/>
    <w:rsid w:val="006A3D6D"/>
    <w:rsid w:val="006B3076"/>
    <w:rsid w:val="006B3554"/>
    <w:rsid w:val="006B40CA"/>
    <w:rsid w:val="006D17DF"/>
    <w:rsid w:val="006D239C"/>
    <w:rsid w:val="006D596E"/>
    <w:rsid w:val="006E09DA"/>
    <w:rsid w:val="006E1A19"/>
    <w:rsid w:val="006E35F5"/>
    <w:rsid w:val="006F6376"/>
    <w:rsid w:val="00713EFE"/>
    <w:rsid w:val="0071730B"/>
    <w:rsid w:val="00724347"/>
    <w:rsid w:val="00726BEE"/>
    <w:rsid w:val="00727E12"/>
    <w:rsid w:val="00727EB8"/>
    <w:rsid w:val="00733CBC"/>
    <w:rsid w:val="007406BB"/>
    <w:rsid w:val="00743D2B"/>
    <w:rsid w:val="007446C6"/>
    <w:rsid w:val="00744D2D"/>
    <w:rsid w:val="007565E1"/>
    <w:rsid w:val="00757444"/>
    <w:rsid w:val="00766985"/>
    <w:rsid w:val="007671D4"/>
    <w:rsid w:val="00767745"/>
    <w:rsid w:val="00770546"/>
    <w:rsid w:val="00773787"/>
    <w:rsid w:val="00790416"/>
    <w:rsid w:val="007955C2"/>
    <w:rsid w:val="00796D03"/>
    <w:rsid w:val="007A2139"/>
    <w:rsid w:val="007A302B"/>
    <w:rsid w:val="007B5A1C"/>
    <w:rsid w:val="007B7065"/>
    <w:rsid w:val="007C0124"/>
    <w:rsid w:val="007C1F7F"/>
    <w:rsid w:val="007C468F"/>
    <w:rsid w:val="007D056B"/>
    <w:rsid w:val="007D3A80"/>
    <w:rsid w:val="007D557A"/>
    <w:rsid w:val="007D580B"/>
    <w:rsid w:val="007D6EE0"/>
    <w:rsid w:val="007E3FAF"/>
    <w:rsid w:val="007F63C7"/>
    <w:rsid w:val="007F742F"/>
    <w:rsid w:val="007F78E7"/>
    <w:rsid w:val="008066C7"/>
    <w:rsid w:val="00806A6C"/>
    <w:rsid w:val="00811648"/>
    <w:rsid w:val="0081455C"/>
    <w:rsid w:val="00825858"/>
    <w:rsid w:val="008315E8"/>
    <w:rsid w:val="00836152"/>
    <w:rsid w:val="00845141"/>
    <w:rsid w:val="0085421D"/>
    <w:rsid w:val="0086451D"/>
    <w:rsid w:val="00874D84"/>
    <w:rsid w:val="008802F0"/>
    <w:rsid w:val="0088156F"/>
    <w:rsid w:val="00881D6F"/>
    <w:rsid w:val="008957E0"/>
    <w:rsid w:val="008A0E21"/>
    <w:rsid w:val="008A3325"/>
    <w:rsid w:val="008B16E6"/>
    <w:rsid w:val="008B18EE"/>
    <w:rsid w:val="008B2AEB"/>
    <w:rsid w:val="008B4673"/>
    <w:rsid w:val="008E14DB"/>
    <w:rsid w:val="008E2B95"/>
    <w:rsid w:val="008F1A27"/>
    <w:rsid w:val="008F69C6"/>
    <w:rsid w:val="00902233"/>
    <w:rsid w:val="00905406"/>
    <w:rsid w:val="00912A7A"/>
    <w:rsid w:val="00921546"/>
    <w:rsid w:val="00940D85"/>
    <w:rsid w:val="00951F0F"/>
    <w:rsid w:val="00952A7A"/>
    <w:rsid w:val="00960C8A"/>
    <w:rsid w:val="00960FFC"/>
    <w:rsid w:val="0096568C"/>
    <w:rsid w:val="00970F33"/>
    <w:rsid w:val="00976C7F"/>
    <w:rsid w:val="009775FC"/>
    <w:rsid w:val="009821DF"/>
    <w:rsid w:val="00985F44"/>
    <w:rsid w:val="00995EDE"/>
    <w:rsid w:val="009A1F09"/>
    <w:rsid w:val="009B4D8E"/>
    <w:rsid w:val="009B51E3"/>
    <w:rsid w:val="009B7384"/>
    <w:rsid w:val="009C0705"/>
    <w:rsid w:val="009C27BA"/>
    <w:rsid w:val="009C598D"/>
    <w:rsid w:val="009D223F"/>
    <w:rsid w:val="009D456B"/>
    <w:rsid w:val="009D6ABC"/>
    <w:rsid w:val="009E448A"/>
    <w:rsid w:val="009F02DF"/>
    <w:rsid w:val="009F1136"/>
    <w:rsid w:val="009F291F"/>
    <w:rsid w:val="009F2980"/>
    <w:rsid w:val="009F7F9C"/>
    <w:rsid w:val="00A01695"/>
    <w:rsid w:val="00A05DE3"/>
    <w:rsid w:val="00A11A50"/>
    <w:rsid w:val="00A129D7"/>
    <w:rsid w:val="00A16CE1"/>
    <w:rsid w:val="00A216D1"/>
    <w:rsid w:val="00A233A5"/>
    <w:rsid w:val="00A23608"/>
    <w:rsid w:val="00A31DE4"/>
    <w:rsid w:val="00A32D40"/>
    <w:rsid w:val="00A42270"/>
    <w:rsid w:val="00A465FA"/>
    <w:rsid w:val="00A46B85"/>
    <w:rsid w:val="00A500F4"/>
    <w:rsid w:val="00A631AB"/>
    <w:rsid w:val="00A668AA"/>
    <w:rsid w:val="00A671AF"/>
    <w:rsid w:val="00A70627"/>
    <w:rsid w:val="00A70935"/>
    <w:rsid w:val="00A74C52"/>
    <w:rsid w:val="00A75907"/>
    <w:rsid w:val="00A75F62"/>
    <w:rsid w:val="00A809BF"/>
    <w:rsid w:val="00A87A17"/>
    <w:rsid w:val="00A94CD2"/>
    <w:rsid w:val="00AA0B95"/>
    <w:rsid w:val="00AB0CA7"/>
    <w:rsid w:val="00AB0DF4"/>
    <w:rsid w:val="00AB4BEF"/>
    <w:rsid w:val="00AB71D9"/>
    <w:rsid w:val="00AC4C4B"/>
    <w:rsid w:val="00AD0009"/>
    <w:rsid w:val="00AD1DEB"/>
    <w:rsid w:val="00AE0FDD"/>
    <w:rsid w:val="00AE2A27"/>
    <w:rsid w:val="00AE5544"/>
    <w:rsid w:val="00AF44E8"/>
    <w:rsid w:val="00AF5C70"/>
    <w:rsid w:val="00B00E88"/>
    <w:rsid w:val="00B01807"/>
    <w:rsid w:val="00B02CFE"/>
    <w:rsid w:val="00B04090"/>
    <w:rsid w:val="00B108A2"/>
    <w:rsid w:val="00B20694"/>
    <w:rsid w:val="00B22558"/>
    <w:rsid w:val="00B244CE"/>
    <w:rsid w:val="00B35B0B"/>
    <w:rsid w:val="00B40083"/>
    <w:rsid w:val="00B42DC4"/>
    <w:rsid w:val="00B43122"/>
    <w:rsid w:val="00B517BB"/>
    <w:rsid w:val="00B55B80"/>
    <w:rsid w:val="00B568CA"/>
    <w:rsid w:val="00B61FB9"/>
    <w:rsid w:val="00B676E1"/>
    <w:rsid w:val="00B71EDC"/>
    <w:rsid w:val="00B74617"/>
    <w:rsid w:val="00B856B9"/>
    <w:rsid w:val="00B864F6"/>
    <w:rsid w:val="00BA1D8A"/>
    <w:rsid w:val="00BA2B7F"/>
    <w:rsid w:val="00BA6765"/>
    <w:rsid w:val="00BA6808"/>
    <w:rsid w:val="00BA6CDB"/>
    <w:rsid w:val="00BA74D0"/>
    <w:rsid w:val="00BB2D79"/>
    <w:rsid w:val="00BB47AC"/>
    <w:rsid w:val="00BC1387"/>
    <w:rsid w:val="00BC1F9A"/>
    <w:rsid w:val="00BC4151"/>
    <w:rsid w:val="00BE353C"/>
    <w:rsid w:val="00BF053B"/>
    <w:rsid w:val="00BF31EC"/>
    <w:rsid w:val="00BF5596"/>
    <w:rsid w:val="00C03623"/>
    <w:rsid w:val="00C31FD7"/>
    <w:rsid w:val="00C40D5B"/>
    <w:rsid w:val="00C40F1A"/>
    <w:rsid w:val="00C437DA"/>
    <w:rsid w:val="00C55C08"/>
    <w:rsid w:val="00C7145F"/>
    <w:rsid w:val="00C81B36"/>
    <w:rsid w:val="00C90669"/>
    <w:rsid w:val="00C97D40"/>
    <w:rsid w:val="00CA6E6A"/>
    <w:rsid w:val="00CB1E65"/>
    <w:rsid w:val="00CB3AC7"/>
    <w:rsid w:val="00CC0A7C"/>
    <w:rsid w:val="00CE158D"/>
    <w:rsid w:val="00CE5BB3"/>
    <w:rsid w:val="00CF2ABA"/>
    <w:rsid w:val="00D35AAB"/>
    <w:rsid w:val="00D37185"/>
    <w:rsid w:val="00D42C73"/>
    <w:rsid w:val="00D54CDE"/>
    <w:rsid w:val="00D60D4F"/>
    <w:rsid w:val="00D611BC"/>
    <w:rsid w:val="00D87A2F"/>
    <w:rsid w:val="00D92FE8"/>
    <w:rsid w:val="00DA2961"/>
    <w:rsid w:val="00DB1759"/>
    <w:rsid w:val="00DB79F2"/>
    <w:rsid w:val="00DC51A3"/>
    <w:rsid w:val="00DC7A63"/>
    <w:rsid w:val="00DD6070"/>
    <w:rsid w:val="00DE0A41"/>
    <w:rsid w:val="00DE5573"/>
    <w:rsid w:val="00DF292A"/>
    <w:rsid w:val="00DF29BC"/>
    <w:rsid w:val="00E00DD2"/>
    <w:rsid w:val="00E04DB3"/>
    <w:rsid w:val="00E06CDA"/>
    <w:rsid w:val="00E31DDB"/>
    <w:rsid w:val="00E36BE1"/>
    <w:rsid w:val="00E419F0"/>
    <w:rsid w:val="00E43559"/>
    <w:rsid w:val="00E514DB"/>
    <w:rsid w:val="00E576B3"/>
    <w:rsid w:val="00E60378"/>
    <w:rsid w:val="00E614ED"/>
    <w:rsid w:val="00E636FC"/>
    <w:rsid w:val="00E713ED"/>
    <w:rsid w:val="00E72175"/>
    <w:rsid w:val="00E8300B"/>
    <w:rsid w:val="00E874AF"/>
    <w:rsid w:val="00EA1417"/>
    <w:rsid w:val="00EA495D"/>
    <w:rsid w:val="00EA61AA"/>
    <w:rsid w:val="00EB1892"/>
    <w:rsid w:val="00EB6E8A"/>
    <w:rsid w:val="00EB779E"/>
    <w:rsid w:val="00EC43E8"/>
    <w:rsid w:val="00EE16DB"/>
    <w:rsid w:val="00EF70B5"/>
    <w:rsid w:val="00F053BF"/>
    <w:rsid w:val="00F23760"/>
    <w:rsid w:val="00F35F58"/>
    <w:rsid w:val="00F452C4"/>
    <w:rsid w:val="00F50738"/>
    <w:rsid w:val="00F519B3"/>
    <w:rsid w:val="00F529BE"/>
    <w:rsid w:val="00F565BC"/>
    <w:rsid w:val="00F63299"/>
    <w:rsid w:val="00F65A0D"/>
    <w:rsid w:val="00F66368"/>
    <w:rsid w:val="00F91950"/>
    <w:rsid w:val="00FA08A5"/>
    <w:rsid w:val="00FA37BB"/>
    <w:rsid w:val="00FA3BFE"/>
    <w:rsid w:val="00FD29A0"/>
    <w:rsid w:val="00FD7BBD"/>
    <w:rsid w:val="00FD7BE2"/>
    <w:rsid w:val="00FE4935"/>
    <w:rsid w:val="00FE4E88"/>
    <w:rsid w:val="00FE6F64"/>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04CA8"/>
  <w15:chartTrackingRefBased/>
  <w15:docId w15:val="{9A6F565A-EAE4-4484-B99C-19E0FEF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6C"/>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836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9"/>
    <w:qFormat/>
    <w:rsid w:val="003F206C"/>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3F206C"/>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6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CF"/>
    <w:rPr>
      <w:rFonts w:ascii="Segoe UI" w:eastAsia="Times New Roman" w:hAnsi="Segoe UI" w:cs="Segoe UI"/>
      <w:sz w:val="18"/>
      <w:szCs w:val="18"/>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8B4673"/>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basedOn w:val="DefaultParagraphFont"/>
    <w:link w:val="ListParagraph"/>
    <w:uiPriority w:val="34"/>
    <w:qFormat/>
    <w:locked/>
    <w:rsid w:val="008B4673"/>
    <w:rPr>
      <w:rFonts w:ascii="Calibri" w:eastAsia="Times New Roman" w:hAnsi="Calibri" w:cs="Calibri"/>
      <w:lang w:eastAsia="en-AU"/>
    </w:rPr>
  </w:style>
  <w:style w:type="paragraph" w:styleId="NoSpacing">
    <w:name w:val="No Spacing"/>
    <w:uiPriority w:val="1"/>
    <w:qFormat/>
    <w:rsid w:val="00DB1759"/>
    <w:pPr>
      <w:spacing w:after="0" w:line="240" w:lineRule="auto"/>
    </w:pPr>
    <w:rPr>
      <w:rFonts w:ascii="Calibri" w:eastAsia="Times New Roman" w:hAnsi="Calibri" w:cs="Times New Roman"/>
    </w:rPr>
  </w:style>
  <w:style w:type="character" w:customStyle="1" w:styleId="Calibri12">
    <w:name w:val="Calibri 12"/>
    <w:uiPriority w:val="1"/>
    <w:qFormat/>
    <w:rsid w:val="00DB1759"/>
    <w:rPr>
      <w:rFonts w:ascii="Calibri" w:hAnsi="Calibri"/>
      <w:sz w:val="24"/>
    </w:rPr>
  </w:style>
  <w:style w:type="paragraph" w:styleId="Header">
    <w:name w:val="header"/>
    <w:basedOn w:val="Normal"/>
    <w:link w:val="HeaderChar"/>
    <w:uiPriority w:val="99"/>
    <w:rsid w:val="00DB1759"/>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DB175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11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E1"/>
    <w:rPr>
      <w:rFonts w:ascii="Calibri" w:eastAsia="Times New Roman" w:hAnsi="Calibri" w:cs="Times New Roman"/>
    </w:rPr>
  </w:style>
  <w:style w:type="paragraph" w:styleId="PlainText">
    <w:name w:val="Plain Text"/>
    <w:basedOn w:val="Normal"/>
    <w:link w:val="PlainTextChar"/>
    <w:uiPriority w:val="99"/>
    <w:semiHidden/>
    <w:unhideWhenUsed/>
    <w:rsid w:val="005154C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54C4"/>
    <w:rPr>
      <w:rFonts w:ascii="Calibri" w:hAnsi="Calibri"/>
      <w:szCs w:val="21"/>
    </w:rPr>
  </w:style>
  <w:style w:type="paragraph" w:styleId="FootnoteText">
    <w:name w:val="footnote text"/>
    <w:basedOn w:val="Normal"/>
    <w:link w:val="FootnoteTextChar"/>
    <w:uiPriority w:val="99"/>
    <w:rsid w:val="007D3A80"/>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7D3A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7D3A80"/>
    <w:rPr>
      <w:rFonts w:cs="Times New Roman"/>
      <w:vertAlign w:val="superscript"/>
    </w:rPr>
  </w:style>
  <w:style w:type="character" w:styleId="Hyperlink">
    <w:name w:val="Hyperlink"/>
    <w:basedOn w:val="DefaultParagraphFont"/>
    <w:uiPriority w:val="99"/>
    <w:semiHidden/>
    <w:rsid w:val="007D3A80"/>
    <w:rPr>
      <w:rFonts w:cs="Times New Roman"/>
      <w:color w:val="0000FF"/>
      <w:u w:val="single"/>
    </w:rPr>
  </w:style>
  <w:style w:type="character" w:styleId="CommentReference">
    <w:name w:val="annotation reference"/>
    <w:basedOn w:val="DefaultParagraphFont"/>
    <w:uiPriority w:val="99"/>
    <w:semiHidden/>
    <w:unhideWhenUsed/>
    <w:rsid w:val="00F053BF"/>
    <w:rPr>
      <w:sz w:val="16"/>
      <w:szCs w:val="16"/>
    </w:rPr>
  </w:style>
  <w:style w:type="paragraph" w:styleId="CommentText">
    <w:name w:val="annotation text"/>
    <w:basedOn w:val="Normal"/>
    <w:link w:val="CommentTextChar"/>
    <w:uiPriority w:val="99"/>
    <w:semiHidden/>
    <w:unhideWhenUsed/>
    <w:rsid w:val="00F053BF"/>
    <w:pPr>
      <w:spacing w:line="240" w:lineRule="auto"/>
    </w:pPr>
    <w:rPr>
      <w:sz w:val="20"/>
      <w:szCs w:val="20"/>
    </w:rPr>
  </w:style>
  <w:style w:type="character" w:customStyle="1" w:styleId="CommentTextChar">
    <w:name w:val="Comment Text Char"/>
    <w:basedOn w:val="DefaultParagraphFont"/>
    <w:link w:val="CommentText"/>
    <w:uiPriority w:val="99"/>
    <w:semiHidden/>
    <w:rsid w:val="00F053B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53BF"/>
    <w:rPr>
      <w:b/>
      <w:bCs/>
    </w:rPr>
  </w:style>
  <w:style w:type="character" w:customStyle="1" w:styleId="CommentSubjectChar">
    <w:name w:val="Comment Subject Char"/>
    <w:basedOn w:val="CommentTextChar"/>
    <w:link w:val="CommentSubject"/>
    <w:uiPriority w:val="99"/>
    <w:semiHidden/>
    <w:rsid w:val="00F053BF"/>
    <w:rPr>
      <w:rFonts w:ascii="Calibri" w:eastAsia="Times New Roman" w:hAnsi="Calibri" w:cs="Times New Roman"/>
      <w:b/>
      <w:bCs/>
      <w:sz w:val="20"/>
      <w:szCs w:val="20"/>
    </w:rPr>
  </w:style>
  <w:style w:type="paragraph" w:customStyle="1" w:styleId="Default">
    <w:name w:val="Default"/>
    <w:rsid w:val="00F053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836152"/>
    <w:rPr>
      <w:rFonts w:asciiTheme="majorHAnsi" w:eastAsiaTheme="majorEastAsia" w:hAnsiTheme="majorHAnsi" w:cstheme="majorBidi"/>
      <w:color w:val="2E74B5" w:themeColor="accent1" w:themeShade="BF"/>
      <w:sz w:val="26"/>
      <w:szCs w:val="26"/>
    </w:rPr>
  </w:style>
  <w:style w:type="paragraph" w:customStyle="1" w:styleId="Amain">
    <w:name w:val="A main"/>
    <w:basedOn w:val="Normal"/>
    <w:link w:val="AmainChar"/>
    <w:rsid w:val="00366CFB"/>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para">
    <w:name w:val="A para"/>
    <w:basedOn w:val="Normal"/>
    <w:link w:val="AparaChar"/>
    <w:rsid w:val="00366CFB"/>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character" w:customStyle="1" w:styleId="AparaChar">
    <w:name w:val="A para Char"/>
    <w:basedOn w:val="DefaultParagraphFont"/>
    <w:link w:val="Apara"/>
    <w:locked/>
    <w:rsid w:val="00366CFB"/>
    <w:rPr>
      <w:rFonts w:ascii="Times New Roman" w:eastAsia="Times New Roman" w:hAnsi="Times New Roman" w:cs="Times New Roman"/>
      <w:sz w:val="24"/>
      <w:szCs w:val="20"/>
    </w:rPr>
  </w:style>
  <w:style w:type="character" w:customStyle="1" w:styleId="AmainChar">
    <w:name w:val="A main Char"/>
    <w:basedOn w:val="DefaultParagraphFont"/>
    <w:link w:val="Amain"/>
    <w:locked/>
    <w:rsid w:val="00366CFB"/>
    <w:rPr>
      <w:rFonts w:ascii="Times New Roman" w:eastAsia="Times New Roman" w:hAnsi="Times New Roman" w:cs="Times New Roman"/>
      <w:sz w:val="24"/>
      <w:szCs w:val="20"/>
    </w:rPr>
  </w:style>
  <w:style w:type="character" w:customStyle="1" w:styleId="charBoldItals">
    <w:name w:val="charBoldItals"/>
    <w:basedOn w:val="DefaultParagraphFont"/>
    <w:rsid w:val="00366CFB"/>
    <w:rPr>
      <w:b/>
      <w:i/>
    </w:rPr>
  </w:style>
  <w:style w:type="paragraph" w:customStyle="1" w:styleId="aDef">
    <w:name w:val="aDef"/>
    <w:basedOn w:val="Normal"/>
    <w:link w:val="aDefChar"/>
    <w:rsid w:val="00366CFB"/>
    <w:pPr>
      <w:spacing w:before="140" w:after="0" w:line="240" w:lineRule="auto"/>
      <w:ind w:left="1100"/>
      <w:jc w:val="both"/>
    </w:pPr>
    <w:rPr>
      <w:rFonts w:ascii="Times New Roman" w:hAnsi="Times New Roman"/>
      <w:sz w:val="24"/>
      <w:szCs w:val="20"/>
    </w:rPr>
  </w:style>
  <w:style w:type="character" w:customStyle="1" w:styleId="aDefChar">
    <w:name w:val="aDef Char"/>
    <w:basedOn w:val="DefaultParagraphFont"/>
    <w:link w:val="aDef"/>
    <w:locked/>
    <w:rsid w:val="00366CFB"/>
    <w:rPr>
      <w:rFonts w:ascii="Times New Roman" w:eastAsia="Times New Roman" w:hAnsi="Times New Roman" w:cs="Times New Roman"/>
      <w:sz w:val="24"/>
      <w:szCs w:val="20"/>
    </w:rPr>
  </w:style>
  <w:style w:type="paragraph" w:customStyle="1" w:styleId="aDefpara">
    <w:name w:val="aDef para"/>
    <w:basedOn w:val="Apara"/>
    <w:rsid w:val="00366CFB"/>
  </w:style>
  <w:style w:type="character" w:customStyle="1" w:styleId="charCitHyperlinkAbbrev">
    <w:name w:val="charCitHyperlinkAbbrev"/>
    <w:basedOn w:val="Hyperlink"/>
    <w:uiPriority w:val="1"/>
    <w:rsid w:val="00366CFB"/>
    <w:rPr>
      <w:rFonts w:cs="Times New Roman"/>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171">
      <w:bodyDiv w:val="1"/>
      <w:marLeft w:val="0"/>
      <w:marRight w:val="0"/>
      <w:marTop w:val="0"/>
      <w:marBottom w:val="0"/>
      <w:divBdr>
        <w:top w:val="none" w:sz="0" w:space="0" w:color="auto"/>
        <w:left w:val="none" w:sz="0" w:space="0" w:color="auto"/>
        <w:bottom w:val="none" w:sz="0" w:space="0" w:color="auto"/>
        <w:right w:val="none" w:sz="0" w:space="0" w:color="auto"/>
      </w:divBdr>
    </w:div>
    <w:div w:id="919480882">
      <w:bodyDiv w:val="1"/>
      <w:marLeft w:val="0"/>
      <w:marRight w:val="0"/>
      <w:marTop w:val="0"/>
      <w:marBottom w:val="0"/>
      <w:divBdr>
        <w:top w:val="none" w:sz="0" w:space="0" w:color="auto"/>
        <w:left w:val="none" w:sz="0" w:space="0" w:color="auto"/>
        <w:bottom w:val="none" w:sz="0" w:space="0" w:color="auto"/>
        <w:right w:val="none" w:sz="0" w:space="0" w:color="auto"/>
      </w:divBdr>
    </w:div>
    <w:div w:id="1152714574">
      <w:bodyDiv w:val="1"/>
      <w:marLeft w:val="0"/>
      <w:marRight w:val="0"/>
      <w:marTop w:val="0"/>
      <w:marBottom w:val="0"/>
      <w:divBdr>
        <w:top w:val="none" w:sz="0" w:space="0" w:color="auto"/>
        <w:left w:val="none" w:sz="0" w:space="0" w:color="auto"/>
        <w:bottom w:val="none" w:sz="0" w:space="0" w:color="auto"/>
        <w:right w:val="none" w:sz="0" w:space="0" w:color="auto"/>
      </w:divBdr>
    </w:div>
    <w:div w:id="20110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law.gov.au/Series/C2004A008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7042</Characters>
  <Application>Microsoft Office Word</Application>
  <DocSecurity>0</DocSecurity>
  <Lines>193</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2019-08-13T04:05:00Z</cp:lastPrinted>
  <dcterms:created xsi:type="dcterms:W3CDTF">2019-08-26T23:50:00Z</dcterms:created>
  <dcterms:modified xsi:type="dcterms:W3CDTF">2019-08-26T23:50:00Z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993753</vt:lpwstr>
  </property>
  <property fmtid="{D5CDD505-2E9C-101B-9397-08002B2CF9AE}" pid="4" name="JMSREQUIREDCHECKIN">
    <vt:lpwstr/>
  </property>
</Properties>
</file>