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C91" w:rsidRPr="0016024A" w:rsidRDefault="00B41C91">
      <w:pPr>
        <w:jc w:val="both"/>
        <w:rPr>
          <w:rFonts w:ascii="Arial" w:hAnsi="Arial" w:cs="Arial"/>
          <w:b/>
          <w:sz w:val="24"/>
        </w:rPr>
      </w:pPr>
      <w:bookmarkStart w:id="0" w:name="_GoBack"/>
      <w:bookmarkEnd w:id="0"/>
    </w:p>
    <w:p w:rsidR="00B41C91" w:rsidRPr="0016024A" w:rsidRDefault="00B41C91">
      <w:pPr>
        <w:jc w:val="both"/>
        <w:rPr>
          <w:rFonts w:ascii="Arial" w:hAnsi="Arial" w:cs="Arial"/>
          <w:b/>
          <w:sz w:val="24"/>
        </w:rPr>
      </w:pPr>
    </w:p>
    <w:p w:rsidR="00B41C91" w:rsidRPr="0016024A" w:rsidRDefault="00B41C91">
      <w:pPr>
        <w:jc w:val="both"/>
        <w:rPr>
          <w:rFonts w:ascii="Arial" w:hAnsi="Arial" w:cs="Arial"/>
          <w:b/>
          <w:sz w:val="24"/>
        </w:rPr>
      </w:pPr>
    </w:p>
    <w:p w:rsidR="00B41C91" w:rsidRPr="0016024A" w:rsidRDefault="00B41C91">
      <w:pPr>
        <w:jc w:val="both"/>
        <w:rPr>
          <w:rFonts w:ascii="Arial" w:hAnsi="Arial" w:cs="Arial"/>
          <w:b/>
          <w:sz w:val="24"/>
        </w:rPr>
      </w:pPr>
    </w:p>
    <w:p w:rsidR="00B41C91" w:rsidRPr="0016024A" w:rsidRDefault="00947EAE">
      <w:pPr>
        <w:jc w:val="center"/>
        <w:rPr>
          <w:rFonts w:ascii="Arial" w:hAnsi="Arial" w:cs="Arial"/>
          <w:b/>
          <w:sz w:val="24"/>
        </w:rPr>
      </w:pPr>
      <w:r w:rsidRPr="0016024A">
        <w:rPr>
          <w:rFonts w:ascii="Arial" w:hAnsi="Arial" w:cs="Arial"/>
          <w:b/>
          <w:sz w:val="24"/>
        </w:rPr>
        <w:t>201</w:t>
      </w:r>
      <w:r w:rsidR="00D82332">
        <w:rPr>
          <w:rFonts w:ascii="Arial" w:hAnsi="Arial" w:cs="Arial"/>
          <w:b/>
          <w:sz w:val="24"/>
        </w:rPr>
        <w:t>9</w:t>
      </w:r>
    </w:p>
    <w:p w:rsidR="00B41C91" w:rsidRPr="0016024A" w:rsidRDefault="00B41C91">
      <w:pPr>
        <w:spacing w:before="360" w:line="360" w:lineRule="auto"/>
        <w:jc w:val="center"/>
        <w:rPr>
          <w:rFonts w:ascii="Arial" w:hAnsi="Arial" w:cs="Arial"/>
          <w:b/>
          <w:sz w:val="24"/>
        </w:rPr>
      </w:pPr>
      <w:r w:rsidRPr="0016024A">
        <w:rPr>
          <w:rFonts w:ascii="Arial" w:hAnsi="Arial" w:cs="Arial"/>
          <w:b/>
          <w:sz w:val="24"/>
        </w:rPr>
        <w:t>THE LEGISLATIVE ASSEMBLY FOR</w:t>
      </w:r>
    </w:p>
    <w:p w:rsidR="00B41C91" w:rsidRPr="0016024A" w:rsidRDefault="00B41C91">
      <w:pPr>
        <w:spacing w:line="360" w:lineRule="auto"/>
        <w:jc w:val="center"/>
        <w:rPr>
          <w:rFonts w:ascii="Arial" w:hAnsi="Arial" w:cs="Arial"/>
          <w:b/>
          <w:sz w:val="24"/>
        </w:rPr>
      </w:pPr>
      <w:r w:rsidRPr="0016024A">
        <w:rPr>
          <w:rFonts w:ascii="Arial" w:hAnsi="Arial" w:cs="Arial"/>
          <w:b/>
          <w:sz w:val="24"/>
        </w:rPr>
        <w:t>THE AUSTRALIAN CAPITAL TERRITORY</w:t>
      </w: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480" w:lineRule="auto"/>
        <w:jc w:val="center"/>
        <w:rPr>
          <w:rFonts w:ascii="Arial" w:hAnsi="Arial" w:cs="Arial"/>
          <w:b/>
          <w:sz w:val="24"/>
        </w:rPr>
      </w:pPr>
      <w:r w:rsidRPr="0016024A">
        <w:rPr>
          <w:rFonts w:ascii="Arial" w:hAnsi="Arial" w:cs="Arial"/>
          <w:b/>
          <w:sz w:val="24"/>
        </w:rPr>
        <w:t xml:space="preserve">STATUTE LAW AMENDMENT BILL </w:t>
      </w:r>
      <w:r w:rsidR="00DB71A0" w:rsidRPr="0016024A">
        <w:rPr>
          <w:rFonts w:ascii="Arial" w:hAnsi="Arial" w:cs="Arial"/>
          <w:b/>
          <w:sz w:val="24"/>
        </w:rPr>
        <w:t>20</w:t>
      </w:r>
      <w:r w:rsidR="00B818FF" w:rsidRPr="0016024A">
        <w:rPr>
          <w:rFonts w:ascii="Arial" w:hAnsi="Arial" w:cs="Arial"/>
          <w:b/>
          <w:sz w:val="24"/>
        </w:rPr>
        <w:t>1</w:t>
      </w:r>
      <w:r w:rsidR="00E665E9">
        <w:rPr>
          <w:rFonts w:ascii="Arial" w:hAnsi="Arial" w:cs="Arial"/>
          <w:b/>
          <w:sz w:val="24"/>
        </w:rPr>
        <w:t>9</w:t>
      </w:r>
    </w:p>
    <w:p w:rsidR="00B41C91" w:rsidRPr="0016024A" w:rsidRDefault="00B41C91">
      <w:pPr>
        <w:spacing w:line="480" w:lineRule="auto"/>
        <w:jc w:val="center"/>
        <w:rPr>
          <w:rFonts w:ascii="Arial" w:hAnsi="Arial" w:cs="Arial"/>
          <w:b/>
          <w:sz w:val="24"/>
        </w:rPr>
      </w:pPr>
      <w:r w:rsidRPr="0016024A">
        <w:rPr>
          <w:rFonts w:ascii="Arial" w:hAnsi="Arial" w:cs="Arial"/>
          <w:b/>
          <w:sz w:val="24"/>
        </w:rPr>
        <w:t>EXPLANATORY STATEMENT</w:t>
      </w: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spacing w:line="360" w:lineRule="auto"/>
        <w:jc w:val="both"/>
        <w:rPr>
          <w:rFonts w:ascii="Arial" w:hAnsi="Arial" w:cs="Arial"/>
          <w:b/>
          <w:sz w:val="24"/>
        </w:rPr>
      </w:pPr>
    </w:p>
    <w:p w:rsidR="00B41C91" w:rsidRPr="0016024A" w:rsidRDefault="00B41C91">
      <w:pPr>
        <w:tabs>
          <w:tab w:val="left" w:pos="5812"/>
        </w:tabs>
        <w:spacing w:line="360" w:lineRule="auto"/>
        <w:rPr>
          <w:rFonts w:ascii="Arial" w:hAnsi="Arial" w:cs="Arial"/>
          <w:b/>
          <w:sz w:val="24"/>
        </w:rPr>
      </w:pPr>
    </w:p>
    <w:p w:rsidR="00B41C91" w:rsidRPr="0016024A" w:rsidRDefault="00703380">
      <w:pPr>
        <w:tabs>
          <w:tab w:val="left" w:pos="5954"/>
        </w:tabs>
        <w:spacing w:line="360" w:lineRule="auto"/>
        <w:jc w:val="right"/>
        <w:rPr>
          <w:rFonts w:ascii="Arial" w:hAnsi="Arial" w:cs="Arial"/>
          <w:b/>
          <w:sz w:val="24"/>
        </w:rPr>
      </w:pPr>
      <w:r w:rsidRPr="0016024A">
        <w:rPr>
          <w:rFonts w:ascii="Arial" w:hAnsi="Arial" w:cs="Arial"/>
          <w:b/>
          <w:sz w:val="24"/>
        </w:rPr>
        <w:t xml:space="preserve">Presented by </w:t>
      </w:r>
    </w:p>
    <w:p w:rsidR="00B41C91" w:rsidRPr="0016024A" w:rsidRDefault="00B41C91">
      <w:pPr>
        <w:pStyle w:val="Heading3"/>
        <w:tabs>
          <w:tab w:val="left" w:pos="6521"/>
        </w:tabs>
        <w:spacing w:before="0" w:line="360" w:lineRule="auto"/>
        <w:jc w:val="right"/>
        <w:rPr>
          <w:rFonts w:ascii="Arial" w:hAnsi="Arial" w:cs="Arial"/>
        </w:rPr>
      </w:pPr>
      <w:r w:rsidRPr="0016024A">
        <w:rPr>
          <w:rFonts w:ascii="Arial" w:hAnsi="Arial" w:cs="Arial"/>
        </w:rPr>
        <w:tab/>
      </w:r>
      <w:r w:rsidR="003F4965" w:rsidRPr="0016024A">
        <w:rPr>
          <w:rFonts w:ascii="Arial" w:hAnsi="Arial" w:cs="Arial"/>
        </w:rPr>
        <w:t>Gordon Ramsay</w:t>
      </w:r>
      <w:r w:rsidRPr="0016024A">
        <w:rPr>
          <w:rFonts w:ascii="Arial" w:hAnsi="Arial" w:cs="Arial"/>
        </w:rPr>
        <w:t xml:space="preserve"> MLA</w:t>
      </w:r>
    </w:p>
    <w:p w:rsidR="00B41C91" w:rsidRPr="0016024A" w:rsidRDefault="00703380">
      <w:pPr>
        <w:pStyle w:val="Heading3"/>
        <w:tabs>
          <w:tab w:val="left" w:pos="6480"/>
        </w:tabs>
        <w:spacing w:before="0" w:line="360" w:lineRule="auto"/>
        <w:jc w:val="right"/>
        <w:rPr>
          <w:rFonts w:ascii="Arial" w:hAnsi="Arial" w:cs="Arial"/>
        </w:rPr>
      </w:pPr>
      <w:r w:rsidRPr="0016024A">
        <w:rPr>
          <w:rFonts w:ascii="Arial" w:hAnsi="Arial" w:cs="Arial"/>
        </w:rPr>
        <w:tab/>
        <w:t>Attorney-</w:t>
      </w:r>
      <w:r w:rsidR="00B41C91" w:rsidRPr="0016024A">
        <w:rPr>
          <w:rFonts w:ascii="Arial" w:hAnsi="Arial" w:cs="Arial"/>
        </w:rPr>
        <w:t>General</w:t>
      </w:r>
    </w:p>
    <w:p w:rsidR="00B41C91" w:rsidRDefault="00B41C91">
      <w:pPr>
        <w:tabs>
          <w:tab w:val="left" w:pos="5954"/>
        </w:tabs>
        <w:spacing w:line="360" w:lineRule="auto"/>
        <w:rPr>
          <w:rFonts w:ascii="Arial" w:hAnsi="Arial" w:cs="Arial"/>
          <w:b/>
          <w:sz w:val="24"/>
        </w:rPr>
      </w:pPr>
    </w:p>
    <w:p w:rsidR="00F61943" w:rsidRPr="0016024A" w:rsidRDefault="00F61943">
      <w:pPr>
        <w:tabs>
          <w:tab w:val="left" w:pos="5954"/>
        </w:tabs>
        <w:spacing w:line="360" w:lineRule="auto"/>
        <w:rPr>
          <w:rFonts w:ascii="Arial" w:hAnsi="Arial" w:cs="Arial"/>
          <w:b/>
          <w:sz w:val="24"/>
        </w:rPr>
      </w:pPr>
    </w:p>
    <w:p w:rsidR="00B41C91" w:rsidRPr="0016024A" w:rsidRDefault="00F61943">
      <w:pPr>
        <w:pStyle w:val="Heading4"/>
      </w:pPr>
      <w:r>
        <w:br w:type="page"/>
      </w:r>
      <w:r w:rsidR="00B41C91" w:rsidRPr="0016024A">
        <w:lastRenderedPageBreak/>
        <w:t>Background</w:t>
      </w: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The object of th</w:t>
      </w:r>
      <w:r w:rsidR="00D23DEC">
        <w:rPr>
          <w:rFonts w:ascii="Arial" w:hAnsi="Arial" w:cs="Arial"/>
          <w:color w:val="000000"/>
          <w:sz w:val="24"/>
        </w:rPr>
        <w:t>e</w:t>
      </w:r>
      <w:r w:rsidRPr="0016024A">
        <w:rPr>
          <w:rFonts w:ascii="Arial" w:hAnsi="Arial" w:cs="Arial"/>
          <w:color w:val="000000"/>
          <w:sz w:val="24"/>
        </w:rPr>
        <w:t xml:space="preserve"> bill is to </w:t>
      </w:r>
      <w:r w:rsidR="00CF4957" w:rsidRPr="0016024A">
        <w:rPr>
          <w:rFonts w:ascii="Arial" w:hAnsi="Arial" w:cs="Arial"/>
          <w:color w:val="000000"/>
          <w:sz w:val="24"/>
        </w:rPr>
        <w:t>continue to enhance</w:t>
      </w:r>
      <w:r w:rsidRPr="0016024A">
        <w:rPr>
          <w:rFonts w:ascii="Arial" w:hAnsi="Arial" w:cs="Arial"/>
          <w:color w:val="000000"/>
          <w:sz w:val="24"/>
        </w:rPr>
        <w:t xml:space="preserve"> the ACT’s statute book to ensure that </w:t>
      </w:r>
      <w:r w:rsidR="00281D61">
        <w:rPr>
          <w:rFonts w:ascii="Arial" w:hAnsi="Arial" w:cs="Arial"/>
          <w:color w:val="000000"/>
          <w:sz w:val="24"/>
        </w:rPr>
        <w:t xml:space="preserve">it is of the highest standard. </w:t>
      </w:r>
      <w:r w:rsidRPr="0016024A">
        <w:rPr>
          <w:rFonts w:ascii="Arial" w:hAnsi="Arial" w:cs="Arial"/>
          <w:color w:val="000000"/>
          <w:sz w:val="24"/>
        </w:rPr>
        <w:t xml:space="preserve">The bill does </w:t>
      </w:r>
      <w:r w:rsidR="00CF4957" w:rsidRPr="0016024A">
        <w:rPr>
          <w:rFonts w:ascii="Arial" w:hAnsi="Arial" w:cs="Arial"/>
          <w:color w:val="000000"/>
          <w:sz w:val="24"/>
        </w:rPr>
        <w:t>this</w:t>
      </w:r>
      <w:r w:rsidRPr="0016024A">
        <w:rPr>
          <w:rFonts w:ascii="Arial" w:hAnsi="Arial" w:cs="Arial"/>
          <w:color w:val="000000"/>
          <w:sz w:val="24"/>
        </w:rPr>
        <w:t xml:space="preserve"> by amending Acts and regulations for statute law revision purposes only.</w:t>
      </w:r>
    </w:p>
    <w:p w:rsidR="00B41C91" w:rsidRPr="0016024A" w:rsidRDefault="00B41C91">
      <w:pPr>
        <w:rPr>
          <w:rFonts w:ascii="Arial" w:hAnsi="Arial" w:cs="Arial"/>
          <w:sz w:val="24"/>
        </w:rPr>
      </w:pP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w:t>
      </w:r>
      <w:r w:rsidR="00D23DEC">
        <w:rPr>
          <w:rFonts w:ascii="Arial" w:hAnsi="Arial" w:cs="Arial"/>
          <w:color w:val="000000"/>
          <w:sz w:val="24"/>
        </w:rPr>
        <w:t>e</w:t>
      </w:r>
      <w:r w:rsidRPr="0016024A">
        <w:rPr>
          <w:rFonts w:ascii="Arial" w:hAnsi="Arial" w:cs="Arial"/>
          <w:color w:val="000000"/>
          <w:sz w:val="24"/>
        </w:rPr>
        <w:t xml:space="preserve"> bill forms part of the technical amendments program for ACT legislat</w:t>
      </w:r>
      <w:r w:rsidR="00281D61">
        <w:rPr>
          <w:rFonts w:ascii="Arial" w:hAnsi="Arial" w:cs="Arial"/>
          <w:color w:val="000000"/>
          <w:sz w:val="24"/>
        </w:rPr>
        <w:t xml:space="preserve">ion. </w:t>
      </w:r>
      <w:r w:rsidRPr="0016024A">
        <w:rPr>
          <w:rFonts w:ascii="Arial" w:hAnsi="Arial" w:cs="Arial"/>
          <w:color w:val="000000"/>
          <w:sz w:val="24"/>
        </w:rPr>
        <w:t>Under guidelines for the technical amendments program approved by the government, the essential criteria for the inclusion of amendments in the bill are that the amendments are minor or technical and non-controversial.</w:t>
      </w:r>
    </w:p>
    <w:p w:rsidR="00B41C91" w:rsidRPr="0016024A" w:rsidRDefault="00B41C91">
      <w:pPr>
        <w:rPr>
          <w:rFonts w:ascii="Arial" w:hAnsi="Arial" w:cs="Arial"/>
          <w:sz w:val="24"/>
        </w:rPr>
      </w:pP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The development of a technical amendments program for ACT legislation was in response to the need for greater flexibility in the drafting of amendments for statute law revision purposes and to minimise costs associated with keeping ACT legislation up to date.</w:t>
      </w:r>
      <w:r w:rsidR="00F61943">
        <w:rPr>
          <w:rFonts w:ascii="Arial" w:hAnsi="Arial" w:cs="Arial"/>
          <w:color w:val="000000"/>
          <w:sz w:val="24"/>
        </w:rPr>
        <w:t xml:space="preserve"> </w:t>
      </w:r>
      <w:r w:rsidRPr="0016024A">
        <w:rPr>
          <w:rFonts w:ascii="Arial" w:hAnsi="Arial" w:cs="Arial"/>
          <w:color w:val="000000"/>
          <w:sz w:val="24"/>
        </w:rPr>
        <w:t>Statute law amendment bills are an important part of maintaining and enha</w:t>
      </w:r>
      <w:r w:rsidR="00281D61">
        <w:rPr>
          <w:rFonts w:ascii="Arial" w:hAnsi="Arial" w:cs="Arial"/>
          <w:color w:val="000000"/>
          <w:sz w:val="24"/>
        </w:rPr>
        <w:t xml:space="preserve">ncing the standard of ACT law. </w:t>
      </w:r>
      <w:r w:rsidRPr="0016024A">
        <w:rPr>
          <w:rFonts w:ascii="Arial" w:hAnsi="Arial" w:cs="Arial"/>
          <w:color w:val="000000"/>
          <w:sz w:val="24"/>
        </w:rPr>
        <w:t xml:space="preserve">They </w:t>
      </w:r>
      <w:r w:rsidR="00CF4957" w:rsidRPr="0016024A">
        <w:rPr>
          <w:rFonts w:ascii="Arial" w:hAnsi="Arial" w:cs="Arial"/>
          <w:color w:val="000000"/>
          <w:sz w:val="24"/>
        </w:rPr>
        <w:t>enable legislative</w:t>
      </w:r>
      <w:r w:rsidRPr="0016024A">
        <w:rPr>
          <w:rFonts w:ascii="Arial" w:hAnsi="Arial" w:cs="Arial"/>
          <w:color w:val="000000"/>
          <w:sz w:val="24"/>
        </w:rPr>
        <w:t xml:space="preserve"> amendments and repeals </w:t>
      </w:r>
      <w:r w:rsidR="00CF4957" w:rsidRPr="0016024A">
        <w:rPr>
          <w:rFonts w:ascii="Arial" w:hAnsi="Arial" w:cs="Arial"/>
          <w:color w:val="000000"/>
          <w:sz w:val="24"/>
        </w:rPr>
        <w:t xml:space="preserve">to be made </w:t>
      </w:r>
      <w:r w:rsidRPr="0016024A">
        <w:rPr>
          <w:rFonts w:ascii="Arial" w:hAnsi="Arial" w:cs="Arial"/>
          <w:color w:val="000000"/>
          <w:sz w:val="24"/>
        </w:rPr>
        <w:t>that, taken alone, would generally be insufficiently important to justify separate legislation</w:t>
      </w:r>
      <w:r w:rsidR="00CF4957" w:rsidRPr="0016024A">
        <w:rPr>
          <w:rFonts w:ascii="Arial" w:hAnsi="Arial" w:cs="Arial"/>
          <w:color w:val="000000"/>
          <w:sz w:val="24"/>
        </w:rPr>
        <w:t xml:space="preserve">. The amendments </w:t>
      </w:r>
      <w:r w:rsidRPr="0016024A">
        <w:rPr>
          <w:rFonts w:ascii="Arial" w:hAnsi="Arial" w:cs="Arial"/>
          <w:color w:val="000000"/>
          <w:sz w:val="24"/>
        </w:rPr>
        <w:t xml:space="preserve">are </w:t>
      </w:r>
      <w:r w:rsidR="00CF4957" w:rsidRPr="0016024A">
        <w:rPr>
          <w:rFonts w:ascii="Arial" w:hAnsi="Arial" w:cs="Arial"/>
          <w:color w:val="000000"/>
          <w:sz w:val="24"/>
        </w:rPr>
        <w:t xml:space="preserve">also </w:t>
      </w:r>
      <w:r w:rsidRPr="0016024A">
        <w:rPr>
          <w:rFonts w:ascii="Arial" w:hAnsi="Arial" w:cs="Arial"/>
          <w:color w:val="000000"/>
          <w:sz w:val="24"/>
        </w:rPr>
        <w:t xml:space="preserve">inappropriate to make as editorial amendments under the </w:t>
      </w:r>
      <w:r w:rsidRPr="0016024A">
        <w:rPr>
          <w:rFonts w:ascii="Arial" w:hAnsi="Arial" w:cs="Arial"/>
          <w:i/>
          <w:color w:val="000000"/>
          <w:sz w:val="24"/>
        </w:rPr>
        <w:t>Legislation Act 2001</w:t>
      </w:r>
      <w:r w:rsidRPr="0016024A">
        <w:rPr>
          <w:rFonts w:ascii="Arial" w:hAnsi="Arial" w:cs="Arial"/>
          <w:color w:val="000000"/>
          <w:sz w:val="24"/>
        </w:rPr>
        <w:t>, chapter 11 (which provides for the republication of Ac</w:t>
      </w:r>
      <w:r w:rsidR="00281D61">
        <w:rPr>
          <w:rFonts w:ascii="Arial" w:hAnsi="Arial" w:cs="Arial"/>
          <w:color w:val="000000"/>
          <w:sz w:val="24"/>
        </w:rPr>
        <w:t xml:space="preserve">ts and statutory instruments). </w:t>
      </w:r>
      <w:r w:rsidRPr="0016024A">
        <w:rPr>
          <w:rFonts w:ascii="Arial" w:hAnsi="Arial" w:cs="Arial"/>
          <w:color w:val="000000"/>
          <w:sz w:val="24"/>
        </w:rPr>
        <w:t xml:space="preserve">However, the cumulative effect of the amendments and repeals made through a technical amendments program and statute law amendment bills can have a </w:t>
      </w:r>
      <w:r w:rsidR="00A47AC5" w:rsidRPr="0016024A">
        <w:rPr>
          <w:rFonts w:ascii="Arial" w:hAnsi="Arial" w:cs="Arial"/>
          <w:color w:val="000000"/>
          <w:sz w:val="24"/>
        </w:rPr>
        <w:t>significant</w:t>
      </w:r>
      <w:r w:rsidRPr="0016024A">
        <w:rPr>
          <w:rFonts w:ascii="Arial" w:hAnsi="Arial" w:cs="Arial"/>
          <w:color w:val="000000"/>
          <w:sz w:val="24"/>
        </w:rPr>
        <w:t xml:space="preserve"> impact on the ACT statute book and the overall quality of ACT law.</w:t>
      </w:r>
    </w:p>
    <w:p w:rsidR="00B41C91" w:rsidRPr="0016024A" w:rsidRDefault="00B41C91">
      <w:pPr>
        <w:jc w:val="both"/>
        <w:rPr>
          <w:rFonts w:ascii="Arial" w:hAnsi="Arial" w:cs="Arial"/>
          <w:color w:val="000000"/>
          <w:sz w:val="24"/>
        </w:rPr>
      </w:pP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The ACT statute book is all ACT legislation taken as a body of law.</w:t>
      </w:r>
      <w:r w:rsidR="00F61943">
        <w:rPr>
          <w:rFonts w:ascii="Arial" w:hAnsi="Arial" w:cs="Arial"/>
          <w:color w:val="000000"/>
          <w:sz w:val="24"/>
        </w:rPr>
        <w:t xml:space="preserve"> </w:t>
      </w:r>
      <w:r w:rsidRPr="0016024A">
        <w:rPr>
          <w:rFonts w:ascii="Arial" w:hAnsi="Arial" w:cs="Arial"/>
          <w:color w:val="000000"/>
          <w:sz w:val="24"/>
        </w:rPr>
        <w:t xml:space="preserve">A statute book that is well maintained </w:t>
      </w:r>
      <w:r w:rsidR="00A47AC5" w:rsidRPr="0016024A">
        <w:rPr>
          <w:rFonts w:ascii="Arial" w:hAnsi="Arial" w:cs="Arial"/>
          <w:color w:val="000000"/>
          <w:sz w:val="24"/>
        </w:rPr>
        <w:t>greatly</w:t>
      </w:r>
      <w:r w:rsidRPr="0016024A">
        <w:rPr>
          <w:rFonts w:ascii="Arial" w:hAnsi="Arial" w:cs="Arial"/>
          <w:color w:val="000000"/>
          <w:sz w:val="24"/>
        </w:rPr>
        <w:t xml:space="preserve"> enhances access to legislation by making it easier to find in an up-to-date form and easier to read and und</w:t>
      </w:r>
      <w:r w:rsidR="00A47AC5" w:rsidRPr="0016024A">
        <w:rPr>
          <w:rFonts w:ascii="Arial" w:hAnsi="Arial" w:cs="Arial"/>
          <w:color w:val="000000"/>
          <w:sz w:val="24"/>
        </w:rPr>
        <w:t>erstand.</w:t>
      </w:r>
      <w:r w:rsidR="00F61943">
        <w:rPr>
          <w:rFonts w:ascii="Arial" w:hAnsi="Arial" w:cs="Arial"/>
          <w:color w:val="000000"/>
          <w:sz w:val="24"/>
        </w:rPr>
        <w:t xml:space="preserve"> </w:t>
      </w:r>
      <w:r w:rsidR="00A47AC5" w:rsidRPr="0016024A">
        <w:rPr>
          <w:rFonts w:ascii="Arial" w:hAnsi="Arial" w:cs="Arial"/>
          <w:color w:val="000000"/>
          <w:sz w:val="24"/>
        </w:rPr>
        <w:t>Statute law amendment bills</w:t>
      </w:r>
      <w:r w:rsidRPr="0016024A">
        <w:rPr>
          <w:rFonts w:ascii="Arial" w:hAnsi="Arial" w:cs="Arial"/>
          <w:color w:val="000000"/>
          <w:sz w:val="24"/>
        </w:rPr>
        <w:t xml:space="preserve"> </w:t>
      </w:r>
      <w:r w:rsidR="00A47AC5" w:rsidRPr="0016024A">
        <w:rPr>
          <w:rFonts w:ascii="Arial" w:hAnsi="Arial" w:cs="Arial"/>
          <w:color w:val="000000"/>
          <w:sz w:val="24"/>
        </w:rPr>
        <w:t>are an extremely useful vehicle for</w:t>
      </w:r>
      <w:r w:rsidRPr="0016024A">
        <w:rPr>
          <w:rFonts w:ascii="Arial" w:hAnsi="Arial" w:cs="Arial"/>
          <w:color w:val="000000"/>
          <w:sz w:val="24"/>
        </w:rPr>
        <w:t xml:space="preserve"> assist</w:t>
      </w:r>
      <w:r w:rsidR="00A47AC5" w:rsidRPr="0016024A">
        <w:rPr>
          <w:rFonts w:ascii="Arial" w:hAnsi="Arial" w:cs="Arial"/>
          <w:color w:val="000000"/>
          <w:sz w:val="24"/>
        </w:rPr>
        <w:t>ing</w:t>
      </w:r>
      <w:r w:rsidRPr="0016024A">
        <w:rPr>
          <w:rFonts w:ascii="Arial" w:hAnsi="Arial" w:cs="Arial"/>
          <w:color w:val="000000"/>
          <w:sz w:val="24"/>
        </w:rPr>
        <w:t xml:space="preserve"> the </w:t>
      </w:r>
      <w:r w:rsidR="000A224A" w:rsidRPr="0016024A">
        <w:rPr>
          <w:rFonts w:ascii="Arial" w:hAnsi="Arial" w:cs="Arial"/>
          <w:color w:val="000000"/>
          <w:sz w:val="24"/>
        </w:rPr>
        <w:t>on</w:t>
      </w:r>
      <w:r w:rsidR="00A47AC5" w:rsidRPr="0016024A">
        <w:rPr>
          <w:rFonts w:ascii="Arial" w:hAnsi="Arial" w:cs="Arial"/>
          <w:color w:val="000000"/>
          <w:sz w:val="24"/>
        </w:rPr>
        <w:t xml:space="preserve">going </w:t>
      </w:r>
      <w:r w:rsidRPr="0016024A">
        <w:rPr>
          <w:rFonts w:ascii="Arial" w:hAnsi="Arial" w:cs="Arial"/>
          <w:color w:val="000000"/>
          <w:sz w:val="24"/>
        </w:rPr>
        <w:t>process of modernis</w:t>
      </w:r>
      <w:r w:rsidR="00851084" w:rsidRPr="0016024A">
        <w:rPr>
          <w:rFonts w:ascii="Arial" w:hAnsi="Arial" w:cs="Arial"/>
          <w:color w:val="000000"/>
          <w:sz w:val="24"/>
        </w:rPr>
        <w:t>ing</w:t>
      </w:r>
      <w:r w:rsidR="00281D61">
        <w:rPr>
          <w:rFonts w:ascii="Arial" w:hAnsi="Arial" w:cs="Arial"/>
          <w:color w:val="000000"/>
          <w:sz w:val="24"/>
        </w:rPr>
        <w:t xml:space="preserve"> the statute book.</w:t>
      </w:r>
      <w:r w:rsidRPr="0016024A">
        <w:rPr>
          <w:rFonts w:ascii="Arial" w:hAnsi="Arial" w:cs="Arial"/>
          <w:color w:val="000000"/>
          <w:sz w:val="24"/>
        </w:rPr>
        <w:t xml:space="preserve"> Laws need to be </w:t>
      </w:r>
      <w:r w:rsidR="00772820" w:rsidRPr="0016024A">
        <w:rPr>
          <w:rFonts w:ascii="Arial" w:hAnsi="Arial" w:cs="Arial"/>
          <w:color w:val="000000"/>
          <w:sz w:val="24"/>
        </w:rPr>
        <w:t xml:space="preserve">regularly </w:t>
      </w:r>
      <w:r w:rsidRPr="0016024A">
        <w:rPr>
          <w:rFonts w:ascii="Arial" w:hAnsi="Arial" w:cs="Arial"/>
          <w:color w:val="000000"/>
          <w:sz w:val="24"/>
        </w:rPr>
        <w:t xml:space="preserve">kept up to date to reflect </w:t>
      </w:r>
      <w:r w:rsidR="000A224A" w:rsidRPr="0016024A">
        <w:rPr>
          <w:rFonts w:ascii="Arial" w:hAnsi="Arial" w:cs="Arial"/>
          <w:color w:val="000000"/>
          <w:sz w:val="24"/>
        </w:rPr>
        <w:t>continuous</w:t>
      </w:r>
      <w:r w:rsidRPr="0016024A">
        <w:rPr>
          <w:rFonts w:ascii="Arial" w:hAnsi="Arial" w:cs="Arial"/>
          <w:color w:val="000000"/>
          <w:sz w:val="24"/>
        </w:rPr>
        <w:t xml:space="preserve"> technological and societal change.</w:t>
      </w:r>
    </w:p>
    <w:p w:rsidR="00B41C91" w:rsidRPr="0016024A" w:rsidRDefault="00B41C91">
      <w:pPr>
        <w:rPr>
          <w:rFonts w:ascii="Arial" w:hAnsi="Arial" w:cs="Arial"/>
          <w:sz w:val="24"/>
        </w:rPr>
      </w:pPr>
    </w:p>
    <w:p w:rsidR="00B41C91" w:rsidRPr="0016024A" w:rsidRDefault="00B41C91">
      <w:pPr>
        <w:pStyle w:val="BodyText2"/>
        <w:jc w:val="left"/>
        <w:rPr>
          <w:rFonts w:ascii="Arial" w:hAnsi="Arial" w:cs="Arial"/>
        </w:rPr>
      </w:pPr>
      <w:r w:rsidRPr="0016024A">
        <w:rPr>
          <w:rFonts w:ascii="Arial" w:hAnsi="Arial" w:cs="Arial"/>
        </w:rPr>
        <w:t xml:space="preserve">The bill contains </w:t>
      </w:r>
      <w:r w:rsidR="00E665E9">
        <w:rPr>
          <w:rFonts w:ascii="Arial" w:hAnsi="Arial" w:cs="Arial"/>
        </w:rPr>
        <w:t>3</w:t>
      </w:r>
      <w:r w:rsidRPr="0016024A">
        <w:rPr>
          <w:rFonts w:ascii="Arial" w:hAnsi="Arial" w:cs="Arial"/>
        </w:rPr>
        <w:t xml:space="preserve"> schedules</w:t>
      </w:r>
      <w:r w:rsidR="0034403A" w:rsidRPr="0016024A">
        <w:rPr>
          <w:rFonts w:ascii="Arial" w:hAnsi="Arial" w:cs="Arial"/>
        </w:rPr>
        <w:t xml:space="preserve"> </w:t>
      </w:r>
      <w:r w:rsidRPr="0016024A">
        <w:rPr>
          <w:rFonts w:ascii="Arial" w:hAnsi="Arial" w:cs="Arial"/>
        </w:rPr>
        <w:t>and has been structured to assist the transparency of the amendments made by it.</w:t>
      </w:r>
    </w:p>
    <w:p w:rsidR="00B41C91" w:rsidRPr="0016024A" w:rsidRDefault="00B41C91">
      <w:pPr>
        <w:jc w:val="both"/>
        <w:rPr>
          <w:rFonts w:ascii="Arial" w:hAnsi="Arial" w:cs="Arial"/>
          <w:color w:val="000000"/>
          <w:sz w:val="24"/>
        </w:rPr>
      </w:pPr>
    </w:p>
    <w:p w:rsidR="00B41C91" w:rsidRDefault="00D23DEC">
      <w:pPr>
        <w:spacing w:line="360" w:lineRule="auto"/>
        <w:rPr>
          <w:rFonts w:ascii="Arial" w:hAnsi="Arial" w:cs="Arial"/>
          <w:color w:val="000000"/>
          <w:sz w:val="24"/>
        </w:rPr>
      </w:pPr>
      <w:r>
        <w:rPr>
          <w:rFonts w:ascii="Arial" w:hAnsi="Arial" w:cs="Arial"/>
          <w:color w:val="000000"/>
          <w:sz w:val="24"/>
        </w:rPr>
        <w:lastRenderedPageBreak/>
        <w:t>When enacted, the</w:t>
      </w:r>
      <w:r w:rsidR="00B41C91" w:rsidRPr="0016024A">
        <w:rPr>
          <w:rFonts w:ascii="Arial" w:hAnsi="Arial" w:cs="Arial"/>
          <w:color w:val="000000"/>
          <w:sz w:val="24"/>
        </w:rPr>
        <w:t xml:space="preserve"> bill will help to improve the quality of the ACT’s statute book by making it simpler, more consistent and more coherent, and will </w:t>
      </w:r>
      <w:r w:rsidR="00AC4B8F" w:rsidRPr="0016024A">
        <w:rPr>
          <w:rFonts w:ascii="Arial" w:hAnsi="Arial" w:cs="Arial"/>
          <w:color w:val="000000"/>
          <w:sz w:val="24"/>
        </w:rPr>
        <w:t>assist in keeping</w:t>
      </w:r>
      <w:r w:rsidR="00B41C91" w:rsidRPr="0016024A">
        <w:rPr>
          <w:rFonts w:ascii="Arial" w:hAnsi="Arial" w:cs="Arial"/>
          <w:color w:val="000000"/>
          <w:sz w:val="24"/>
        </w:rPr>
        <w:t xml:space="preserve"> it up to date.</w:t>
      </w:r>
    </w:p>
    <w:p w:rsidR="00D23DEC" w:rsidRDefault="00D23DEC">
      <w:pPr>
        <w:spacing w:line="360" w:lineRule="auto"/>
        <w:rPr>
          <w:rFonts w:ascii="Arial" w:hAnsi="Arial" w:cs="Arial"/>
          <w:color w:val="000000"/>
          <w:sz w:val="24"/>
        </w:rPr>
      </w:pPr>
    </w:p>
    <w:p w:rsidR="00D23DEC" w:rsidRDefault="00D23DEC" w:rsidP="00D23DEC">
      <w:pPr>
        <w:pStyle w:val="NoSpacing"/>
        <w:spacing w:after="240"/>
        <w:rPr>
          <w:rFonts w:ascii="Arial" w:hAnsi="Arial" w:cs="Arial"/>
          <w:b/>
          <w:sz w:val="24"/>
          <w:szCs w:val="24"/>
        </w:rPr>
      </w:pPr>
      <w:r w:rsidRPr="00E023EB">
        <w:rPr>
          <w:rFonts w:ascii="Arial" w:hAnsi="Arial" w:cs="Arial"/>
          <w:b/>
          <w:sz w:val="24"/>
          <w:szCs w:val="24"/>
          <w:u w:val="single"/>
        </w:rPr>
        <w:t>Human rights implications</w:t>
      </w:r>
      <w:r w:rsidRPr="00E023EB">
        <w:rPr>
          <w:rFonts w:ascii="Arial" w:hAnsi="Arial" w:cs="Arial"/>
          <w:b/>
          <w:sz w:val="24"/>
          <w:szCs w:val="24"/>
        </w:rPr>
        <w:t xml:space="preserve"> </w:t>
      </w:r>
    </w:p>
    <w:p w:rsidR="00D23DEC" w:rsidRDefault="00D23DEC" w:rsidP="00D23DEC">
      <w:pPr>
        <w:rPr>
          <w:rFonts w:ascii="Arial" w:hAnsi="Arial" w:cs="Arial"/>
          <w:i/>
          <w:sz w:val="24"/>
          <w:szCs w:val="24"/>
          <w:u w:val="single"/>
        </w:rPr>
      </w:pPr>
      <w:r>
        <w:rPr>
          <w:rFonts w:ascii="Arial" w:hAnsi="Arial" w:cs="Arial"/>
          <w:sz w:val="24"/>
          <w:szCs w:val="24"/>
        </w:rPr>
        <w:t>The bill has no identified human rights implications.</w:t>
      </w:r>
      <w:r>
        <w:rPr>
          <w:rFonts w:ascii="Arial" w:hAnsi="Arial" w:cs="Arial"/>
          <w:i/>
          <w:sz w:val="24"/>
          <w:szCs w:val="24"/>
        </w:rPr>
        <w:t xml:space="preserve"> </w:t>
      </w:r>
    </w:p>
    <w:p w:rsidR="00D23DEC" w:rsidRPr="0016024A" w:rsidRDefault="00D23DEC">
      <w:pPr>
        <w:spacing w:line="360" w:lineRule="auto"/>
        <w:rPr>
          <w:rFonts w:ascii="Arial" w:hAnsi="Arial" w:cs="Arial"/>
          <w:color w:val="000000"/>
          <w:sz w:val="24"/>
        </w:rPr>
      </w:pPr>
    </w:p>
    <w:p w:rsidR="00B41C91" w:rsidRPr="0016024A" w:rsidRDefault="00B1357B">
      <w:pPr>
        <w:spacing w:line="360" w:lineRule="auto"/>
        <w:ind w:left="480" w:hanging="480"/>
        <w:jc w:val="both"/>
        <w:rPr>
          <w:rFonts w:ascii="Arial" w:hAnsi="Arial" w:cs="Arial"/>
          <w:b/>
          <w:color w:val="000000"/>
          <w:sz w:val="24"/>
        </w:rPr>
      </w:pPr>
      <w:r w:rsidRPr="0016024A">
        <w:rPr>
          <w:rFonts w:ascii="Arial" w:hAnsi="Arial" w:cs="Arial"/>
          <w:b/>
          <w:color w:val="000000"/>
          <w:sz w:val="24"/>
        </w:rPr>
        <w:br w:type="page"/>
      </w:r>
      <w:r w:rsidR="00B41C91" w:rsidRPr="0016024A">
        <w:rPr>
          <w:rFonts w:ascii="Arial" w:hAnsi="Arial" w:cs="Arial"/>
          <w:b/>
          <w:color w:val="000000"/>
          <w:sz w:val="24"/>
        </w:rPr>
        <w:lastRenderedPageBreak/>
        <w:t>Clause 1 — Name of Act</w:t>
      </w: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This clause provides for the bill’s name.</w:t>
      </w:r>
    </w:p>
    <w:p w:rsidR="00B41C91" w:rsidRPr="0016024A" w:rsidRDefault="00B41C91">
      <w:pPr>
        <w:jc w:val="both"/>
        <w:rPr>
          <w:rFonts w:ascii="Arial" w:hAnsi="Arial" w:cs="Arial"/>
          <w:color w:val="000000"/>
          <w:sz w:val="24"/>
        </w:rPr>
      </w:pPr>
    </w:p>
    <w:p w:rsidR="00B41C91" w:rsidRPr="0016024A" w:rsidRDefault="00B41C91">
      <w:pPr>
        <w:spacing w:line="360" w:lineRule="auto"/>
        <w:ind w:left="480" w:hanging="480"/>
        <w:jc w:val="both"/>
        <w:rPr>
          <w:rFonts w:ascii="Arial" w:hAnsi="Arial" w:cs="Arial"/>
          <w:b/>
          <w:color w:val="000000"/>
          <w:sz w:val="24"/>
        </w:rPr>
      </w:pPr>
      <w:r w:rsidRPr="0016024A">
        <w:rPr>
          <w:rFonts w:ascii="Arial" w:hAnsi="Arial" w:cs="Arial"/>
          <w:b/>
          <w:color w:val="000000"/>
          <w:sz w:val="24"/>
        </w:rPr>
        <w:t>Clause 2 — Commencement</w:t>
      </w:r>
    </w:p>
    <w:p w:rsidR="00ED09AC" w:rsidRPr="006E5BA2" w:rsidRDefault="004649DC">
      <w:pPr>
        <w:spacing w:line="360" w:lineRule="auto"/>
        <w:rPr>
          <w:rFonts w:ascii="Arial" w:hAnsi="Arial" w:cs="Arial"/>
          <w:color w:val="000000"/>
          <w:sz w:val="24"/>
        </w:rPr>
      </w:pPr>
      <w:r w:rsidRPr="00172407">
        <w:rPr>
          <w:rFonts w:ascii="Arial" w:hAnsi="Arial" w:cs="Arial"/>
          <w:color w:val="000000"/>
          <w:sz w:val="24"/>
        </w:rPr>
        <w:t>This clause</w:t>
      </w:r>
      <w:r w:rsidR="00B41C91" w:rsidRPr="00172407">
        <w:rPr>
          <w:rFonts w:ascii="Arial" w:hAnsi="Arial" w:cs="Arial"/>
          <w:color w:val="000000"/>
          <w:sz w:val="24"/>
        </w:rPr>
        <w:t xml:space="preserve"> provides </w:t>
      </w:r>
      <w:r w:rsidR="004100C9" w:rsidRPr="00172407">
        <w:rPr>
          <w:rFonts w:ascii="Arial" w:hAnsi="Arial" w:cs="Arial"/>
          <w:color w:val="000000"/>
          <w:sz w:val="24"/>
        </w:rPr>
        <w:t xml:space="preserve">that the </w:t>
      </w:r>
      <w:r w:rsidR="004F1CBA" w:rsidRPr="00172407">
        <w:rPr>
          <w:rFonts w:ascii="Arial" w:hAnsi="Arial" w:cs="Arial"/>
          <w:color w:val="000000"/>
          <w:sz w:val="24"/>
        </w:rPr>
        <w:t>bill</w:t>
      </w:r>
      <w:r w:rsidR="00A87947" w:rsidRPr="00172407">
        <w:rPr>
          <w:rFonts w:ascii="Arial" w:hAnsi="Arial" w:cs="Arial"/>
          <w:color w:val="000000"/>
          <w:sz w:val="24"/>
        </w:rPr>
        <w:t xml:space="preserve"> </w:t>
      </w:r>
      <w:r w:rsidR="00ED09AC" w:rsidRPr="00172407">
        <w:rPr>
          <w:rFonts w:ascii="Arial" w:hAnsi="Arial" w:cs="Arial"/>
          <w:color w:val="000000"/>
          <w:sz w:val="24"/>
        </w:rPr>
        <w:t xml:space="preserve">(other than </w:t>
      </w:r>
      <w:r w:rsidR="006E5BA2" w:rsidRPr="00172407">
        <w:rPr>
          <w:rFonts w:ascii="Arial" w:hAnsi="Arial" w:cs="Arial"/>
          <w:color w:val="000000"/>
          <w:sz w:val="24"/>
        </w:rPr>
        <w:t xml:space="preserve">schedule </w:t>
      </w:r>
      <w:r w:rsidR="004F5BDB" w:rsidRPr="00172407">
        <w:rPr>
          <w:rFonts w:ascii="Arial" w:hAnsi="Arial" w:cs="Arial"/>
          <w:color w:val="000000"/>
          <w:sz w:val="24"/>
        </w:rPr>
        <w:t>1</w:t>
      </w:r>
      <w:r w:rsidR="006E5BA2" w:rsidRPr="00172407">
        <w:rPr>
          <w:rFonts w:ascii="Arial" w:hAnsi="Arial" w:cs="Arial"/>
          <w:color w:val="000000"/>
          <w:sz w:val="24"/>
        </w:rPr>
        <w:t xml:space="preserve">, part </w:t>
      </w:r>
      <w:r w:rsidR="004F5BDB" w:rsidRPr="00172407">
        <w:rPr>
          <w:rFonts w:ascii="Arial" w:hAnsi="Arial" w:cs="Arial"/>
          <w:color w:val="000000"/>
          <w:sz w:val="24"/>
        </w:rPr>
        <w:t>1.</w:t>
      </w:r>
      <w:r w:rsidR="005B2E74" w:rsidRPr="00172407">
        <w:rPr>
          <w:rFonts w:ascii="Arial" w:hAnsi="Arial" w:cs="Arial"/>
          <w:color w:val="000000"/>
          <w:sz w:val="24"/>
        </w:rPr>
        <w:t>4</w:t>
      </w:r>
      <w:r w:rsidR="004F5BDB" w:rsidRPr="00172407">
        <w:rPr>
          <w:rFonts w:ascii="Arial" w:hAnsi="Arial" w:cs="Arial"/>
          <w:color w:val="000000"/>
          <w:sz w:val="24"/>
        </w:rPr>
        <w:t xml:space="preserve"> and part 1.</w:t>
      </w:r>
      <w:r w:rsidR="005B2E74" w:rsidRPr="00172407">
        <w:rPr>
          <w:rFonts w:ascii="Arial" w:hAnsi="Arial" w:cs="Arial"/>
          <w:color w:val="000000"/>
          <w:sz w:val="24"/>
        </w:rPr>
        <w:t>6</w:t>
      </w:r>
      <w:r w:rsidR="006E5BA2" w:rsidRPr="00172407">
        <w:rPr>
          <w:rFonts w:ascii="Arial" w:hAnsi="Arial" w:cs="Arial"/>
          <w:color w:val="000000"/>
          <w:sz w:val="24"/>
        </w:rPr>
        <w:t xml:space="preserve"> and </w:t>
      </w:r>
      <w:r w:rsidR="00ED09AC" w:rsidRPr="00172407">
        <w:rPr>
          <w:rFonts w:ascii="Arial" w:hAnsi="Arial" w:cs="Arial"/>
          <w:color w:val="000000"/>
          <w:sz w:val="24"/>
        </w:rPr>
        <w:t>schedule 3, part 3.</w:t>
      </w:r>
      <w:r w:rsidR="005B2E74" w:rsidRPr="00172407">
        <w:rPr>
          <w:rFonts w:ascii="Arial" w:hAnsi="Arial" w:cs="Arial"/>
          <w:color w:val="000000"/>
          <w:sz w:val="24"/>
        </w:rPr>
        <w:t>1</w:t>
      </w:r>
      <w:r w:rsidR="00B53FA9">
        <w:rPr>
          <w:rFonts w:ascii="Arial" w:hAnsi="Arial" w:cs="Arial"/>
          <w:color w:val="000000"/>
          <w:sz w:val="24"/>
        </w:rPr>
        <w:t>9</w:t>
      </w:r>
      <w:r w:rsidR="00ED09AC" w:rsidRPr="00172407">
        <w:rPr>
          <w:rFonts w:ascii="Arial" w:hAnsi="Arial" w:cs="Arial"/>
          <w:color w:val="000000"/>
          <w:sz w:val="24"/>
        </w:rPr>
        <w:t xml:space="preserve">) </w:t>
      </w:r>
      <w:r w:rsidR="00A87947" w:rsidRPr="00172407">
        <w:rPr>
          <w:rFonts w:ascii="Arial" w:hAnsi="Arial" w:cs="Arial"/>
          <w:color w:val="000000"/>
          <w:sz w:val="24"/>
        </w:rPr>
        <w:t>com</w:t>
      </w:r>
      <w:r w:rsidR="00A87947" w:rsidRPr="006E5BA2">
        <w:rPr>
          <w:rFonts w:ascii="Arial" w:hAnsi="Arial" w:cs="Arial"/>
          <w:color w:val="000000"/>
          <w:sz w:val="24"/>
        </w:rPr>
        <w:t>mence</w:t>
      </w:r>
      <w:r w:rsidR="004100C9" w:rsidRPr="006E5BA2">
        <w:rPr>
          <w:rFonts w:ascii="Arial" w:hAnsi="Arial" w:cs="Arial"/>
          <w:color w:val="000000"/>
          <w:sz w:val="24"/>
        </w:rPr>
        <w:t>s</w:t>
      </w:r>
      <w:r w:rsidR="00B41C91" w:rsidRPr="006E5BA2">
        <w:rPr>
          <w:rFonts w:ascii="Arial" w:hAnsi="Arial" w:cs="Arial"/>
          <w:color w:val="000000"/>
          <w:sz w:val="24"/>
        </w:rPr>
        <w:t xml:space="preserve"> </w:t>
      </w:r>
      <w:r w:rsidR="004100C9" w:rsidRPr="006E5BA2">
        <w:rPr>
          <w:rFonts w:ascii="Arial" w:hAnsi="Arial" w:cs="Arial"/>
          <w:color w:val="000000"/>
          <w:sz w:val="24"/>
        </w:rPr>
        <w:t>14</w:t>
      </w:r>
      <w:r w:rsidR="00B41C91" w:rsidRPr="006E5BA2">
        <w:rPr>
          <w:rFonts w:ascii="Arial" w:hAnsi="Arial" w:cs="Arial"/>
          <w:color w:val="000000"/>
          <w:sz w:val="24"/>
        </w:rPr>
        <w:t xml:space="preserve"> days after the day </w:t>
      </w:r>
      <w:r w:rsidR="004100C9" w:rsidRPr="006E5BA2">
        <w:rPr>
          <w:rFonts w:ascii="Arial" w:hAnsi="Arial" w:cs="Arial"/>
          <w:color w:val="000000"/>
          <w:sz w:val="24"/>
        </w:rPr>
        <w:t>it</w:t>
      </w:r>
      <w:r w:rsidR="00B41C91" w:rsidRPr="006E5BA2">
        <w:rPr>
          <w:rFonts w:ascii="Arial" w:hAnsi="Arial" w:cs="Arial"/>
          <w:color w:val="000000"/>
          <w:sz w:val="24"/>
        </w:rPr>
        <w:t xml:space="preserve"> is notified under the </w:t>
      </w:r>
      <w:r w:rsidR="00B41C91" w:rsidRPr="006E5BA2">
        <w:rPr>
          <w:rFonts w:ascii="Arial" w:hAnsi="Arial" w:cs="Arial"/>
          <w:i/>
          <w:color w:val="000000"/>
          <w:sz w:val="24"/>
        </w:rPr>
        <w:t>Legislation Act 2001</w:t>
      </w:r>
      <w:r w:rsidR="00311592" w:rsidRPr="006E5BA2">
        <w:rPr>
          <w:rFonts w:ascii="Arial" w:hAnsi="Arial" w:cs="Arial"/>
          <w:color w:val="000000"/>
          <w:sz w:val="24"/>
        </w:rPr>
        <w:t xml:space="preserve">. </w:t>
      </w:r>
      <w:r w:rsidR="00B41C91" w:rsidRPr="006E5BA2">
        <w:rPr>
          <w:rFonts w:ascii="Arial" w:hAnsi="Arial" w:cs="Arial"/>
          <w:color w:val="000000"/>
          <w:sz w:val="24"/>
        </w:rPr>
        <w:t>This will enable the Parliamentary Counsel’s Office to have up-to-date republications of the affected legislation ready for the legislation register on the day the amendments commence.</w:t>
      </w:r>
    </w:p>
    <w:p w:rsidR="00311592" w:rsidRPr="00034FF9" w:rsidRDefault="00311592">
      <w:pPr>
        <w:spacing w:line="360" w:lineRule="auto"/>
        <w:rPr>
          <w:rFonts w:ascii="Arial" w:hAnsi="Arial" w:cs="Arial"/>
          <w:color w:val="000000"/>
          <w:sz w:val="24"/>
        </w:rPr>
      </w:pPr>
    </w:p>
    <w:p w:rsidR="006E5BA2" w:rsidRDefault="004F5BDB" w:rsidP="00311592">
      <w:pPr>
        <w:spacing w:line="360" w:lineRule="auto"/>
        <w:rPr>
          <w:rFonts w:ascii="Arial" w:hAnsi="Arial" w:cs="Arial"/>
          <w:color w:val="000000"/>
          <w:sz w:val="24"/>
          <w:highlight w:val="yellow"/>
        </w:rPr>
      </w:pPr>
      <w:r w:rsidRPr="0089773C">
        <w:rPr>
          <w:rFonts w:ascii="Arial" w:hAnsi="Arial" w:cs="Arial"/>
          <w:color w:val="000000"/>
          <w:sz w:val="24"/>
        </w:rPr>
        <w:t xml:space="preserve">Schedule </w:t>
      </w:r>
      <w:r w:rsidRPr="00172407">
        <w:rPr>
          <w:rFonts w:ascii="Arial" w:hAnsi="Arial" w:cs="Arial"/>
          <w:color w:val="000000"/>
          <w:sz w:val="24"/>
        </w:rPr>
        <w:t>1, part 1.</w:t>
      </w:r>
      <w:r w:rsidR="005B2E74" w:rsidRPr="00172407">
        <w:rPr>
          <w:rFonts w:ascii="Arial" w:hAnsi="Arial" w:cs="Arial"/>
          <w:color w:val="000000"/>
          <w:sz w:val="24"/>
        </w:rPr>
        <w:t>4</w:t>
      </w:r>
      <w:r w:rsidRPr="00172407">
        <w:rPr>
          <w:rFonts w:ascii="Arial" w:hAnsi="Arial" w:cs="Arial"/>
          <w:color w:val="000000"/>
          <w:sz w:val="24"/>
        </w:rPr>
        <w:t xml:space="preserve"> (Motor Accident Injuries Act 2019) and schedule 3, part 3.</w:t>
      </w:r>
      <w:r w:rsidR="005B2E74" w:rsidRPr="00172407">
        <w:rPr>
          <w:rFonts w:ascii="Arial" w:hAnsi="Arial" w:cs="Arial"/>
          <w:color w:val="000000"/>
          <w:sz w:val="24"/>
        </w:rPr>
        <w:t>1</w:t>
      </w:r>
      <w:r w:rsidR="00B53FA9">
        <w:rPr>
          <w:rFonts w:ascii="Arial" w:hAnsi="Arial" w:cs="Arial"/>
          <w:color w:val="000000"/>
          <w:sz w:val="24"/>
        </w:rPr>
        <w:t>9</w:t>
      </w:r>
      <w:r w:rsidRPr="00172407">
        <w:rPr>
          <w:rFonts w:ascii="Arial" w:hAnsi="Arial" w:cs="Arial"/>
          <w:color w:val="000000"/>
          <w:sz w:val="24"/>
        </w:rPr>
        <w:t xml:space="preserve"> (Motor Accident Injuries Act 2019) will commence on the commencement of the </w:t>
      </w:r>
      <w:r w:rsidRPr="00172407">
        <w:rPr>
          <w:rFonts w:ascii="Arial" w:hAnsi="Arial" w:cs="Arial"/>
          <w:i/>
          <w:color w:val="000000"/>
          <w:sz w:val="24"/>
        </w:rPr>
        <w:t>Motor Accident Injuries Act 2019</w:t>
      </w:r>
      <w:r w:rsidRPr="00172407">
        <w:rPr>
          <w:rFonts w:ascii="Arial" w:hAnsi="Arial" w:cs="Arial"/>
          <w:color w:val="000000"/>
          <w:sz w:val="24"/>
        </w:rPr>
        <w:t xml:space="preserve">, section 3. </w:t>
      </w:r>
      <w:r w:rsidR="007B1CC0" w:rsidRPr="00172407">
        <w:rPr>
          <w:rFonts w:ascii="Arial" w:hAnsi="Arial" w:cs="Arial"/>
          <w:color w:val="000000"/>
          <w:sz w:val="24"/>
        </w:rPr>
        <w:t xml:space="preserve">The amendments in </w:t>
      </w:r>
      <w:r w:rsidR="005B2E74" w:rsidRPr="00172407">
        <w:rPr>
          <w:rFonts w:ascii="Arial" w:hAnsi="Arial" w:cs="Arial"/>
          <w:color w:val="000000"/>
          <w:sz w:val="24"/>
        </w:rPr>
        <w:t xml:space="preserve">schedule 1, </w:t>
      </w:r>
      <w:r w:rsidR="007B1CC0" w:rsidRPr="00172407">
        <w:rPr>
          <w:rFonts w:ascii="Arial" w:hAnsi="Arial" w:cs="Arial"/>
          <w:color w:val="000000"/>
          <w:sz w:val="24"/>
        </w:rPr>
        <w:t>part 1.</w:t>
      </w:r>
      <w:r w:rsidR="005B2E74" w:rsidRPr="00172407">
        <w:rPr>
          <w:rFonts w:ascii="Arial" w:hAnsi="Arial" w:cs="Arial"/>
          <w:color w:val="000000"/>
          <w:sz w:val="24"/>
        </w:rPr>
        <w:t>4</w:t>
      </w:r>
      <w:r w:rsidR="007B1CC0" w:rsidRPr="00172407">
        <w:rPr>
          <w:rFonts w:ascii="Arial" w:hAnsi="Arial" w:cs="Arial"/>
          <w:color w:val="000000"/>
          <w:sz w:val="24"/>
        </w:rPr>
        <w:t xml:space="preserve"> and </w:t>
      </w:r>
      <w:r w:rsidR="005B2E74" w:rsidRPr="00172407">
        <w:rPr>
          <w:rFonts w:ascii="Arial" w:hAnsi="Arial" w:cs="Arial"/>
          <w:color w:val="000000"/>
          <w:sz w:val="24"/>
        </w:rPr>
        <w:t xml:space="preserve">schedule 3, </w:t>
      </w:r>
      <w:r w:rsidR="007B1CC0" w:rsidRPr="00172407">
        <w:rPr>
          <w:rFonts w:ascii="Arial" w:hAnsi="Arial" w:cs="Arial"/>
          <w:color w:val="000000"/>
          <w:sz w:val="24"/>
        </w:rPr>
        <w:t>part 3.</w:t>
      </w:r>
      <w:r w:rsidR="00154195" w:rsidRPr="00172407">
        <w:rPr>
          <w:rFonts w:ascii="Arial" w:hAnsi="Arial" w:cs="Arial"/>
          <w:color w:val="000000"/>
          <w:sz w:val="24"/>
        </w:rPr>
        <w:t>1</w:t>
      </w:r>
      <w:r w:rsidR="00B53FA9">
        <w:rPr>
          <w:rFonts w:ascii="Arial" w:hAnsi="Arial" w:cs="Arial"/>
          <w:color w:val="000000"/>
          <w:sz w:val="24"/>
        </w:rPr>
        <w:t>9</w:t>
      </w:r>
      <w:r w:rsidR="007B1CC0" w:rsidRPr="00172407">
        <w:rPr>
          <w:rFonts w:ascii="Arial" w:hAnsi="Arial" w:cs="Arial"/>
          <w:color w:val="000000"/>
          <w:sz w:val="24"/>
        </w:rPr>
        <w:t xml:space="preserve"> amend amendments made in the </w:t>
      </w:r>
      <w:r w:rsidR="007B1CC0" w:rsidRPr="00172407">
        <w:rPr>
          <w:rFonts w:ascii="Arial" w:hAnsi="Arial" w:cs="Arial"/>
          <w:i/>
          <w:color w:val="000000"/>
          <w:sz w:val="24"/>
        </w:rPr>
        <w:t>Motor Accident Injuries Act 2019</w:t>
      </w:r>
      <w:r w:rsidR="007B1CC0" w:rsidRPr="00172407">
        <w:rPr>
          <w:rFonts w:ascii="Arial" w:hAnsi="Arial" w:cs="Arial"/>
          <w:color w:val="000000"/>
          <w:sz w:val="24"/>
        </w:rPr>
        <w:t xml:space="preserve"> and cannot comm</w:t>
      </w:r>
      <w:r w:rsidR="007B1CC0" w:rsidRPr="006E5BA2">
        <w:rPr>
          <w:rFonts w:ascii="Arial" w:hAnsi="Arial" w:cs="Arial"/>
          <w:color w:val="000000"/>
          <w:sz w:val="24"/>
        </w:rPr>
        <w:t xml:space="preserve">ence until that Act commences. </w:t>
      </w:r>
      <w:r>
        <w:rPr>
          <w:rFonts w:ascii="Arial" w:hAnsi="Arial" w:cs="Arial"/>
          <w:color w:val="000000"/>
          <w:sz w:val="24"/>
        </w:rPr>
        <w:t xml:space="preserve">Under </w:t>
      </w:r>
      <w:r w:rsidR="007B1CC0" w:rsidRPr="004F5BDB">
        <w:rPr>
          <w:rFonts w:ascii="Arial" w:hAnsi="Arial" w:cs="Arial"/>
          <w:i/>
          <w:color w:val="000000"/>
          <w:sz w:val="24"/>
        </w:rPr>
        <w:t>Motor Accident Injuries Act 2019</w:t>
      </w:r>
      <w:r>
        <w:rPr>
          <w:rFonts w:ascii="Arial" w:hAnsi="Arial" w:cs="Arial"/>
          <w:color w:val="000000"/>
          <w:sz w:val="24"/>
        </w:rPr>
        <w:t xml:space="preserve">, section 2 (1), the Act commences on a day fixed by the Minister by written notice. Under the </w:t>
      </w:r>
      <w:r w:rsidRPr="00AB793E">
        <w:rPr>
          <w:rFonts w:ascii="Arial" w:hAnsi="Arial" w:cs="Arial"/>
          <w:i/>
          <w:color w:val="000000"/>
          <w:sz w:val="24"/>
        </w:rPr>
        <w:t>Motor Accident Injuries Commencement Notice 2019</w:t>
      </w:r>
      <w:r>
        <w:rPr>
          <w:rFonts w:ascii="Arial" w:hAnsi="Arial" w:cs="Arial"/>
          <w:color w:val="000000"/>
          <w:sz w:val="24"/>
        </w:rPr>
        <w:t xml:space="preserve">, </w:t>
      </w:r>
      <w:r w:rsidR="007B1CC0">
        <w:rPr>
          <w:rFonts w:ascii="Arial" w:hAnsi="Arial" w:cs="Arial"/>
          <w:color w:val="000000"/>
          <w:sz w:val="24"/>
        </w:rPr>
        <w:t xml:space="preserve">the Minister fixed </w:t>
      </w:r>
      <w:r>
        <w:rPr>
          <w:rFonts w:ascii="Arial" w:hAnsi="Arial" w:cs="Arial"/>
          <w:color w:val="000000"/>
          <w:sz w:val="24"/>
        </w:rPr>
        <w:t>1 February 2020</w:t>
      </w:r>
      <w:r w:rsidR="007B1CC0">
        <w:rPr>
          <w:rFonts w:ascii="Arial" w:hAnsi="Arial" w:cs="Arial"/>
          <w:color w:val="000000"/>
          <w:sz w:val="24"/>
        </w:rPr>
        <w:t xml:space="preserve"> as the day the Act commences</w:t>
      </w:r>
      <w:r>
        <w:rPr>
          <w:rFonts w:ascii="Arial" w:hAnsi="Arial" w:cs="Arial"/>
          <w:color w:val="000000"/>
          <w:sz w:val="24"/>
        </w:rPr>
        <w:t>.</w:t>
      </w:r>
    </w:p>
    <w:p w:rsidR="006E5BA2" w:rsidRDefault="006E5BA2" w:rsidP="00311592">
      <w:pPr>
        <w:spacing w:line="360" w:lineRule="auto"/>
        <w:rPr>
          <w:rFonts w:ascii="Arial" w:hAnsi="Arial" w:cs="Arial"/>
          <w:color w:val="000000"/>
          <w:sz w:val="24"/>
          <w:highlight w:val="yellow"/>
        </w:rPr>
      </w:pPr>
    </w:p>
    <w:p w:rsidR="00B41C91" w:rsidRPr="0016024A" w:rsidRDefault="00ED09AC" w:rsidP="00311592">
      <w:pPr>
        <w:spacing w:line="360" w:lineRule="auto"/>
        <w:rPr>
          <w:rFonts w:ascii="Arial" w:hAnsi="Arial" w:cs="Arial"/>
          <w:color w:val="000000"/>
          <w:sz w:val="24"/>
        </w:rPr>
      </w:pPr>
      <w:r w:rsidRPr="0089773C">
        <w:rPr>
          <w:rFonts w:ascii="Arial" w:hAnsi="Arial" w:cs="Arial"/>
          <w:color w:val="000000"/>
          <w:sz w:val="24"/>
        </w:rPr>
        <w:t xml:space="preserve">Schedule </w:t>
      </w:r>
      <w:r w:rsidR="00AB793E" w:rsidRPr="0089773C">
        <w:rPr>
          <w:rFonts w:ascii="Arial" w:hAnsi="Arial" w:cs="Arial"/>
          <w:color w:val="000000"/>
          <w:sz w:val="24"/>
        </w:rPr>
        <w:t>1</w:t>
      </w:r>
      <w:r w:rsidRPr="0089773C">
        <w:rPr>
          <w:rFonts w:ascii="Arial" w:hAnsi="Arial" w:cs="Arial"/>
          <w:color w:val="000000"/>
          <w:sz w:val="24"/>
        </w:rPr>
        <w:t xml:space="preserve">, </w:t>
      </w:r>
      <w:r w:rsidRPr="00172407">
        <w:rPr>
          <w:rFonts w:ascii="Arial" w:hAnsi="Arial" w:cs="Arial"/>
          <w:color w:val="000000"/>
          <w:sz w:val="24"/>
        </w:rPr>
        <w:t xml:space="preserve">part </w:t>
      </w:r>
      <w:r w:rsidR="00AB793E" w:rsidRPr="00172407">
        <w:rPr>
          <w:rFonts w:ascii="Arial" w:hAnsi="Arial" w:cs="Arial"/>
          <w:color w:val="000000"/>
          <w:sz w:val="24"/>
        </w:rPr>
        <w:t>1.</w:t>
      </w:r>
      <w:r w:rsidR="005B2E74" w:rsidRPr="00172407">
        <w:rPr>
          <w:rFonts w:ascii="Arial" w:hAnsi="Arial" w:cs="Arial"/>
          <w:color w:val="000000"/>
          <w:sz w:val="24"/>
        </w:rPr>
        <w:t>6</w:t>
      </w:r>
      <w:r w:rsidRPr="00172407">
        <w:rPr>
          <w:rFonts w:ascii="Arial" w:hAnsi="Arial" w:cs="Arial"/>
          <w:color w:val="000000"/>
          <w:sz w:val="24"/>
        </w:rPr>
        <w:t xml:space="preserve"> </w:t>
      </w:r>
      <w:r w:rsidR="00AB793E" w:rsidRPr="00172407">
        <w:rPr>
          <w:rFonts w:ascii="Arial" w:hAnsi="Arial" w:cs="Arial"/>
          <w:color w:val="000000"/>
          <w:sz w:val="24"/>
        </w:rPr>
        <w:t xml:space="preserve">(Public Sector Workers Compensation Fund Act 2018) commences 124 days after </w:t>
      </w:r>
      <w:r w:rsidR="00EE55F1" w:rsidRPr="00172407">
        <w:rPr>
          <w:rFonts w:ascii="Arial" w:hAnsi="Arial" w:cs="Arial"/>
          <w:color w:val="000000"/>
          <w:sz w:val="24"/>
        </w:rPr>
        <w:t xml:space="preserve">the day the bill is notified under the </w:t>
      </w:r>
      <w:r w:rsidR="00EE55F1" w:rsidRPr="00172407">
        <w:rPr>
          <w:rFonts w:ascii="Arial" w:hAnsi="Arial" w:cs="Arial"/>
          <w:i/>
          <w:color w:val="000000"/>
          <w:sz w:val="24"/>
        </w:rPr>
        <w:t>Legislation Act 2001</w:t>
      </w:r>
      <w:r w:rsidR="00AB793E" w:rsidRPr="00172407">
        <w:rPr>
          <w:rFonts w:ascii="Arial" w:hAnsi="Arial" w:cs="Arial"/>
          <w:color w:val="000000"/>
          <w:sz w:val="24"/>
        </w:rPr>
        <w:t>.</w:t>
      </w:r>
      <w:r w:rsidR="00665843" w:rsidRPr="00172407">
        <w:rPr>
          <w:rFonts w:ascii="Arial" w:hAnsi="Arial" w:cs="Arial"/>
          <w:color w:val="000000"/>
          <w:sz w:val="24"/>
        </w:rPr>
        <w:t xml:space="preserve"> </w:t>
      </w:r>
      <w:r w:rsidR="001847CC" w:rsidRPr="00172407">
        <w:rPr>
          <w:rFonts w:ascii="Arial" w:hAnsi="Arial" w:cs="Arial"/>
          <w:color w:val="000000"/>
          <w:sz w:val="24"/>
        </w:rPr>
        <w:t xml:space="preserve">On </w:t>
      </w:r>
      <w:r w:rsidR="00B919C3" w:rsidRPr="00172407">
        <w:rPr>
          <w:rFonts w:ascii="Arial" w:hAnsi="Arial" w:cs="Arial"/>
          <w:color w:val="000000"/>
          <w:sz w:val="24"/>
        </w:rPr>
        <w:t xml:space="preserve">28 November 2018, the Commonwealth Safety, Rehabilitation and Compensation Commission granted the ACT Government a self-insurance licence under the </w:t>
      </w:r>
      <w:r w:rsidR="00B919C3" w:rsidRPr="00172407">
        <w:rPr>
          <w:rFonts w:ascii="Arial" w:hAnsi="Arial" w:cs="Arial"/>
          <w:i/>
          <w:color w:val="000000"/>
          <w:sz w:val="24"/>
        </w:rPr>
        <w:t>Safety, Rehabilitation and Compensation Act 1988</w:t>
      </w:r>
      <w:r w:rsidR="00B919C3" w:rsidRPr="00172407">
        <w:rPr>
          <w:rFonts w:ascii="Arial" w:hAnsi="Arial" w:cs="Arial"/>
          <w:color w:val="000000"/>
          <w:sz w:val="24"/>
        </w:rPr>
        <w:t xml:space="preserve"> (Cwlth), sections 103 and 104. The licence commenced on 1 March 2019, meaning from this date the ACT Government is responsible for all aspects of workers compensation for ACT public servants. Clause</w:t>
      </w:r>
      <w:r w:rsidR="00C9535C" w:rsidRPr="00172407">
        <w:rPr>
          <w:rFonts w:ascii="Arial" w:hAnsi="Arial" w:cs="Arial"/>
          <w:color w:val="000000"/>
          <w:sz w:val="24"/>
        </w:rPr>
        <w:t> </w:t>
      </w:r>
      <w:r w:rsidR="00B919C3" w:rsidRPr="00172407">
        <w:rPr>
          <w:rFonts w:ascii="Arial" w:hAnsi="Arial" w:cs="Arial"/>
          <w:color w:val="000000"/>
          <w:sz w:val="24"/>
        </w:rPr>
        <w:t xml:space="preserve">45 of the licence states that the ACT Government </w:t>
      </w:r>
      <w:r w:rsidR="00C9535C" w:rsidRPr="00172407">
        <w:rPr>
          <w:rFonts w:ascii="Arial" w:hAnsi="Arial" w:cs="Arial"/>
          <w:color w:val="000000"/>
          <w:sz w:val="24"/>
        </w:rPr>
        <w:t xml:space="preserve">‘must inform the Commission in writing of any proposed amendment to … the PSWC Fund Act … at least 124 days before any such amendment … occurs’. The delayed commencement date for </w:t>
      </w:r>
      <w:r w:rsidR="0089773C" w:rsidRPr="00172407">
        <w:rPr>
          <w:rFonts w:ascii="Arial" w:hAnsi="Arial" w:cs="Arial"/>
          <w:color w:val="000000"/>
          <w:sz w:val="24"/>
        </w:rPr>
        <w:t>s</w:t>
      </w:r>
      <w:r w:rsidR="00C9535C" w:rsidRPr="00172407">
        <w:rPr>
          <w:rFonts w:ascii="Arial" w:hAnsi="Arial" w:cs="Arial"/>
          <w:color w:val="000000"/>
          <w:sz w:val="24"/>
        </w:rPr>
        <w:t>chedule 1, part 1.</w:t>
      </w:r>
      <w:r w:rsidR="005B2E74" w:rsidRPr="00172407">
        <w:rPr>
          <w:rFonts w:ascii="Arial" w:hAnsi="Arial" w:cs="Arial"/>
          <w:color w:val="000000"/>
          <w:sz w:val="24"/>
        </w:rPr>
        <w:t>6</w:t>
      </w:r>
      <w:r w:rsidR="00C9535C" w:rsidRPr="00172407">
        <w:rPr>
          <w:rFonts w:ascii="Arial" w:hAnsi="Arial" w:cs="Arial"/>
          <w:color w:val="000000"/>
          <w:sz w:val="24"/>
        </w:rPr>
        <w:t xml:space="preserve"> of th</w:t>
      </w:r>
      <w:r w:rsidR="00C9535C">
        <w:rPr>
          <w:rFonts w:ascii="Arial" w:hAnsi="Arial" w:cs="Arial"/>
          <w:color w:val="000000"/>
          <w:sz w:val="24"/>
        </w:rPr>
        <w:t>e bill ensures this licence condition may be met.</w:t>
      </w:r>
    </w:p>
    <w:p w:rsidR="00B41C91" w:rsidRPr="0016024A" w:rsidRDefault="00B41C91">
      <w:pPr>
        <w:jc w:val="both"/>
        <w:rPr>
          <w:rFonts w:ascii="Arial" w:hAnsi="Arial" w:cs="Arial"/>
          <w:color w:val="000000"/>
          <w:sz w:val="24"/>
        </w:rPr>
      </w:pPr>
    </w:p>
    <w:p w:rsidR="00485006" w:rsidRPr="0016024A" w:rsidRDefault="00463871" w:rsidP="00485006">
      <w:pPr>
        <w:spacing w:line="360" w:lineRule="auto"/>
        <w:ind w:left="480" w:hanging="480"/>
        <w:jc w:val="both"/>
        <w:rPr>
          <w:rFonts w:ascii="Arial" w:hAnsi="Arial" w:cs="Arial"/>
          <w:b/>
          <w:color w:val="000000"/>
          <w:sz w:val="24"/>
        </w:rPr>
      </w:pPr>
      <w:r>
        <w:rPr>
          <w:rFonts w:ascii="Arial" w:hAnsi="Arial" w:cs="Arial"/>
          <w:b/>
          <w:color w:val="000000"/>
          <w:sz w:val="24"/>
        </w:rPr>
        <w:br w:type="page"/>
      </w:r>
      <w:r w:rsidR="00485006" w:rsidRPr="0016024A">
        <w:rPr>
          <w:rFonts w:ascii="Arial" w:hAnsi="Arial" w:cs="Arial"/>
          <w:b/>
          <w:color w:val="000000"/>
          <w:sz w:val="24"/>
        </w:rPr>
        <w:lastRenderedPageBreak/>
        <w:t>Clause 3 — Notes</w:t>
      </w:r>
    </w:p>
    <w:p w:rsidR="00485006" w:rsidRPr="0016024A" w:rsidRDefault="00485006" w:rsidP="00485006">
      <w:pPr>
        <w:spacing w:line="360" w:lineRule="auto"/>
        <w:rPr>
          <w:rFonts w:ascii="Arial" w:hAnsi="Arial" w:cs="Arial"/>
          <w:color w:val="000000"/>
          <w:sz w:val="24"/>
        </w:rPr>
      </w:pPr>
      <w:r w:rsidRPr="0016024A">
        <w:rPr>
          <w:rFonts w:ascii="Arial" w:hAnsi="Arial" w:cs="Arial"/>
          <w:color w:val="000000"/>
          <w:sz w:val="24"/>
        </w:rPr>
        <w:t>This clause confirms that an explanatory note in the bill does not form part of the Act when it is enacted.</w:t>
      </w:r>
    </w:p>
    <w:p w:rsidR="00485006" w:rsidRPr="0016024A" w:rsidRDefault="00485006">
      <w:pPr>
        <w:jc w:val="both"/>
        <w:rPr>
          <w:rFonts w:ascii="Arial" w:hAnsi="Arial" w:cs="Arial"/>
          <w:color w:val="000000"/>
          <w:sz w:val="24"/>
        </w:rPr>
      </w:pPr>
    </w:p>
    <w:p w:rsidR="00B41C91" w:rsidRPr="0016024A" w:rsidRDefault="00485006">
      <w:pPr>
        <w:spacing w:line="360" w:lineRule="auto"/>
        <w:ind w:left="480" w:hanging="480"/>
        <w:jc w:val="both"/>
        <w:rPr>
          <w:rFonts w:ascii="Arial" w:hAnsi="Arial" w:cs="Arial"/>
          <w:b/>
          <w:color w:val="000000"/>
          <w:sz w:val="24"/>
        </w:rPr>
      </w:pPr>
      <w:r w:rsidRPr="0016024A">
        <w:rPr>
          <w:rFonts w:ascii="Arial" w:hAnsi="Arial" w:cs="Arial"/>
          <w:b/>
          <w:color w:val="000000"/>
          <w:sz w:val="24"/>
        </w:rPr>
        <w:t>Clause 4</w:t>
      </w:r>
      <w:r w:rsidR="00B41C91" w:rsidRPr="0016024A">
        <w:rPr>
          <w:rFonts w:ascii="Arial" w:hAnsi="Arial" w:cs="Arial"/>
          <w:b/>
          <w:color w:val="000000"/>
          <w:sz w:val="24"/>
        </w:rPr>
        <w:t xml:space="preserve"> — Purpose</w:t>
      </w:r>
      <w:r w:rsidR="007D16DD" w:rsidRPr="0016024A">
        <w:rPr>
          <w:rFonts w:ascii="Arial" w:hAnsi="Arial" w:cs="Arial"/>
          <w:b/>
          <w:color w:val="000000"/>
          <w:sz w:val="24"/>
        </w:rPr>
        <w:t xml:space="preserve"> of Act</w:t>
      </w: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This clause states the bill’s purpose.</w:t>
      </w:r>
    </w:p>
    <w:p w:rsidR="00B41C91" w:rsidRPr="0016024A" w:rsidRDefault="00B41C91">
      <w:pPr>
        <w:jc w:val="both"/>
        <w:rPr>
          <w:rFonts w:ascii="Arial" w:hAnsi="Arial" w:cs="Arial"/>
          <w:color w:val="000000"/>
          <w:sz w:val="24"/>
        </w:rPr>
      </w:pPr>
    </w:p>
    <w:p w:rsidR="00B41C91" w:rsidRPr="0016024A" w:rsidRDefault="00B41C91">
      <w:pPr>
        <w:spacing w:line="360" w:lineRule="auto"/>
        <w:ind w:left="480" w:hanging="480"/>
        <w:jc w:val="both"/>
        <w:rPr>
          <w:rFonts w:ascii="Arial" w:hAnsi="Arial" w:cs="Arial"/>
          <w:b/>
          <w:color w:val="000000"/>
          <w:sz w:val="24"/>
        </w:rPr>
      </w:pPr>
      <w:r w:rsidRPr="0016024A">
        <w:rPr>
          <w:rFonts w:ascii="Arial" w:hAnsi="Arial" w:cs="Arial"/>
          <w:b/>
          <w:color w:val="000000"/>
          <w:sz w:val="24"/>
        </w:rPr>
        <w:t>Clause</w:t>
      </w:r>
      <w:r w:rsidR="0034403A" w:rsidRPr="0016024A">
        <w:rPr>
          <w:rFonts w:ascii="Arial" w:hAnsi="Arial" w:cs="Arial"/>
          <w:b/>
          <w:color w:val="000000"/>
          <w:sz w:val="24"/>
        </w:rPr>
        <w:t xml:space="preserve"> 5 — Legislation amended—schs 1-</w:t>
      </w:r>
      <w:r w:rsidRPr="0016024A">
        <w:rPr>
          <w:rFonts w:ascii="Arial" w:hAnsi="Arial" w:cs="Arial"/>
          <w:b/>
          <w:color w:val="000000"/>
          <w:sz w:val="24"/>
        </w:rPr>
        <w:t>3</w:t>
      </w:r>
    </w:p>
    <w:p w:rsidR="00B41C91" w:rsidRPr="0016024A" w:rsidRDefault="00B41C91">
      <w:pPr>
        <w:spacing w:line="360" w:lineRule="auto"/>
        <w:rPr>
          <w:rFonts w:ascii="Arial" w:hAnsi="Arial" w:cs="Arial"/>
          <w:color w:val="000000"/>
          <w:sz w:val="24"/>
        </w:rPr>
      </w:pPr>
      <w:r w:rsidRPr="0016024A">
        <w:rPr>
          <w:rFonts w:ascii="Arial" w:hAnsi="Arial" w:cs="Arial"/>
          <w:color w:val="000000"/>
          <w:sz w:val="24"/>
        </w:rPr>
        <w:t>This clause gives effect to the amendments made by schedule</w:t>
      </w:r>
      <w:r w:rsidRPr="00FD6352">
        <w:rPr>
          <w:rFonts w:ascii="Arial" w:hAnsi="Arial" w:cs="Arial"/>
          <w:color w:val="000000"/>
          <w:sz w:val="24"/>
        </w:rPr>
        <w:t>s 1</w:t>
      </w:r>
      <w:r w:rsidR="0034403A" w:rsidRPr="00FD6352">
        <w:rPr>
          <w:rFonts w:ascii="Arial" w:hAnsi="Arial" w:cs="Arial"/>
          <w:color w:val="000000"/>
          <w:sz w:val="24"/>
        </w:rPr>
        <w:t>, 2</w:t>
      </w:r>
      <w:r w:rsidRPr="00FD6352">
        <w:rPr>
          <w:rFonts w:ascii="Arial" w:hAnsi="Arial" w:cs="Arial"/>
          <w:color w:val="000000"/>
          <w:sz w:val="24"/>
        </w:rPr>
        <w:t xml:space="preserve"> </w:t>
      </w:r>
      <w:r w:rsidR="002B2C57" w:rsidRPr="00FD6352">
        <w:rPr>
          <w:rFonts w:ascii="Arial" w:hAnsi="Arial" w:cs="Arial"/>
          <w:color w:val="000000"/>
          <w:sz w:val="24"/>
        </w:rPr>
        <w:t>and</w:t>
      </w:r>
      <w:r w:rsidRPr="00FD6352">
        <w:rPr>
          <w:rFonts w:ascii="Arial" w:hAnsi="Arial" w:cs="Arial"/>
          <w:color w:val="000000"/>
          <w:sz w:val="24"/>
        </w:rPr>
        <w:t xml:space="preserve"> 3.</w:t>
      </w:r>
    </w:p>
    <w:p w:rsidR="00ED09AC" w:rsidRDefault="00ED09AC" w:rsidP="00ED09AC">
      <w:pPr>
        <w:spacing w:line="360" w:lineRule="auto"/>
        <w:ind w:left="480" w:hanging="480"/>
        <w:jc w:val="both"/>
        <w:rPr>
          <w:rFonts w:ascii="Arial" w:hAnsi="Arial" w:cs="Arial"/>
          <w:b/>
          <w:color w:val="000000"/>
          <w:sz w:val="24"/>
        </w:rPr>
      </w:pPr>
    </w:p>
    <w:p w:rsidR="00B41C91" w:rsidRPr="0016024A" w:rsidRDefault="00B41C91">
      <w:pPr>
        <w:spacing w:line="360" w:lineRule="auto"/>
        <w:ind w:left="480" w:hanging="480"/>
        <w:jc w:val="both"/>
        <w:rPr>
          <w:rFonts w:ascii="Arial" w:hAnsi="Arial" w:cs="Arial"/>
          <w:b/>
          <w:i/>
          <w:iCs/>
          <w:color w:val="000000"/>
          <w:sz w:val="24"/>
        </w:rPr>
      </w:pPr>
      <w:r w:rsidRPr="0016024A">
        <w:rPr>
          <w:rFonts w:ascii="Arial" w:hAnsi="Arial" w:cs="Arial"/>
          <w:b/>
          <w:color w:val="000000"/>
          <w:sz w:val="24"/>
        </w:rPr>
        <w:t>Schedule 1 — Minor amendments</w:t>
      </w:r>
      <w:r w:rsidR="00F34BBF" w:rsidRPr="0016024A">
        <w:rPr>
          <w:rFonts w:ascii="Arial" w:hAnsi="Arial" w:cs="Arial"/>
          <w:b/>
          <w:color w:val="000000"/>
          <w:sz w:val="24"/>
        </w:rPr>
        <w:t xml:space="preserve"> </w:t>
      </w:r>
    </w:p>
    <w:p w:rsidR="009D188D" w:rsidRPr="00855495" w:rsidRDefault="00425936" w:rsidP="005C3EC3">
      <w:pPr>
        <w:spacing w:line="360" w:lineRule="auto"/>
        <w:rPr>
          <w:rFonts w:ascii="Arial" w:hAnsi="Arial" w:cs="Arial"/>
          <w:color w:val="000000"/>
          <w:sz w:val="24"/>
        </w:rPr>
      </w:pPr>
      <w:r w:rsidRPr="0016024A">
        <w:rPr>
          <w:rFonts w:ascii="Arial" w:hAnsi="Arial"/>
          <w:color w:val="000000"/>
          <w:sz w:val="24"/>
          <w:szCs w:val="24"/>
        </w:rPr>
        <w:t>Schedule 1 provides for minor, non-controversial amendments initiated by government d</w:t>
      </w:r>
      <w:r w:rsidR="00584DDB" w:rsidRPr="0016024A">
        <w:rPr>
          <w:rFonts w:ascii="Arial" w:hAnsi="Arial"/>
          <w:color w:val="000000"/>
          <w:sz w:val="24"/>
          <w:szCs w:val="24"/>
        </w:rPr>
        <w:t>irectorate</w:t>
      </w:r>
      <w:r w:rsidR="00E4003C">
        <w:rPr>
          <w:rFonts w:ascii="Arial" w:hAnsi="Arial"/>
          <w:color w:val="000000"/>
          <w:sz w:val="24"/>
          <w:szCs w:val="24"/>
        </w:rPr>
        <w:t xml:space="preserve">s and agencies. </w:t>
      </w:r>
      <w:bookmarkStart w:id="1" w:name="_Hlk15979826"/>
      <w:r w:rsidR="0048296E" w:rsidRPr="0016024A">
        <w:rPr>
          <w:rFonts w:ascii="Arial" w:hAnsi="Arial"/>
          <w:color w:val="000000"/>
          <w:sz w:val="24"/>
          <w:szCs w:val="24"/>
        </w:rPr>
        <w:t>It contains</w:t>
      </w:r>
      <w:r w:rsidR="004100C9" w:rsidRPr="0016024A">
        <w:rPr>
          <w:rFonts w:ascii="Arial" w:hAnsi="Arial"/>
          <w:color w:val="000000"/>
          <w:sz w:val="24"/>
          <w:szCs w:val="24"/>
        </w:rPr>
        <w:t xml:space="preserve"> amendment</w:t>
      </w:r>
      <w:r w:rsidR="0048296E" w:rsidRPr="0016024A">
        <w:rPr>
          <w:rFonts w:ascii="Arial" w:hAnsi="Arial"/>
          <w:color w:val="000000"/>
          <w:sz w:val="24"/>
          <w:szCs w:val="24"/>
        </w:rPr>
        <w:t>s</w:t>
      </w:r>
      <w:r w:rsidR="000C55E3" w:rsidRPr="0016024A">
        <w:rPr>
          <w:rFonts w:ascii="Arial" w:hAnsi="Arial"/>
          <w:color w:val="000000"/>
          <w:sz w:val="24"/>
          <w:szCs w:val="24"/>
        </w:rPr>
        <w:t xml:space="preserve"> of </w:t>
      </w:r>
      <w:bookmarkEnd w:id="1"/>
      <w:r w:rsidR="00467169" w:rsidRPr="00467169">
        <w:rPr>
          <w:rFonts w:ascii="Arial" w:hAnsi="Arial"/>
          <w:color w:val="000000"/>
          <w:sz w:val="24"/>
          <w:szCs w:val="24"/>
        </w:rPr>
        <w:t xml:space="preserve">the </w:t>
      </w:r>
      <w:r w:rsidR="00467169" w:rsidRPr="00467169">
        <w:rPr>
          <w:rFonts w:ascii="Arial" w:hAnsi="Arial"/>
          <w:i/>
          <w:iCs/>
          <w:color w:val="000000"/>
          <w:sz w:val="24"/>
          <w:szCs w:val="24"/>
        </w:rPr>
        <w:t>Cemeteries and Crematoria Act 2003</w:t>
      </w:r>
      <w:r w:rsidR="00467169" w:rsidRPr="00467169">
        <w:rPr>
          <w:rFonts w:ascii="Arial" w:hAnsi="Arial"/>
          <w:iCs/>
          <w:color w:val="000000"/>
          <w:sz w:val="24"/>
          <w:szCs w:val="24"/>
        </w:rPr>
        <w:t xml:space="preserve">, </w:t>
      </w:r>
      <w:r w:rsidR="00467169" w:rsidRPr="00467169">
        <w:rPr>
          <w:rFonts w:ascii="Arial" w:hAnsi="Arial"/>
          <w:color w:val="000000"/>
          <w:sz w:val="24"/>
          <w:szCs w:val="24"/>
        </w:rPr>
        <w:t xml:space="preserve">the </w:t>
      </w:r>
      <w:bookmarkStart w:id="2" w:name="_Toc11914813"/>
      <w:r w:rsidR="00467169" w:rsidRPr="00467169">
        <w:rPr>
          <w:rFonts w:ascii="Arial" w:hAnsi="Arial"/>
          <w:i/>
          <w:iCs/>
          <w:color w:val="000000"/>
          <w:sz w:val="24"/>
          <w:szCs w:val="24"/>
        </w:rPr>
        <w:t>Financial Management Act 1996</w:t>
      </w:r>
      <w:bookmarkEnd w:id="2"/>
      <w:r w:rsidR="00467169" w:rsidRPr="00467169">
        <w:rPr>
          <w:rFonts w:ascii="Arial" w:hAnsi="Arial"/>
          <w:iCs/>
          <w:color w:val="000000"/>
          <w:sz w:val="24"/>
          <w:szCs w:val="24"/>
        </w:rPr>
        <w:t xml:space="preserve">, the </w:t>
      </w:r>
      <w:bookmarkStart w:id="3" w:name="_Toc11914817"/>
      <w:r w:rsidR="00467169" w:rsidRPr="00467169">
        <w:rPr>
          <w:rFonts w:ascii="Arial" w:hAnsi="Arial"/>
          <w:i/>
          <w:iCs/>
          <w:color w:val="000000"/>
          <w:sz w:val="24"/>
          <w:szCs w:val="24"/>
        </w:rPr>
        <w:t>Lifetime Care and Support (Catastrophic Injuries) Act 2014</w:t>
      </w:r>
      <w:bookmarkEnd w:id="3"/>
      <w:r w:rsidR="00467169" w:rsidRPr="00467169">
        <w:rPr>
          <w:rFonts w:ascii="Arial" w:hAnsi="Arial"/>
          <w:iCs/>
          <w:color w:val="000000"/>
          <w:sz w:val="24"/>
          <w:szCs w:val="24"/>
        </w:rPr>
        <w:t xml:space="preserve">, the </w:t>
      </w:r>
      <w:r w:rsidR="00467169" w:rsidRPr="00467169">
        <w:rPr>
          <w:rFonts w:ascii="Arial" w:hAnsi="Arial"/>
          <w:i/>
          <w:iCs/>
          <w:color w:val="000000"/>
          <w:sz w:val="24"/>
          <w:szCs w:val="24"/>
        </w:rPr>
        <w:t>Motor Accident Injuries Act 2019</w:t>
      </w:r>
      <w:r w:rsidR="00467169" w:rsidRPr="00467169">
        <w:rPr>
          <w:rFonts w:ascii="Arial" w:hAnsi="Arial"/>
          <w:iCs/>
          <w:color w:val="000000"/>
          <w:sz w:val="24"/>
          <w:szCs w:val="24"/>
        </w:rPr>
        <w:t xml:space="preserve">, the </w:t>
      </w:r>
      <w:bookmarkStart w:id="4" w:name="_Toc11914819"/>
      <w:r w:rsidR="00467169" w:rsidRPr="00467169">
        <w:rPr>
          <w:rFonts w:ascii="Arial" w:hAnsi="Arial"/>
          <w:i/>
          <w:iCs/>
          <w:color w:val="000000"/>
          <w:sz w:val="24"/>
          <w:szCs w:val="24"/>
        </w:rPr>
        <w:t>Public Health Act</w:t>
      </w:r>
      <w:bookmarkEnd w:id="4"/>
      <w:r w:rsidR="00467169" w:rsidRPr="00467169">
        <w:rPr>
          <w:rFonts w:ascii="Arial" w:hAnsi="Arial"/>
          <w:i/>
          <w:iCs/>
          <w:color w:val="000000"/>
          <w:sz w:val="24"/>
          <w:szCs w:val="24"/>
        </w:rPr>
        <w:t> 1997</w:t>
      </w:r>
      <w:r w:rsidR="00467169" w:rsidRPr="00467169">
        <w:rPr>
          <w:rFonts w:ascii="Arial" w:hAnsi="Arial"/>
          <w:iCs/>
          <w:color w:val="000000"/>
          <w:sz w:val="24"/>
          <w:szCs w:val="24"/>
        </w:rPr>
        <w:t xml:space="preserve">, the </w:t>
      </w:r>
      <w:r w:rsidR="00467169" w:rsidRPr="00467169">
        <w:rPr>
          <w:rFonts w:ascii="Arial" w:hAnsi="Arial"/>
          <w:i/>
          <w:iCs/>
          <w:color w:val="000000"/>
          <w:sz w:val="24"/>
          <w:szCs w:val="24"/>
        </w:rPr>
        <w:t>Public Sector Workers Compensation Fund Act 2018</w:t>
      </w:r>
      <w:r w:rsidR="00467169" w:rsidRPr="00467169">
        <w:rPr>
          <w:rFonts w:ascii="Arial" w:hAnsi="Arial"/>
          <w:iCs/>
          <w:color w:val="000000"/>
          <w:sz w:val="24"/>
          <w:szCs w:val="24"/>
        </w:rPr>
        <w:t xml:space="preserve"> </w:t>
      </w:r>
      <w:r w:rsidR="006110C6" w:rsidRPr="005C4094">
        <w:rPr>
          <w:rFonts w:ascii="Arial" w:hAnsi="Arial"/>
          <w:color w:val="000000"/>
          <w:sz w:val="24"/>
          <w:szCs w:val="24"/>
        </w:rPr>
        <w:t>and</w:t>
      </w:r>
      <w:r w:rsidR="00467169" w:rsidRPr="005C4094">
        <w:rPr>
          <w:rFonts w:ascii="Arial" w:hAnsi="Arial"/>
          <w:color w:val="000000"/>
          <w:sz w:val="24"/>
          <w:szCs w:val="24"/>
        </w:rPr>
        <w:t xml:space="preserve"> the </w:t>
      </w:r>
      <w:bookmarkStart w:id="5" w:name="_Toc11914825"/>
      <w:r w:rsidR="00467169" w:rsidRPr="005C4094">
        <w:rPr>
          <w:rFonts w:ascii="Arial" w:hAnsi="Arial"/>
          <w:bCs/>
          <w:i/>
          <w:color w:val="000000"/>
          <w:sz w:val="24"/>
          <w:szCs w:val="24"/>
        </w:rPr>
        <w:t>Territory Superannuation Provision Protection Act 2000</w:t>
      </w:r>
      <w:bookmarkEnd w:id="5"/>
      <w:r w:rsidR="006110C6" w:rsidRPr="005C4094">
        <w:rPr>
          <w:rFonts w:ascii="Arial" w:hAnsi="Arial"/>
          <w:bCs/>
          <w:color w:val="000000"/>
          <w:sz w:val="24"/>
          <w:szCs w:val="24"/>
        </w:rPr>
        <w:t>.</w:t>
      </w:r>
      <w:r w:rsidR="00E4003C" w:rsidRPr="005C4094">
        <w:rPr>
          <w:rFonts w:ascii="Arial" w:hAnsi="Arial"/>
          <w:color w:val="000000"/>
          <w:sz w:val="24"/>
          <w:szCs w:val="24"/>
        </w:rPr>
        <w:t xml:space="preserve"> </w:t>
      </w:r>
      <w:r w:rsidR="0048296E" w:rsidRPr="005C4094">
        <w:rPr>
          <w:rFonts w:ascii="Arial" w:hAnsi="Arial" w:cs="Arial"/>
          <w:color w:val="000000"/>
          <w:sz w:val="24"/>
        </w:rPr>
        <w:t xml:space="preserve">Each </w:t>
      </w:r>
      <w:r w:rsidRPr="005C4094">
        <w:rPr>
          <w:rFonts w:ascii="Arial" w:hAnsi="Arial" w:cs="Arial"/>
          <w:color w:val="000000"/>
          <w:sz w:val="24"/>
        </w:rPr>
        <w:t>amendment is explained in an explanatory note to the amendment.</w:t>
      </w:r>
    </w:p>
    <w:p w:rsidR="00850F99" w:rsidRPr="00855495" w:rsidRDefault="00850F99" w:rsidP="009D188D">
      <w:pPr>
        <w:pStyle w:val="Header"/>
        <w:tabs>
          <w:tab w:val="clear" w:pos="4320"/>
          <w:tab w:val="clear" w:pos="8640"/>
        </w:tabs>
        <w:spacing w:line="360" w:lineRule="auto"/>
        <w:rPr>
          <w:rFonts w:ascii="Arial" w:hAnsi="Arial" w:cs="Arial"/>
          <w:sz w:val="24"/>
          <w:szCs w:val="24"/>
          <w:u w:val="single"/>
        </w:rPr>
      </w:pPr>
    </w:p>
    <w:p w:rsidR="00DA3041" w:rsidRDefault="00DA3041" w:rsidP="00DA3041">
      <w:pPr>
        <w:spacing w:line="360" w:lineRule="auto"/>
        <w:rPr>
          <w:rFonts w:ascii="Arial" w:hAnsi="Arial" w:cs="Arial"/>
          <w:iCs/>
          <w:sz w:val="24"/>
          <w:szCs w:val="24"/>
          <w:u w:val="single"/>
        </w:rPr>
      </w:pPr>
      <w:r w:rsidRPr="00DA3041">
        <w:rPr>
          <w:rFonts w:ascii="Arial" w:hAnsi="Arial" w:cs="Arial"/>
          <w:iCs/>
          <w:sz w:val="24"/>
          <w:szCs w:val="24"/>
          <w:u w:val="single"/>
        </w:rPr>
        <w:t>Cemeteries and Crematoria Act 2003</w:t>
      </w:r>
    </w:p>
    <w:p w:rsidR="00DA3041" w:rsidRDefault="00DA3041" w:rsidP="00DA3041">
      <w:pPr>
        <w:spacing w:line="360" w:lineRule="auto"/>
        <w:rPr>
          <w:rFonts w:ascii="Arial" w:hAnsi="Arial" w:cs="Arial"/>
          <w:iCs/>
          <w:sz w:val="24"/>
          <w:szCs w:val="24"/>
        </w:rPr>
      </w:pPr>
      <w:r w:rsidRPr="00DA3041">
        <w:rPr>
          <w:rFonts w:ascii="Arial" w:hAnsi="Arial" w:cs="Arial"/>
          <w:iCs/>
          <w:sz w:val="24"/>
          <w:szCs w:val="24"/>
        </w:rPr>
        <w:t>Schedule 1 amend</w:t>
      </w:r>
      <w:r w:rsidR="007E33FC">
        <w:rPr>
          <w:rFonts w:ascii="Arial" w:hAnsi="Arial" w:cs="Arial"/>
          <w:iCs/>
          <w:sz w:val="24"/>
          <w:szCs w:val="24"/>
        </w:rPr>
        <w:t>s</w:t>
      </w:r>
      <w:r w:rsidRPr="00DA3041">
        <w:rPr>
          <w:rFonts w:ascii="Arial" w:hAnsi="Arial" w:cs="Arial"/>
          <w:iCs/>
          <w:sz w:val="24"/>
          <w:szCs w:val="24"/>
        </w:rPr>
        <w:t xml:space="preserve"> the </w:t>
      </w:r>
      <w:r w:rsidRPr="00DA3041">
        <w:rPr>
          <w:rFonts w:ascii="Arial" w:hAnsi="Arial" w:cs="Arial"/>
          <w:i/>
          <w:iCs/>
          <w:sz w:val="24"/>
          <w:szCs w:val="24"/>
        </w:rPr>
        <w:t>Cemeteries and Crematoria Act 2003</w:t>
      </w:r>
      <w:r w:rsidRPr="00DA3041">
        <w:rPr>
          <w:rFonts w:ascii="Arial" w:hAnsi="Arial" w:cs="Arial"/>
          <w:iCs/>
          <w:sz w:val="24"/>
          <w:szCs w:val="24"/>
        </w:rPr>
        <w:t xml:space="preserve"> regulation-making power (section 51) to include express provision about opening a cemetery or crematorium. </w:t>
      </w:r>
      <w:r w:rsidR="00FF1013">
        <w:rPr>
          <w:rFonts w:ascii="Arial" w:hAnsi="Arial" w:cs="Arial"/>
          <w:iCs/>
          <w:sz w:val="24"/>
          <w:szCs w:val="24"/>
        </w:rPr>
        <w:t>T</w:t>
      </w:r>
      <w:r w:rsidRPr="00DA3041">
        <w:rPr>
          <w:rFonts w:ascii="Arial" w:hAnsi="Arial" w:cs="Arial"/>
          <w:iCs/>
          <w:sz w:val="24"/>
          <w:szCs w:val="24"/>
        </w:rPr>
        <w:t>he Act provides the Executive with a general regulation-making power under section 51 (1) and a more specific regulation-making power under section 51 (2). While subsection (2) (b) specifically mentions ‘the conduct of cemeteries and crematoria’, it is unclear whether ‘conduct’ is broad enough to enable a regulation to be made about opening a cemetery or crematorium.</w:t>
      </w:r>
    </w:p>
    <w:p w:rsidR="00DA3041" w:rsidRPr="00DA3041" w:rsidRDefault="00DA3041" w:rsidP="00DA3041">
      <w:pPr>
        <w:spacing w:line="360" w:lineRule="auto"/>
        <w:rPr>
          <w:rFonts w:ascii="Arial" w:hAnsi="Arial" w:cs="Arial"/>
          <w:iCs/>
          <w:sz w:val="24"/>
          <w:szCs w:val="24"/>
          <w:u w:val="single"/>
        </w:rPr>
      </w:pPr>
    </w:p>
    <w:p w:rsidR="00DA3041" w:rsidRPr="00DA3041" w:rsidRDefault="00FF1013" w:rsidP="00DA3041">
      <w:pPr>
        <w:spacing w:line="360" w:lineRule="auto"/>
        <w:rPr>
          <w:rFonts w:ascii="Arial" w:hAnsi="Arial" w:cs="Arial"/>
          <w:iCs/>
          <w:sz w:val="24"/>
          <w:szCs w:val="24"/>
        </w:rPr>
      </w:pPr>
      <w:r>
        <w:rPr>
          <w:rFonts w:ascii="Arial" w:hAnsi="Arial" w:cs="Arial"/>
          <w:iCs/>
          <w:sz w:val="24"/>
          <w:szCs w:val="24"/>
        </w:rPr>
        <w:t>S</w:t>
      </w:r>
      <w:r w:rsidR="00DA3041" w:rsidRPr="00DA3041">
        <w:rPr>
          <w:rFonts w:ascii="Arial" w:hAnsi="Arial" w:cs="Arial"/>
          <w:iCs/>
          <w:sz w:val="24"/>
          <w:szCs w:val="24"/>
        </w:rPr>
        <w:t xml:space="preserve">ection 28A </w:t>
      </w:r>
      <w:r>
        <w:rPr>
          <w:rFonts w:ascii="Arial" w:hAnsi="Arial" w:cs="Arial"/>
          <w:iCs/>
          <w:sz w:val="24"/>
          <w:szCs w:val="24"/>
        </w:rPr>
        <w:t xml:space="preserve">is also amended </w:t>
      </w:r>
      <w:r w:rsidR="00DA3041" w:rsidRPr="00DA3041">
        <w:rPr>
          <w:rFonts w:ascii="Arial" w:hAnsi="Arial" w:cs="Arial"/>
          <w:iCs/>
          <w:sz w:val="24"/>
          <w:szCs w:val="24"/>
        </w:rPr>
        <w:t xml:space="preserve">to clarify that the functions of the cemeteries authority include developing and building a cemetery or crematorium. Section 28A (1) states ‘the functions of the cemeteries authority are to effectively and efficiently manage public cemeteries and crematoria for which the authority has been appointed as the </w:t>
      </w:r>
      <w:r w:rsidR="00DA3041" w:rsidRPr="00DA3041">
        <w:rPr>
          <w:rFonts w:ascii="Arial" w:hAnsi="Arial" w:cs="Arial"/>
          <w:iCs/>
          <w:sz w:val="24"/>
          <w:szCs w:val="24"/>
        </w:rPr>
        <w:lastRenderedPageBreak/>
        <w:t>operator by the Minister’. It is unclear whether section 28A (1) allow</w:t>
      </w:r>
      <w:r>
        <w:rPr>
          <w:rFonts w:ascii="Arial" w:hAnsi="Arial" w:cs="Arial"/>
          <w:iCs/>
          <w:sz w:val="24"/>
          <w:szCs w:val="24"/>
        </w:rPr>
        <w:t>s</w:t>
      </w:r>
      <w:r w:rsidR="00DA3041" w:rsidRPr="00DA3041">
        <w:rPr>
          <w:rFonts w:ascii="Arial" w:hAnsi="Arial" w:cs="Arial"/>
          <w:iCs/>
          <w:sz w:val="24"/>
          <w:szCs w:val="24"/>
        </w:rPr>
        <w:t xml:space="preserve"> the authority to develop and build a cemetery or crematorium.</w:t>
      </w:r>
    </w:p>
    <w:p w:rsidR="00DA3041" w:rsidRDefault="00DA3041" w:rsidP="00DA3041">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u w:val="single"/>
        </w:rPr>
        <w:t xml:space="preserve">Financial Management Act 1996, </w:t>
      </w:r>
      <w:bookmarkStart w:id="6" w:name="_Hlk12873497"/>
      <w:r w:rsidRPr="000C3B9F">
        <w:rPr>
          <w:rFonts w:ascii="Arial" w:hAnsi="Arial" w:cs="Arial"/>
          <w:iCs/>
          <w:sz w:val="24"/>
          <w:szCs w:val="24"/>
          <w:u w:val="single"/>
        </w:rPr>
        <w:t xml:space="preserve">Lifetime Care and Support (Catastrophic Injuries) Act 2014, Public Sector Workers Compensation Fund Act 2018 and </w:t>
      </w:r>
      <w:r w:rsidRPr="000C3B9F">
        <w:rPr>
          <w:rFonts w:ascii="Arial" w:hAnsi="Arial" w:cs="Arial"/>
          <w:bCs/>
          <w:iCs/>
          <w:sz w:val="24"/>
          <w:szCs w:val="24"/>
          <w:u w:val="single"/>
        </w:rPr>
        <w:t>Territory Superannuation Provision Protection Act 2000</w:t>
      </w:r>
      <w:bookmarkEnd w:id="6"/>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Schedule 1 proposes to make </w:t>
      </w:r>
      <w:r w:rsidR="00BA68B8">
        <w:rPr>
          <w:rFonts w:ascii="Arial" w:hAnsi="Arial" w:cs="Arial"/>
          <w:iCs/>
          <w:sz w:val="24"/>
          <w:szCs w:val="24"/>
        </w:rPr>
        <w:t>a number of</w:t>
      </w:r>
      <w:r w:rsidRPr="000C3B9F">
        <w:rPr>
          <w:rFonts w:ascii="Arial" w:hAnsi="Arial" w:cs="Arial"/>
          <w:iCs/>
          <w:sz w:val="24"/>
          <w:szCs w:val="24"/>
        </w:rPr>
        <w:t xml:space="preserve"> amendments to the </w:t>
      </w:r>
      <w:r w:rsidRPr="000C3B9F">
        <w:rPr>
          <w:rFonts w:ascii="Arial" w:hAnsi="Arial" w:cs="Arial"/>
          <w:i/>
          <w:iCs/>
          <w:sz w:val="24"/>
          <w:szCs w:val="24"/>
        </w:rPr>
        <w:t>Financial Management Act</w:t>
      </w:r>
      <w:r w:rsidRPr="000C3B9F">
        <w:rPr>
          <w:rFonts w:ascii="Arial" w:hAnsi="Arial" w:cs="Arial"/>
          <w:iCs/>
          <w:sz w:val="24"/>
          <w:szCs w:val="24"/>
        </w:rPr>
        <w:t xml:space="preserve"> </w:t>
      </w:r>
      <w:r w:rsidRPr="000C3B9F">
        <w:rPr>
          <w:rFonts w:ascii="Arial" w:hAnsi="Arial" w:cs="Arial"/>
          <w:i/>
          <w:iCs/>
          <w:sz w:val="24"/>
          <w:szCs w:val="24"/>
        </w:rPr>
        <w:t>1996</w:t>
      </w:r>
      <w:r w:rsidRPr="000C3B9F">
        <w:rPr>
          <w:rFonts w:ascii="Arial" w:hAnsi="Arial" w:cs="Arial"/>
          <w:iCs/>
          <w:sz w:val="24"/>
          <w:szCs w:val="24"/>
        </w:rPr>
        <w:t xml:space="preserve">, the </w:t>
      </w:r>
      <w:r w:rsidRPr="000C3B9F">
        <w:rPr>
          <w:rFonts w:ascii="Arial" w:hAnsi="Arial" w:cs="Arial"/>
          <w:i/>
          <w:iCs/>
          <w:sz w:val="24"/>
          <w:szCs w:val="24"/>
        </w:rPr>
        <w:t>Lifetime Care and Support (Catastrophic Injuries) Act 2014</w:t>
      </w:r>
      <w:r w:rsidRPr="000C3B9F">
        <w:rPr>
          <w:rFonts w:ascii="Arial" w:hAnsi="Arial" w:cs="Arial"/>
          <w:iCs/>
          <w:sz w:val="24"/>
          <w:szCs w:val="24"/>
        </w:rPr>
        <w:t>, the</w:t>
      </w:r>
      <w:r w:rsidRPr="000C3B9F">
        <w:rPr>
          <w:rFonts w:ascii="Arial" w:hAnsi="Arial" w:cs="Arial"/>
          <w:i/>
          <w:iCs/>
          <w:sz w:val="24"/>
          <w:szCs w:val="24"/>
        </w:rPr>
        <w:t xml:space="preserve"> Public Sector Workers Compensation Fund Act 2018 </w:t>
      </w:r>
      <w:r w:rsidRPr="000C3B9F">
        <w:rPr>
          <w:rFonts w:ascii="Arial" w:hAnsi="Arial" w:cs="Arial"/>
          <w:iCs/>
          <w:sz w:val="24"/>
          <w:szCs w:val="24"/>
        </w:rPr>
        <w:t>and the</w:t>
      </w:r>
      <w:r w:rsidRPr="000C3B9F">
        <w:rPr>
          <w:rFonts w:ascii="Arial" w:hAnsi="Arial" w:cs="Arial"/>
          <w:i/>
          <w:iCs/>
          <w:sz w:val="24"/>
          <w:szCs w:val="24"/>
        </w:rPr>
        <w:t xml:space="preserve"> </w:t>
      </w:r>
      <w:r w:rsidRPr="000C3B9F">
        <w:rPr>
          <w:rFonts w:ascii="Arial" w:hAnsi="Arial" w:cs="Arial"/>
          <w:bCs/>
          <w:i/>
          <w:iCs/>
          <w:sz w:val="24"/>
          <w:szCs w:val="24"/>
        </w:rPr>
        <w:t>Territory Superannuation Provision Protection Act 2000</w:t>
      </w:r>
      <w:r w:rsidRPr="000C3B9F">
        <w:rPr>
          <w:rFonts w:ascii="Arial" w:hAnsi="Arial" w:cs="Arial"/>
          <w:iCs/>
          <w:sz w:val="24"/>
          <w:szCs w:val="24"/>
        </w:rPr>
        <w:t xml:space="preserve"> (‘the Acts’) to ensure financial investment provisions are drafted consistently across the Acts and accurately reflect the Territory’s </w:t>
      </w:r>
      <w:r w:rsidR="0089773C">
        <w:rPr>
          <w:rFonts w:ascii="Arial" w:hAnsi="Arial" w:cs="Arial"/>
          <w:iCs/>
          <w:sz w:val="24"/>
          <w:szCs w:val="24"/>
        </w:rPr>
        <w:t xml:space="preserve">financial </w:t>
      </w:r>
      <w:r w:rsidRPr="000C3B9F">
        <w:rPr>
          <w:rFonts w:ascii="Arial" w:hAnsi="Arial" w:cs="Arial"/>
          <w:iCs/>
          <w:sz w:val="24"/>
          <w:szCs w:val="24"/>
        </w:rPr>
        <w:t>administrative processes.</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The </w:t>
      </w:r>
      <w:r w:rsidRPr="000C3B9F">
        <w:rPr>
          <w:rFonts w:ascii="Arial" w:hAnsi="Arial" w:cs="Arial"/>
          <w:i/>
          <w:iCs/>
          <w:sz w:val="24"/>
          <w:szCs w:val="24"/>
        </w:rPr>
        <w:t>Financial Management Act</w:t>
      </w:r>
      <w:r w:rsidRPr="000C3B9F">
        <w:rPr>
          <w:rFonts w:ascii="Arial" w:hAnsi="Arial" w:cs="Arial"/>
          <w:iCs/>
          <w:sz w:val="24"/>
          <w:szCs w:val="24"/>
        </w:rPr>
        <w:t xml:space="preserve"> </w:t>
      </w:r>
      <w:r w:rsidRPr="000C3B9F">
        <w:rPr>
          <w:rFonts w:ascii="Arial" w:hAnsi="Arial" w:cs="Arial"/>
          <w:i/>
          <w:iCs/>
          <w:sz w:val="24"/>
          <w:szCs w:val="24"/>
        </w:rPr>
        <w:t xml:space="preserve">1996 </w:t>
      </w:r>
      <w:r w:rsidRPr="000C3B9F">
        <w:rPr>
          <w:rFonts w:ascii="Arial" w:hAnsi="Arial" w:cs="Arial"/>
          <w:iCs/>
          <w:sz w:val="24"/>
          <w:szCs w:val="24"/>
        </w:rPr>
        <w:t xml:space="preserve">(the FMA), section 37 (1) and (2) are amended to replace </w:t>
      </w:r>
      <w:r w:rsidR="0089773C">
        <w:rPr>
          <w:rFonts w:ascii="Arial" w:hAnsi="Arial" w:cs="Arial"/>
          <w:iCs/>
          <w:sz w:val="24"/>
          <w:szCs w:val="24"/>
        </w:rPr>
        <w:t xml:space="preserve">the current </w:t>
      </w:r>
      <w:r w:rsidRPr="000C3B9F">
        <w:rPr>
          <w:rFonts w:ascii="Arial" w:hAnsi="Arial" w:cs="Arial"/>
          <w:iCs/>
          <w:sz w:val="24"/>
          <w:szCs w:val="24"/>
        </w:rPr>
        <w:t>specific exceptions mentioned in subsection (2) with a general exception in subsection (1). Section 37 (1) currently states that ‘an amount must not be paid out of the territory banking account except under an appropriation to a banking account of a territory entity’. Section 37 (1) is subject to section 37 (2), which lists a number of provisions that are exceptions to subsection (1). These exceptions are about transfers between the territory banking account and certain directorate banking accounts to facilitate investment and the payment of interest on certain investments of public money, which may be made without further appropriation.</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Section 37 (2) has not been kept up-to-date and fails to mention several other provisions that are exceptions to section 37 (1). Th</w:t>
      </w:r>
      <w:r w:rsidR="0089773C">
        <w:rPr>
          <w:rFonts w:ascii="Arial" w:hAnsi="Arial" w:cs="Arial"/>
          <w:iCs/>
          <w:sz w:val="24"/>
          <w:szCs w:val="24"/>
        </w:rPr>
        <w:t>e</w:t>
      </w:r>
      <w:r w:rsidRPr="000C3B9F">
        <w:rPr>
          <w:rFonts w:ascii="Arial" w:hAnsi="Arial" w:cs="Arial"/>
          <w:iCs/>
          <w:sz w:val="24"/>
          <w:szCs w:val="24"/>
        </w:rPr>
        <w:t xml:space="preserve"> amendment updates section 37 (1) and (2) by replacing the specific exceptions in subsection (2) with a general exception in subsection (1). This ensure</w:t>
      </w:r>
      <w:r w:rsidR="0089773C">
        <w:rPr>
          <w:rFonts w:ascii="Arial" w:hAnsi="Arial" w:cs="Arial"/>
          <w:iCs/>
          <w:sz w:val="24"/>
          <w:szCs w:val="24"/>
        </w:rPr>
        <w:t>s</w:t>
      </w:r>
      <w:r w:rsidRPr="000C3B9F">
        <w:rPr>
          <w:rFonts w:ascii="Arial" w:hAnsi="Arial" w:cs="Arial"/>
          <w:iCs/>
          <w:sz w:val="24"/>
          <w:szCs w:val="24"/>
        </w:rPr>
        <w:t xml:space="preserve"> any future exceptions to section 37 (1) will be covered without the need to amend section 37.</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The FMA, section 38 (5) </w:t>
      </w:r>
      <w:r w:rsidR="00AA7B71">
        <w:rPr>
          <w:rFonts w:ascii="Arial" w:hAnsi="Arial" w:cs="Arial"/>
          <w:iCs/>
          <w:sz w:val="24"/>
          <w:szCs w:val="24"/>
        </w:rPr>
        <w:t>is</w:t>
      </w:r>
      <w:r w:rsidRPr="000C3B9F">
        <w:rPr>
          <w:rFonts w:ascii="Arial" w:hAnsi="Arial" w:cs="Arial"/>
          <w:iCs/>
          <w:sz w:val="24"/>
          <w:szCs w:val="24"/>
        </w:rPr>
        <w:t xml:space="preserve"> amended to reflect current administrative practice that an investment of public money may be made or managed for the Territory by any entity</w:t>
      </w:r>
      <w:bookmarkStart w:id="7" w:name="_Hlk13134821"/>
      <w:r w:rsidRPr="000C3B9F">
        <w:rPr>
          <w:rFonts w:ascii="Arial" w:hAnsi="Arial" w:cs="Arial"/>
          <w:iCs/>
          <w:sz w:val="24"/>
          <w:szCs w:val="24"/>
        </w:rPr>
        <w:t xml:space="preserve">, including a directorate or an entity other than a directorate, such as an external fund </w:t>
      </w:r>
      <w:r w:rsidRPr="000C3B9F">
        <w:rPr>
          <w:rFonts w:ascii="Arial" w:hAnsi="Arial" w:cs="Arial"/>
          <w:iCs/>
          <w:sz w:val="24"/>
          <w:szCs w:val="24"/>
        </w:rPr>
        <w:lastRenderedPageBreak/>
        <w:t>manager.</w:t>
      </w:r>
      <w:bookmarkEnd w:id="7"/>
      <w:r w:rsidRPr="000C3B9F">
        <w:rPr>
          <w:rFonts w:ascii="Arial" w:hAnsi="Arial" w:cs="Arial"/>
          <w:iCs/>
          <w:sz w:val="24"/>
          <w:szCs w:val="24"/>
        </w:rPr>
        <w:t xml:space="preserve"> The amendment to section 38 (5) also clarifies that fees and expenses reasonably incurred for making or managing an investment may be deducted from the investment as a whole, not just from any interest received for the investment. This is because an entity making or managing an investment for the Territory does not actually receive interest, and in many instances there is no interest actually paid (if, for instance, there is a dividend reinvestment plan in place for the investment). This amendment </w:t>
      </w:r>
      <w:r w:rsidR="00AA7B71">
        <w:rPr>
          <w:rFonts w:ascii="Arial" w:hAnsi="Arial" w:cs="Arial"/>
          <w:iCs/>
          <w:sz w:val="24"/>
          <w:szCs w:val="24"/>
        </w:rPr>
        <w:t>is</w:t>
      </w:r>
      <w:r w:rsidRPr="000C3B9F">
        <w:rPr>
          <w:rFonts w:ascii="Arial" w:hAnsi="Arial" w:cs="Arial"/>
          <w:iCs/>
          <w:sz w:val="24"/>
          <w:szCs w:val="24"/>
        </w:rPr>
        <w:t xml:space="preserve"> replicated in the FMA, section 58 (5), the</w:t>
      </w:r>
      <w:r w:rsidRPr="000C3B9F">
        <w:rPr>
          <w:rFonts w:ascii="Arial" w:hAnsi="Arial" w:cs="Arial"/>
          <w:i/>
          <w:iCs/>
          <w:sz w:val="24"/>
          <w:szCs w:val="24"/>
        </w:rPr>
        <w:t xml:space="preserve"> </w:t>
      </w:r>
      <w:bookmarkStart w:id="8" w:name="_Toc13044234"/>
      <w:r w:rsidRPr="000C3B9F">
        <w:rPr>
          <w:rFonts w:ascii="Arial" w:hAnsi="Arial" w:cs="Arial"/>
          <w:i/>
          <w:iCs/>
          <w:sz w:val="24"/>
          <w:szCs w:val="24"/>
        </w:rPr>
        <w:t>Lifetime Care and Support (Catastrophic Injuries) Act 2014</w:t>
      </w:r>
      <w:bookmarkEnd w:id="8"/>
      <w:r w:rsidRPr="000C3B9F">
        <w:rPr>
          <w:rFonts w:ascii="Arial" w:hAnsi="Arial" w:cs="Arial"/>
          <w:iCs/>
          <w:sz w:val="24"/>
          <w:szCs w:val="24"/>
        </w:rPr>
        <w:t xml:space="preserve">, sections 80 (5) and 82 (3), the </w:t>
      </w:r>
      <w:bookmarkStart w:id="9" w:name="_Hlk12873349"/>
      <w:bookmarkStart w:id="10" w:name="_Toc13044241"/>
      <w:r w:rsidRPr="000C3B9F">
        <w:rPr>
          <w:rFonts w:ascii="Arial" w:hAnsi="Arial" w:cs="Arial"/>
          <w:i/>
          <w:iCs/>
          <w:sz w:val="24"/>
          <w:szCs w:val="24"/>
        </w:rPr>
        <w:t>Public Sector Workers Compensation Fund Act 201</w:t>
      </w:r>
      <w:bookmarkEnd w:id="9"/>
      <w:r w:rsidRPr="000C3B9F">
        <w:rPr>
          <w:rFonts w:ascii="Arial" w:hAnsi="Arial" w:cs="Arial"/>
          <w:i/>
          <w:iCs/>
          <w:sz w:val="24"/>
          <w:szCs w:val="24"/>
        </w:rPr>
        <w:t>8</w:t>
      </w:r>
      <w:bookmarkEnd w:id="10"/>
      <w:r w:rsidRPr="000C3B9F">
        <w:rPr>
          <w:rFonts w:ascii="Arial" w:hAnsi="Arial" w:cs="Arial"/>
          <w:iCs/>
          <w:sz w:val="24"/>
          <w:szCs w:val="24"/>
        </w:rPr>
        <w:t xml:space="preserve">, sections 14 (4) and 15 (3) and the </w:t>
      </w:r>
      <w:bookmarkStart w:id="11" w:name="_Toc13044248"/>
      <w:r w:rsidRPr="000C3B9F">
        <w:rPr>
          <w:rFonts w:ascii="Arial" w:hAnsi="Arial" w:cs="Arial"/>
          <w:i/>
          <w:iCs/>
          <w:sz w:val="24"/>
          <w:szCs w:val="24"/>
        </w:rPr>
        <w:t>Territory Superannuation Provision Protection Act 2000</w:t>
      </w:r>
      <w:bookmarkEnd w:id="11"/>
      <w:r w:rsidRPr="000C3B9F">
        <w:rPr>
          <w:rFonts w:ascii="Arial" w:hAnsi="Arial" w:cs="Arial"/>
          <w:iCs/>
          <w:sz w:val="24"/>
          <w:szCs w:val="24"/>
        </w:rPr>
        <w:t>, sections 11 (4) and 12 (3).</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The FMA, section 38 (8), </w:t>
      </w:r>
      <w:r w:rsidR="00AA7B71">
        <w:rPr>
          <w:rFonts w:ascii="Arial" w:hAnsi="Arial" w:cs="Arial"/>
          <w:iCs/>
          <w:sz w:val="24"/>
          <w:szCs w:val="24"/>
        </w:rPr>
        <w:t>is</w:t>
      </w:r>
      <w:r w:rsidRPr="000C3B9F">
        <w:rPr>
          <w:rFonts w:ascii="Arial" w:hAnsi="Arial" w:cs="Arial"/>
          <w:iCs/>
          <w:sz w:val="24"/>
          <w:szCs w:val="24"/>
        </w:rPr>
        <w:t xml:space="preserve"> omitted </w:t>
      </w:r>
      <w:r w:rsidR="00AA7B71">
        <w:rPr>
          <w:rFonts w:ascii="Arial" w:hAnsi="Arial" w:cs="Arial"/>
          <w:iCs/>
          <w:sz w:val="24"/>
          <w:szCs w:val="24"/>
        </w:rPr>
        <w:t xml:space="preserve">in schedule 1 </w:t>
      </w:r>
      <w:r w:rsidRPr="000C3B9F">
        <w:rPr>
          <w:rFonts w:ascii="Arial" w:hAnsi="Arial" w:cs="Arial"/>
          <w:iCs/>
          <w:sz w:val="24"/>
          <w:szCs w:val="24"/>
        </w:rPr>
        <w:t>because it is redundant. Under s</w:t>
      </w:r>
      <w:r w:rsidR="00AA7B71">
        <w:rPr>
          <w:rFonts w:ascii="Arial" w:hAnsi="Arial" w:cs="Arial"/>
          <w:iCs/>
          <w:sz w:val="24"/>
          <w:szCs w:val="24"/>
        </w:rPr>
        <w:t>ection</w:t>
      </w:r>
      <w:r w:rsidRPr="000C3B9F">
        <w:rPr>
          <w:rFonts w:ascii="Arial" w:hAnsi="Arial" w:cs="Arial"/>
          <w:iCs/>
          <w:sz w:val="24"/>
          <w:szCs w:val="24"/>
        </w:rPr>
        <w:t xml:space="preserve"> 38 (6), the Treasurer may decide the amounts of returns from investments that are to be credited to directorate banking accounts. Under </w:t>
      </w:r>
      <w:r w:rsidR="00AA7B71" w:rsidRPr="000C3B9F">
        <w:rPr>
          <w:rFonts w:ascii="Arial" w:hAnsi="Arial" w:cs="Arial"/>
          <w:iCs/>
          <w:sz w:val="24"/>
          <w:szCs w:val="24"/>
        </w:rPr>
        <w:t>s</w:t>
      </w:r>
      <w:r w:rsidR="00AA7B71">
        <w:rPr>
          <w:rFonts w:ascii="Arial" w:hAnsi="Arial" w:cs="Arial"/>
          <w:iCs/>
          <w:sz w:val="24"/>
          <w:szCs w:val="24"/>
        </w:rPr>
        <w:t>ection</w:t>
      </w:r>
      <w:r w:rsidRPr="000C3B9F">
        <w:rPr>
          <w:rFonts w:ascii="Arial" w:hAnsi="Arial" w:cs="Arial"/>
          <w:iCs/>
          <w:sz w:val="24"/>
          <w:szCs w:val="24"/>
        </w:rPr>
        <w:t xml:space="preserve"> 38 (7), the amounts decided by the Treasurer may be paid from the territory banking account without further appropriation. Section 38 (8) currently states ‘However, the total of the amounts paid under subsection (7) must not exceed the total of the interest received from investments under this section’. Subsection (8) is redundant because the amounts paid under subsection (7) are by necessity already limited to the amounts of returns received from investments under subsection (6).</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The FMA </w:t>
      </w:r>
      <w:r w:rsidR="00AA7B71">
        <w:rPr>
          <w:rFonts w:ascii="Arial" w:hAnsi="Arial" w:cs="Arial"/>
          <w:iCs/>
          <w:sz w:val="24"/>
          <w:szCs w:val="24"/>
        </w:rPr>
        <w:t>is</w:t>
      </w:r>
      <w:r w:rsidRPr="000C3B9F">
        <w:rPr>
          <w:rFonts w:ascii="Arial" w:hAnsi="Arial" w:cs="Arial"/>
          <w:iCs/>
          <w:sz w:val="24"/>
          <w:szCs w:val="24"/>
        </w:rPr>
        <w:t xml:space="preserve"> also amended to omit section 38 (9) and (10). Section 38 (9) currently states that the FMA, section 38 does not apply to money held in a superannuation banking account (as defined under section 38 (10), which is a signpost definition to the </w:t>
      </w:r>
      <w:r w:rsidRPr="000C3B9F">
        <w:rPr>
          <w:rFonts w:ascii="Arial" w:hAnsi="Arial" w:cs="Arial"/>
          <w:i/>
          <w:iCs/>
          <w:sz w:val="24"/>
          <w:szCs w:val="24"/>
        </w:rPr>
        <w:t>Territory Superannuation Provision Protection Act 2000</w:t>
      </w:r>
      <w:r w:rsidRPr="000C3B9F">
        <w:rPr>
          <w:rFonts w:ascii="Arial" w:hAnsi="Arial" w:cs="Arial"/>
          <w:iCs/>
          <w:sz w:val="24"/>
          <w:szCs w:val="24"/>
        </w:rPr>
        <w:t xml:space="preserve">, section 7) or a PSWC fund banking account (as defined under the </w:t>
      </w:r>
      <w:r w:rsidRPr="000C3B9F">
        <w:rPr>
          <w:rFonts w:ascii="Arial" w:hAnsi="Arial" w:cs="Arial"/>
          <w:i/>
          <w:iCs/>
          <w:sz w:val="24"/>
          <w:szCs w:val="24"/>
        </w:rPr>
        <w:t>Public Sector Workers Compensation Fund Act 2018</w:t>
      </w:r>
      <w:r w:rsidRPr="000C3B9F">
        <w:rPr>
          <w:rFonts w:ascii="Arial" w:hAnsi="Arial" w:cs="Arial"/>
          <w:iCs/>
          <w:sz w:val="24"/>
          <w:szCs w:val="24"/>
        </w:rPr>
        <w:t>, section 9). However, section 38 applies to money held in ‘directorate banking accounts’ (see section 38 (1)) and a superannuation banking account and a PSWC fund banking account are both directorate banking accounts.</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This anomaly has persisted since the introduction of the </w:t>
      </w:r>
      <w:r w:rsidRPr="000C3B9F">
        <w:rPr>
          <w:rFonts w:ascii="Arial" w:hAnsi="Arial" w:cs="Arial"/>
          <w:i/>
          <w:iCs/>
          <w:sz w:val="24"/>
          <w:szCs w:val="24"/>
        </w:rPr>
        <w:t xml:space="preserve">Territory Superannuation Provision Protection Bill 2000 </w:t>
      </w:r>
      <w:r w:rsidRPr="000C3B9F">
        <w:rPr>
          <w:rFonts w:ascii="Arial" w:hAnsi="Arial" w:cs="Arial"/>
          <w:iCs/>
          <w:sz w:val="24"/>
          <w:szCs w:val="24"/>
        </w:rPr>
        <w:t xml:space="preserve">and creates confusion across the </w:t>
      </w:r>
      <w:r w:rsidR="00AA7B71">
        <w:rPr>
          <w:rFonts w:ascii="Arial" w:hAnsi="Arial" w:cs="Arial"/>
          <w:iCs/>
          <w:sz w:val="24"/>
          <w:szCs w:val="24"/>
        </w:rPr>
        <w:t>Acts</w:t>
      </w:r>
      <w:r w:rsidRPr="000C3B9F">
        <w:rPr>
          <w:rFonts w:ascii="Arial" w:hAnsi="Arial" w:cs="Arial"/>
          <w:iCs/>
          <w:sz w:val="24"/>
          <w:szCs w:val="24"/>
        </w:rPr>
        <w:t xml:space="preserve">. The omission of </w:t>
      </w:r>
      <w:r w:rsidRPr="000C3B9F">
        <w:rPr>
          <w:rFonts w:ascii="Arial" w:hAnsi="Arial" w:cs="Arial"/>
          <w:iCs/>
          <w:sz w:val="24"/>
          <w:szCs w:val="24"/>
        </w:rPr>
        <w:lastRenderedPageBreak/>
        <w:t>section</w:t>
      </w:r>
      <w:r w:rsidR="00AA7B71">
        <w:rPr>
          <w:rFonts w:ascii="Arial" w:hAnsi="Arial" w:cs="Arial"/>
          <w:iCs/>
          <w:sz w:val="24"/>
          <w:szCs w:val="24"/>
        </w:rPr>
        <w:t> </w:t>
      </w:r>
      <w:r w:rsidRPr="000C3B9F">
        <w:rPr>
          <w:rFonts w:ascii="Arial" w:hAnsi="Arial" w:cs="Arial"/>
          <w:iCs/>
          <w:sz w:val="24"/>
          <w:szCs w:val="24"/>
        </w:rPr>
        <w:t>38 (9) and (10) clarifies the original intention of the FMA, section 38, to apply to directorate banking accounts.</w:t>
      </w:r>
    </w:p>
    <w:p w:rsidR="000C3B9F" w:rsidRDefault="000C3B9F" w:rsidP="000C3B9F">
      <w:pPr>
        <w:spacing w:line="360" w:lineRule="auto"/>
        <w:rPr>
          <w:rFonts w:ascii="Arial" w:hAnsi="Arial" w:cs="Arial"/>
          <w:iCs/>
          <w:sz w:val="24"/>
          <w:szCs w:val="24"/>
          <w:u w:val="single"/>
        </w:rPr>
      </w:pPr>
    </w:p>
    <w:p w:rsidR="000C3B9F" w:rsidRDefault="006D40CB" w:rsidP="000C3B9F">
      <w:pPr>
        <w:spacing w:line="360" w:lineRule="auto"/>
        <w:rPr>
          <w:rFonts w:ascii="Arial" w:hAnsi="Arial" w:cs="Arial"/>
          <w:iCs/>
          <w:sz w:val="24"/>
          <w:szCs w:val="24"/>
        </w:rPr>
      </w:pPr>
      <w:r>
        <w:rPr>
          <w:rFonts w:ascii="Arial" w:hAnsi="Arial" w:cs="Arial"/>
          <w:iCs/>
          <w:sz w:val="24"/>
          <w:szCs w:val="24"/>
        </w:rPr>
        <w:t>To complement the omission of the FMA, section 38 (9) and (1)</w:t>
      </w:r>
      <w:r w:rsidR="000C3B9F" w:rsidRPr="000C3B9F">
        <w:rPr>
          <w:rFonts w:ascii="Arial" w:hAnsi="Arial" w:cs="Arial"/>
          <w:iCs/>
          <w:sz w:val="24"/>
          <w:szCs w:val="24"/>
        </w:rPr>
        <w:t xml:space="preserve">, the </w:t>
      </w:r>
      <w:r w:rsidR="000C3B9F" w:rsidRPr="000C3B9F">
        <w:rPr>
          <w:rFonts w:ascii="Arial" w:hAnsi="Arial" w:cs="Arial"/>
          <w:i/>
          <w:iCs/>
          <w:sz w:val="24"/>
          <w:szCs w:val="24"/>
        </w:rPr>
        <w:t>Lifetime Care and Support (Catastrophic Injuries) Act 2014</w:t>
      </w:r>
      <w:r w:rsidR="000C3B9F" w:rsidRPr="000C3B9F">
        <w:rPr>
          <w:rFonts w:ascii="Arial" w:hAnsi="Arial" w:cs="Arial"/>
          <w:iCs/>
          <w:sz w:val="24"/>
          <w:szCs w:val="24"/>
        </w:rPr>
        <w:t xml:space="preserve">, section 80 (1), the </w:t>
      </w:r>
      <w:r w:rsidR="000C3B9F" w:rsidRPr="000C3B9F">
        <w:rPr>
          <w:rFonts w:ascii="Arial" w:hAnsi="Arial" w:cs="Arial"/>
          <w:i/>
          <w:iCs/>
          <w:sz w:val="24"/>
          <w:szCs w:val="24"/>
        </w:rPr>
        <w:t>Public Sector Workers Compensation Fund Act 2018</w:t>
      </w:r>
      <w:r w:rsidR="000C3B9F" w:rsidRPr="000C3B9F">
        <w:rPr>
          <w:rFonts w:ascii="Arial" w:hAnsi="Arial" w:cs="Arial"/>
          <w:iCs/>
          <w:sz w:val="24"/>
          <w:szCs w:val="24"/>
        </w:rPr>
        <w:t xml:space="preserve">, section 14 (1) and the </w:t>
      </w:r>
      <w:r w:rsidR="000C3B9F" w:rsidRPr="000C3B9F">
        <w:rPr>
          <w:rFonts w:ascii="Arial" w:hAnsi="Arial" w:cs="Arial"/>
          <w:i/>
          <w:iCs/>
          <w:sz w:val="24"/>
          <w:szCs w:val="24"/>
        </w:rPr>
        <w:t>Territory Superannuation Provision Protection Act 2000</w:t>
      </w:r>
      <w:r w:rsidR="000C3B9F" w:rsidRPr="000C3B9F">
        <w:rPr>
          <w:rFonts w:ascii="Arial" w:hAnsi="Arial" w:cs="Arial"/>
          <w:iCs/>
          <w:sz w:val="24"/>
          <w:szCs w:val="24"/>
        </w:rPr>
        <w:t xml:space="preserve">, section 11 (1) </w:t>
      </w:r>
      <w:r>
        <w:rPr>
          <w:rFonts w:ascii="Arial" w:hAnsi="Arial" w:cs="Arial"/>
          <w:iCs/>
          <w:sz w:val="24"/>
          <w:szCs w:val="24"/>
        </w:rPr>
        <w:t>are</w:t>
      </w:r>
      <w:r w:rsidR="000C3B9F" w:rsidRPr="000C3B9F">
        <w:rPr>
          <w:rFonts w:ascii="Arial" w:hAnsi="Arial" w:cs="Arial"/>
          <w:iCs/>
          <w:sz w:val="24"/>
          <w:szCs w:val="24"/>
        </w:rPr>
        <w:t xml:space="preserve"> amended to clarify </w:t>
      </w:r>
      <w:r>
        <w:rPr>
          <w:rFonts w:ascii="Arial" w:hAnsi="Arial" w:cs="Arial"/>
          <w:iCs/>
          <w:sz w:val="24"/>
          <w:szCs w:val="24"/>
        </w:rPr>
        <w:t xml:space="preserve">for each Act </w:t>
      </w:r>
      <w:r w:rsidR="000C3B9F" w:rsidRPr="000C3B9F">
        <w:rPr>
          <w:rFonts w:ascii="Arial" w:hAnsi="Arial" w:cs="Arial"/>
          <w:iCs/>
          <w:sz w:val="24"/>
          <w:szCs w:val="24"/>
        </w:rPr>
        <w:t>that an amount in an LTCS fund banking account, a PSWC fund banking account or a superannuation banking account may be invested by the Treasurer for the</w:t>
      </w:r>
      <w:r>
        <w:rPr>
          <w:rFonts w:ascii="Arial" w:hAnsi="Arial" w:cs="Arial"/>
          <w:iCs/>
          <w:sz w:val="24"/>
          <w:szCs w:val="24"/>
        </w:rPr>
        <w:t xml:space="preserve"> relevant</w:t>
      </w:r>
      <w:r w:rsidR="000C3B9F" w:rsidRPr="000C3B9F">
        <w:rPr>
          <w:rFonts w:ascii="Arial" w:hAnsi="Arial" w:cs="Arial"/>
          <w:iCs/>
          <w:sz w:val="24"/>
          <w:szCs w:val="24"/>
        </w:rPr>
        <w:t xml:space="preserve"> account in an investment mentioned in the FMA, </w:t>
      </w:r>
      <w:r w:rsidR="00AA7B71">
        <w:rPr>
          <w:rFonts w:ascii="Arial" w:hAnsi="Arial" w:cs="Arial"/>
          <w:iCs/>
          <w:sz w:val="24"/>
          <w:szCs w:val="24"/>
        </w:rPr>
        <w:t>section</w:t>
      </w:r>
      <w:r w:rsidR="000C3B9F" w:rsidRPr="000C3B9F">
        <w:rPr>
          <w:rFonts w:ascii="Arial" w:hAnsi="Arial" w:cs="Arial"/>
          <w:iCs/>
          <w:sz w:val="24"/>
          <w:szCs w:val="24"/>
        </w:rPr>
        <w:t> 38 (1) (a) to</w:t>
      </w:r>
      <w:r w:rsidR="00AA7B71">
        <w:rPr>
          <w:rFonts w:ascii="Arial" w:hAnsi="Arial" w:cs="Arial"/>
          <w:iCs/>
          <w:sz w:val="24"/>
          <w:szCs w:val="24"/>
        </w:rPr>
        <w:t> </w:t>
      </w:r>
      <w:r w:rsidR="000C3B9F" w:rsidRPr="000C3B9F">
        <w:rPr>
          <w:rFonts w:ascii="Arial" w:hAnsi="Arial" w:cs="Arial"/>
          <w:iCs/>
          <w:sz w:val="24"/>
          <w:szCs w:val="24"/>
        </w:rPr>
        <w:t>(e). Any such investment by the Treasurer must be consistent with any prescribed investment guidelines.</w:t>
      </w:r>
    </w:p>
    <w:p w:rsidR="000C3B9F" w:rsidRDefault="000C3B9F" w:rsidP="000C3B9F">
      <w:pPr>
        <w:spacing w:line="360" w:lineRule="auto"/>
        <w:rPr>
          <w:rFonts w:ascii="Arial" w:hAnsi="Arial" w:cs="Arial"/>
          <w:iCs/>
          <w:sz w:val="24"/>
          <w:szCs w:val="24"/>
        </w:rPr>
      </w:pPr>
    </w:p>
    <w:p w:rsidR="000C3B9F" w:rsidRPr="000C3B9F" w:rsidRDefault="000C3B9F" w:rsidP="000C3B9F">
      <w:pPr>
        <w:spacing w:line="360" w:lineRule="auto"/>
        <w:rPr>
          <w:rFonts w:ascii="Arial" w:hAnsi="Arial" w:cs="Arial"/>
          <w:iCs/>
          <w:sz w:val="24"/>
          <w:szCs w:val="24"/>
          <w:u w:val="single"/>
        </w:rPr>
      </w:pPr>
      <w:r w:rsidRPr="000C3B9F">
        <w:rPr>
          <w:rFonts w:ascii="Arial" w:hAnsi="Arial" w:cs="Arial"/>
          <w:iCs/>
          <w:sz w:val="24"/>
          <w:szCs w:val="24"/>
        </w:rPr>
        <w:t xml:space="preserve">Finally, a new definition of </w:t>
      </w:r>
      <w:r w:rsidRPr="000C3B9F">
        <w:rPr>
          <w:rFonts w:ascii="Arial" w:hAnsi="Arial" w:cs="Arial"/>
          <w:b/>
          <w:i/>
          <w:iCs/>
          <w:sz w:val="24"/>
          <w:szCs w:val="24"/>
        </w:rPr>
        <w:t>returns</w:t>
      </w:r>
      <w:r w:rsidRPr="000C3B9F">
        <w:rPr>
          <w:rFonts w:ascii="Arial" w:hAnsi="Arial" w:cs="Arial"/>
          <w:iCs/>
          <w:sz w:val="24"/>
          <w:szCs w:val="24"/>
        </w:rPr>
        <w:t xml:space="preserve"> </w:t>
      </w:r>
      <w:r w:rsidR="006D40CB">
        <w:rPr>
          <w:rFonts w:ascii="Arial" w:hAnsi="Arial" w:cs="Arial"/>
          <w:iCs/>
          <w:sz w:val="24"/>
          <w:szCs w:val="24"/>
        </w:rPr>
        <w:t xml:space="preserve">is inserted into the FMA, dictionary </w:t>
      </w:r>
      <w:r w:rsidRPr="000C3B9F">
        <w:rPr>
          <w:rFonts w:ascii="Arial" w:hAnsi="Arial" w:cs="Arial"/>
          <w:iCs/>
          <w:sz w:val="24"/>
          <w:szCs w:val="24"/>
        </w:rPr>
        <w:t xml:space="preserve">to replace the term </w:t>
      </w:r>
      <w:r w:rsidRPr="000C3B9F">
        <w:rPr>
          <w:rFonts w:ascii="Arial" w:hAnsi="Arial" w:cs="Arial"/>
          <w:b/>
          <w:i/>
          <w:iCs/>
          <w:sz w:val="24"/>
          <w:szCs w:val="24"/>
        </w:rPr>
        <w:t>interest</w:t>
      </w:r>
      <w:r w:rsidRPr="000C3B9F">
        <w:rPr>
          <w:rFonts w:ascii="Arial" w:hAnsi="Arial" w:cs="Arial"/>
          <w:iCs/>
          <w:sz w:val="24"/>
          <w:szCs w:val="24"/>
        </w:rPr>
        <w:t xml:space="preserve"> in relation to investments. The FMA currently refers to ‘interest’ received from investments of public money. The dictionary defines </w:t>
      </w:r>
      <w:r w:rsidRPr="000C3B9F">
        <w:rPr>
          <w:rFonts w:ascii="Arial" w:hAnsi="Arial" w:cs="Arial"/>
          <w:b/>
          <w:i/>
          <w:iCs/>
          <w:sz w:val="24"/>
          <w:szCs w:val="24"/>
        </w:rPr>
        <w:t>interest</w:t>
      </w:r>
      <w:r w:rsidRPr="000C3B9F">
        <w:rPr>
          <w:rFonts w:ascii="Arial" w:hAnsi="Arial" w:cs="Arial"/>
          <w:iCs/>
          <w:sz w:val="24"/>
          <w:szCs w:val="24"/>
        </w:rPr>
        <w:t xml:space="preserve"> to include ‘a dividend and any other financial return on a deposit, loan or other investment’. However, the ordinary meaning of ‘interest’ would not usually include returns on investments such as dividends, capital gains or distributions. </w:t>
      </w:r>
      <w:r w:rsidR="006D40CB">
        <w:rPr>
          <w:rFonts w:ascii="Arial" w:hAnsi="Arial" w:cs="Arial"/>
          <w:iCs/>
          <w:sz w:val="24"/>
          <w:szCs w:val="24"/>
        </w:rPr>
        <w:t>The</w:t>
      </w:r>
      <w:r w:rsidRPr="000C3B9F">
        <w:rPr>
          <w:rFonts w:ascii="Arial" w:hAnsi="Arial" w:cs="Arial"/>
          <w:iCs/>
          <w:sz w:val="24"/>
          <w:szCs w:val="24"/>
        </w:rPr>
        <w:t xml:space="preserve"> new definition of </w:t>
      </w:r>
      <w:r w:rsidRPr="000C3B9F">
        <w:rPr>
          <w:rFonts w:ascii="Arial" w:hAnsi="Arial" w:cs="Arial"/>
          <w:b/>
          <w:i/>
          <w:iCs/>
          <w:sz w:val="24"/>
          <w:szCs w:val="24"/>
        </w:rPr>
        <w:t>returns</w:t>
      </w:r>
      <w:r w:rsidRPr="000C3B9F">
        <w:rPr>
          <w:rFonts w:ascii="Arial" w:hAnsi="Arial" w:cs="Arial"/>
          <w:iCs/>
          <w:sz w:val="24"/>
          <w:szCs w:val="24"/>
        </w:rPr>
        <w:t xml:space="preserve"> includes interest, dividends, capital gains, distributions and any other financial return on an investment. The new definition of </w:t>
      </w:r>
      <w:r w:rsidRPr="000C3B9F">
        <w:rPr>
          <w:rFonts w:ascii="Arial" w:hAnsi="Arial" w:cs="Arial"/>
          <w:b/>
          <w:i/>
          <w:iCs/>
          <w:sz w:val="24"/>
          <w:szCs w:val="24"/>
        </w:rPr>
        <w:t>returns</w:t>
      </w:r>
      <w:r w:rsidRPr="000C3B9F">
        <w:rPr>
          <w:rFonts w:ascii="Arial" w:hAnsi="Arial" w:cs="Arial"/>
          <w:iCs/>
          <w:sz w:val="24"/>
          <w:szCs w:val="24"/>
        </w:rPr>
        <w:t xml:space="preserve"> </w:t>
      </w:r>
      <w:r w:rsidR="006D40CB">
        <w:rPr>
          <w:rFonts w:ascii="Arial" w:hAnsi="Arial" w:cs="Arial"/>
          <w:iCs/>
          <w:sz w:val="24"/>
          <w:szCs w:val="24"/>
        </w:rPr>
        <w:t>is</w:t>
      </w:r>
      <w:r w:rsidRPr="000C3B9F">
        <w:rPr>
          <w:rFonts w:ascii="Arial" w:hAnsi="Arial" w:cs="Arial"/>
          <w:iCs/>
          <w:sz w:val="24"/>
          <w:szCs w:val="24"/>
        </w:rPr>
        <w:t xml:space="preserve"> also inserted in</w:t>
      </w:r>
      <w:r w:rsidR="006D40CB">
        <w:rPr>
          <w:rFonts w:ascii="Arial" w:hAnsi="Arial" w:cs="Arial"/>
          <w:iCs/>
          <w:sz w:val="24"/>
          <w:szCs w:val="24"/>
        </w:rPr>
        <w:t>to</w:t>
      </w:r>
      <w:r w:rsidRPr="000C3B9F">
        <w:rPr>
          <w:rFonts w:ascii="Arial" w:hAnsi="Arial" w:cs="Arial"/>
          <w:iCs/>
          <w:sz w:val="24"/>
          <w:szCs w:val="24"/>
        </w:rPr>
        <w:t xml:space="preserve"> the </w:t>
      </w:r>
      <w:r w:rsidRPr="000C3B9F">
        <w:rPr>
          <w:rFonts w:ascii="Arial" w:hAnsi="Arial" w:cs="Arial"/>
          <w:i/>
          <w:iCs/>
          <w:sz w:val="24"/>
          <w:szCs w:val="24"/>
        </w:rPr>
        <w:t>Lifetime Care and Support (Catastrophic Injuries) Act 2014</w:t>
      </w:r>
      <w:r w:rsidRPr="000C3B9F">
        <w:rPr>
          <w:rFonts w:ascii="Arial" w:hAnsi="Arial" w:cs="Arial"/>
          <w:iCs/>
          <w:sz w:val="24"/>
          <w:szCs w:val="24"/>
        </w:rPr>
        <w:t xml:space="preserve">, the </w:t>
      </w:r>
      <w:r w:rsidRPr="000C3B9F">
        <w:rPr>
          <w:rFonts w:ascii="Arial" w:hAnsi="Arial" w:cs="Arial"/>
          <w:i/>
          <w:iCs/>
          <w:sz w:val="24"/>
          <w:szCs w:val="24"/>
        </w:rPr>
        <w:t>Public Sector Workers Compensation Fund Act 2018</w:t>
      </w:r>
      <w:r w:rsidRPr="000C3B9F">
        <w:rPr>
          <w:rFonts w:ascii="Arial" w:hAnsi="Arial" w:cs="Arial"/>
          <w:iCs/>
          <w:sz w:val="24"/>
          <w:szCs w:val="24"/>
        </w:rPr>
        <w:t xml:space="preserve"> and the </w:t>
      </w:r>
      <w:r w:rsidRPr="000C3B9F">
        <w:rPr>
          <w:rFonts w:ascii="Arial" w:hAnsi="Arial" w:cs="Arial"/>
          <w:i/>
          <w:iCs/>
          <w:sz w:val="24"/>
          <w:szCs w:val="24"/>
        </w:rPr>
        <w:t>Territory Superannuation Provision Protection Act 2000</w:t>
      </w:r>
      <w:r w:rsidRPr="000C3B9F">
        <w:rPr>
          <w:rFonts w:ascii="Arial" w:hAnsi="Arial" w:cs="Arial"/>
          <w:iCs/>
          <w:sz w:val="24"/>
          <w:szCs w:val="24"/>
        </w:rPr>
        <w:t xml:space="preserve">, and all relevant occurrences of ‘interest’ </w:t>
      </w:r>
      <w:r w:rsidR="006D40CB">
        <w:rPr>
          <w:rFonts w:ascii="Arial" w:hAnsi="Arial" w:cs="Arial"/>
          <w:iCs/>
          <w:sz w:val="24"/>
          <w:szCs w:val="24"/>
        </w:rPr>
        <w:t xml:space="preserve">in each of the Acts </w:t>
      </w:r>
      <w:r w:rsidRPr="000C3B9F">
        <w:rPr>
          <w:rFonts w:ascii="Arial" w:hAnsi="Arial" w:cs="Arial"/>
          <w:iCs/>
          <w:sz w:val="24"/>
          <w:szCs w:val="24"/>
        </w:rPr>
        <w:t>will be replaced with ‘returns’.</w:t>
      </w:r>
    </w:p>
    <w:p w:rsidR="000C3B9F" w:rsidRDefault="000C3B9F" w:rsidP="000C3B9F">
      <w:pPr>
        <w:spacing w:line="360" w:lineRule="auto"/>
        <w:rPr>
          <w:rFonts w:ascii="Arial" w:hAnsi="Arial" w:cs="Arial"/>
          <w:iCs/>
          <w:sz w:val="24"/>
          <w:szCs w:val="24"/>
          <w:u w:val="single"/>
        </w:rPr>
      </w:pPr>
    </w:p>
    <w:p w:rsidR="000C3B9F" w:rsidRDefault="000C3B9F" w:rsidP="000C3B9F">
      <w:pPr>
        <w:spacing w:line="360" w:lineRule="auto"/>
        <w:rPr>
          <w:rFonts w:ascii="Arial" w:hAnsi="Arial" w:cs="Arial"/>
          <w:iCs/>
          <w:sz w:val="24"/>
          <w:szCs w:val="24"/>
          <w:u w:val="single"/>
        </w:rPr>
      </w:pPr>
      <w:r w:rsidRPr="000C3B9F">
        <w:rPr>
          <w:rFonts w:ascii="Arial" w:hAnsi="Arial" w:cs="Arial"/>
          <w:iCs/>
          <w:sz w:val="24"/>
          <w:szCs w:val="24"/>
          <w:u w:val="single"/>
        </w:rPr>
        <w:t>Motor Accident Injuries Act 2019</w:t>
      </w:r>
    </w:p>
    <w:p w:rsidR="00872930" w:rsidRDefault="000C3B9F" w:rsidP="00872930">
      <w:pPr>
        <w:spacing w:line="360" w:lineRule="auto"/>
        <w:rPr>
          <w:rFonts w:ascii="Arial" w:hAnsi="Arial" w:cs="Arial"/>
          <w:iCs/>
          <w:sz w:val="24"/>
          <w:szCs w:val="24"/>
          <w:u w:val="single"/>
        </w:rPr>
      </w:pPr>
      <w:r w:rsidRPr="000C3B9F">
        <w:rPr>
          <w:rFonts w:ascii="Arial" w:hAnsi="Arial" w:cs="Arial"/>
          <w:iCs/>
          <w:sz w:val="24"/>
          <w:szCs w:val="24"/>
        </w:rPr>
        <w:t>Schedule 1 amend</w:t>
      </w:r>
      <w:r w:rsidR="006D40CB">
        <w:rPr>
          <w:rFonts w:ascii="Arial" w:hAnsi="Arial" w:cs="Arial"/>
          <w:iCs/>
          <w:sz w:val="24"/>
          <w:szCs w:val="24"/>
        </w:rPr>
        <w:t>s</w:t>
      </w:r>
      <w:r w:rsidRPr="000C3B9F">
        <w:rPr>
          <w:rFonts w:ascii="Arial" w:hAnsi="Arial" w:cs="Arial"/>
          <w:iCs/>
          <w:sz w:val="24"/>
          <w:szCs w:val="24"/>
        </w:rPr>
        <w:t xml:space="preserve"> the </w:t>
      </w:r>
      <w:r w:rsidRPr="000C3B9F">
        <w:rPr>
          <w:rFonts w:ascii="Arial" w:hAnsi="Arial" w:cs="Arial"/>
          <w:i/>
          <w:iCs/>
          <w:sz w:val="24"/>
          <w:szCs w:val="24"/>
        </w:rPr>
        <w:t>Motor Accident Injuries Act 2019</w:t>
      </w:r>
      <w:r w:rsidRPr="000C3B9F">
        <w:rPr>
          <w:rFonts w:ascii="Arial" w:hAnsi="Arial" w:cs="Arial"/>
          <w:iCs/>
          <w:sz w:val="24"/>
          <w:szCs w:val="24"/>
        </w:rPr>
        <w:t>, sections 96 and</w:t>
      </w:r>
      <w:r w:rsidR="00872930">
        <w:rPr>
          <w:rFonts w:ascii="Arial" w:hAnsi="Arial" w:cs="Arial"/>
          <w:iCs/>
          <w:sz w:val="24"/>
          <w:szCs w:val="24"/>
        </w:rPr>
        <w:t> </w:t>
      </w:r>
      <w:r w:rsidRPr="000C3B9F">
        <w:rPr>
          <w:rFonts w:ascii="Arial" w:hAnsi="Arial" w:cs="Arial"/>
          <w:iCs/>
          <w:sz w:val="24"/>
          <w:szCs w:val="24"/>
        </w:rPr>
        <w:t>97, which set out formulas for working out an injured person’s entitlement to income replacement benefits. Section 96 sets out the formula for working out an injured person’s entitlement to income replacement benefits for each week the person is entitled to the benefits during the</w:t>
      </w:r>
      <w:r w:rsidRPr="006D40CB">
        <w:rPr>
          <w:rFonts w:ascii="Arial" w:hAnsi="Arial" w:cs="Arial"/>
          <w:iCs/>
          <w:sz w:val="24"/>
          <w:szCs w:val="24"/>
        </w:rPr>
        <w:t xml:space="preserve"> </w:t>
      </w:r>
      <w:r w:rsidRPr="006D40CB">
        <w:rPr>
          <w:rFonts w:ascii="Arial" w:hAnsi="Arial" w:cs="Arial"/>
          <w:iCs/>
          <w:sz w:val="24"/>
          <w:szCs w:val="24"/>
          <w:u w:val="single"/>
        </w:rPr>
        <w:t>first</w:t>
      </w:r>
      <w:r w:rsidRPr="000C3B9F">
        <w:rPr>
          <w:rFonts w:ascii="Arial" w:hAnsi="Arial" w:cs="Arial"/>
          <w:iCs/>
          <w:sz w:val="24"/>
          <w:szCs w:val="24"/>
        </w:rPr>
        <w:t xml:space="preserve"> payment period. Section 97 sets out the formula for working </w:t>
      </w:r>
      <w:r w:rsidRPr="000C3B9F">
        <w:rPr>
          <w:rFonts w:ascii="Arial" w:hAnsi="Arial" w:cs="Arial"/>
          <w:iCs/>
          <w:sz w:val="24"/>
          <w:szCs w:val="24"/>
        </w:rPr>
        <w:lastRenderedPageBreak/>
        <w:t xml:space="preserve">out an injured person’s entitlement to income replacement benefits for each week the person is entitled to the benefits during the </w:t>
      </w:r>
      <w:r w:rsidRPr="006D40CB">
        <w:rPr>
          <w:rFonts w:ascii="Arial" w:hAnsi="Arial" w:cs="Arial"/>
          <w:iCs/>
          <w:sz w:val="24"/>
          <w:szCs w:val="24"/>
          <w:u w:val="single"/>
        </w:rPr>
        <w:t>second</w:t>
      </w:r>
      <w:r w:rsidRPr="000C3B9F">
        <w:rPr>
          <w:rFonts w:ascii="Arial" w:hAnsi="Arial" w:cs="Arial"/>
          <w:iCs/>
          <w:sz w:val="24"/>
          <w:szCs w:val="24"/>
        </w:rPr>
        <w:t xml:space="preserve"> payment period. The amendments revise the formulas to include a superannuation component for low income earners. The component is based on the superannuation guarantee rate set out in the </w:t>
      </w:r>
      <w:r w:rsidRPr="000C3B9F">
        <w:rPr>
          <w:rFonts w:ascii="Arial" w:hAnsi="Arial" w:cs="Arial"/>
          <w:i/>
          <w:iCs/>
          <w:sz w:val="24"/>
          <w:szCs w:val="24"/>
        </w:rPr>
        <w:t>Superannuation Guarantee (Administration) Act 1992</w:t>
      </w:r>
      <w:r w:rsidRPr="000C3B9F">
        <w:rPr>
          <w:rFonts w:ascii="Arial" w:hAnsi="Arial" w:cs="Arial"/>
          <w:iCs/>
          <w:sz w:val="24"/>
          <w:szCs w:val="24"/>
        </w:rPr>
        <w:t xml:space="preserve"> (Cwlth). </w:t>
      </w:r>
    </w:p>
    <w:p w:rsidR="00872930" w:rsidRDefault="00872930" w:rsidP="00872930">
      <w:pPr>
        <w:spacing w:line="360" w:lineRule="auto"/>
        <w:rPr>
          <w:rFonts w:ascii="Arial" w:hAnsi="Arial" w:cs="Arial"/>
          <w:iCs/>
          <w:sz w:val="24"/>
          <w:szCs w:val="24"/>
          <w:u w:val="single"/>
        </w:rPr>
      </w:pPr>
    </w:p>
    <w:p w:rsidR="00872930" w:rsidRDefault="000C3B9F" w:rsidP="00872930">
      <w:pPr>
        <w:spacing w:line="360" w:lineRule="auto"/>
        <w:rPr>
          <w:rFonts w:ascii="Arial" w:hAnsi="Arial" w:cs="Arial"/>
          <w:iCs/>
          <w:sz w:val="24"/>
          <w:szCs w:val="24"/>
          <w:u w:val="single"/>
        </w:rPr>
      </w:pPr>
      <w:r w:rsidRPr="000C3B9F">
        <w:rPr>
          <w:rFonts w:ascii="Arial" w:hAnsi="Arial" w:cs="Arial"/>
          <w:iCs/>
          <w:sz w:val="24"/>
          <w:szCs w:val="24"/>
        </w:rPr>
        <w:t xml:space="preserve">The amendments of sections 96 and 97, and consequential changes to section 76, are necessary to give effect to the intention behind 3 Assembly amendments of section 76 moved during the debate of the </w:t>
      </w:r>
      <w:r w:rsidRPr="000C3B9F">
        <w:rPr>
          <w:rFonts w:ascii="Arial" w:hAnsi="Arial" w:cs="Arial"/>
          <w:i/>
          <w:iCs/>
          <w:sz w:val="24"/>
          <w:szCs w:val="24"/>
        </w:rPr>
        <w:t>Motor Accident Injuries Bill 2019</w:t>
      </w:r>
      <w:r w:rsidRPr="000C3B9F">
        <w:rPr>
          <w:rFonts w:ascii="Arial" w:hAnsi="Arial" w:cs="Arial"/>
          <w:iCs/>
          <w:sz w:val="24"/>
          <w:szCs w:val="24"/>
        </w:rPr>
        <w:t>. There are several technical issues with the Assembly amendments which the amendments of sections 96 and 97 resolve. Section 76 is amended to reverse the Assembly amendments.</w:t>
      </w:r>
    </w:p>
    <w:p w:rsidR="00872930" w:rsidRDefault="00872930" w:rsidP="00872930">
      <w:pPr>
        <w:spacing w:line="360" w:lineRule="auto"/>
        <w:rPr>
          <w:rFonts w:ascii="Arial" w:hAnsi="Arial" w:cs="Arial"/>
          <w:iCs/>
          <w:sz w:val="24"/>
          <w:szCs w:val="24"/>
          <w:u w:val="single"/>
        </w:rPr>
      </w:pPr>
    </w:p>
    <w:p w:rsidR="000C3B9F" w:rsidRDefault="000C3B9F" w:rsidP="00872930">
      <w:pPr>
        <w:spacing w:line="360" w:lineRule="auto"/>
        <w:rPr>
          <w:rFonts w:ascii="Arial" w:hAnsi="Arial" w:cs="Arial"/>
          <w:iCs/>
          <w:sz w:val="24"/>
          <w:szCs w:val="24"/>
          <w:u w:val="single"/>
        </w:rPr>
      </w:pPr>
      <w:r w:rsidRPr="000C3B9F">
        <w:rPr>
          <w:rFonts w:ascii="Arial" w:hAnsi="Arial" w:cs="Arial"/>
          <w:iCs/>
          <w:sz w:val="24"/>
          <w:szCs w:val="24"/>
        </w:rPr>
        <w:t xml:space="preserve">Schedule 1 also revises the definition of </w:t>
      </w:r>
      <w:r w:rsidRPr="000C3B9F">
        <w:rPr>
          <w:rFonts w:ascii="Arial" w:hAnsi="Arial" w:cs="Arial"/>
          <w:b/>
          <w:i/>
          <w:iCs/>
          <w:sz w:val="24"/>
          <w:szCs w:val="24"/>
        </w:rPr>
        <w:t>private medical examiner</w:t>
      </w:r>
      <w:r w:rsidRPr="000C3B9F">
        <w:rPr>
          <w:rFonts w:ascii="Arial" w:hAnsi="Arial" w:cs="Arial"/>
          <w:iCs/>
          <w:sz w:val="24"/>
          <w:szCs w:val="24"/>
        </w:rPr>
        <w:t xml:space="preserve"> in section 145 to require a private medical examiner to have both qualifications </w:t>
      </w:r>
      <w:r w:rsidRPr="00CF7380">
        <w:rPr>
          <w:rFonts w:ascii="Arial" w:hAnsi="Arial" w:cs="Arial"/>
          <w:iCs/>
          <w:sz w:val="24"/>
          <w:szCs w:val="24"/>
          <w:u w:val="single"/>
        </w:rPr>
        <w:t>and</w:t>
      </w:r>
      <w:r w:rsidRPr="000C3B9F">
        <w:rPr>
          <w:rFonts w:ascii="Arial" w:hAnsi="Arial" w:cs="Arial"/>
          <w:iCs/>
          <w:sz w:val="24"/>
          <w:szCs w:val="24"/>
        </w:rPr>
        <w:t xml:space="preserve"> experience</w:t>
      </w:r>
      <w:r w:rsidR="006D40CB">
        <w:rPr>
          <w:rFonts w:ascii="Arial" w:hAnsi="Arial" w:cs="Arial"/>
          <w:iCs/>
          <w:sz w:val="24"/>
          <w:szCs w:val="24"/>
        </w:rPr>
        <w:t xml:space="preserve">, </w:t>
      </w:r>
      <w:r w:rsidR="006D40CB" w:rsidRPr="000C3B9F">
        <w:rPr>
          <w:rFonts w:ascii="Arial" w:hAnsi="Arial" w:cs="Arial"/>
          <w:iCs/>
          <w:sz w:val="24"/>
          <w:szCs w:val="24"/>
        </w:rPr>
        <w:t xml:space="preserve">rather than qualifications </w:t>
      </w:r>
      <w:r w:rsidR="006D40CB" w:rsidRPr="006D40CB">
        <w:rPr>
          <w:rFonts w:ascii="Arial" w:hAnsi="Arial" w:cs="Arial"/>
          <w:iCs/>
          <w:sz w:val="24"/>
          <w:szCs w:val="24"/>
          <w:u w:val="single"/>
        </w:rPr>
        <w:t>or</w:t>
      </w:r>
      <w:r w:rsidR="006D40CB" w:rsidRPr="000C3B9F">
        <w:rPr>
          <w:rFonts w:ascii="Arial" w:hAnsi="Arial" w:cs="Arial"/>
          <w:iCs/>
          <w:sz w:val="24"/>
          <w:szCs w:val="24"/>
        </w:rPr>
        <w:t xml:space="preserve"> experience</w:t>
      </w:r>
      <w:r w:rsidR="006D40CB">
        <w:rPr>
          <w:rFonts w:ascii="Arial" w:hAnsi="Arial" w:cs="Arial"/>
          <w:iCs/>
          <w:sz w:val="24"/>
          <w:szCs w:val="24"/>
        </w:rPr>
        <w:t>,</w:t>
      </w:r>
      <w:r w:rsidRPr="000C3B9F">
        <w:rPr>
          <w:rFonts w:ascii="Arial" w:hAnsi="Arial" w:cs="Arial"/>
          <w:iCs/>
          <w:sz w:val="24"/>
          <w:szCs w:val="24"/>
        </w:rPr>
        <w:t xml:space="preserve"> that are relevant to the nature of an injured person’s injuries.</w:t>
      </w:r>
    </w:p>
    <w:p w:rsidR="00872930" w:rsidRPr="000C3B9F" w:rsidRDefault="00872930" w:rsidP="00872930">
      <w:pPr>
        <w:spacing w:line="360" w:lineRule="auto"/>
        <w:rPr>
          <w:rFonts w:ascii="Arial" w:hAnsi="Arial" w:cs="Arial"/>
          <w:iCs/>
          <w:sz w:val="24"/>
          <w:szCs w:val="24"/>
          <w:u w:val="single"/>
        </w:rPr>
      </w:pPr>
    </w:p>
    <w:p w:rsidR="00872930" w:rsidRDefault="000C3B9F" w:rsidP="00872930">
      <w:pPr>
        <w:spacing w:line="360" w:lineRule="auto"/>
        <w:rPr>
          <w:rFonts w:ascii="Arial" w:hAnsi="Arial" w:cs="Arial"/>
          <w:iCs/>
          <w:sz w:val="24"/>
          <w:szCs w:val="24"/>
          <w:u w:val="single"/>
        </w:rPr>
      </w:pPr>
      <w:r w:rsidRPr="000C3B9F">
        <w:rPr>
          <w:rFonts w:ascii="Arial" w:hAnsi="Arial" w:cs="Arial"/>
          <w:iCs/>
          <w:sz w:val="24"/>
          <w:szCs w:val="24"/>
          <w:u w:val="single"/>
        </w:rPr>
        <w:t>Public Health Act 1997</w:t>
      </w:r>
      <w:bookmarkStart w:id="12" w:name="_Hlk13133705"/>
    </w:p>
    <w:p w:rsidR="00872930" w:rsidRDefault="000C3B9F" w:rsidP="00872930">
      <w:pPr>
        <w:spacing w:line="360" w:lineRule="auto"/>
        <w:rPr>
          <w:rFonts w:ascii="Arial" w:hAnsi="Arial" w:cs="Arial"/>
          <w:iCs/>
          <w:sz w:val="24"/>
          <w:szCs w:val="24"/>
          <w:u w:val="single"/>
        </w:rPr>
      </w:pPr>
      <w:r w:rsidRPr="000C3B9F">
        <w:rPr>
          <w:rFonts w:ascii="Arial" w:hAnsi="Arial" w:cs="Arial"/>
          <w:iCs/>
          <w:sz w:val="24"/>
          <w:szCs w:val="24"/>
        </w:rPr>
        <w:t xml:space="preserve">Under the </w:t>
      </w:r>
      <w:r w:rsidRPr="000C3B9F">
        <w:rPr>
          <w:rFonts w:ascii="Arial" w:hAnsi="Arial" w:cs="Arial"/>
          <w:i/>
          <w:iCs/>
          <w:sz w:val="24"/>
          <w:szCs w:val="24"/>
        </w:rPr>
        <w:t>Public Health Act 1997</w:t>
      </w:r>
      <w:r w:rsidRPr="000C3B9F">
        <w:rPr>
          <w:rFonts w:ascii="Arial" w:hAnsi="Arial" w:cs="Arial"/>
          <w:iCs/>
          <w:sz w:val="24"/>
          <w:szCs w:val="24"/>
        </w:rPr>
        <w:t xml:space="preserve">, section 138 (2) (c), the </w:t>
      </w:r>
      <w:bookmarkStart w:id="13" w:name="_Hlk14179535"/>
      <w:r w:rsidRPr="000C3B9F">
        <w:rPr>
          <w:rFonts w:ascii="Arial" w:hAnsi="Arial" w:cs="Arial"/>
          <w:iCs/>
          <w:sz w:val="24"/>
          <w:szCs w:val="24"/>
        </w:rPr>
        <w:t>Executive may make regulations in relation to ‘cervical cytology’</w:t>
      </w:r>
      <w:bookmarkEnd w:id="13"/>
      <w:r w:rsidRPr="000C3B9F">
        <w:rPr>
          <w:rFonts w:ascii="Arial" w:hAnsi="Arial" w:cs="Arial"/>
          <w:iCs/>
          <w:sz w:val="24"/>
          <w:szCs w:val="24"/>
        </w:rPr>
        <w:t>. Schedule 1 proposes to omit section</w:t>
      </w:r>
      <w:r w:rsidR="00872930">
        <w:rPr>
          <w:rFonts w:ascii="Arial" w:hAnsi="Arial" w:cs="Arial"/>
          <w:iCs/>
          <w:sz w:val="24"/>
          <w:szCs w:val="24"/>
        </w:rPr>
        <w:t> </w:t>
      </w:r>
      <w:r w:rsidRPr="000C3B9F">
        <w:rPr>
          <w:rFonts w:ascii="Arial" w:hAnsi="Arial" w:cs="Arial"/>
          <w:iCs/>
          <w:sz w:val="24"/>
          <w:szCs w:val="24"/>
        </w:rPr>
        <w:t>138</w:t>
      </w:r>
      <w:r w:rsidR="00872930">
        <w:rPr>
          <w:rFonts w:ascii="Arial" w:hAnsi="Arial" w:cs="Arial"/>
          <w:iCs/>
          <w:sz w:val="24"/>
          <w:szCs w:val="24"/>
        </w:rPr>
        <w:t> </w:t>
      </w:r>
      <w:r w:rsidRPr="000C3B9F">
        <w:rPr>
          <w:rFonts w:ascii="Arial" w:hAnsi="Arial" w:cs="Arial"/>
          <w:iCs/>
          <w:sz w:val="24"/>
          <w:szCs w:val="24"/>
        </w:rPr>
        <w:t>(2)</w:t>
      </w:r>
      <w:r w:rsidR="00872930">
        <w:rPr>
          <w:rFonts w:ascii="Arial" w:hAnsi="Arial" w:cs="Arial"/>
          <w:iCs/>
          <w:sz w:val="24"/>
          <w:szCs w:val="24"/>
        </w:rPr>
        <w:t> </w:t>
      </w:r>
      <w:r w:rsidRPr="000C3B9F">
        <w:rPr>
          <w:rFonts w:ascii="Arial" w:hAnsi="Arial" w:cs="Arial"/>
          <w:iCs/>
          <w:sz w:val="24"/>
          <w:szCs w:val="24"/>
        </w:rPr>
        <w:t xml:space="preserve">(c) </w:t>
      </w:r>
      <w:r w:rsidR="00CF7380">
        <w:rPr>
          <w:rFonts w:ascii="Arial" w:hAnsi="Arial" w:cs="Arial"/>
          <w:iCs/>
          <w:sz w:val="24"/>
          <w:szCs w:val="24"/>
        </w:rPr>
        <w:t>because</w:t>
      </w:r>
      <w:r w:rsidRPr="000C3B9F">
        <w:rPr>
          <w:rFonts w:ascii="Arial" w:hAnsi="Arial" w:cs="Arial"/>
          <w:iCs/>
          <w:sz w:val="24"/>
          <w:szCs w:val="24"/>
        </w:rPr>
        <w:t xml:space="preserve"> cervical cytology </w:t>
      </w:r>
      <w:bookmarkStart w:id="14" w:name="_Hlk14179561"/>
      <w:r w:rsidRPr="000C3B9F">
        <w:rPr>
          <w:rFonts w:ascii="Arial" w:hAnsi="Arial" w:cs="Arial"/>
          <w:iCs/>
          <w:sz w:val="24"/>
          <w:szCs w:val="24"/>
        </w:rPr>
        <w:t>is now a Commonwealth responsibility</w:t>
      </w:r>
      <w:bookmarkEnd w:id="14"/>
      <w:r w:rsidRPr="000C3B9F">
        <w:rPr>
          <w:rFonts w:ascii="Arial" w:hAnsi="Arial" w:cs="Arial"/>
          <w:iCs/>
          <w:sz w:val="24"/>
          <w:szCs w:val="24"/>
        </w:rPr>
        <w:t>.</w:t>
      </w:r>
    </w:p>
    <w:p w:rsidR="00872930" w:rsidRDefault="00872930" w:rsidP="00872930">
      <w:pPr>
        <w:spacing w:line="360" w:lineRule="auto"/>
        <w:rPr>
          <w:rFonts w:ascii="Arial" w:hAnsi="Arial" w:cs="Arial"/>
          <w:iCs/>
          <w:sz w:val="24"/>
          <w:szCs w:val="24"/>
          <w:u w:val="single"/>
        </w:rPr>
      </w:pPr>
    </w:p>
    <w:p w:rsidR="00872930" w:rsidRDefault="000C3B9F" w:rsidP="00872930">
      <w:pPr>
        <w:spacing w:line="360" w:lineRule="auto"/>
        <w:rPr>
          <w:rFonts w:ascii="Arial" w:hAnsi="Arial" w:cs="Arial"/>
          <w:iCs/>
          <w:sz w:val="24"/>
          <w:szCs w:val="24"/>
          <w:u w:val="single"/>
        </w:rPr>
      </w:pPr>
      <w:r w:rsidRPr="000C3B9F">
        <w:rPr>
          <w:rFonts w:ascii="Arial" w:hAnsi="Arial" w:cs="Arial"/>
          <w:iCs/>
          <w:sz w:val="24"/>
          <w:szCs w:val="24"/>
        </w:rPr>
        <w:t xml:space="preserve">The </w:t>
      </w:r>
      <w:r w:rsidRPr="000C3B9F">
        <w:rPr>
          <w:rFonts w:ascii="Arial" w:hAnsi="Arial" w:cs="Arial"/>
          <w:i/>
          <w:iCs/>
          <w:sz w:val="24"/>
          <w:szCs w:val="24"/>
        </w:rPr>
        <w:t xml:space="preserve">National Cancer Screening Register Act 2016 </w:t>
      </w:r>
      <w:r w:rsidRPr="000C3B9F">
        <w:rPr>
          <w:rFonts w:ascii="Arial" w:hAnsi="Arial" w:cs="Arial"/>
          <w:iCs/>
          <w:sz w:val="24"/>
          <w:szCs w:val="24"/>
        </w:rPr>
        <w:t>(Cwlth) established the authority to implement and maintain a National Cancer Screening Register (NCSR). The NCSR replaces the previously separate State and Territory cervical screening registers, including the ACT Cervical Cytology Register.</w:t>
      </w:r>
    </w:p>
    <w:p w:rsidR="00872930" w:rsidRDefault="00872930" w:rsidP="00872930">
      <w:pPr>
        <w:spacing w:line="360" w:lineRule="auto"/>
        <w:rPr>
          <w:rFonts w:ascii="Arial" w:hAnsi="Arial" w:cs="Arial"/>
          <w:iCs/>
          <w:sz w:val="24"/>
          <w:szCs w:val="24"/>
          <w:u w:val="single"/>
        </w:rPr>
      </w:pPr>
    </w:p>
    <w:p w:rsidR="000C3B9F" w:rsidRPr="000C3B9F" w:rsidRDefault="000C3B9F" w:rsidP="00872930">
      <w:pPr>
        <w:spacing w:line="360" w:lineRule="auto"/>
        <w:rPr>
          <w:rFonts w:ascii="Arial" w:hAnsi="Arial" w:cs="Arial"/>
          <w:iCs/>
          <w:sz w:val="24"/>
          <w:szCs w:val="24"/>
          <w:u w:val="single"/>
        </w:rPr>
      </w:pPr>
      <w:r w:rsidRPr="000C3B9F">
        <w:rPr>
          <w:rFonts w:ascii="Arial" w:hAnsi="Arial" w:cs="Arial"/>
          <w:iCs/>
          <w:sz w:val="24"/>
          <w:szCs w:val="24"/>
        </w:rPr>
        <w:t xml:space="preserve">The </w:t>
      </w:r>
      <w:r w:rsidRPr="000C3B9F">
        <w:rPr>
          <w:rFonts w:ascii="Arial" w:hAnsi="Arial" w:cs="Arial"/>
          <w:i/>
          <w:iCs/>
          <w:sz w:val="24"/>
          <w:szCs w:val="24"/>
        </w:rPr>
        <w:t>Public Health Amendment Regulation 2017 (No 1)</w:t>
      </w:r>
      <w:r w:rsidRPr="000C3B9F">
        <w:rPr>
          <w:rFonts w:ascii="Arial" w:hAnsi="Arial" w:cs="Arial"/>
          <w:iCs/>
          <w:sz w:val="24"/>
          <w:szCs w:val="24"/>
        </w:rPr>
        <w:t xml:space="preserve"> and the </w:t>
      </w:r>
      <w:r w:rsidRPr="000C3B9F">
        <w:rPr>
          <w:rFonts w:ascii="Arial" w:hAnsi="Arial" w:cs="Arial"/>
          <w:i/>
          <w:iCs/>
          <w:sz w:val="24"/>
          <w:szCs w:val="24"/>
        </w:rPr>
        <w:t>Public Health Amendment Regulation 2019 (No 1)</w:t>
      </w:r>
      <w:r w:rsidRPr="000C3B9F">
        <w:rPr>
          <w:rFonts w:ascii="Arial" w:hAnsi="Arial" w:cs="Arial"/>
          <w:iCs/>
          <w:sz w:val="24"/>
          <w:szCs w:val="24"/>
        </w:rPr>
        <w:t xml:space="preserve"> amended the </w:t>
      </w:r>
      <w:r w:rsidRPr="000C3B9F">
        <w:rPr>
          <w:rFonts w:ascii="Arial" w:hAnsi="Arial" w:cs="Arial"/>
          <w:i/>
          <w:iCs/>
          <w:sz w:val="24"/>
          <w:szCs w:val="24"/>
        </w:rPr>
        <w:t>Public Health Regulation 2000</w:t>
      </w:r>
      <w:r w:rsidRPr="000C3B9F">
        <w:rPr>
          <w:rFonts w:ascii="Arial" w:hAnsi="Arial" w:cs="Arial"/>
          <w:iCs/>
          <w:sz w:val="24"/>
          <w:szCs w:val="24"/>
        </w:rPr>
        <w:t xml:space="preserve"> to omit part 3 (Cervical cytology register) and update any references to cervical cytology to facilitate a phased transition from the ACT Cervical Cytology Register to the NCSR. This transition is now complete and the ACT Cervical Cytology Register has been </w:t>
      </w:r>
      <w:r w:rsidRPr="000C3B9F">
        <w:rPr>
          <w:rFonts w:ascii="Arial" w:hAnsi="Arial" w:cs="Arial"/>
          <w:iCs/>
          <w:sz w:val="24"/>
          <w:szCs w:val="24"/>
        </w:rPr>
        <w:lastRenderedPageBreak/>
        <w:t>decommissioned. As such, there is no longer any need for the Executive to be able to make regulations about cervical cytology, meaning section 138 (2) (c) is redundant.</w:t>
      </w:r>
    </w:p>
    <w:bookmarkEnd w:id="12"/>
    <w:p w:rsidR="00872930" w:rsidRDefault="00872930" w:rsidP="000C3B9F">
      <w:pPr>
        <w:spacing w:line="360" w:lineRule="auto"/>
        <w:rPr>
          <w:rFonts w:ascii="Arial" w:hAnsi="Arial" w:cs="Arial"/>
          <w:iCs/>
          <w:sz w:val="24"/>
          <w:szCs w:val="24"/>
          <w:u w:val="single"/>
        </w:rPr>
      </w:pPr>
    </w:p>
    <w:p w:rsidR="00B41C91" w:rsidRPr="00855495" w:rsidRDefault="00B41C91">
      <w:pPr>
        <w:pStyle w:val="BodyText3"/>
      </w:pPr>
      <w:r w:rsidRPr="00855495">
        <w:t>Schedule 2 — Structural amendments of Legislation Act</w:t>
      </w:r>
    </w:p>
    <w:p w:rsidR="00A97067" w:rsidRDefault="00A97067">
      <w:pPr>
        <w:spacing w:line="360" w:lineRule="auto"/>
        <w:rPr>
          <w:rFonts w:ascii="Arial" w:hAnsi="Arial" w:cs="Arial"/>
          <w:i/>
          <w:iCs/>
          <w:color w:val="000000"/>
          <w:sz w:val="24"/>
        </w:rPr>
      </w:pPr>
      <w:r w:rsidRPr="00EE148D">
        <w:rPr>
          <w:rFonts w:ascii="Arial" w:hAnsi="Arial" w:cs="Arial"/>
          <w:color w:val="000000"/>
          <w:sz w:val="24"/>
        </w:rPr>
        <w:t>Schedule 2 is reserved for minor, non-controversial amendments of the</w:t>
      </w:r>
      <w:r w:rsidRPr="00EE148D">
        <w:rPr>
          <w:rFonts w:ascii="Arial" w:hAnsi="Arial" w:cs="Arial"/>
          <w:i/>
          <w:color w:val="000000"/>
          <w:sz w:val="24"/>
        </w:rPr>
        <w:t xml:space="preserve"> Legislation Act 2001</w:t>
      </w:r>
      <w:r w:rsidRPr="00EE148D">
        <w:rPr>
          <w:rFonts w:ascii="Arial" w:hAnsi="Arial" w:cs="Arial"/>
          <w:color w:val="000000"/>
          <w:sz w:val="24"/>
        </w:rPr>
        <w:t xml:space="preserve"> initiated by the P</w:t>
      </w:r>
      <w:r>
        <w:rPr>
          <w:rFonts w:ascii="Arial" w:hAnsi="Arial" w:cs="Arial"/>
          <w:color w:val="000000"/>
          <w:sz w:val="24"/>
        </w:rPr>
        <w:t xml:space="preserve">arliamentary Counsel’s Office. </w:t>
      </w:r>
      <w:r w:rsidRPr="00EE148D">
        <w:rPr>
          <w:rFonts w:ascii="Arial" w:hAnsi="Arial" w:cs="Arial"/>
          <w:color w:val="000000"/>
          <w:sz w:val="24"/>
          <w:szCs w:val="24"/>
        </w:rPr>
        <w:t>Th</w:t>
      </w:r>
      <w:r w:rsidR="00D23DEC">
        <w:rPr>
          <w:rFonts w:ascii="Arial" w:hAnsi="Arial" w:cs="Arial"/>
          <w:color w:val="000000"/>
          <w:sz w:val="24"/>
          <w:szCs w:val="24"/>
        </w:rPr>
        <w:t>e</w:t>
      </w:r>
      <w:r w:rsidRPr="00EE148D">
        <w:rPr>
          <w:rFonts w:ascii="Arial" w:hAnsi="Arial" w:cs="Arial"/>
          <w:color w:val="000000"/>
          <w:sz w:val="24"/>
          <w:szCs w:val="24"/>
        </w:rPr>
        <w:t xml:space="preserve"> bill does not provide for such amendments but the schedule heading is retained to preserve the usual numbering of schedule 3.</w:t>
      </w:r>
    </w:p>
    <w:p w:rsidR="00A97067" w:rsidRPr="00855495" w:rsidRDefault="00A97067">
      <w:pPr>
        <w:spacing w:line="360" w:lineRule="auto"/>
        <w:rPr>
          <w:rFonts w:ascii="Arial" w:hAnsi="Arial" w:cs="Arial"/>
          <w:i/>
          <w:iCs/>
          <w:color w:val="000000"/>
          <w:sz w:val="24"/>
        </w:rPr>
      </w:pPr>
    </w:p>
    <w:p w:rsidR="00B41C91" w:rsidRPr="00860224" w:rsidRDefault="00B41C91">
      <w:pPr>
        <w:keepNext/>
        <w:spacing w:line="360" w:lineRule="auto"/>
        <w:ind w:left="480" w:hanging="480"/>
        <w:rPr>
          <w:rFonts w:ascii="Arial" w:hAnsi="Arial" w:cs="Arial"/>
          <w:b/>
          <w:color w:val="000000"/>
          <w:sz w:val="24"/>
        </w:rPr>
      </w:pPr>
      <w:r w:rsidRPr="00860224">
        <w:rPr>
          <w:rFonts w:ascii="Arial" w:hAnsi="Arial" w:cs="Arial"/>
          <w:b/>
          <w:color w:val="000000"/>
          <w:sz w:val="24"/>
        </w:rPr>
        <w:t xml:space="preserve">Schedule 3 — Technical amendments </w:t>
      </w:r>
    </w:p>
    <w:p w:rsidR="00B41C91" w:rsidRPr="00860224" w:rsidRDefault="00B41C91">
      <w:pPr>
        <w:spacing w:line="360" w:lineRule="auto"/>
        <w:rPr>
          <w:rFonts w:ascii="Arial" w:hAnsi="Arial" w:cs="Arial"/>
          <w:color w:val="000000"/>
          <w:sz w:val="24"/>
        </w:rPr>
      </w:pPr>
      <w:r w:rsidRPr="00860224">
        <w:rPr>
          <w:rFonts w:ascii="Arial" w:hAnsi="Arial" w:cs="Arial"/>
          <w:sz w:val="24"/>
        </w:rPr>
        <w:t xml:space="preserve">Schedule 3 contains minor or </w:t>
      </w:r>
      <w:r w:rsidRPr="00860224">
        <w:rPr>
          <w:rFonts w:ascii="Arial" w:hAnsi="Arial" w:cs="Arial"/>
          <w:color w:val="000000"/>
          <w:sz w:val="24"/>
        </w:rPr>
        <w:t>technical</w:t>
      </w:r>
      <w:r w:rsidRPr="00860224">
        <w:rPr>
          <w:rFonts w:ascii="Arial" w:hAnsi="Arial" w:cs="Arial"/>
          <w:sz w:val="24"/>
        </w:rPr>
        <w:t xml:space="preserve"> amendments of legislation initiated by the Parliamentary Counsel’s Office. </w:t>
      </w:r>
      <w:r w:rsidRPr="00860224">
        <w:rPr>
          <w:rFonts w:ascii="Arial" w:hAnsi="Arial" w:cs="Arial"/>
          <w:color w:val="000000"/>
          <w:sz w:val="24"/>
        </w:rPr>
        <w:t>Each amendment is explained in an explanatory note in the schedule.</w:t>
      </w:r>
    </w:p>
    <w:p w:rsidR="00B41C91" w:rsidRPr="00860224" w:rsidRDefault="00B41C91">
      <w:pPr>
        <w:pStyle w:val="aExplanText"/>
        <w:spacing w:before="0" w:after="0" w:line="360" w:lineRule="auto"/>
        <w:jc w:val="left"/>
        <w:rPr>
          <w:rFonts w:ascii="Arial" w:hAnsi="Arial" w:cs="Arial"/>
          <w:sz w:val="24"/>
        </w:rPr>
      </w:pPr>
    </w:p>
    <w:p w:rsidR="00D957C9" w:rsidRPr="000C1F78" w:rsidRDefault="00B41C91" w:rsidP="006A3D4A">
      <w:pPr>
        <w:spacing w:line="360" w:lineRule="auto"/>
        <w:rPr>
          <w:rFonts w:ascii="Arial" w:hAnsi="Arial" w:cs="Arial"/>
          <w:sz w:val="24"/>
          <w:szCs w:val="24"/>
        </w:rPr>
      </w:pPr>
      <w:r w:rsidRPr="00860224">
        <w:rPr>
          <w:rFonts w:ascii="Arial" w:hAnsi="Arial" w:cs="Arial"/>
          <w:sz w:val="24"/>
        </w:rPr>
        <w:t>The amendments include the correction of minor errors, updating language,</w:t>
      </w:r>
      <w:r w:rsidR="004D5F35" w:rsidRPr="00860224">
        <w:rPr>
          <w:rFonts w:ascii="Arial" w:hAnsi="Arial" w:cs="Arial"/>
          <w:sz w:val="24"/>
        </w:rPr>
        <w:t xml:space="preserve"> adding note</w:t>
      </w:r>
      <w:r w:rsidR="00BD1E63" w:rsidRPr="00860224">
        <w:rPr>
          <w:rFonts w:ascii="Arial" w:hAnsi="Arial" w:cs="Arial"/>
          <w:sz w:val="24"/>
        </w:rPr>
        <w:t>s,</w:t>
      </w:r>
      <w:r w:rsidRPr="00860224">
        <w:rPr>
          <w:rFonts w:ascii="Arial" w:hAnsi="Arial" w:cs="Arial"/>
          <w:sz w:val="24"/>
        </w:rPr>
        <w:t xml:space="preserve"> improving syntax</w:t>
      </w:r>
      <w:r w:rsidR="00CA0A83" w:rsidRPr="00860224">
        <w:rPr>
          <w:rFonts w:ascii="Arial" w:hAnsi="Arial" w:cs="Arial"/>
          <w:sz w:val="24"/>
        </w:rPr>
        <w:t xml:space="preserve">, omitting redundant provisions </w:t>
      </w:r>
      <w:r w:rsidRPr="00860224">
        <w:rPr>
          <w:rFonts w:ascii="Arial" w:hAnsi="Arial" w:cs="Arial"/>
          <w:sz w:val="24"/>
        </w:rPr>
        <w:t>and other minor changes to update or improve the form of legislation.</w:t>
      </w:r>
      <w:r w:rsidR="00E231D9" w:rsidRPr="000C1F78">
        <w:rPr>
          <w:rFonts w:ascii="Arial" w:hAnsi="Arial" w:cs="Arial"/>
          <w:sz w:val="24"/>
          <w:szCs w:val="24"/>
        </w:rPr>
        <w:t xml:space="preserve"> </w:t>
      </w:r>
    </w:p>
    <w:sectPr w:rsidR="00D957C9" w:rsidRPr="000C1F78" w:rsidSect="00CC16D3">
      <w:headerReference w:type="even" r:id="rId7"/>
      <w:headerReference w:type="default" r:id="rId8"/>
      <w:footerReference w:type="even" r:id="rId9"/>
      <w:footerReference w:type="default" r:id="rId10"/>
      <w:headerReference w:type="first" r:id="rId11"/>
      <w:footerReference w:type="first" r:id="rId12"/>
      <w:pgSz w:w="11907" w:h="16839" w:code="9"/>
      <w:pgMar w:top="1700" w:right="1340" w:bottom="1700" w:left="1340" w:header="800" w:footer="7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495" w:rsidRDefault="00855495">
      <w:r>
        <w:separator/>
      </w:r>
    </w:p>
  </w:endnote>
  <w:endnote w:type="continuationSeparator" w:id="0">
    <w:p w:rsidR="00855495" w:rsidRDefault="008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Default="00855495" w:rsidP="00537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55495" w:rsidRDefault="00855495" w:rsidP="00C539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Default="00855495">
    <w:pPr>
      <w:pStyle w:val="Footer"/>
      <w:framePr w:wrap="around" w:vAnchor="text" w:hAnchor="margin" w:xAlign="center" w:y="1"/>
      <w:rPr>
        <w:rStyle w:val="PageNumber"/>
      </w:rPr>
    </w:pPr>
  </w:p>
  <w:p w:rsidR="00855495" w:rsidRDefault="00855495" w:rsidP="005373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5BE">
      <w:rPr>
        <w:rStyle w:val="PageNumber"/>
        <w:noProof/>
      </w:rPr>
      <w:t>9</w:t>
    </w:r>
    <w:r>
      <w:rPr>
        <w:rStyle w:val="PageNumber"/>
      </w:rPr>
      <w:fldChar w:fldCharType="end"/>
    </w:r>
  </w:p>
  <w:p w:rsidR="00855495" w:rsidRPr="007D0855" w:rsidRDefault="007D0855" w:rsidP="007D0855">
    <w:pPr>
      <w:pStyle w:val="Footer"/>
      <w:ind w:right="360"/>
      <w:jc w:val="center"/>
      <w:rPr>
        <w:rFonts w:ascii="Arial" w:hAnsi="Arial" w:cs="Arial"/>
        <w:sz w:val="14"/>
      </w:rPr>
    </w:pPr>
    <w:r w:rsidRPr="007D085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Pr="007D0855" w:rsidRDefault="007D0855" w:rsidP="007D0855">
    <w:pPr>
      <w:pStyle w:val="Footer"/>
      <w:jc w:val="center"/>
      <w:rPr>
        <w:rFonts w:ascii="Arial" w:hAnsi="Arial" w:cs="Arial"/>
        <w:sz w:val="14"/>
      </w:rPr>
    </w:pPr>
    <w:r w:rsidRPr="007D085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495" w:rsidRDefault="00855495">
      <w:r>
        <w:separator/>
      </w:r>
    </w:p>
  </w:footnote>
  <w:footnote w:type="continuationSeparator" w:id="0">
    <w:p w:rsidR="00855495" w:rsidRDefault="008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Default="00855495" w:rsidP="00CC1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55495" w:rsidRDefault="00855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Default="00855495">
    <w:pPr>
      <w:pStyle w:val="Header"/>
      <w:jc w:val="center"/>
    </w:pPr>
  </w:p>
  <w:p w:rsidR="00855495" w:rsidRDefault="008554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495" w:rsidRDefault="00855495">
    <w:pPr>
      <w:jc w:val="right"/>
      <w:rPr>
        <w:rFonts w:ascii="Helvetica" w:hAnsi="Helvetica"/>
        <w:b/>
      </w:rPr>
    </w:pPr>
  </w:p>
  <w:p w:rsidR="00855495" w:rsidRDefault="00855495">
    <w:pPr>
      <w:pStyle w:val="Header"/>
    </w:pPr>
  </w:p>
  <w:p w:rsidR="00855495" w:rsidRDefault="00855495">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7BCA"/>
    <w:multiLevelType w:val="hybridMultilevel"/>
    <w:tmpl w:val="71707364"/>
    <w:lvl w:ilvl="0" w:tplc="A3D6EAEC">
      <w:start w:val="1"/>
      <w:numFmt w:val="bullet"/>
      <w:lvlText w:val=""/>
      <w:lvlJc w:val="left"/>
      <w:pPr>
        <w:tabs>
          <w:tab w:val="num" w:pos="400"/>
        </w:tabs>
        <w:ind w:left="4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9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02D63"/>
    <w:multiLevelType w:val="singleLevel"/>
    <w:tmpl w:val="EA30BF64"/>
    <w:lvl w:ilvl="0">
      <w:start w:val="7"/>
      <w:numFmt w:val="decimal"/>
      <w:lvlText w:val="%1."/>
      <w:lvlJc w:val="left"/>
      <w:pPr>
        <w:tabs>
          <w:tab w:val="num" w:pos="720"/>
        </w:tabs>
        <w:ind w:left="720" w:hanging="720"/>
      </w:pPr>
      <w:rPr>
        <w:rFonts w:hint="default"/>
      </w:rPr>
    </w:lvl>
  </w:abstractNum>
  <w:abstractNum w:abstractNumId="3" w15:restartNumberingAfterBreak="0">
    <w:nsid w:val="0B2D5C74"/>
    <w:multiLevelType w:val="multilevel"/>
    <w:tmpl w:val="23A86F3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0C0252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3057D"/>
    <w:multiLevelType w:val="hybridMultilevel"/>
    <w:tmpl w:val="54AA88A8"/>
    <w:lvl w:ilvl="0" w:tplc="7CC05566">
      <w:start w:val="1"/>
      <w:numFmt w:val="bullet"/>
      <w:lvlText w:val=""/>
      <w:lvlJc w:val="left"/>
      <w:pPr>
        <w:tabs>
          <w:tab w:val="num" w:pos="2540"/>
        </w:tabs>
        <w:ind w:left="2540" w:hanging="400"/>
      </w:pPr>
      <w:rPr>
        <w:rFonts w:ascii="Symbol" w:hAnsi="Symbol" w:hint="default"/>
        <w:sz w:val="20"/>
      </w:rPr>
    </w:lvl>
    <w:lvl w:ilvl="1" w:tplc="8D0ECB2E" w:tentative="1">
      <w:start w:val="1"/>
      <w:numFmt w:val="bullet"/>
      <w:lvlText w:val="o"/>
      <w:lvlJc w:val="left"/>
      <w:pPr>
        <w:tabs>
          <w:tab w:val="num" w:pos="1440"/>
        </w:tabs>
        <w:ind w:left="1440" w:hanging="360"/>
      </w:pPr>
      <w:rPr>
        <w:rFonts w:ascii="Courier New" w:hAnsi="Courier New" w:hint="default"/>
      </w:rPr>
    </w:lvl>
    <w:lvl w:ilvl="2" w:tplc="21983AA0" w:tentative="1">
      <w:start w:val="1"/>
      <w:numFmt w:val="bullet"/>
      <w:lvlText w:val=""/>
      <w:lvlJc w:val="left"/>
      <w:pPr>
        <w:tabs>
          <w:tab w:val="num" w:pos="2160"/>
        </w:tabs>
        <w:ind w:left="2160" w:hanging="360"/>
      </w:pPr>
      <w:rPr>
        <w:rFonts w:ascii="Wingdings" w:hAnsi="Wingdings" w:hint="default"/>
      </w:rPr>
    </w:lvl>
    <w:lvl w:ilvl="3" w:tplc="6FF8F97C" w:tentative="1">
      <w:start w:val="1"/>
      <w:numFmt w:val="bullet"/>
      <w:lvlText w:val=""/>
      <w:lvlJc w:val="left"/>
      <w:pPr>
        <w:tabs>
          <w:tab w:val="num" w:pos="2880"/>
        </w:tabs>
        <w:ind w:left="2880" w:hanging="360"/>
      </w:pPr>
      <w:rPr>
        <w:rFonts w:ascii="Symbol" w:hAnsi="Symbol" w:hint="default"/>
      </w:rPr>
    </w:lvl>
    <w:lvl w:ilvl="4" w:tplc="D60C1D5C" w:tentative="1">
      <w:start w:val="1"/>
      <w:numFmt w:val="bullet"/>
      <w:lvlText w:val="o"/>
      <w:lvlJc w:val="left"/>
      <w:pPr>
        <w:tabs>
          <w:tab w:val="num" w:pos="3600"/>
        </w:tabs>
        <w:ind w:left="3600" w:hanging="360"/>
      </w:pPr>
      <w:rPr>
        <w:rFonts w:ascii="Courier New" w:hAnsi="Courier New" w:hint="default"/>
      </w:rPr>
    </w:lvl>
    <w:lvl w:ilvl="5" w:tplc="99DABC56" w:tentative="1">
      <w:start w:val="1"/>
      <w:numFmt w:val="bullet"/>
      <w:lvlText w:val=""/>
      <w:lvlJc w:val="left"/>
      <w:pPr>
        <w:tabs>
          <w:tab w:val="num" w:pos="4320"/>
        </w:tabs>
        <w:ind w:left="4320" w:hanging="360"/>
      </w:pPr>
      <w:rPr>
        <w:rFonts w:ascii="Wingdings" w:hAnsi="Wingdings" w:hint="default"/>
      </w:rPr>
    </w:lvl>
    <w:lvl w:ilvl="6" w:tplc="A126CC0A" w:tentative="1">
      <w:start w:val="1"/>
      <w:numFmt w:val="bullet"/>
      <w:lvlText w:val=""/>
      <w:lvlJc w:val="left"/>
      <w:pPr>
        <w:tabs>
          <w:tab w:val="num" w:pos="5040"/>
        </w:tabs>
        <w:ind w:left="5040" w:hanging="360"/>
      </w:pPr>
      <w:rPr>
        <w:rFonts w:ascii="Symbol" w:hAnsi="Symbol" w:hint="default"/>
      </w:rPr>
    </w:lvl>
    <w:lvl w:ilvl="7" w:tplc="488A2ED6" w:tentative="1">
      <w:start w:val="1"/>
      <w:numFmt w:val="bullet"/>
      <w:lvlText w:val="o"/>
      <w:lvlJc w:val="left"/>
      <w:pPr>
        <w:tabs>
          <w:tab w:val="num" w:pos="5760"/>
        </w:tabs>
        <w:ind w:left="5760" w:hanging="360"/>
      </w:pPr>
      <w:rPr>
        <w:rFonts w:ascii="Courier New" w:hAnsi="Courier New" w:hint="default"/>
      </w:rPr>
    </w:lvl>
    <w:lvl w:ilvl="8" w:tplc="540CA2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13630"/>
    <w:multiLevelType w:val="hybridMultilevel"/>
    <w:tmpl w:val="383A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31A62"/>
    <w:multiLevelType w:val="multilevel"/>
    <w:tmpl w:val="E9089BC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ascii="Times New Roman" w:hAnsi="Times New Roman" w:hint="default"/>
        <w:b w:val="0"/>
        <w:i w:val="0"/>
        <w:sz w:val="24"/>
      </w:rPr>
    </w:lvl>
    <w:lvl w:ilvl="7">
      <w:start w:val="1"/>
      <w:numFmt w:val="lowerRoman"/>
      <w:lvlText w:val="(%8)"/>
      <w:lvlJc w:val="right"/>
      <w:pPr>
        <w:tabs>
          <w:tab w:val="num" w:pos="2140"/>
        </w:tabs>
        <w:ind w:left="2140" w:hanging="200"/>
      </w:pPr>
      <w:rPr>
        <w:rFonts w:ascii="Times New Roman" w:hAnsi="Times New Roman" w:hint="default"/>
        <w:b w:val="0"/>
        <w:i w:val="0"/>
        <w:sz w:val="24"/>
      </w:rPr>
    </w:lvl>
    <w:lvl w:ilvl="8">
      <w:start w:val="1"/>
      <w:numFmt w:val="upperLetter"/>
      <w:lvlText w:val="(%9)"/>
      <w:lvlJc w:val="right"/>
      <w:pPr>
        <w:tabs>
          <w:tab w:val="num" w:pos="2660"/>
        </w:tabs>
        <w:ind w:left="2660" w:hanging="200"/>
      </w:pPr>
      <w:rPr>
        <w:rFonts w:hint="default"/>
        <w:b w:val="0"/>
        <w:i w:val="0"/>
      </w:rPr>
    </w:lvl>
  </w:abstractNum>
  <w:abstractNum w:abstractNumId="8" w15:restartNumberingAfterBreak="0">
    <w:nsid w:val="15A33C59"/>
    <w:multiLevelType w:val="singleLevel"/>
    <w:tmpl w:val="EA30BF64"/>
    <w:lvl w:ilvl="0">
      <w:start w:val="7"/>
      <w:numFmt w:val="decimal"/>
      <w:lvlText w:val="%1."/>
      <w:lvlJc w:val="left"/>
      <w:pPr>
        <w:tabs>
          <w:tab w:val="num" w:pos="720"/>
        </w:tabs>
        <w:ind w:left="720" w:hanging="720"/>
      </w:pPr>
      <w:rPr>
        <w:rFonts w:hint="default"/>
      </w:rPr>
    </w:lvl>
  </w:abstractNum>
  <w:abstractNum w:abstractNumId="9" w15:restartNumberingAfterBreak="0">
    <w:nsid w:val="178F71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32977"/>
    <w:multiLevelType w:val="multilevel"/>
    <w:tmpl w:val="41B67940"/>
    <w:lvl w:ilvl="0">
      <w:start w:val="1"/>
      <w:numFmt w:val="decimal"/>
      <w:pStyle w:val="Sched-heading"/>
      <w:lvlText w:val="Schedule %1"/>
      <w:lvlJc w:val="left"/>
      <w:pPr>
        <w:tabs>
          <w:tab w:val="num" w:pos="2600"/>
        </w:tabs>
        <w:ind w:left="2600" w:hanging="2600"/>
      </w:pPr>
      <w:rPr>
        <w:b/>
        <w:i w:val="0"/>
      </w:rPr>
    </w:lvl>
    <w:lvl w:ilvl="1">
      <w:start w:val="1"/>
      <w:numFmt w:val="decimal"/>
      <w:pStyle w:val="Sched-Part"/>
      <w:lvlText w:val="Part %1.%2"/>
      <w:lvlJc w:val="left"/>
      <w:pPr>
        <w:tabs>
          <w:tab w:val="num" w:pos="2600"/>
        </w:tabs>
        <w:ind w:left="2600" w:hanging="2600"/>
      </w:pPr>
      <w:rPr>
        <w:b/>
        <w:i w:val="0"/>
      </w:rPr>
    </w:lvl>
    <w:lvl w:ilvl="2">
      <w:start w:val="1"/>
      <w:numFmt w:val="decimal"/>
      <w:pStyle w:val="Sched-Form"/>
      <w:lvlText w:val="Division %1.%2.%3"/>
      <w:lvlJc w:val="left"/>
      <w:pPr>
        <w:tabs>
          <w:tab w:val="num" w:pos="2600"/>
        </w:tabs>
        <w:ind w:left="2600" w:hanging="2600"/>
      </w:pPr>
      <w:rPr>
        <w:b/>
        <w:i w:val="0"/>
      </w:rPr>
    </w:lvl>
    <w:lvl w:ilvl="3">
      <w:start w:val="1"/>
      <w:numFmt w:val="decimal"/>
      <w:lvlRestart w:val="1"/>
      <w:pStyle w:val="ShadedSchClause"/>
      <w:lvlText w:val="[%1.%4]"/>
      <w:lvlJc w:val="left"/>
      <w:pPr>
        <w:tabs>
          <w:tab w:val="num" w:pos="700"/>
        </w:tabs>
        <w:ind w:left="700" w:hanging="700"/>
      </w:pPr>
      <w:rPr>
        <w:b/>
        <w:i w:val="0"/>
      </w:rPr>
    </w:lvl>
    <w:lvl w:ilvl="4">
      <w:start w:val="1"/>
      <w:numFmt w:val="decimal"/>
      <w:lvlRestart w:val="1"/>
      <w:pStyle w:val="Schclauseheading"/>
      <w:lvlText w:val="%5"/>
      <w:lvlJc w:val="left"/>
      <w:pPr>
        <w:tabs>
          <w:tab w:val="num" w:pos="700"/>
        </w:tabs>
        <w:ind w:left="700" w:hanging="7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A2D558C"/>
    <w:multiLevelType w:val="hybridMultilevel"/>
    <w:tmpl w:val="296C5C38"/>
    <w:lvl w:ilvl="0" w:tplc="A0BE393E">
      <w:start w:val="1"/>
      <w:numFmt w:val="bullet"/>
      <w:lvlText w:val=""/>
      <w:lvlJc w:val="left"/>
      <w:pPr>
        <w:tabs>
          <w:tab w:val="num" w:pos="1500"/>
        </w:tabs>
        <w:ind w:left="1500" w:hanging="400"/>
      </w:pPr>
      <w:rPr>
        <w:rFonts w:ascii="Symbol" w:hAnsi="Symbol" w:hint="default"/>
        <w:sz w:val="20"/>
      </w:rPr>
    </w:lvl>
    <w:lvl w:ilvl="1" w:tplc="695C84C6" w:tentative="1">
      <w:start w:val="1"/>
      <w:numFmt w:val="bullet"/>
      <w:lvlText w:val="o"/>
      <w:lvlJc w:val="left"/>
      <w:pPr>
        <w:tabs>
          <w:tab w:val="num" w:pos="1440"/>
        </w:tabs>
        <w:ind w:left="1440" w:hanging="360"/>
      </w:pPr>
      <w:rPr>
        <w:rFonts w:ascii="Courier New" w:hAnsi="Courier New" w:cs="Courier New" w:hint="default"/>
      </w:rPr>
    </w:lvl>
    <w:lvl w:ilvl="2" w:tplc="FED0026E" w:tentative="1">
      <w:start w:val="1"/>
      <w:numFmt w:val="bullet"/>
      <w:lvlText w:val=""/>
      <w:lvlJc w:val="left"/>
      <w:pPr>
        <w:tabs>
          <w:tab w:val="num" w:pos="2160"/>
        </w:tabs>
        <w:ind w:left="2160" w:hanging="360"/>
      </w:pPr>
      <w:rPr>
        <w:rFonts w:ascii="Wingdings" w:hAnsi="Wingdings" w:hint="default"/>
      </w:rPr>
    </w:lvl>
    <w:lvl w:ilvl="3" w:tplc="7F46286A" w:tentative="1">
      <w:start w:val="1"/>
      <w:numFmt w:val="bullet"/>
      <w:lvlText w:val=""/>
      <w:lvlJc w:val="left"/>
      <w:pPr>
        <w:tabs>
          <w:tab w:val="num" w:pos="2880"/>
        </w:tabs>
        <w:ind w:left="2880" w:hanging="360"/>
      </w:pPr>
      <w:rPr>
        <w:rFonts w:ascii="Symbol" w:hAnsi="Symbol" w:hint="default"/>
      </w:rPr>
    </w:lvl>
    <w:lvl w:ilvl="4" w:tplc="CAACB910" w:tentative="1">
      <w:start w:val="1"/>
      <w:numFmt w:val="bullet"/>
      <w:lvlText w:val="o"/>
      <w:lvlJc w:val="left"/>
      <w:pPr>
        <w:tabs>
          <w:tab w:val="num" w:pos="3600"/>
        </w:tabs>
        <w:ind w:left="3600" w:hanging="360"/>
      </w:pPr>
      <w:rPr>
        <w:rFonts w:ascii="Courier New" w:hAnsi="Courier New" w:cs="Courier New" w:hint="default"/>
      </w:rPr>
    </w:lvl>
    <w:lvl w:ilvl="5" w:tplc="3FAAE8C0" w:tentative="1">
      <w:start w:val="1"/>
      <w:numFmt w:val="bullet"/>
      <w:lvlText w:val=""/>
      <w:lvlJc w:val="left"/>
      <w:pPr>
        <w:tabs>
          <w:tab w:val="num" w:pos="4320"/>
        </w:tabs>
        <w:ind w:left="4320" w:hanging="360"/>
      </w:pPr>
      <w:rPr>
        <w:rFonts w:ascii="Wingdings" w:hAnsi="Wingdings" w:hint="default"/>
      </w:rPr>
    </w:lvl>
    <w:lvl w:ilvl="6" w:tplc="AB1CE322" w:tentative="1">
      <w:start w:val="1"/>
      <w:numFmt w:val="bullet"/>
      <w:lvlText w:val=""/>
      <w:lvlJc w:val="left"/>
      <w:pPr>
        <w:tabs>
          <w:tab w:val="num" w:pos="5040"/>
        </w:tabs>
        <w:ind w:left="5040" w:hanging="360"/>
      </w:pPr>
      <w:rPr>
        <w:rFonts w:ascii="Symbol" w:hAnsi="Symbol" w:hint="default"/>
      </w:rPr>
    </w:lvl>
    <w:lvl w:ilvl="7" w:tplc="20E4182C" w:tentative="1">
      <w:start w:val="1"/>
      <w:numFmt w:val="bullet"/>
      <w:lvlText w:val="o"/>
      <w:lvlJc w:val="left"/>
      <w:pPr>
        <w:tabs>
          <w:tab w:val="num" w:pos="5760"/>
        </w:tabs>
        <w:ind w:left="5760" w:hanging="360"/>
      </w:pPr>
      <w:rPr>
        <w:rFonts w:ascii="Courier New" w:hAnsi="Courier New" w:cs="Courier New" w:hint="default"/>
      </w:rPr>
    </w:lvl>
    <w:lvl w:ilvl="8" w:tplc="B9348C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1B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633BF"/>
    <w:multiLevelType w:val="hybridMultilevel"/>
    <w:tmpl w:val="E02CA05A"/>
    <w:lvl w:ilvl="0" w:tplc="EE780FBC">
      <w:start w:val="1"/>
      <w:numFmt w:val="lowerLetter"/>
      <w:lvlText w:val="(%1)"/>
      <w:lvlJc w:val="left"/>
      <w:pPr>
        <w:tabs>
          <w:tab w:val="num" w:pos="960"/>
        </w:tabs>
        <w:ind w:left="960" w:hanging="360"/>
      </w:pPr>
      <w:rPr>
        <w:rFonts w:hint="default"/>
        <w:color w:val="auto"/>
      </w:rPr>
    </w:lvl>
    <w:lvl w:ilvl="1" w:tplc="E926E076" w:tentative="1">
      <w:start w:val="1"/>
      <w:numFmt w:val="lowerLetter"/>
      <w:lvlText w:val="%2."/>
      <w:lvlJc w:val="left"/>
      <w:pPr>
        <w:tabs>
          <w:tab w:val="num" w:pos="1680"/>
        </w:tabs>
        <w:ind w:left="1680" w:hanging="360"/>
      </w:pPr>
    </w:lvl>
    <w:lvl w:ilvl="2" w:tplc="8B522FAC" w:tentative="1">
      <w:start w:val="1"/>
      <w:numFmt w:val="lowerRoman"/>
      <w:lvlText w:val="%3."/>
      <w:lvlJc w:val="right"/>
      <w:pPr>
        <w:tabs>
          <w:tab w:val="num" w:pos="2400"/>
        </w:tabs>
        <w:ind w:left="2400" w:hanging="180"/>
      </w:pPr>
    </w:lvl>
    <w:lvl w:ilvl="3" w:tplc="56C63E76" w:tentative="1">
      <w:start w:val="1"/>
      <w:numFmt w:val="decimal"/>
      <w:lvlText w:val="%4."/>
      <w:lvlJc w:val="left"/>
      <w:pPr>
        <w:tabs>
          <w:tab w:val="num" w:pos="3120"/>
        </w:tabs>
        <w:ind w:left="3120" w:hanging="360"/>
      </w:pPr>
    </w:lvl>
    <w:lvl w:ilvl="4" w:tplc="A71C4D70" w:tentative="1">
      <w:start w:val="1"/>
      <w:numFmt w:val="lowerLetter"/>
      <w:lvlText w:val="%5."/>
      <w:lvlJc w:val="left"/>
      <w:pPr>
        <w:tabs>
          <w:tab w:val="num" w:pos="3840"/>
        </w:tabs>
        <w:ind w:left="3840" w:hanging="360"/>
      </w:pPr>
    </w:lvl>
    <w:lvl w:ilvl="5" w:tplc="1BA6208E" w:tentative="1">
      <w:start w:val="1"/>
      <w:numFmt w:val="lowerRoman"/>
      <w:lvlText w:val="%6."/>
      <w:lvlJc w:val="right"/>
      <w:pPr>
        <w:tabs>
          <w:tab w:val="num" w:pos="4560"/>
        </w:tabs>
        <w:ind w:left="4560" w:hanging="180"/>
      </w:pPr>
    </w:lvl>
    <w:lvl w:ilvl="6" w:tplc="4ADA0374" w:tentative="1">
      <w:start w:val="1"/>
      <w:numFmt w:val="decimal"/>
      <w:lvlText w:val="%7."/>
      <w:lvlJc w:val="left"/>
      <w:pPr>
        <w:tabs>
          <w:tab w:val="num" w:pos="5280"/>
        </w:tabs>
        <w:ind w:left="5280" w:hanging="360"/>
      </w:pPr>
    </w:lvl>
    <w:lvl w:ilvl="7" w:tplc="DAA20FDC" w:tentative="1">
      <w:start w:val="1"/>
      <w:numFmt w:val="lowerLetter"/>
      <w:lvlText w:val="%8."/>
      <w:lvlJc w:val="left"/>
      <w:pPr>
        <w:tabs>
          <w:tab w:val="num" w:pos="6000"/>
        </w:tabs>
        <w:ind w:left="6000" w:hanging="360"/>
      </w:pPr>
    </w:lvl>
    <w:lvl w:ilvl="8" w:tplc="BE2AD800" w:tentative="1">
      <w:start w:val="1"/>
      <w:numFmt w:val="lowerRoman"/>
      <w:lvlText w:val="%9."/>
      <w:lvlJc w:val="right"/>
      <w:pPr>
        <w:tabs>
          <w:tab w:val="num" w:pos="6720"/>
        </w:tabs>
        <w:ind w:left="6720" w:hanging="180"/>
      </w:pPr>
    </w:lvl>
  </w:abstractNum>
  <w:abstractNum w:abstractNumId="14" w15:restartNumberingAfterBreak="0">
    <w:nsid w:val="27B92F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903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6B2BD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35872B8"/>
    <w:multiLevelType w:val="hybridMultilevel"/>
    <w:tmpl w:val="8A5459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A278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3468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0227B0"/>
    <w:multiLevelType w:val="hybridMultilevel"/>
    <w:tmpl w:val="863C4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F22D5D"/>
    <w:multiLevelType w:val="hybridMultilevel"/>
    <w:tmpl w:val="055031FA"/>
    <w:lvl w:ilvl="0" w:tplc="407A03F4">
      <w:start w:val="1"/>
      <w:numFmt w:val="bullet"/>
      <w:lvlText w:val=""/>
      <w:lvlJc w:val="left"/>
      <w:pPr>
        <w:tabs>
          <w:tab w:val="num" w:pos="1500"/>
        </w:tabs>
        <w:ind w:left="1500" w:hanging="400"/>
      </w:pPr>
      <w:rPr>
        <w:rFonts w:ascii="Symbol" w:hAnsi="Symbol" w:hint="default"/>
        <w:sz w:val="20"/>
      </w:rPr>
    </w:lvl>
    <w:lvl w:ilvl="1" w:tplc="0596CD04" w:tentative="1">
      <w:start w:val="1"/>
      <w:numFmt w:val="bullet"/>
      <w:lvlText w:val="o"/>
      <w:lvlJc w:val="left"/>
      <w:pPr>
        <w:tabs>
          <w:tab w:val="num" w:pos="1440"/>
        </w:tabs>
        <w:ind w:left="1440" w:hanging="360"/>
      </w:pPr>
      <w:rPr>
        <w:rFonts w:ascii="Courier New" w:hAnsi="Courier New" w:cs="Courier New" w:hint="default"/>
      </w:rPr>
    </w:lvl>
    <w:lvl w:ilvl="2" w:tplc="9C2CE862" w:tentative="1">
      <w:start w:val="1"/>
      <w:numFmt w:val="bullet"/>
      <w:lvlText w:val=""/>
      <w:lvlJc w:val="left"/>
      <w:pPr>
        <w:tabs>
          <w:tab w:val="num" w:pos="2160"/>
        </w:tabs>
        <w:ind w:left="2160" w:hanging="360"/>
      </w:pPr>
      <w:rPr>
        <w:rFonts w:ascii="Wingdings" w:hAnsi="Wingdings" w:hint="default"/>
      </w:rPr>
    </w:lvl>
    <w:lvl w:ilvl="3" w:tplc="B3E01AA2" w:tentative="1">
      <w:start w:val="1"/>
      <w:numFmt w:val="bullet"/>
      <w:lvlText w:val=""/>
      <w:lvlJc w:val="left"/>
      <w:pPr>
        <w:tabs>
          <w:tab w:val="num" w:pos="2880"/>
        </w:tabs>
        <w:ind w:left="2880" w:hanging="360"/>
      </w:pPr>
      <w:rPr>
        <w:rFonts w:ascii="Symbol" w:hAnsi="Symbol" w:hint="default"/>
      </w:rPr>
    </w:lvl>
    <w:lvl w:ilvl="4" w:tplc="04906E50" w:tentative="1">
      <w:start w:val="1"/>
      <w:numFmt w:val="bullet"/>
      <w:lvlText w:val="o"/>
      <w:lvlJc w:val="left"/>
      <w:pPr>
        <w:tabs>
          <w:tab w:val="num" w:pos="3600"/>
        </w:tabs>
        <w:ind w:left="3600" w:hanging="360"/>
      </w:pPr>
      <w:rPr>
        <w:rFonts w:ascii="Courier New" w:hAnsi="Courier New" w:cs="Courier New" w:hint="default"/>
      </w:rPr>
    </w:lvl>
    <w:lvl w:ilvl="5" w:tplc="53EAAD4E" w:tentative="1">
      <w:start w:val="1"/>
      <w:numFmt w:val="bullet"/>
      <w:lvlText w:val=""/>
      <w:lvlJc w:val="left"/>
      <w:pPr>
        <w:tabs>
          <w:tab w:val="num" w:pos="4320"/>
        </w:tabs>
        <w:ind w:left="4320" w:hanging="360"/>
      </w:pPr>
      <w:rPr>
        <w:rFonts w:ascii="Wingdings" w:hAnsi="Wingdings" w:hint="default"/>
      </w:rPr>
    </w:lvl>
    <w:lvl w:ilvl="6" w:tplc="3340A564" w:tentative="1">
      <w:start w:val="1"/>
      <w:numFmt w:val="bullet"/>
      <w:lvlText w:val=""/>
      <w:lvlJc w:val="left"/>
      <w:pPr>
        <w:tabs>
          <w:tab w:val="num" w:pos="5040"/>
        </w:tabs>
        <w:ind w:left="5040" w:hanging="360"/>
      </w:pPr>
      <w:rPr>
        <w:rFonts w:ascii="Symbol" w:hAnsi="Symbol" w:hint="default"/>
      </w:rPr>
    </w:lvl>
    <w:lvl w:ilvl="7" w:tplc="8DB25CD0" w:tentative="1">
      <w:start w:val="1"/>
      <w:numFmt w:val="bullet"/>
      <w:lvlText w:val="o"/>
      <w:lvlJc w:val="left"/>
      <w:pPr>
        <w:tabs>
          <w:tab w:val="num" w:pos="5760"/>
        </w:tabs>
        <w:ind w:left="5760" w:hanging="360"/>
      </w:pPr>
      <w:rPr>
        <w:rFonts w:ascii="Courier New" w:hAnsi="Courier New" w:cs="Courier New" w:hint="default"/>
      </w:rPr>
    </w:lvl>
    <w:lvl w:ilvl="8" w:tplc="00647C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E27E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034C83"/>
    <w:multiLevelType w:val="hybridMultilevel"/>
    <w:tmpl w:val="423676F6"/>
    <w:lvl w:ilvl="0" w:tplc="EDD48E76">
      <w:start w:val="1"/>
      <w:numFmt w:val="bullet"/>
      <w:lvlText w:val=""/>
      <w:lvlJc w:val="left"/>
      <w:pPr>
        <w:tabs>
          <w:tab w:val="num" w:pos="1500"/>
        </w:tabs>
        <w:ind w:left="1500" w:hanging="400"/>
      </w:pPr>
      <w:rPr>
        <w:rFonts w:ascii="Symbol" w:hAnsi="Symbol" w:hint="default"/>
        <w:sz w:val="20"/>
      </w:rPr>
    </w:lvl>
    <w:lvl w:ilvl="1" w:tplc="BCE6534E" w:tentative="1">
      <w:start w:val="1"/>
      <w:numFmt w:val="bullet"/>
      <w:lvlText w:val="o"/>
      <w:lvlJc w:val="left"/>
      <w:pPr>
        <w:tabs>
          <w:tab w:val="num" w:pos="1440"/>
        </w:tabs>
        <w:ind w:left="1440" w:hanging="360"/>
      </w:pPr>
      <w:rPr>
        <w:rFonts w:ascii="Courier New" w:hAnsi="Courier New" w:cs="Courier New" w:hint="default"/>
      </w:rPr>
    </w:lvl>
    <w:lvl w:ilvl="2" w:tplc="54246078" w:tentative="1">
      <w:start w:val="1"/>
      <w:numFmt w:val="bullet"/>
      <w:lvlText w:val=""/>
      <w:lvlJc w:val="left"/>
      <w:pPr>
        <w:tabs>
          <w:tab w:val="num" w:pos="2160"/>
        </w:tabs>
        <w:ind w:left="2160" w:hanging="360"/>
      </w:pPr>
      <w:rPr>
        <w:rFonts w:ascii="Wingdings" w:hAnsi="Wingdings" w:hint="default"/>
      </w:rPr>
    </w:lvl>
    <w:lvl w:ilvl="3" w:tplc="42867E0C" w:tentative="1">
      <w:start w:val="1"/>
      <w:numFmt w:val="bullet"/>
      <w:lvlText w:val=""/>
      <w:lvlJc w:val="left"/>
      <w:pPr>
        <w:tabs>
          <w:tab w:val="num" w:pos="2880"/>
        </w:tabs>
        <w:ind w:left="2880" w:hanging="360"/>
      </w:pPr>
      <w:rPr>
        <w:rFonts w:ascii="Symbol" w:hAnsi="Symbol" w:hint="default"/>
      </w:rPr>
    </w:lvl>
    <w:lvl w:ilvl="4" w:tplc="3052318A" w:tentative="1">
      <w:start w:val="1"/>
      <w:numFmt w:val="bullet"/>
      <w:lvlText w:val="o"/>
      <w:lvlJc w:val="left"/>
      <w:pPr>
        <w:tabs>
          <w:tab w:val="num" w:pos="3600"/>
        </w:tabs>
        <w:ind w:left="3600" w:hanging="360"/>
      </w:pPr>
      <w:rPr>
        <w:rFonts w:ascii="Courier New" w:hAnsi="Courier New" w:cs="Courier New" w:hint="default"/>
      </w:rPr>
    </w:lvl>
    <w:lvl w:ilvl="5" w:tplc="FE4656D4" w:tentative="1">
      <w:start w:val="1"/>
      <w:numFmt w:val="bullet"/>
      <w:lvlText w:val=""/>
      <w:lvlJc w:val="left"/>
      <w:pPr>
        <w:tabs>
          <w:tab w:val="num" w:pos="4320"/>
        </w:tabs>
        <w:ind w:left="4320" w:hanging="360"/>
      </w:pPr>
      <w:rPr>
        <w:rFonts w:ascii="Wingdings" w:hAnsi="Wingdings" w:hint="default"/>
      </w:rPr>
    </w:lvl>
    <w:lvl w:ilvl="6" w:tplc="5D805A64" w:tentative="1">
      <w:start w:val="1"/>
      <w:numFmt w:val="bullet"/>
      <w:lvlText w:val=""/>
      <w:lvlJc w:val="left"/>
      <w:pPr>
        <w:tabs>
          <w:tab w:val="num" w:pos="5040"/>
        </w:tabs>
        <w:ind w:left="5040" w:hanging="360"/>
      </w:pPr>
      <w:rPr>
        <w:rFonts w:ascii="Symbol" w:hAnsi="Symbol" w:hint="default"/>
      </w:rPr>
    </w:lvl>
    <w:lvl w:ilvl="7" w:tplc="3C46AFE6" w:tentative="1">
      <w:start w:val="1"/>
      <w:numFmt w:val="bullet"/>
      <w:lvlText w:val="o"/>
      <w:lvlJc w:val="left"/>
      <w:pPr>
        <w:tabs>
          <w:tab w:val="num" w:pos="5760"/>
        </w:tabs>
        <w:ind w:left="5760" w:hanging="360"/>
      </w:pPr>
      <w:rPr>
        <w:rFonts w:ascii="Courier New" w:hAnsi="Courier New" w:cs="Courier New" w:hint="default"/>
      </w:rPr>
    </w:lvl>
    <w:lvl w:ilvl="8" w:tplc="C1CC2D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D1786"/>
    <w:multiLevelType w:val="hybridMultilevel"/>
    <w:tmpl w:val="2B3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727D9"/>
    <w:multiLevelType w:val="singleLevel"/>
    <w:tmpl w:val="3A228C8C"/>
    <w:lvl w:ilvl="0">
      <w:start w:val="1"/>
      <w:numFmt w:val="bullet"/>
      <w:lvlText w:val=""/>
      <w:lvlJc w:val="left"/>
      <w:pPr>
        <w:tabs>
          <w:tab w:val="num" w:pos="2260"/>
        </w:tabs>
        <w:ind w:left="2260" w:hanging="520"/>
      </w:pPr>
      <w:rPr>
        <w:rFonts w:ascii="Symbol" w:hAnsi="Symbol" w:hint="default"/>
        <w:sz w:val="20"/>
      </w:rPr>
    </w:lvl>
  </w:abstractNum>
  <w:abstractNum w:abstractNumId="26" w15:restartNumberingAfterBreak="0">
    <w:nsid w:val="5AFC3258"/>
    <w:multiLevelType w:val="hybridMultilevel"/>
    <w:tmpl w:val="4C944E50"/>
    <w:lvl w:ilvl="0" w:tplc="D55E1A4E">
      <w:start w:val="1"/>
      <w:numFmt w:val="bullet"/>
      <w:lvlText w:val=""/>
      <w:lvlJc w:val="left"/>
      <w:pPr>
        <w:tabs>
          <w:tab w:val="num" w:pos="3240"/>
        </w:tabs>
        <w:ind w:left="3240" w:hanging="400"/>
      </w:pPr>
      <w:rPr>
        <w:rFonts w:ascii="Symbol" w:hAnsi="Symbol" w:hint="default"/>
        <w:sz w:val="20"/>
      </w:rPr>
    </w:lvl>
    <w:lvl w:ilvl="1" w:tplc="85548210" w:tentative="1">
      <w:start w:val="1"/>
      <w:numFmt w:val="bullet"/>
      <w:lvlText w:val="o"/>
      <w:lvlJc w:val="left"/>
      <w:pPr>
        <w:tabs>
          <w:tab w:val="num" w:pos="2140"/>
        </w:tabs>
        <w:ind w:left="2140" w:hanging="360"/>
      </w:pPr>
      <w:rPr>
        <w:rFonts w:ascii="Courier New" w:hAnsi="Courier New" w:hint="default"/>
      </w:rPr>
    </w:lvl>
    <w:lvl w:ilvl="2" w:tplc="1212AD28" w:tentative="1">
      <w:start w:val="1"/>
      <w:numFmt w:val="bullet"/>
      <w:lvlText w:val=""/>
      <w:lvlJc w:val="left"/>
      <w:pPr>
        <w:tabs>
          <w:tab w:val="num" w:pos="2860"/>
        </w:tabs>
        <w:ind w:left="2860" w:hanging="360"/>
      </w:pPr>
      <w:rPr>
        <w:rFonts w:ascii="Wingdings" w:hAnsi="Wingdings" w:hint="default"/>
      </w:rPr>
    </w:lvl>
    <w:lvl w:ilvl="3" w:tplc="5156C0A2" w:tentative="1">
      <w:start w:val="1"/>
      <w:numFmt w:val="bullet"/>
      <w:lvlText w:val=""/>
      <w:lvlJc w:val="left"/>
      <w:pPr>
        <w:tabs>
          <w:tab w:val="num" w:pos="3580"/>
        </w:tabs>
        <w:ind w:left="3580" w:hanging="360"/>
      </w:pPr>
      <w:rPr>
        <w:rFonts w:ascii="Symbol" w:hAnsi="Symbol" w:hint="default"/>
      </w:rPr>
    </w:lvl>
    <w:lvl w:ilvl="4" w:tplc="A2B0AD44" w:tentative="1">
      <w:start w:val="1"/>
      <w:numFmt w:val="bullet"/>
      <w:lvlText w:val="o"/>
      <w:lvlJc w:val="left"/>
      <w:pPr>
        <w:tabs>
          <w:tab w:val="num" w:pos="4300"/>
        </w:tabs>
        <w:ind w:left="4300" w:hanging="360"/>
      </w:pPr>
      <w:rPr>
        <w:rFonts w:ascii="Courier New" w:hAnsi="Courier New" w:hint="default"/>
      </w:rPr>
    </w:lvl>
    <w:lvl w:ilvl="5" w:tplc="B896E076" w:tentative="1">
      <w:start w:val="1"/>
      <w:numFmt w:val="bullet"/>
      <w:lvlText w:val=""/>
      <w:lvlJc w:val="left"/>
      <w:pPr>
        <w:tabs>
          <w:tab w:val="num" w:pos="5020"/>
        </w:tabs>
        <w:ind w:left="5020" w:hanging="360"/>
      </w:pPr>
      <w:rPr>
        <w:rFonts w:ascii="Wingdings" w:hAnsi="Wingdings" w:hint="default"/>
      </w:rPr>
    </w:lvl>
    <w:lvl w:ilvl="6" w:tplc="CB1C7038" w:tentative="1">
      <w:start w:val="1"/>
      <w:numFmt w:val="bullet"/>
      <w:lvlText w:val=""/>
      <w:lvlJc w:val="left"/>
      <w:pPr>
        <w:tabs>
          <w:tab w:val="num" w:pos="5740"/>
        </w:tabs>
        <w:ind w:left="5740" w:hanging="360"/>
      </w:pPr>
      <w:rPr>
        <w:rFonts w:ascii="Symbol" w:hAnsi="Symbol" w:hint="default"/>
      </w:rPr>
    </w:lvl>
    <w:lvl w:ilvl="7" w:tplc="B4825732" w:tentative="1">
      <w:start w:val="1"/>
      <w:numFmt w:val="bullet"/>
      <w:lvlText w:val="o"/>
      <w:lvlJc w:val="left"/>
      <w:pPr>
        <w:tabs>
          <w:tab w:val="num" w:pos="6460"/>
        </w:tabs>
        <w:ind w:left="6460" w:hanging="360"/>
      </w:pPr>
      <w:rPr>
        <w:rFonts w:ascii="Courier New" w:hAnsi="Courier New" w:hint="default"/>
      </w:rPr>
    </w:lvl>
    <w:lvl w:ilvl="8" w:tplc="93D271C4" w:tentative="1">
      <w:start w:val="1"/>
      <w:numFmt w:val="bullet"/>
      <w:lvlText w:val=""/>
      <w:lvlJc w:val="left"/>
      <w:pPr>
        <w:tabs>
          <w:tab w:val="num" w:pos="7180"/>
        </w:tabs>
        <w:ind w:left="7180" w:hanging="360"/>
      </w:pPr>
      <w:rPr>
        <w:rFonts w:ascii="Wingdings" w:hAnsi="Wingdings" w:hint="default"/>
      </w:rPr>
    </w:lvl>
  </w:abstractNum>
  <w:abstractNum w:abstractNumId="27" w15:restartNumberingAfterBreak="0">
    <w:nsid w:val="5B8301B0"/>
    <w:multiLevelType w:val="singleLevel"/>
    <w:tmpl w:val="8C22634C"/>
    <w:lvl w:ilvl="0">
      <w:start w:val="1"/>
      <w:numFmt w:val="bullet"/>
      <w:pStyle w:val="Asubparabullet"/>
      <w:lvlText w:val=""/>
      <w:lvlJc w:val="left"/>
      <w:pPr>
        <w:tabs>
          <w:tab w:val="num" w:pos="1080"/>
        </w:tabs>
        <w:ind w:left="1000" w:hanging="280"/>
      </w:pPr>
      <w:rPr>
        <w:rFonts w:ascii="Symbol" w:hAnsi="Symbol" w:hint="default"/>
      </w:rPr>
    </w:lvl>
  </w:abstractNum>
  <w:abstractNum w:abstractNumId="28" w15:restartNumberingAfterBreak="0">
    <w:nsid w:val="5D95728D"/>
    <w:multiLevelType w:val="multilevel"/>
    <w:tmpl w:val="8C146D8A"/>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7DA5E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3C24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050D1A"/>
    <w:multiLevelType w:val="singleLevel"/>
    <w:tmpl w:val="8AF2DA2A"/>
    <w:lvl w:ilvl="0">
      <w:start w:val="1"/>
      <w:numFmt w:val="decimal"/>
      <w:lvlText w:val="%1."/>
      <w:lvlJc w:val="left"/>
      <w:pPr>
        <w:tabs>
          <w:tab w:val="num" w:pos="720"/>
        </w:tabs>
        <w:ind w:left="720" w:hanging="720"/>
      </w:pPr>
      <w:rPr>
        <w:rFonts w:hint="default"/>
      </w:rPr>
    </w:lvl>
  </w:abstractNum>
  <w:abstractNum w:abstractNumId="32" w15:restartNumberingAfterBreak="0">
    <w:nsid w:val="774C003E"/>
    <w:multiLevelType w:val="multilevel"/>
    <w:tmpl w:val="2E7244F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8EE1892"/>
    <w:multiLevelType w:val="hybridMultilevel"/>
    <w:tmpl w:val="B9DE1F2A"/>
    <w:lvl w:ilvl="0" w:tplc="36B297BC">
      <w:start w:val="1"/>
      <w:numFmt w:val="bullet"/>
      <w:pStyle w:val="Amainbullet"/>
      <w:lvlText w:val=""/>
      <w:lvlJc w:val="left"/>
      <w:pPr>
        <w:tabs>
          <w:tab w:val="num" w:pos="400"/>
        </w:tabs>
        <w:ind w:left="400" w:hanging="400"/>
      </w:pPr>
      <w:rPr>
        <w:rFonts w:ascii="Symbol" w:hAnsi="Symbol" w:hint="default"/>
        <w:sz w:val="20"/>
      </w:rPr>
    </w:lvl>
    <w:lvl w:ilvl="1" w:tplc="B6D4758E" w:tentative="1">
      <w:start w:val="1"/>
      <w:numFmt w:val="bullet"/>
      <w:lvlText w:val="o"/>
      <w:lvlJc w:val="left"/>
      <w:pPr>
        <w:tabs>
          <w:tab w:val="num" w:pos="340"/>
        </w:tabs>
        <w:ind w:left="340" w:hanging="360"/>
      </w:pPr>
      <w:rPr>
        <w:rFonts w:ascii="Courier New" w:hAnsi="Courier New" w:hint="default"/>
      </w:rPr>
    </w:lvl>
    <w:lvl w:ilvl="2" w:tplc="393C27BE" w:tentative="1">
      <w:start w:val="1"/>
      <w:numFmt w:val="bullet"/>
      <w:lvlText w:val=""/>
      <w:lvlJc w:val="left"/>
      <w:pPr>
        <w:tabs>
          <w:tab w:val="num" w:pos="1060"/>
        </w:tabs>
        <w:ind w:left="1060" w:hanging="360"/>
      </w:pPr>
      <w:rPr>
        <w:rFonts w:ascii="Wingdings" w:hAnsi="Wingdings" w:hint="default"/>
      </w:rPr>
    </w:lvl>
    <w:lvl w:ilvl="3" w:tplc="10FE4DC8" w:tentative="1">
      <w:start w:val="1"/>
      <w:numFmt w:val="bullet"/>
      <w:lvlText w:val=""/>
      <w:lvlJc w:val="left"/>
      <w:pPr>
        <w:tabs>
          <w:tab w:val="num" w:pos="1780"/>
        </w:tabs>
        <w:ind w:left="1780" w:hanging="360"/>
      </w:pPr>
      <w:rPr>
        <w:rFonts w:ascii="Symbol" w:hAnsi="Symbol" w:hint="default"/>
      </w:rPr>
    </w:lvl>
    <w:lvl w:ilvl="4" w:tplc="53F8C920" w:tentative="1">
      <w:start w:val="1"/>
      <w:numFmt w:val="bullet"/>
      <w:lvlText w:val="o"/>
      <w:lvlJc w:val="left"/>
      <w:pPr>
        <w:tabs>
          <w:tab w:val="num" w:pos="2500"/>
        </w:tabs>
        <w:ind w:left="2500" w:hanging="360"/>
      </w:pPr>
      <w:rPr>
        <w:rFonts w:ascii="Courier New" w:hAnsi="Courier New" w:hint="default"/>
      </w:rPr>
    </w:lvl>
    <w:lvl w:ilvl="5" w:tplc="6E12473E" w:tentative="1">
      <w:start w:val="1"/>
      <w:numFmt w:val="bullet"/>
      <w:lvlText w:val=""/>
      <w:lvlJc w:val="left"/>
      <w:pPr>
        <w:tabs>
          <w:tab w:val="num" w:pos="3220"/>
        </w:tabs>
        <w:ind w:left="3220" w:hanging="360"/>
      </w:pPr>
      <w:rPr>
        <w:rFonts w:ascii="Wingdings" w:hAnsi="Wingdings" w:hint="default"/>
      </w:rPr>
    </w:lvl>
    <w:lvl w:ilvl="6" w:tplc="A5482A62" w:tentative="1">
      <w:start w:val="1"/>
      <w:numFmt w:val="bullet"/>
      <w:lvlText w:val=""/>
      <w:lvlJc w:val="left"/>
      <w:pPr>
        <w:tabs>
          <w:tab w:val="num" w:pos="3940"/>
        </w:tabs>
        <w:ind w:left="3940" w:hanging="360"/>
      </w:pPr>
      <w:rPr>
        <w:rFonts w:ascii="Symbol" w:hAnsi="Symbol" w:hint="default"/>
      </w:rPr>
    </w:lvl>
    <w:lvl w:ilvl="7" w:tplc="6F1610E0" w:tentative="1">
      <w:start w:val="1"/>
      <w:numFmt w:val="bullet"/>
      <w:lvlText w:val="o"/>
      <w:lvlJc w:val="left"/>
      <w:pPr>
        <w:tabs>
          <w:tab w:val="num" w:pos="4660"/>
        </w:tabs>
        <w:ind w:left="4660" w:hanging="360"/>
      </w:pPr>
      <w:rPr>
        <w:rFonts w:ascii="Courier New" w:hAnsi="Courier New" w:hint="default"/>
      </w:rPr>
    </w:lvl>
    <w:lvl w:ilvl="8" w:tplc="CF00B978" w:tentative="1">
      <w:start w:val="1"/>
      <w:numFmt w:val="bullet"/>
      <w:lvlText w:val=""/>
      <w:lvlJc w:val="left"/>
      <w:pPr>
        <w:tabs>
          <w:tab w:val="num" w:pos="5380"/>
        </w:tabs>
        <w:ind w:left="5380" w:hanging="360"/>
      </w:pPr>
      <w:rPr>
        <w:rFonts w:ascii="Wingdings" w:hAnsi="Wingdings" w:hint="default"/>
      </w:rPr>
    </w:lvl>
  </w:abstractNum>
  <w:abstractNum w:abstractNumId="34" w15:restartNumberingAfterBreak="0">
    <w:nsid w:val="7BBD50EE"/>
    <w:multiLevelType w:val="hybridMultilevel"/>
    <w:tmpl w:val="A9106506"/>
    <w:lvl w:ilvl="0" w:tplc="F24E54F6">
      <w:start w:val="1"/>
      <w:numFmt w:val="bullet"/>
      <w:lvlText w:val=""/>
      <w:lvlJc w:val="left"/>
      <w:pPr>
        <w:tabs>
          <w:tab w:val="num" w:pos="720"/>
        </w:tabs>
        <w:ind w:left="720" w:hanging="360"/>
      </w:pPr>
      <w:rPr>
        <w:rFonts w:ascii="Symbol" w:hAnsi="Symbol" w:hint="default"/>
      </w:rPr>
    </w:lvl>
    <w:lvl w:ilvl="1" w:tplc="04090003">
      <w:numFmt w:val="none"/>
      <w:pStyle w:val="aNoteBullet"/>
      <w:lvlText w:val=""/>
      <w:lvlJc w:val="left"/>
      <w:pPr>
        <w:tabs>
          <w:tab w:val="num" w:pos="360"/>
        </w:tabs>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C1810"/>
    <w:multiLevelType w:val="hybridMultilevel"/>
    <w:tmpl w:val="A67EA232"/>
    <w:lvl w:ilvl="0" w:tplc="CC36ACAE">
      <w:start w:val="1"/>
      <w:numFmt w:val="decimal"/>
      <w:lvlText w:val="%1."/>
      <w:lvlJc w:val="left"/>
      <w:pPr>
        <w:tabs>
          <w:tab w:val="num" w:pos="567"/>
        </w:tabs>
        <w:ind w:left="0" w:firstLine="0"/>
      </w:pPr>
      <w:rPr>
        <w:rFonts w:hint="default"/>
      </w:rPr>
    </w:lvl>
    <w:lvl w:ilvl="1" w:tplc="0F00AEA2">
      <w:start w:val="1"/>
      <w:numFmt w:val="lowerLetter"/>
      <w:lvlText w:val="%2."/>
      <w:lvlJc w:val="left"/>
      <w:pPr>
        <w:tabs>
          <w:tab w:val="num" w:pos="1134"/>
        </w:tabs>
        <w:ind w:left="567"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5"/>
  </w:num>
  <w:num w:numId="3">
    <w:abstractNumId w:val="14"/>
  </w:num>
  <w:num w:numId="4">
    <w:abstractNumId w:val="4"/>
  </w:num>
  <w:num w:numId="5">
    <w:abstractNumId w:val="25"/>
  </w:num>
  <w:num w:numId="6">
    <w:abstractNumId w:val="27"/>
  </w:num>
  <w:num w:numId="7">
    <w:abstractNumId w:val="27"/>
  </w:num>
  <w:num w:numId="8">
    <w:abstractNumId w:val="27"/>
  </w:num>
  <w:num w:numId="9">
    <w:abstractNumId w:val="32"/>
  </w:num>
  <w:num w:numId="10">
    <w:abstractNumId w:val="31"/>
  </w:num>
  <w:num w:numId="11">
    <w:abstractNumId w:val="8"/>
  </w:num>
  <w:num w:numId="12">
    <w:abstractNumId w:val="2"/>
  </w:num>
  <w:num w:numId="13">
    <w:abstractNumId w:val="9"/>
  </w:num>
  <w:num w:numId="14">
    <w:abstractNumId w:val="16"/>
  </w:num>
  <w:num w:numId="15">
    <w:abstractNumId w:val="22"/>
  </w:num>
  <w:num w:numId="16">
    <w:abstractNumId w:val="18"/>
  </w:num>
  <w:num w:numId="17">
    <w:abstractNumId w:val="29"/>
  </w:num>
  <w:num w:numId="18">
    <w:abstractNumId w:val="30"/>
  </w:num>
  <w:num w:numId="19">
    <w:abstractNumId w:val="12"/>
  </w:num>
  <w:num w:numId="20">
    <w:abstractNumId w:val="1"/>
  </w:num>
  <w:num w:numId="21">
    <w:abstractNumId w:val="34"/>
  </w:num>
  <w:num w:numId="22">
    <w:abstractNumId w:val="10"/>
  </w:num>
  <w:num w:numId="23">
    <w:abstractNumId w:val="5"/>
  </w:num>
  <w:num w:numId="24">
    <w:abstractNumId w:val="13"/>
  </w:num>
  <w:num w:numId="25">
    <w:abstractNumId w:val="26"/>
  </w:num>
  <w:num w:numId="26">
    <w:abstractNumId w:val="7"/>
  </w:num>
  <w:num w:numId="27">
    <w:abstractNumId w:val="3"/>
  </w:num>
  <w:num w:numId="28">
    <w:abstractNumId w:val="33"/>
  </w:num>
  <w:num w:numId="29">
    <w:abstractNumId w:val="21"/>
  </w:num>
  <w:num w:numId="30">
    <w:abstractNumId w:val="23"/>
  </w:num>
  <w:num w:numId="31">
    <w:abstractNumId w:val="11"/>
  </w:num>
  <w:num w:numId="32">
    <w:abstractNumId w:val="0"/>
  </w:num>
  <w:num w:numId="33">
    <w:abstractNumId w:val="28"/>
  </w:num>
  <w:num w:numId="34">
    <w:abstractNumId w:val="35"/>
  </w:num>
  <w:num w:numId="35">
    <w:abstractNumId w:val="20"/>
  </w:num>
  <w:num w:numId="36">
    <w:abstractNumId w:val="17"/>
  </w:num>
  <w:num w:numId="37">
    <w:abstractNumId w:val="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splitPgBreakAndParaMark/>
    <w:compatSetting w:name="compatibilityMode" w:uri="http://schemas.microsoft.com/office/word" w:val="12"/>
    <w:compatSetting w:name="useWord2013TrackBottomHyphenation" w:uri="http://schemas.microsoft.com/office/word" w:val="1"/>
  </w:compat>
  <w:rsids>
    <w:rsidRoot w:val="00E86B7F"/>
    <w:rsid w:val="000002A6"/>
    <w:rsid w:val="00001000"/>
    <w:rsid w:val="000010BB"/>
    <w:rsid w:val="000027D0"/>
    <w:rsid w:val="00006D02"/>
    <w:rsid w:val="00010363"/>
    <w:rsid w:val="00023DB1"/>
    <w:rsid w:val="00024701"/>
    <w:rsid w:val="0002751D"/>
    <w:rsid w:val="00027ECD"/>
    <w:rsid w:val="00034FF9"/>
    <w:rsid w:val="0004138B"/>
    <w:rsid w:val="00042926"/>
    <w:rsid w:val="00043E83"/>
    <w:rsid w:val="00046EDD"/>
    <w:rsid w:val="0004743D"/>
    <w:rsid w:val="00047571"/>
    <w:rsid w:val="0006093B"/>
    <w:rsid w:val="00060F08"/>
    <w:rsid w:val="00061727"/>
    <w:rsid w:val="00063E5F"/>
    <w:rsid w:val="00064989"/>
    <w:rsid w:val="00066673"/>
    <w:rsid w:val="000753D6"/>
    <w:rsid w:val="00081AA9"/>
    <w:rsid w:val="00082617"/>
    <w:rsid w:val="000833A3"/>
    <w:rsid w:val="00092B4D"/>
    <w:rsid w:val="00095820"/>
    <w:rsid w:val="00097201"/>
    <w:rsid w:val="000A224A"/>
    <w:rsid w:val="000A6041"/>
    <w:rsid w:val="000A648F"/>
    <w:rsid w:val="000A7C2D"/>
    <w:rsid w:val="000B5F4B"/>
    <w:rsid w:val="000B7028"/>
    <w:rsid w:val="000C1D3A"/>
    <w:rsid w:val="000C1F78"/>
    <w:rsid w:val="000C2F78"/>
    <w:rsid w:val="000C3B9F"/>
    <w:rsid w:val="000C538F"/>
    <w:rsid w:val="000C55E3"/>
    <w:rsid w:val="000C755B"/>
    <w:rsid w:val="000D060A"/>
    <w:rsid w:val="000D0D60"/>
    <w:rsid w:val="000D0E84"/>
    <w:rsid w:val="000D573E"/>
    <w:rsid w:val="000D58C3"/>
    <w:rsid w:val="000E78BB"/>
    <w:rsid w:val="000F1DC1"/>
    <w:rsid w:val="000F4C33"/>
    <w:rsid w:val="000F670E"/>
    <w:rsid w:val="001001F6"/>
    <w:rsid w:val="001007E0"/>
    <w:rsid w:val="00102FDA"/>
    <w:rsid w:val="001047FE"/>
    <w:rsid w:val="0010615A"/>
    <w:rsid w:val="00107522"/>
    <w:rsid w:val="00114E6F"/>
    <w:rsid w:val="00115F21"/>
    <w:rsid w:val="00122EC4"/>
    <w:rsid w:val="00130D8A"/>
    <w:rsid w:val="00136AA5"/>
    <w:rsid w:val="00137992"/>
    <w:rsid w:val="00145E86"/>
    <w:rsid w:val="00150485"/>
    <w:rsid w:val="00154097"/>
    <w:rsid w:val="00154195"/>
    <w:rsid w:val="0016024A"/>
    <w:rsid w:val="001614FA"/>
    <w:rsid w:val="001636B8"/>
    <w:rsid w:val="00163783"/>
    <w:rsid w:val="001645C8"/>
    <w:rsid w:val="0016643B"/>
    <w:rsid w:val="0016643D"/>
    <w:rsid w:val="00172407"/>
    <w:rsid w:val="001742CA"/>
    <w:rsid w:val="001847CC"/>
    <w:rsid w:val="00190BA6"/>
    <w:rsid w:val="00190ECF"/>
    <w:rsid w:val="00193642"/>
    <w:rsid w:val="00195F28"/>
    <w:rsid w:val="001969D8"/>
    <w:rsid w:val="001A08EB"/>
    <w:rsid w:val="001A1C5A"/>
    <w:rsid w:val="001A2E14"/>
    <w:rsid w:val="001B0294"/>
    <w:rsid w:val="001B1081"/>
    <w:rsid w:val="001B2687"/>
    <w:rsid w:val="001B2772"/>
    <w:rsid w:val="001B2CE2"/>
    <w:rsid w:val="001C05AD"/>
    <w:rsid w:val="001C07E7"/>
    <w:rsid w:val="001C2A18"/>
    <w:rsid w:val="001D1BB0"/>
    <w:rsid w:val="001E7729"/>
    <w:rsid w:val="001F479A"/>
    <w:rsid w:val="001F4B49"/>
    <w:rsid w:val="001F59EB"/>
    <w:rsid w:val="001F5B59"/>
    <w:rsid w:val="00201973"/>
    <w:rsid w:val="00201AB1"/>
    <w:rsid w:val="002023E0"/>
    <w:rsid w:val="00202E18"/>
    <w:rsid w:val="002044A6"/>
    <w:rsid w:val="0020789D"/>
    <w:rsid w:val="002162C6"/>
    <w:rsid w:val="00217D5E"/>
    <w:rsid w:val="0022003E"/>
    <w:rsid w:val="00225EA9"/>
    <w:rsid w:val="002263F9"/>
    <w:rsid w:val="002278C7"/>
    <w:rsid w:val="00227FC7"/>
    <w:rsid w:val="0023004F"/>
    <w:rsid w:val="00231659"/>
    <w:rsid w:val="002341B1"/>
    <w:rsid w:val="00244D24"/>
    <w:rsid w:val="00245000"/>
    <w:rsid w:val="002455D7"/>
    <w:rsid w:val="00247F8C"/>
    <w:rsid w:val="00251310"/>
    <w:rsid w:val="00251933"/>
    <w:rsid w:val="00252BE2"/>
    <w:rsid w:val="0025387A"/>
    <w:rsid w:val="00267A56"/>
    <w:rsid w:val="00270737"/>
    <w:rsid w:val="0027391F"/>
    <w:rsid w:val="00276835"/>
    <w:rsid w:val="00277B80"/>
    <w:rsid w:val="002801DB"/>
    <w:rsid w:val="00280810"/>
    <w:rsid w:val="00280B21"/>
    <w:rsid w:val="00281D61"/>
    <w:rsid w:val="00282FBA"/>
    <w:rsid w:val="0028774F"/>
    <w:rsid w:val="0029372F"/>
    <w:rsid w:val="0029779E"/>
    <w:rsid w:val="002A1475"/>
    <w:rsid w:val="002A716E"/>
    <w:rsid w:val="002B070C"/>
    <w:rsid w:val="002B2C57"/>
    <w:rsid w:val="002B3352"/>
    <w:rsid w:val="002C2719"/>
    <w:rsid w:val="002C40EA"/>
    <w:rsid w:val="002D5B2E"/>
    <w:rsid w:val="002E1BCD"/>
    <w:rsid w:val="002E512D"/>
    <w:rsid w:val="002F540A"/>
    <w:rsid w:val="002F6230"/>
    <w:rsid w:val="00301796"/>
    <w:rsid w:val="00303463"/>
    <w:rsid w:val="00304B94"/>
    <w:rsid w:val="0030663C"/>
    <w:rsid w:val="00306BE8"/>
    <w:rsid w:val="003114AB"/>
    <w:rsid w:val="00311592"/>
    <w:rsid w:val="00320979"/>
    <w:rsid w:val="003220F8"/>
    <w:rsid w:val="00323939"/>
    <w:rsid w:val="00332910"/>
    <w:rsid w:val="00336D1D"/>
    <w:rsid w:val="00337049"/>
    <w:rsid w:val="00337F58"/>
    <w:rsid w:val="0034101F"/>
    <w:rsid w:val="0034403A"/>
    <w:rsid w:val="00352293"/>
    <w:rsid w:val="00356249"/>
    <w:rsid w:val="00362D52"/>
    <w:rsid w:val="00366823"/>
    <w:rsid w:val="00370324"/>
    <w:rsid w:val="0037628D"/>
    <w:rsid w:val="00380E68"/>
    <w:rsid w:val="00381F73"/>
    <w:rsid w:val="0038386C"/>
    <w:rsid w:val="00391630"/>
    <w:rsid w:val="00396844"/>
    <w:rsid w:val="0039758C"/>
    <w:rsid w:val="003A20BB"/>
    <w:rsid w:val="003A2846"/>
    <w:rsid w:val="003B0D46"/>
    <w:rsid w:val="003B2FF6"/>
    <w:rsid w:val="003B33EF"/>
    <w:rsid w:val="003C277F"/>
    <w:rsid w:val="003C5A51"/>
    <w:rsid w:val="003C5BD9"/>
    <w:rsid w:val="003D013F"/>
    <w:rsid w:val="003E16A9"/>
    <w:rsid w:val="003E1998"/>
    <w:rsid w:val="003E7AB7"/>
    <w:rsid w:val="003F2736"/>
    <w:rsid w:val="003F4965"/>
    <w:rsid w:val="003F6891"/>
    <w:rsid w:val="003F6C91"/>
    <w:rsid w:val="00402A27"/>
    <w:rsid w:val="004059A1"/>
    <w:rsid w:val="00405F53"/>
    <w:rsid w:val="0040778B"/>
    <w:rsid w:val="004100C9"/>
    <w:rsid w:val="00412067"/>
    <w:rsid w:val="0041288D"/>
    <w:rsid w:val="00416B54"/>
    <w:rsid w:val="00422265"/>
    <w:rsid w:val="00423614"/>
    <w:rsid w:val="00423CE7"/>
    <w:rsid w:val="00425936"/>
    <w:rsid w:val="00433E0B"/>
    <w:rsid w:val="004353E8"/>
    <w:rsid w:val="004411DB"/>
    <w:rsid w:val="00444573"/>
    <w:rsid w:val="00451455"/>
    <w:rsid w:val="00456CAF"/>
    <w:rsid w:val="00463271"/>
    <w:rsid w:val="00463871"/>
    <w:rsid w:val="004649DC"/>
    <w:rsid w:val="00464C94"/>
    <w:rsid w:val="004650A4"/>
    <w:rsid w:val="00467169"/>
    <w:rsid w:val="004701C6"/>
    <w:rsid w:val="00472E3A"/>
    <w:rsid w:val="00475F08"/>
    <w:rsid w:val="0048296E"/>
    <w:rsid w:val="00485006"/>
    <w:rsid w:val="004856CA"/>
    <w:rsid w:val="00491E6F"/>
    <w:rsid w:val="004974AE"/>
    <w:rsid w:val="004A21BA"/>
    <w:rsid w:val="004A22DC"/>
    <w:rsid w:val="004A4AE4"/>
    <w:rsid w:val="004B085E"/>
    <w:rsid w:val="004B08C0"/>
    <w:rsid w:val="004B1AE0"/>
    <w:rsid w:val="004B377C"/>
    <w:rsid w:val="004C0C4D"/>
    <w:rsid w:val="004C1296"/>
    <w:rsid w:val="004C1992"/>
    <w:rsid w:val="004C2A0C"/>
    <w:rsid w:val="004C610E"/>
    <w:rsid w:val="004D09AC"/>
    <w:rsid w:val="004D19ED"/>
    <w:rsid w:val="004D2102"/>
    <w:rsid w:val="004D3082"/>
    <w:rsid w:val="004D33C4"/>
    <w:rsid w:val="004D424F"/>
    <w:rsid w:val="004D5F35"/>
    <w:rsid w:val="004D67B0"/>
    <w:rsid w:val="004E006D"/>
    <w:rsid w:val="004E5153"/>
    <w:rsid w:val="004E51E3"/>
    <w:rsid w:val="004F1CBA"/>
    <w:rsid w:val="004F46A9"/>
    <w:rsid w:val="004F5BDB"/>
    <w:rsid w:val="004F725A"/>
    <w:rsid w:val="004F75FD"/>
    <w:rsid w:val="0050132B"/>
    <w:rsid w:val="00501617"/>
    <w:rsid w:val="00503E08"/>
    <w:rsid w:val="005047B6"/>
    <w:rsid w:val="00506958"/>
    <w:rsid w:val="00513376"/>
    <w:rsid w:val="00515B5E"/>
    <w:rsid w:val="00515D3D"/>
    <w:rsid w:val="00516AC5"/>
    <w:rsid w:val="00516E82"/>
    <w:rsid w:val="00527E08"/>
    <w:rsid w:val="005351BA"/>
    <w:rsid w:val="00536766"/>
    <w:rsid w:val="00537356"/>
    <w:rsid w:val="00540A11"/>
    <w:rsid w:val="00543C66"/>
    <w:rsid w:val="005459BA"/>
    <w:rsid w:val="00547EA5"/>
    <w:rsid w:val="0055245A"/>
    <w:rsid w:val="00553A87"/>
    <w:rsid w:val="00554467"/>
    <w:rsid w:val="00557472"/>
    <w:rsid w:val="0057061A"/>
    <w:rsid w:val="00573094"/>
    <w:rsid w:val="00576E3F"/>
    <w:rsid w:val="005774DB"/>
    <w:rsid w:val="00584DDB"/>
    <w:rsid w:val="005906F1"/>
    <w:rsid w:val="00590E86"/>
    <w:rsid w:val="00591EF5"/>
    <w:rsid w:val="00592EBC"/>
    <w:rsid w:val="005934B0"/>
    <w:rsid w:val="0059491B"/>
    <w:rsid w:val="005959E5"/>
    <w:rsid w:val="005A640A"/>
    <w:rsid w:val="005B2E74"/>
    <w:rsid w:val="005B64EE"/>
    <w:rsid w:val="005B6FCF"/>
    <w:rsid w:val="005B7B7D"/>
    <w:rsid w:val="005C0FCE"/>
    <w:rsid w:val="005C2178"/>
    <w:rsid w:val="005C2A68"/>
    <w:rsid w:val="005C34AA"/>
    <w:rsid w:val="005C3A60"/>
    <w:rsid w:val="005C3EC3"/>
    <w:rsid w:val="005C4094"/>
    <w:rsid w:val="005D02FF"/>
    <w:rsid w:val="005D087C"/>
    <w:rsid w:val="005D0EFD"/>
    <w:rsid w:val="005D23F6"/>
    <w:rsid w:val="005D6B85"/>
    <w:rsid w:val="005E569C"/>
    <w:rsid w:val="005E6BA3"/>
    <w:rsid w:val="005F00D1"/>
    <w:rsid w:val="005F02B2"/>
    <w:rsid w:val="005F0739"/>
    <w:rsid w:val="005F0C24"/>
    <w:rsid w:val="005F13F7"/>
    <w:rsid w:val="005F54FD"/>
    <w:rsid w:val="005F701E"/>
    <w:rsid w:val="005F735B"/>
    <w:rsid w:val="005F738F"/>
    <w:rsid w:val="00600150"/>
    <w:rsid w:val="006060FC"/>
    <w:rsid w:val="00606785"/>
    <w:rsid w:val="006110C6"/>
    <w:rsid w:val="006131E6"/>
    <w:rsid w:val="0061516D"/>
    <w:rsid w:val="006245ED"/>
    <w:rsid w:val="00630562"/>
    <w:rsid w:val="0063765B"/>
    <w:rsid w:val="006409AC"/>
    <w:rsid w:val="00640F3A"/>
    <w:rsid w:val="006413F0"/>
    <w:rsid w:val="00641B6D"/>
    <w:rsid w:val="00642811"/>
    <w:rsid w:val="00650357"/>
    <w:rsid w:val="0065036F"/>
    <w:rsid w:val="006513D9"/>
    <w:rsid w:val="00652276"/>
    <w:rsid w:val="00653DA9"/>
    <w:rsid w:val="00665843"/>
    <w:rsid w:val="00674F72"/>
    <w:rsid w:val="00683A5E"/>
    <w:rsid w:val="006846F3"/>
    <w:rsid w:val="0068475B"/>
    <w:rsid w:val="00691C1B"/>
    <w:rsid w:val="00694D84"/>
    <w:rsid w:val="00695BA6"/>
    <w:rsid w:val="006A3D4A"/>
    <w:rsid w:val="006A434D"/>
    <w:rsid w:val="006A7397"/>
    <w:rsid w:val="006A7618"/>
    <w:rsid w:val="006B20AA"/>
    <w:rsid w:val="006B387C"/>
    <w:rsid w:val="006B6ECE"/>
    <w:rsid w:val="006C49CF"/>
    <w:rsid w:val="006C6330"/>
    <w:rsid w:val="006D0C3F"/>
    <w:rsid w:val="006D1566"/>
    <w:rsid w:val="006D1A29"/>
    <w:rsid w:val="006D27B7"/>
    <w:rsid w:val="006D40CB"/>
    <w:rsid w:val="006D5E8A"/>
    <w:rsid w:val="006E1CB1"/>
    <w:rsid w:val="006E4968"/>
    <w:rsid w:val="006E5BA2"/>
    <w:rsid w:val="006E5D3C"/>
    <w:rsid w:val="006E6AFE"/>
    <w:rsid w:val="006F02E1"/>
    <w:rsid w:val="006F29DE"/>
    <w:rsid w:val="006F3409"/>
    <w:rsid w:val="00703380"/>
    <w:rsid w:val="007046C2"/>
    <w:rsid w:val="00710D12"/>
    <w:rsid w:val="00710ED2"/>
    <w:rsid w:val="0071399E"/>
    <w:rsid w:val="007200EA"/>
    <w:rsid w:val="007222E1"/>
    <w:rsid w:val="0072470A"/>
    <w:rsid w:val="00735039"/>
    <w:rsid w:val="0073661A"/>
    <w:rsid w:val="00736B39"/>
    <w:rsid w:val="007377E0"/>
    <w:rsid w:val="00740942"/>
    <w:rsid w:val="00741C6F"/>
    <w:rsid w:val="00742C52"/>
    <w:rsid w:val="0074586A"/>
    <w:rsid w:val="00747E6A"/>
    <w:rsid w:val="00761855"/>
    <w:rsid w:val="00761BB5"/>
    <w:rsid w:val="0077095E"/>
    <w:rsid w:val="00771A97"/>
    <w:rsid w:val="00772800"/>
    <w:rsid w:val="00772820"/>
    <w:rsid w:val="0077778C"/>
    <w:rsid w:val="007779B1"/>
    <w:rsid w:val="007815C5"/>
    <w:rsid w:val="0078237F"/>
    <w:rsid w:val="00783709"/>
    <w:rsid w:val="00784D62"/>
    <w:rsid w:val="00786221"/>
    <w:rsid w:val="0079286C"/>
    <w:rsid w:val="00792F09"/>
    <w:rsid w:val="00795686"/>
    <w:rsid w:val="00796AB2"/>
    <w:rsid w:val="00796BCF"/>
    <w:rsid w:val="007A0F80"/>
    <w:rsid w:val="007A244E"/>
    <w:rsid w:val="007A4781"/>
    <w:rsid w:val="007B1CC0"/>
    <w:rsid w:val="007B4FD9"/>
    <w:rsid w:val="007B7558"/>
    <w:rsid w:val="007C4EE5"/>
    <w:rsid w:val="007C7808"/>
    <w:rsid w:val="007D0855"/>
    <w:rsid w:val="007D16DD"/>
    <w:rsid w:val="007D3065"/>
    <w:rsid w:val="007D3BF2"/>
    <w:rsid w:val="007D5D3A"/>
    <w:rsid w:val="007D5F2E"/>
    <w:rsid w:val="007E12D9"/>
    <w:rsid w:val="007E3372"/>
    <w:rsid w:val="007E33FC"/>
    <w:rsid w:val="007E529B"/>
    <w:rsid w:val="007E78F3"/>
    <w:rsid w:val="007F25DF"/>
    <w:rsid w:val="007F5E82"/>
    <w:rsid w:val="00802837"/>
    <w:rsid w:val="00806985"/>
    <w:rsid w:val="00815BF0"/>
    <w:rsid w:val="008168F5"/>
    <w:rsid w:val="00830E83"/>
    <w:rsid w:val="0083340A"/>
    <w:rsid w:val="00837616"/>
    <w:rsid w:val="00844243"/>
    <w:rsid w:val="00846EAB"/>
    <w:rsid w:val="00850F99"/>
    <w:rsid w:val="00851084"/>
    <w:rsid w:val="00855495"/>
    <w:rsid w:val="00860224"/>
    <w:rsid w:val="00862EBE"/>
    <w:rsid w:val="00872930"/>
    <w:rsid w:val="0087401C"/>
    <w:rsid w:val="00882E0A"/>
    <w:rsid w:val="00883D96"/>
    <w:rsid w:val="00887CE9"/>
    <w:rsid w:val="0089311A"/>
    <w:rsid w:val="00893120"/>
    <w:rsid w:val="008937E2"/>
    <w:rsid w:val="008964EC"/>
    <w:rsid w:val="0089768D"/>
    <w:rsid w:val="0089773C"/>
    <w:rsid w:val="008A3097"/>
    <w:rsid w:val="008A600E"/>
    <w:rsid w:val="008A6036"/>
    <w:rsid w:val="008A77FE"/>
    <w:rsid w:val="008B0C2C"/>
    <w:rsid w:val="008B0FEC"/>
    <w:rsid w:val="008B3145"/>
    <w:rsid w:val="008B3814"/>
    <w:rsid w:val="008C1B29"/>
    <w:rsid w:val="008C3231"/>
    <w:rsid w:val="008D3421"/>
    <w:rsid w:val="008D37E1"/>
    <w:rsid w:val="008D3DD2"/>
    <w:rsid w:val="008F4AA4"/>
    <w:rsid w:val="008F6C98"/>
    <w:rsid w:val="00903BB6"/>
    <w:rsid w:val="00904F6F"/>
    <w:rsid w:val="0090797C"/>
    <w:rsid w:val="00907DCA"/>
    <w:rsid w:val="00910B2F"/>
    <w:rsid w:val="00914D6A"/>
    <w:rsid w:val="00922E65"/>
    <w:rsid w:val="00923909"/>
    <w:rsid w:val="0092430A"/>
    <w:rsid w:val="00925110"/>
    <w:rsid w:val="00927F8C"/>
    <w:rsid w:val="00927FE0"/>
    <w:rsid w:val="0093014F"/>
    <w:rsid w:val="009372D1"/>
    <w:rsid w:val="00944F70"/>
    <w:rsid w:val="00946C33"/>
    <w:rsid w:val="00947EAE"/>
    <w:rsid w:val="00950835"/>
    <w:rsid w:val="00950F84"/>
    <w:rsid w:val="009635B2"/>
    <w:rsid w:val="009638C2"/>
    <w:rsid w:val="00965058"/>
    <w:rsid w:val="00971ACD"/>
    <w:rsid w:val="00975E37"/>
    <w:rsid w:val="009856E7"/>
    <w:rsid w:val="00990F3E"/>
    <w:rsid w:val="0099101C"/>
    <w:rsid w:val="00991F98"/>
    <w:rsid w:val="00995FB9"/>
    <w:rsid w:val="009A23DC"/>
    <w:rsid w:val="009A3D28"/>
    <w:rsid w:val="009A4303"/>
    <w:rsid w:val="009B23A5"/>
    <w:rsid w:val="009B39EC"/>
    <w:rsid w:val="009B3A3D"/>
    <w:rsid w:val="009C147B"/>
    <w:rsid w:val="009D188D"/>
    <w:rsid w:val="009D320E"/>
    <w:rsid w:val="009D6CCC"/>
    <w:rsid w:val="009E5C98"/>
    <w:rsid w:val="009F1AEC"/>
    <w:rsid w:val="009F2599"/>
    <w:rsid w:val="009F36F3"/>
    <w:rsid w:val="009F4C3D"/>
    <w:rsid w:val="009F5091"/>
    <w:rsid w:val="009F66C1"/>
    <w:rsid w:val="009F751C"/>
    <w:rsid w:val="00A06FB9"/>
    <w:rsid w:val="00A07123"/>
    <w:rsid w:val="00A100A0"/>
    <w:rsid w:val="00A14418"/>
    <w:rsid w:val="00A20BF3"/>
    <w:rsid w:val="00A30E62"/>
    <w:rsid w:val="00A31FC9"/>
    <w:rsid w:val="00A343CA"/>
    <w:rsid w:val="00A36C24"/>
    <w:rsid w:val="00A371DD"/>
    <w:rsid w:val="00A4055E"/>
    <w:rsid w:val="00A41778"/>
    <w:rsid w:val="00A43C77"/>
    <w:rsid w:val="00A43E74"/>
    <w:rsid w:val="00A44C0D"/>
    <w:rsid w:val="00A45511"/>
    <w:rsid w:val="00A4608B"/>
    <w:rsid w:val="00A47AC5"/>
    <w:rsid w:val="00A50036"/>
    <w:rsid w:val="00A50192"/>
    <w:rsid w:val="00A5177D"/>
    <w:rsid w:val="00A529E9"/>
    <w:rsid w:val="00A571AB"/>
    <w:rsid w:val="00A63F0D"/>
    <w:rsid w:val="00A653BF"/>
    <w:rsid w:val="00A70D72"/>
    <w:rsid w:val="00A74310"/>
    <w:rsid w:val="00A746DC"/>
    <w:rsid w:val="00A760D4"/>
    <w:rsid w:val="00A84C48"/>
    <w:rsid w:val="00A8560E"/>
    <w:rsid w:val="00A86986"/>
    <w:rsid w:val="00A876FC"/>
    <w:rsid w:val="00A87947"/>
    <w:rsid w:val="00A921D5"/>
    <w:rsid w:val="00A97067"/>
    <w:rsid w:val="00A970B4"/>
    <w:rsid w:val="00AA0ACA"/>
    <w:rsid w:val="00AA34A3"/>
    <w:rsid w:val="00AA65DC"/>
    <w:rsid w:val="00AA72B1"/>
    <w:rsid w:val="00AA7B71"/>
    <w:rsid w:val="00AB087C"/>
    <w:rsid w:val="00AB174E"/>
    <w:rsid w:val="00AB793E"/>
    <w:rsid w:val="00AC4B8F"/>
    <w:rsid w:val="00AC539C"/>
    <w:rsid w:val="00AC6BCF"/>
    <w:rsid w:val="00AD5AFC"/>
    <w:rsid w:val="00AE03F3"/>
    <w:rsid w:val="00AE2DDC"/>
    <w:rsid w:val="00AE4EA9"/>
    <w:rsid w:val="00AF2AD1"/>
    <w:rsid w:val="00AF5983"/>
    <w:rsid w:val="00AF59C9"/>
    <w:rsid w:val="00B03072"/>
    <w:rsid w:val="00B07271"/>
    <w:rsid w:val="00B075C6"/>
    <w:rsid w:val="00B10033"/>
    <w:rsid w:val="00B106E3"/>
    <w:rsid w:val="00B123B9"/>
    <w:rsid w:val="00B12540"/>
    <w:rsid w:val="00B1357B"/>
    <w:rsid w:val="00B21D89"/>
    <w:rsid w:val="00B262D1"/>
    <w:rsid w:val="00B2655B"/>
    <w:rsid w:val="00B32E49"/>
    <w:rsid w:val="00B34114"/>
    <w:rsid w:val="00B41806"/>
    <w:rsid w:val="00B41C91"/>
    <w:rsid w:val="00B44964"/>
    <w:rsid w:val="00B50BCA"/>
    <w:rsid w:val="00B53FA9"/>
    <w:rsid w:val="00B556CF"/>
    <w:rsid w:val="00B56F7F"/>
    <w:rsid w:val="00B637F8"/>
    <w:rsid w:val="00B644BC"/>
    <w:rsid w:val="00B7398D"/>
    <w:rsid w:val="00B748C9"/>
    <w:rsid w:val="00B74E98"/>
    <w:rsid w:val="00B751E3"/>
    <w:rsid w:val="00B758BC"/>
    <w:rsid w:val="00B75C47"/>
    <w:rsid w:val="00B818FF"/>
    <w:rsid w:val="00B82CCA"/>
    <w:rsid w:val="00B839C7"/>
    <w:rsid w:val="00B919C3"/>
    <w:rsid w:val="00B95BEE"/>
    <w:rsid w:val="00B9731F"/>
    <w:rsid w:val="00B978A9"/>
    <w:rsid w:val="00BA0954"/>
    <w:rsid w:val="00BA2C6C"/>
    <w:rsid w:val="00BA6855"/>
    <w:rsid w:val="00BA68B8"/>
    <w:rsid w:val="00BB0CF4"/>
    <w:rsid w:val="00BB17EF"/>
    <w:rsid w:val="00BC1D53"/>
    <w:rsid w:val="00BC2B4A"/>
    <w:rsid w:val="00BC2BAB"/>
    <w:rsid w:val="00BC46B8"/>
    <w:rsid w:val="00BC6FD9"/>
    <w:rsid w:val="00BC7877"/>
    <w:rsid w:val="00BD0EB2"/>
    <w:rsid w:val="00BD1E63"/>
    <w:rsid w:val="00BD7512"/>
    <w:rsid w:val="00BD752D"/>
    <w:rsid w:val="00BF2419"/>
    <w:rsid w:val="00BF291B"/>
    <w:rsid w:val="00BF69A5"/>
    <w:rsid w:val="00C01474"/>
    <w:rsid w:val="00C10057"/>
    <w:rsid w:val="00C2444C"/>
    <w:rsid w:val="00C24AB4"/>
    <w:rsid w:val="00C25F93"/>
    <w:rsid w:val="00C27EC9"/>
    <w:rsid w:val="00C3035B"/>
    <w:rsid w:val="00C34638"/>
    <w:rsid w:val="00C374C0"/>
    <w:rsid w:val="00C45751"/>
    <w:rsid w:val="00C4695A"/>
    <w:rsid w:val="00C46B5C"/>
    <w:rsid w:val="00C5399E"/>
    <w:rsid w:val="00C5421F"/>
    <w:rsid w:val="00C553EB"/>
    <w:rsid w:val="00C6232C"/>
    <w:rsid w:val="00C62A94"/>
    <w:rsid w:val="00C64829"/>
    <w:rsid w:val="00C65F0F"/>
    <w:rsid w:val="00C66E41"/>
    <w:rsid w:val="00C70A7C"/>
    <w:rsid w:val="00C71148"/>
    <w:rsid w:val="00C71636"/>
    <w:rsid w:val="00C71E78"/>
    <w:rsid w:val="00C747F6"/>
    <w:rsid w:val="00C82C79"/>
    <w:rsid w:val="00C87B9D"/>
    <w:rsid w:val="00C94123"/>
    <w:rsid w:val="00C9535C"/>
    <w:rsid w:val="00C977D0"/>
    <w:rsid w:val="00CA0A83"/>
    <w:rsid w:val="00CA0AEF"/>
    <w:rsid w:val="00CA195A"/>
    <w:rsid w:val="00CA4D7A"/>
    <w:rsid w:val="00CA5D90"/>
    <w:rsid w:val="00CB08F7"/>
    <w:rsid w:val="00CB2DD8"/>
    <w:rsid w:val="00CB38E0"/>
    <w:rsid w:val="00CB3CBD"/>
    <w:rsid w:val="00CB541B"/>
    <w:rsid w:val="00CC14F5"/>
    <w:rsid w:val="00CC16D3"/>
    <w:rsid w:val="00CC6B49"/>
    <w:rsid w:val="00CC75D6"/>
    <w:rsid w:val="00CC76EE"/>
    <w:rsid w:val="00CD10CF"/>
    <w:rsid w:val="00CD3427"/>
    <w:rsid w:val="00CE06D0"/>
    <w:rsid w:val="00CF0E06"/>
    <w:rsid w:val="00CF13CD"/>
    <w:rsid w:val="00CF2E99"/>
    <w:rsid w:val="00CF4957"/>
    <w:rsid w:val="00CF5D44"/>
    <w:rsid w:val="00CF7380"/>
    <w:rsid w:val="00D03992"/>
    <w:rsid w:val="00D05FED"/>
    <w:rsid w:val="00D07456"/>
    <w:rsid w:val="00D07782"/>
    <w:rsid w:val="00D1522C"/>
    <w:rsid w:val="00D15C57"/>
    <w:rsid w:val="00D16CAD"/>
    <w:rsid w:val="00D23DEC"/>
    <w:rsid w:val="00D24AC6"/>
    <w:rsid w:val="00D30561"/>
    <w:rsid w:val="00D35467"/>
    <w:rsid w:val="00D357B5"/>
    <w:rsid w:val="00D3590E"/>
    <w:rsid w:val="00D36930"/>
    <w:rsid w:val="00D55023"/>
    <w:rsid w:val="00D56B41"/>
    <w:rsid w:val="00D601D0"/>
    <w:rsid w:val="00D766AC"/>
    <w:rsid w:val="00D82332"/>
    <w:rsid w:val="00D8249C"/>
    <w:rsid w:val="00D82BB7"/>
    <w:rsid w:val="00D86C29"/>
    <w:rsid w:val="00D875BE"/>
    <w:rsid w:val="00D91C2D"/>
    <w:rsid w:val="00D926F5"/>
    <w:rsid w:val="00D94AB8"/>
    <w:rsid w:val="00D957C9"/>
    <w:rsid w:val="00D96B01"/>
    <w:rsid w:val="00D96F88"/>
    <w:rsid w:val="00D970BF"/>
    <w:rsid w:val="00D971A2"/>
    <w:rsid w:val="00DA009E"/>
    <w:rsid w:val="00DA3041"/>
    <w:rsid w:val="00DA69F2"/>
    <w:rsid w:val="00DA7572"/>
    <w:rsid w:val="00DB1703"/>
    <w:rsid w:val="00DB1A34"/>
    <w:rsid w:val="00DB369C"/>
    <w:rsid w:val="00DB588A"/>
    <w:rsid w:val="00DB71A0"/>
    <w:rsid w:val="00DC3A10"/>
    <w:rsid w:val="00DC52BD"/>
    <w:rsid w:val="00DD361E"/>
    <w:rsid w:val="00DD3B85"/>
    <w:rsid w:val="00DD5425"/>
    <w:rsid w:val="00DE1497"/>
    <w:rsid w:val="00DE5B30"/>
    <w:rsid w:val="00DE62B7"/>
    <w:rsid w:val="00DE6A70"/>
    <w:rsid w:val="00DF4EE9"/>
    <w:rsid w:val="00DF5F81"/>
    <w:rsid w:val="00DF62DA"/>
    <w:rsid w:val="00E0295B"/>
    <w:rsid w:val="00E06521"/>
    <w:rsid w:val="00E07B35"/>
    <w:rsid w:val="00E205F5"/>
    <w:rsid w:val="00E231D9"/>
    <w:rsid w:val="00E24370"/>
    <w:rsid w:val="00E27301"/>
    <w:rsid w:val="00E308DB"/>
    <w:rsid w:val="00E36739"/>
    <w:rsid w:val="00E4003C"/>
    <w:rsid w:val="00E418B7"/>
    <w:rsid w:val="00E4359A"/>
    <w:rsid w:val="00E43E4C"/>
    <w:rsid w:val="00E44EF9"/>
    <w:rsid w:val="00E5145E"/>
    <w:rsid w:val="00E545C1"/>
    <w:rsid w:val="00E57A2E"/>
    <w:rsid w:val="00E665E9"/>
    <w:rsid w:val="00E667B9"/>
    <w:rsid w:val="00E74C49"/>
    <w:rsid w:val="00E74EF2"/>
    <w:rsid w:val="00E757A7"/>
    <w:rsid w:val="00E82410"/>
    <w:rsid w:val="00E84A23"/>
    <w:rsid w:val="00E84FC3"/>
    <w:rsid w:val="00E86B7F"/>
    <w:rsid w:val="00E91099"/>
    <w:rsid w:val="00E9162D"/>
    <w:rsid w:val="00E92BED"/>
    <w:rsid w:val="00E95739"/>
    <w:rsid w:val="00EA4A85"/>
    <w:rsid w:val="00EA5EBE"/>
    <w:rsid w:val="00EA7B87"/>
    <w:rsid w:val="00EB1558"/>
    <w:rsid w:val="00EB1F15"/>
    <w:rsid w:val="00EB6374"/>
    <w:rsid w:val="00EB6604"/>
    <w:rsid w:val="00EC13EC"/>
    <w:rsid w:val="00EC24D9"/>
    <w:rsid w:val="00ED03A2"/>
    <w:rsid w:val="00ED09AC"/>
    <w:rsid w:val="00ED6DAA"/>
    <w:rsid w:val="00EE148D"/>
    <w:rsid w:val="00EE1BAC"/>
    <w:rsid w:val="00EE461E"/>
    <w:rsid w:val="00EE55F1"/>
    <w:rsid w:val="00EE77A3"/>
    <w:rsid w:val="00EF0556"/>
    <w:rsid w:val="00EF5173"/>
    <w:rsid w:val="00EF76B4"/>
    <w:rsid w:val="00F02C3A"/>
    <w:rsid w:val="00F02C74"/>
    <w:rsid w:val="00F104B5"/>
    <w:rsid w:val="00F137A4"/>
    <w:rsid w:val="00F175A9"/>
    <w:rsid w:val="00F30C97"/>
    <w:rsid w:val="00F3275E"/>
    <w:rsid w:val="00F34BBF"/>
    <w:rsid w:val="00F368B9"/>
    <w:rsid w:val="00F4077D"/>
    <w:rsid w:val="00F41E8A"/>
    <w:rsid w:val="00F44F85"/>
    <w:rsid w:val="00F45EBC"/>
    <w:rsid w:val="00F541F5"/>
    <w:rsid w:val="00F57C44"/>
    <w:rsid w:val="00F61528"/>
    <w:rsid w:val="00F61943"/>
    <w:rsid w:val="00F63F48"/>
    <w:rsid w:val="00F65149"/>
    <w:rsid w:val="00F737BA"/>
    <w:rsid w:val="00F83C43"/>
    <w:rsid w:val="00F852E4"/>
    <w:rsid w:val="00F90ABC"/>
    <w:rsid w:val="00F91D0F"/>
    <w:rsid w:val="00F97D51"/>
    <w:rsid w:val="00FA11A1"/>
    <w:rsid w:val="00FA20BA"/>
    <w:rsid w:val="00FB272F"/>
    <w:rsid w:val="00FB2E14"/>
    <w:rsid w:val="00FB4247"/>
    <w:rsid w:val="00FB44BE"/>
    <w:rsid w:val="00FC14EB"/>
    <w:rsid w:val="00FC6311"/>
    <w:rsid w:val="00FD25D7"/>
    <w:rsid w:val="00FD4693"/>
    <w:rsid w:val="00FD4FB0"/>
    <w:rsid w:val="00FD5634"/>
    <w:rsid w:val="00FD5E9F"/>
    <w:rsid w:val="00FD6352"/>
    <w:rsid w:val="00FE4308"/>
    <w:rsid w:val="00FF1013"/>
    <w:rsid w:val="00FF2FE1"/>
    <w:rsid w:val="00FF5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92903-7C81-4D34-95C9-E78FEE66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F73"/>
    <w:rPr>
      <w:lang w:eastAsia="en-US"/>
    </w:rPr>
  </w:style>
  <w:style w:type="paragraph" w:styleId="Heading1">
    <w:name w:val="heading 1"/>
    <w:basedOn w:val="Normal"/>
    <w:next w:val="Normal"/>
    <w:qFormat/>
    <w:rsid w:val="00381F73"/>
    <w:pPr>
      <w:keepNext/>
      <w:spacing w:after="40" w:line="360" w:lineRule="auto"/>
      <w:outlineLvl w:val="0"/>
    </w:pPr>
    <w:rPr>
      <w:i/>
      <w:iCs/>
      <w:sz w:val="24"/>
      <w:u w:val="single"/>
    </w:rPr>
  </w:style>
  <w:style w:type="paragraph" w:styleId="Heading2">
    <w:name w:val="heading 2"/>
    <w:basedOn w:val="Normal"/>
    <w:next w:val="Normal"/>
    <w:qFormat/>
    <w:rsid w:val="00381F73"/>
    <w:pPr>
      <w:keepNext/>
      <w:spacing w:line="360" w:lineRule="auto"/>
      <w:jc w:val="both"/>
      <w:outlineLvl w:val="1"/>
    </w:pPr>
    <w:rPr>
      <w:rFonts w:ascii="Arial" w:hAnsi="Arial" w:cs="Arial"/>
      <w:b/>
      <w:bCs/>
      <w:i/>
      <w:iCs/>
      <w:color w:val="000000"/>
      <w:sz w:val="24"/>
    </w:rPr>
  </w:style>
  <w:style w:type="paragraph" w:styleId="Heading3">
    <w:name w:val="heading 3"/>
    <w:aliases w:val="h3,H3,A H3 sec, H3"/>
    <w:basedOn w:val="Normal"/>
    <w:next w:val="Normal"/>
    <w:qFormat/>
    <w:rsid w:val="00381F73"/>
    <w:pPr>
      <w:spacing w:before="60" w:line="240" w:lineRule="atLeast"/>
      <w:outlineLvl w:val="2"/>
    </w:pPr>
    <w:rPr>
      <w:rFonts w:ascii="Times" w:hAnsi="Times"/>
      <w:b/>
      <w:sz w:val="24"/>
    </w:rPr>
  </w:style>
  <w:style w:type="paragraph" w:styleId="Heading4">
    <w:name w:val="heading 4"/>
    <w:basedOn w:val="Normal"/>
    <w:next w:val="Normal"/>
    <w:qFormat/>
    <w:rsid w:val="00381F73"/>
    <w:pPr>
      <w:keepNext/>
      <w:spacing w:after="120" w:line="360" w:lineRule="auto"/>
      <w:jc w:val="both"/>
      <w:outlineLvl w:val="3"/>
    </w:pPr>
    <w:rPr>
      <w:rFonts w:ascii="Arial" w:hAnsi="Arial" w:cs="Arial"/>
      <w:b/>
      <w:color w:val="000000"/>
      <w:sz w:val="24"/>
      <w:u w:val="single"/>
    </w:rPr>
  </w:style>
  <w:style w:type="paragraph" w:styleId="Heading5">
    <w:name w:val="heading 5"/>
    <w:basedOn w:val="Normal"/>
    <w:next w:val="Normal"/>
    <w:qFormat/>
    <w:rsid w:val="00381F73"/>
    <w:pPr>
      <w:keepNext/>
      <w:spacing w:line="360" w:lineRule="auto"/>
      <w:outlineLvl w:val="4"/>
    </w:pPr>
    <w:rPr>
      <w:rFonts w:ascii="Arial" w:hAnsi="Arial" w:cs="Arial"/>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name">
    <w:name w:val="Sched-name"/>
    <w:basedOn w:val="Normal"/>
    <w:rsid w:val="00381F73"/>
    <w:pPr>
      <w:spacing w:after="80" w:line="480" w:lineRule="atLeast"/>
      <w:jc w:val="center"/>
    </w:pPr>
    <w:rPr>
      <w:rFonts w:ascii="Times" w:hAnsi="Times"/>
      <w:caps/>
      <w:sz w:val="24"/>
    </w:rPr>
  </w:style>
  <w:style w:type="paragraph" w:styleId="Header">
    <w:name w:val="header"/>
    <w:basedOn w:val="Normal"/>
    <w:link w:val="HeaderChar"/>
    <w:rsid w:val="00381F73"/>
    <w:pPr>
      <w:tabs>
        <w:tab w:val="center" w:pos="4320"/>
        <w:tab w:val="right" w:pos="8640"/>
      </w:tabs>
    </w:pPr>
  </w:style>
  <w:style w:type="paragraph" w:styleId="Footer">
    <w:name w:val="footer"/>
    <w:basedOn w:val="Normal"/>
    <w:rsid w:val="00381F73"/>
    <w:pPr>
      <w:tabs>
        <w:tab w:val="center" w:pos="4320"/>
        <w:tab w:val="right" w:pos="8640"/>
      </w:tabs>
    </w:pPr>
  </w:style>
  <w:style w:type="character" w:styleId="PageNumber">
    <w:name w:val="page number"/>
    <w:basedOn w:val="DefaultParagraphFont"/>
    <w:rsid w:val="00381F73"/>
  </w:style>
  <w:style w:type="paragraph" w:styleId="BodyTextIndent">
    <w:name w:val="Body Text Indent"/>
    <w:basedOn w:val="Normal"/>
    <w:rsid w:val="00381F73"/>
    <w:pPr>
      <w:tabs>
        <w:tab w:val="left" w:pos="240"/>
      </w:tabs>
      <w:spacing w:before="80" w:after="120" w:line="360" w:lineRule="auto"/>
      <w:ind w:left="720" w:hanging="720"/>
      <w:jc w:val="both"/>
    </w:pPr>
    <w:rPr>
      <w:rFonts w:ascii="Helvetica" w:hAnsi="Helvetica"/>
      <w:sz w:val="24"/>
    </w:rPr>
  </w:style>
  <w:style w:type="paragraph" w:styleId="BodyText">
    <w:name w:val="Body Text"/>
    <w:basedOn w:val="Normal"/>
    <w:rsid w:val="00381F73"/>
    <w:pPr>
      <w:spacing w:before="80" w:after="120"/>
      <w:jc w:val="both"/>
    </w:pPr>
    <w:rPr>
      <w:sz w:val="24"/>
    </w:rPr>
  </w:style>
  <w:style w:type="paragraph" w:customStyle="1" w:styleId="Asubparabullet">
    <w:name w:val="A subpara bullet"/>
    <w:basedOn w:val="Normal"/>
    <w:rsid w:val="00381F73"/>
    <w:pPr>
      <w:numPr>
        <w:numId w:val="8"/>
      </w:numPr>
    </w:pPr>
  </w:style>
  <w:style w:type="paragraph" w:customStyle="1" w:styleId="aExplanHeading">
    <w:name w:val="aExplanHeading"/>
    <w:basedOn w:val="Normal"/>
    <w:next w:val="aExplanText"/>
    <w:rsid w:val="00381F73"/>
    <w:pPr>
      <w:keepNext/>
      <w:tabs>
        <w:tab w:val="left" w:pos="2600"/>
      </w:tabs>
      <w:spacing w:before="80" w:after="60"/>
      <w:jc w:val="both"/>
    </w:pPr>
    <w:rPr>
      <w:rFonts w:ascii="Arial" w:hAnsi="Arial"/>
      <w:b/>
      <w:sz w:val="18"/>
    </w:rPr>
  </w:style>
  <w:style w:type="paragraph" w:customStyle="1" w:styleId="aExplanText">
    <w:name w:val="aExplanText"/>
    <w:basedOn w:val="Normal"/>
    <w:rsid w:val="00381F73"/>
    <w:pPr>
      <w:spacing w:before="80" w:after="60"/>
      <w:jc w:val="both"/>
    </w:pPr>
  </w:style>
  <w:style w:type="paragraph" w:customStyle="1" w:styleId="aNoteBullet">
    <w:name w:val="aNoteBullet"/>
    <w:basedOn w:val="Normal"/>
    <w:rsid w:val="00381F73"/>
    <w:pPr>
      <w:numPr>
        <w:ilvl w:val="1"/>
        <w:numId w:val="21"/>
      </w:numPr>
    </w:pPr>
    <w:rPr>
      <w:rFonts w:ascii="Times" w:hAnsi="Times"/>
      <w:sz w:val="24"/>
    </w:rPr>
  </w:style>
  <w:style w:type="character" w:customStyle="1" w:styleId="bodytext1">
    <w:name w:val="bodytext1"/>
    <w:basedOn w:val="DefaultParagraphFont"/>
    <w:rsid w:val="00381F73"/>
    <w:rPr>
      <w:rFonts w:ascii="Verdana" w:hAnsi="Verdana" w:hint="default"/>
      <w:spacing w:val="324"/>
      <w:sz w:val="17"/>
      <w:szCs w:val="17"/>
    </w:rPr>
  </w:style>
  <w:style w:type="character" w:styleId="Hyperlink">
    <w:name w:val="Hyperlink"/>
    <w:basedOn w:val="DefaultParagraphFont"/>
    <w:rsid w:val="00381F73"/>
    <w:rPr>
      <w:color w:val="000033"/>
      <w:u w:val="single"/>
    </w:rPr>
  </w:style>
  <w:style w:type="paragraph" w:customStyle="1" w:styleId="Amainreturn">
    <w:name w:val="A main return"/>
    <w:basedOn w:val="Normal"/>
    <w:rsid w:val="00381F73"/>
    <w:pPr>
      <w:spacing w:before="80" w:after="60"/>
      <w:ind w:left="700"/>
      <w:jc w:val="both"/>
    </w:pPr>
    <w:rPr>
      <w:sz w:val="24"/>
    </w:rPr>
  </w:style>
  <w:style w:type="paragraph" w:customStyle="1" w:styleId="Sched-heading">
    <w:name w:val="Sched-heading"/>
    <w:basedOn w:val="Normal"/>
    <w:next w:val="Normal"/>
    <w:rsid w:val="00381F73"/>
    <w:pPr>
      <w:keepNext/>
      <w:numPr>
        <w:numId w:val="22"/>
      </w:numPr>
      <w:spacing w:before="320" w:after="60"/>
      <w:outlineLvl w:val="0"/>
    </w:pPr>
    <w:rPr>
      <w:rFonts w:ascii="Arial" w:hAnsi="Arial"/>
      <w:b/>
      <w:sz w:val="34"/>
    </w:rPr>
  </w:style>
  <w:style w:type="paragraph" w:customStyle="1" w:styleId="Sched-Part">
    <w:name w:val="Sched-Part"/>
    <w:basedOn w:val="Normal"/>
    <w:next w:val="ShadedSchClause"/>
    <w:rsid w:val="00381F73"/>
    <w:pPr>
      <w:keepNext/>
      <w:numPr>
        <w:ilvl w:val="1"/>
        <w:numId w:val="22"/>
      </w:numPr>
      <w:spacing w:before="320" w:after="60"/>
      <w:outlineLvl w:val="1"/>
    </w:pPr>
    <w:rPr>
      <w:rFonts w:ascii="Arial" w:hAnsi="Arial"/>
      <w:b/>
      <w:sz w:val="32"/>
    </w:rPr>
  </w:style>
  <w:style w:type="paragraph" w:customStyle="1" w:styleId="ShadedSchClause">
    <w:name w:val="Shaded Sch Clause"/>
    <w:basedOn w:val="Normal"/>
    <w:next w:val="Normal"/>
    <w:rsid w:val="00381F73"/>
    <w:pPr>
      <w:keepNext/>
      <w:numPr>
        <w:ilvl w:val="3"/>
        <w:numId w:val="22"/>
      </w:numPr>
      <w:shd w:val="pct15" w:color="auto" w:fill="auto"/>
      <w:spacing w:before="160"/>
      <w:outlineLvl w:val="3"/>
    </w:pPr>
    <w:rPr>
      <w:rFonts w:ascii="Arial" w:hAnsi="Arial"/>
      <w:b/>
      <w:sz w:val="24"/>
    </w:rPr>
  </w:style>
  <w:style w:type="paragraph" w:customStyle="1" w:styleId="Sched-Form">
    <w:name w:val="Sched-Form"/>
    <w:basedOn w:val="Normal"/>
    <w:next w:val="Schclauseheading"/>
    <w:rsid w:val="00381F73"/>
    <w:pPr>
      <w:keepNext/>
      <w:numPr>
        <w:ilvl w:val="2"/>
        <w:numId w:val="22"/>
      </w:numPr>
      <w:spacing w:before="180" w:after="60"/>
      <w:outlineLvl w:val="2"/>
    </w:pPr>
    <w:rPr>
      <w:rFonts w:ascii="Arial" w:hAnsi="Arial"/>
      <w:b/>
      <w:sz w:val="28"/>
    </w:rPr>
  </w:style>
  <w:style w:type="paragraph" w:customStyle="1" w:styleId="Schclauseheading">
    <w:name w:val="Sch clause heading"/>
    <w:basedOn w:val="Normal"/>
    <w:next w:val="Normal"/>
    <w:rsid w:val="00381F73"/>
    <w:pPr>
      <w:keepNext/>
      <w:numPr>
        <w:ilvl w:val="4"/>
        <w:numId w:val="22"/>
      </w:numPr>
      <w:spacing w:before="160"/>
      <w:outlineLvl w:val="4"/>
    </w:pPr>
    <w:rPr>
      <w:rFonts w:ascii="Arial" w:hAnsi="Arial"/>
      <w:b/>
      <w:sz w:val="24"/>
    </w:rPr>
  </w:style>
  <w:style w:type="character" w:customStyle="1" w:styleId="charItals">
    <w:name w:val="charItals"/>
    <w:basedOn w:val="DefaultParagraphFont"/>
    <w:rsid w:val="00381F73"/>
    <w:rPr>
      <w:i/>
    </w:rPr>
  </w:style>
  <w:style w:type="paragraph" w:customStyle="1" w:styleId="direction">
    <w:name w:val="direction"/>
    <w:basedOn w:val="Normal"/>
    <w:next w:val="Amainreturn"/>
    <w:rsid w:val="00381F73"/>
    <w:pPr>
      <w:spacing w:before="80" w:after="60"/>
      <w:ind w:left="1100"/>
      <w:jc w:val="both"/>
    </w:pPr>
    <w:rPr>
      <w:i/>
      <w:sz w:val="24"/>
    </w:rPr>
  </w:style>
  <w:style w:type="paragraph" w:customStyle="1" w:styleId="SchAmain">
    <w:name w:val="Sch A main"/>
    <w:basedOn w:val="Normal"/>
    <w:rsid w:val="00381F73"/>
    <w:pPr>
      <w:spacing w:before="80" w:after="60"/>
      <w:jc w:val="both"/>
      <w:outlineLvl w:val="5"/>
    </w:pPr>
    <w:rPr>
      <w:sz w:val="24"/>
    </w:rPr>
  </w:style>
  <w:style w:type="paragraph" w:customStyle="1" w:styleId="IH5Sec">
    <w:name w:val="I H5 Sec"/>
    <w:basedOn w:val="Normal"/>
    <w:next w:val="Amainreturn"/>
    <w:rsid w:val="00381F73"/>
    <w:pPr>
      <w:keepNext/>
      <w:tabs>
        <w:tab w:val="left" w:pos="1100"/>
      </w:tabs>
      <w:spacing w:before="180" w:after="60"/>
      <w:ind w:left="1100" w:hanging="1100"/>
    </w:pPr>
    <w:rPr>
      <w:rFonts w:ascii="Arial" w:hAnsi="Arial"/>
      <w:b/>
      <w:sz w:val="24"/>
    </w:rPr>
  </w:style>
  <w:style w:type="paragraph" w:customStyle="1" w:styleId="Ipara">
    <w:name w:val="I para"/>
    <w:basedOn w:val="Normal"/>
    <w:rsid w:val="00381F73"/>
    <w:pPr>
      <w:tabs>
        <w:tab w:val="right" w:pos="1400"/>
        <w:tab w:val="left" w:pos="1600"/>
      </w:tabs>
      <w:spacing w:before="80" w:after="60"/>
      <w:ind w:left="1600" w:hanging="1600"/>
      <w:jc w:val="both"/>
    </w:pPr>
    <w:rPr>
      <w:sz w:val="24"/>
    </w:rPr>
  </w:style>
  <w:style w:type="paragraph" w:customStyle="1" w:styleId="SchApara">
    <w:name w:val="Sch A para"/>
    <w:basedOn w:val="Normal"/>
    <w:rsid w:val="00381F73"/>
    <w:pPr>
      <w:spacing w:before="80" w:after="60"/>
      <w:jc w:val="both"/>
      <w:outlineLvl w:val="6"/>
    </w:pPr>
    <w:rPr>
      <w:sz w:val="24"/>
    </w:rPr>
  </w:style>
  <w:style w:type="paragraph" w:customStyle="1" w:styleId="SchAsubpara">
    <w:name w:val="Sch A subpara"/>
    <w:basedOn w:val="Normal"/>
    <w:rsid w:val="00381F73"/>
    <w:pPr>
      <w:spacing w:before="80" w:after="60"/>
      <w:jc w:val="both"/>
      <w:outlineLvl w:val="7"/>
    </w:pPr>
    <w:rPr>
      <w:sz w:val="24"/>
    </w:rPr>
  </w:style>
  <w:style w:type="paragraph" w:customStyle="1" w:styleId="SchAsubsubpara">
    <w:name w:val="Sch A subsubpara"/>
    <w:basedOn w:val="Normal"/>
    <w:rsid w:val="00381F73"/>
    <w:pPr>
      <w:spacing w:before="80" w:after="60"/>
      <w:jc w:val="both"/>
      <w:outlineLvl w:val="8"/>
    </w:pPr>
    <w:rPr>
      <w:sz w:val="24"/>
    </w:rPr>
  </w:style>
  <w:style w:type="paragraph" w:customStyle="1" w:styleId="IMain">
    <w:name w:val="I Main"/>
    <w:basedOn w:val="Normal"/>
    <w:rsid w:val="00381F73"/>
    <w:pPr>
      <w:tabs>
        <w:tab w:val="right" w:pos="900"/>
        <w:tab w:val="left" w:pos="1100"/>
      </w:tabs>
      <w:spacing w:before="80" w:after="60"/>
      <w:ind w:left="1100" w:hanging="1100"/>
      <w:jc w:val="both"/>
    </w:pPr>
    <w:rPr>
      <w:sz w:val="24"/>
    </w:rPr>
  </w:style>
  <w:style w:type="paragraph" w:styleId="BodyText2">
    <w:name w:val="Body Text 2"/>
    <w:basedOn w:val="Normal"/>
    <w:rsid w:val="00381F73"/>
    <w:pPr>
      <w:spacing w:line="360" w:lineRule="auto"/>
      <w:jc w:val="both"/>
    </w:pPr>
    <w:rPr>
      <w:color w:val="000000"/>
      <w:sz w:val="24"/>
    </w:rPr>
  </w:style>
  <w:style w:type="paragraph" w:customStyle="1" w:styleId="Amainbullet">
    <w:name w:val="A main bullet"/>
    <w:basedOn w:val="Normal"/>
    <w:rsid w:val="00381F73"/>
    <w:pPr>
      <w:numPr>
        <w:numId w:val="28"/>
      </w:numPr>
    </w:pPr>
  </w:style>
  <w:style w:type="paragraph" w:styleId="BodyText3">
    <w:name w:val="Body Text 3"/>
    <w:basedOn w:val="Normal"/>
    <w:rsid w:val="00381F73"/>
    <w:pPr>
      <w:keepNext/>
      <w:spacing w:line="360" w:lineRule="auto"/>
      <w:jc w:val="both"/>
    </w:pPr>
    <w:rPr>
      <w:rFonts w:ascii="Arial" w:hAnsi="Arial" w:cs="Arial"/>
      <w:b/>
      <w:color w:val="000000"/>
      <w:sz w:val="24"/>
    </w:rPr>
  </w:style>
  <w:style w:type="paragraph" w:styleId="BalloonText">
    <w:name w:val="Balloon Text"/>
    <w:basedOn w:val="Normal"/>
    <w:semiHidden/>
    <w:rsid w:val="00381F73"/>
    <w:rPr>
      <w:rFonts w:ascii="Tahoma" w:hAnsi="Tahoma" w:cs="Tahoma"/>
      <w:sz w:val="16"/>
      <w:szCs w:val="16"/>
    </w:rPr>
  </w:style>
  <w:style w:type="paragraph" w:styleId="TOC2">
    <w:name w:val="toc 2"/>
    <w:basedOn w:val="Normal"/>
    <w:next w:val="Normal"/>
    <w:rsid w:val="00C5421F"/>
    <w:pPr>
      <w:tabs>
        <w:tab w:val="right" w:pos="1340"/>
        <w:tab w:val="right" w:leader="dot" w:pos="8900"/>
      </w:tabs>
      <w:spacing w:before="80" w:after="100"/>
      <w:ind w:left="1600" w:hanging="1600"/>
      <w:jc w:val="center"/>
    </w:pPr>
    <w:rPr>
      <w:rFonts w:ascii="Times" w:hAnsi="Times"/>
      <w:i/>
    </w:rPr>
  </w:style>
  <w:style w:type="character" w:customStyle="1" w:styleId="HeaderChar">
    <w:name w:val="Header Char"/>
    <w:basedOn w:val="DefaultParagraphFont"/>
    <w:link w:val="Header"/>
    <w:rsid w:val="00E43E4C"/>
    <w:rPr>
      <w:lang w:eastAsia="en-US"/>
    </w:rPr>
  </w:style>
  <w:style w:type="character" w:customStyle="1" w:styleId="Calibri12">
    <w:name w:val="Calibri 12"/>
    <w:basedOn w:val="DefaultParagraphFont"/>
    <w:uiPriority w:val="1"/>
    <w:qFormat/>
    <w:rsid w:val="000010BB"/>
    <w:rPr>
      <w:rFonts w:ascii="Calibri" w:hAnsi="Calibri"/>
      <w:sz w:val="24"/>
    </w:rPr>
  </w:style>
  <w:style w:type="paragraph" w:styleId="ListParagraph">
    <w:name w:val="List Paragraph"/>
    <w:basedOn w:val="Normal"/>
    <w:uiPriority w:val="34"/>
    <w:qFormat/>
    <w:rsid w:val="00DB369C"/>
    <w:pPr>
      <w:ind w:left="720"/>
      <w:contextualSpacing/>
    </w:pPr>
  </w:style>
  <w:style w:type="paragraph" w:styleId="TOC7">
    <w:name w:val="toc 7"/>
    <w:basedOn w:val="Normal"/>
    <w:next w:val="Normal"/>
    <w:autoRedefine/>
    <w:semiHidden/>
    <w:unhideWhenUsed/>
    <w:rsid w:val="006E5BA2"/>
    <w:pPr>
      <w:spacing w:after="100"/>
      <w:ind w:left="1200"/>
    </w:pPr>
  </w:style>
  <w:style w:type="paragraph" w:styleId="NoSpacing">
    <w:name w:val="No Spacing"/>
    <w:uiPriority w:val="1"/>
    <w:qFormat/>
    <w:rsid w:val="00D23DE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146205">
      <w:bodyDiv w:val="1"/>
      <w:marLeft w:val="0"/>
      <w:marRight w:val="0"/>
      <w:marTop w:val="0"/>
      <w:marBottom w:val="0"/>
      <w:divBdr>
        <w:top w:val="none" w:sz="0" w:space="0" w:color="auto"/>
        <w:left w:val="none" w:sz="0" w:space="0" w:color="auto"/>
        <w:bottom w:val="none" w:sz="0" w:space="0" w:color="auto"/>
        <w:right w:val="none" w:sz="0" w:space="0" w:color="auto"/>
      </w:divBdr>
    </w:div>
    <w:div w:id="17570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2474</Words>
  <Characters>13310</Characters>
  <Application>Microsoft Office Word</Application>
  <DocSecurity>0</DocSecurity>
  <Lines>283</Lines>
  <Paragraphs>57</Paragraphs>
  <ScaleCrop>false</ScaleCrop>
  <HeadingPairs>
    <vt:vector size="2" baseType="variant">
      <vt:variant>
        <vt:lpstr>Title</vt:lpstr>
      </vt:variant>
      <vt:variant>
        <vt:i4>1</vt:i4>
      </vt:variant>
    </vt:vector>
  </HeadingPairs>
  <TitlesOfParts>
    <vt:vector size="1" baseType="lpstr">
      <vt:lpstr>STATUTE LAW (MISCELLANEOUS PROVISIONS) BILL 2000</vt:lpstr>
    </vt:vector>
  </TitlesOfParts>
  <Company>InTACT</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LAW (MISCELLANEOUS PROVISIONS) BILL 2000</dc:title>
  <dc:creator>Anna Anderberg-Hewitt</dc:creator>
  <cp:lastModifiedBy>PCODCS</cp:lastModifiedBy>
  <cp:revision>4</cp:revision>
  <cp:lastPrinted>2018-09-03T07:48:00Z</cp:lastPrinted>
  <dcterms:created xsi:type="dcterms:W3CDTF">2019-09-17T05:16:00Z</dcterms:created>
  <dcterms:modified xsi:type="dcterms:W3CDTF">2019-09-17T05:16:00Z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gFAA2RjfPKrF47jyhbuPNu8+4kBPV5aATnuN/0vUNjVMCLi94I1QDIrquBVL408x1AfYarrEXMi8DQgz_x000d_
nRcDwblHBlGLn1Ma3kPaVhw2GC7UHQf//pRf2sH/qP0/mTjrW9swTY0ESn5VGj4AiyGwmRKdgDkc_x000d_
5w3IEJApe3p5OJEzgONa9Q1FtKyaUap3gIvTLz97XX692/fQa9yZaDwgO1U8xu0XU5gbsJzBQbQe_x000d_
gKthD1BYWynQH+0jr</vt:lpwstr>
  </property>
  <property fmtid="{D5CDD505-2E9C-101B-9397-08002B2CF9AE}" pid="3" name="MAIL_MSG_ID2">
    <vt:lpwstr>BI3p7Avc7YgoE8V7kWsl+stGPMlpHsao7BV5ZevPZgcK6fsLoZVIK4uF53R_x000d_
oOD8Gc12NCSg5kpF2h1HXIqzple6C23u4757kw==</vt:lpwstr>
  </property>
  <property fmtid="{D5CDD505-2E9C-101B-9397-08002B2CF9AE}" pid="4" name="RESPONSE_SENDER_NAME">
    <vt:lpwstr>sAAAGYoQX4c3X/LYySIYFMinPDypJxdTA5iJhbARlm4cSn0=</vt:lpwstr>
  </property>
  <property fmtid="{D5CDD505-2E9C-101B-9397-08002B2CF9AE}" pid="5" name="EMAIL_OWNER_ADDRESS">
    <vt:lpwstr>ABAAv4tRYjpfjUszO4xrH3HZQZ0wOPZ/VJyqfghtJip7B03aHUdcirOmV5cMAhcqJmt+</vt:lpwstr>
  </property>
</Properties>
</file>