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F0" w:rsidRPr="00884D54" w:rsidRDefault="00F861F0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84D54">
        <w:rPr>
          <w:rFonts w:asciiTheme="minorHAnsi" w:hAnsiTheme="minorHAnsi" w:cstheme="minorHAnsi"/>
          <w:sz w:val="24"/>
          <w:szCs w:val="24"/>
        </w:rPr>
        <w:t>Explanatory Statement</w:t>
      </w:r>
    </w:p>
    <w:p w:rsidR="00F861F0" w:rsidRPr="00884D54" w:rsidRDefault="00F861F0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F861F0" w:rsidRPr="00884D54" w:rsidRDefault="00F861F0">
      <w:pPr>
        <w:pStyle w:val="Heading1"/>
        <w:rPr>
          <w:rFonts w:asciiTheme="minorHAnsi" w:hAnsiTheme="minorHAnsi" w:cstheme="minorHAnsi"/>
          <w:b w:val="0"/>
          <w:bCs w:val="0"/>
          <w:szCs w:val="24"/>
        </w:rPr>
      </w:pPr>
      <w:r w:rsidRPr="00884D54">
        <w:rPr>
          <w:rFonts w:asciiTheme="minorHAnsi" w:hAnsiTheme="minorHAnsi" w:cstheme="minorHAnsi"/>
          <w:b w:val="0"/>
          <w:bCs w:val="0"/>
          <w:szCs w:val="24"/>
        </w:rPr>
        <w:t>Court</w:t>
      </w:r>
      <w:r w:rsidR="00793140">
        <w:rPr>
          <w:rFonts w:asciiTheme="minorHAnsi" w:hAnsiTheme="minorHAnsi" w:cstheme="minorHAnsi"/>
          <w:b w:val="0"/>
          <w:bCs w:val="0"/>
          <w:szCs w:val="24"/>
        </w:rPr>
        <w:t xml:space="preserve"> Procedures Amendment Rules 201</w:t>
      </w:r>
      <w:r w:rsidR="00AA1CDF">
        <w:rPr>
          <w:rFonts w:asciiTheme="minorHAnsi" w:hAnsiTheme="minorHAnsi" w:cstheme="minorHAnsi"/>
          <w:b w:val="0"/>
          <w:bCs w:val="0"/>
          <w:szCs w:val="24"/>
        </w:rPr>
        <w:t>9</w:t>
      </w:r>
      <w:r w:rsidR="00376436" w:rsidRPr="00884D54">
        <w:rPr>
          <w:rFonts w:asciiTheme="minorHAnsi" w:hAnsiTheme="minorHAnsi" w:cstheme="minorHAnsi"/>
          <w:b w:val="0"/>
          <w:bCs w:val="0"/>
          <w:szCs w:val="24"/>
        </w:rPr>
        <w:t xml:space="preserve"> (No </w:t>
      </w:r>
      <w:r w:rsidR="00417C03">
        <w:rPr>
          <w:rFonts w:asciiTheme="minorHAnsi" w:hAnsiTheme="minorHAnsi" w:cstheme="minorHAnsi"/>
          <w:b w:val="0"/>
          <w:bCs w:val="0"/>
          <w:szCs w:val="24"/>
        </w:rPr>
        <w:t>2</w:t>
      </w:r>
      <w:r w:rsidRPr="00884D54">
        <w:rPr>
          <w:rFonts w:asciiTheme="minorHAnsi" w:hAnsiTheme="minorHAnsi" w:cstheme="minorHAnsi"/>
          <w:b w:val="0"/>
          <w:bCs w:val="0"/>
          <w:szCs w:val="24"/>
        </w:rPr>
        <w:t>)</w:t>
      </w:r>
    </w:p>
    <w:p w:rsidR="00F861F0" w:rsidRPr="00884D54" w:rsidRDefault="00CD7E05" w:rsidP="00AA2C8F">
      <w:pPr>
        <w:pStyle w:val="Heading3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Subordinate Law </w:t>
      </w:r>
      <w:r w:rsidR="004F49E4">
        <w:rPr>
          <w:rFonts w:asciiTheme="minorHAnsi" w:hAnsiTheme="minorHAnsi" w:cstheme="minorHAnsi"/>
          <w:sz w:val="24"/>
          <w:szCs w:val="24"/>
        </w:rPr>
        <w:t>SL201</w:t>
      </w:r>
      <w:r w:rsidR="00417C03">
        <w:rPr>
          <w:rFonts w:asciiTheme="minorHAnsi" w:hAnsiTheme="minorHAnsi" w:cstheme="minorHAnsi"/>
          <w:sz w:val="24"/>
          <w:szCs w:val="24"/>
        </w:rPr>
        <w:t>9-25</w:t>
      </w:r>
    </w:p>
    <w:p w:rsidR="00F861F0" w:rsidRPr="00884D54" w:rsidRDefault="00F861F0">
      <w:pPr>
        <w:pStyle w:val="Heading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84D54">
        <w:rPr>
          <w:rFonts w:asciiTheme="minorHAnsi" w:hAnsiTheme="minorHAnsi" w:cstheme="minorHAnsi"/>
          <w:b w:val="0"/>
          <w:bCs w:val="0"/>
          <w:sz w:val="24"/>
          <w:szCs w:val="24"/>
        </w:rPr>
        <w:t>Issued by the Authority of the Rule-Making Committee</w:t>
      </w:r>
    </w:p>
    <w:p w:rsidR="00F861F0" w:rsidRDefault="00F861F0">
      <w:pPr>
        <w:rPr>
          <w:rFonts w:asciiTheme="minorHAnsi" w:hAnsiTheme="minorHAnsi" w:cstheme="minorHAnsi"/>
          <w:szCs w:val="24"/>
        </w:rPr>
      </w:pPr>
    </w:p>
    <w:p w:rsidR="00AE57C5" w:rsidRPr="00884D54" w:rsidRDefault="00AE57C5" w:rsidP="0066304A">
      <w:pPr>
        <w:jc w:val="both"/>
        <w:rPr>
          <w:rFonts w:asciiTheme="minorHAnsi" w:hAnsiTheme="minorHAnsi" w:cstheme="minorHAnsi"/>
          <w:szCs w:val="24"/>
        </w:rPr>
      </w:pPr>
      <w:r w:rsidRPr="00884D54">
        <w:rPr>
          <w:rFonts w:asciiTheme="minorHAnsi" w:hAnsiTheme="minorHAnsi" w:cstheme="minorHAnsi"/>
          <w:szCs w:val="24"/>
        </w:rPr>
        <w:t>The Rule-Making Comm</w:t>
      </w:r>
      <w:r w:rsidR="0087194D">
        <w:rPr>
          <w:rFonts w:asciiTheme="minorHAnsi" w:hAnsiTheme="minorHAnsi" w:cstheme="minorHAnsi"/>
          <w:szCs w:val="24"/>
        </w:rPr>
        <w:t xml:space="preserve">ittee (currently comprising Acting </w:t>
      </w:r>
      <w:r w:rsidRPr="00884D54">
        <w:rPr>
          <w:rFonts w:asciiTheme="minorHAnsi" w:hAnsiTheme="minorHAnsi" w:cstheme="minorHAnsi"/>
          <w:szCs w:val="24"/>
        </w:rPr>
        <w:t>Chief Justice</w:t>
      </w:r>
      <w:r w:rsidR="0087194D">
        <w:rPr>
          <w:rFonts w:asciiTheme="minorHAnsi" w:hAnsiTheme="minorHAnsi" w:cstheme="minorHAnsi"/>
          <w:szCs w:val="24"/>
        </w:rPr>
        <w:t xml:space="preserve"> Burns</w:t>
      </w:r>
      <w:r w:rsidRPr="00884D54">
        <w:rPr>
          <w:rFonts w:asciiTheme="minorHAnsi" w:hAnsiTheme="minorHAnsi" w:cstheme="minorHAnsi"/>
          <w:szCs w:val="24"/>
        </w:rPr>
        <w:t xml:space="preserve">, Justice </w:t>
      </w:r>
      <w:r w:rsidR="00793140">
        <w:rPr>
          <w:rFonts w:asciiTheme="minorHAnsi" w:hAnsiTheme="minorHAnsi" w:cstheme="minorHAnsi"/>
          <w:szCs w:val="24"/>
        </w:rPr>
        <w:t>Elkaim</w:t>
      </w:r>
      <w:r>
        <w:rPr>
          <w:rFonts w:asciiTheme="minorHAnsi" w:hAnsiTheme="minorHAnsi" w:cstheme="minorHAnsi"/>
          <w:szCs w:val="24"/>
        </w:rPr>
        <w:t xml:space="preserve">, </w:t>
      </w:r>
      <w:r w:rsidR="00863D1C">
        <w:rPr>
          <w:rFonts w:asciiTheme="minorHAnsi" w:hAnsiTheme="minorHAnsi" w:cstheme="minorHAnsi"/>
          <w:szCs w:val="24"/>
        </w:rPr>
        <w:t xml:space="preserve">Acting </w:t>
      </w:r>
      <w:r>
        <w:rPr>
          <w:rFonts w:asciiTheme="minorHAnsi" w:hAnsiTheme="minorHAnsi" w:cstheme="minorHAnsi"/>
          <w:szCs w:val="24"/>
        </w:rPr>
        <w:t xml:space="preserve">Chief Magistrate </w:t>
      </w:r>
      <w:r w:rsidR="0087194D">
        <w:rPr>
          <w:rFonts w:asciiTheme="minorHAnsi" w:hAnsiTheme="minorHAnsi" w:cstheme="minorHAnsi"/>
          <w:szCs w:val="24"/>
        </w:rPr>
        <w:t>Theakston</w:t>
      </w:r>
      <w:r>
        <w:rPr>
          <w:rFonts w:asciiTheme="minorHAnsi" w:hAnsiTheme="minorHAnsi" w:cstheme="minorHAnsi"/>
          <w:szCs w:val="24"/>
        </w:rPr>
        <w:t xml:space="preserve"> and Magistrate </w:t>
      </w:r>
      <w:r w:rsidR="006A37B0">
        <w:rPr>
          <w:rFonts w:asciiTheme="minorHAnsi" w:hAnsiTheme="minorHAnsi" w:cstheme="minorHAnsi"/>
          <w:szCs w:val="24"/>
        </w:rPr>
        <w:t>Boss</w:t>
      </w:r>
      <w:r w:rsidRPr="00884D54">
        <w:rPr>
          <w:rFonts w:asciiTheme="minorHAnsi" w:hAnsiTheme="minorHAnsi" w:cstheme="minorHAnsi"/>
          <w:szCs w:val="24"/>
        </w:rPr>
        <w:t xml:space="preserve">) may make rules in relation to the practice and procedure of ACT courts and their registries pursuant to section 7 of the </w:t>
      </w:r>
      <w:r w:rsidRPr="00884D54">
        <w:rPr>
          <w:rFonts w:asciiTheme="minorHAnsi" w:hAnsiTheme="minorHAnsi" w:cstheme="minorHAnsi"/>
          <w:i/>
          <w:iCs/>
          <w:szCs w:val="24"/>
        </w:rPr>
        <w:t xml:space="preserve">Court Procedures Act 2004. </w:t>
      </w:r>
      <w:r w:rsidR="00AB117C">
        <w:rPr>
          <w:rFonts w:asciiTheme="minorHAnsi" w:hAnsiTheme="minorHAnsi" w:cstheme="minorHAnsi"/>
          <w:szCs w:val="24"/>
        </w:rPr>
        <w:t>T</w:t>
      </w:r>
      <w:r w:rsidRPr="00884D54">
        <w:rPr>
          <w:rFonts w:asciiTheme="minorHAnsi" w:hAnsiTheme="minorHAnsi" w:cstheme="minorHAnsi"/>
          <w:szCs w:val="24"/>
        </w:rPr>
        <w:t>he Courts and the Joint Rules Advisory Committee have conducted a consultative review of the rules</w:t>
      </w:r>
      <w:r w:rsidR="00AB117C">
        <w:rPr>
          <w:rFonts w:asciiTheme="minorHAnsi" w:hAnsiTheme="minorHAnsi" w:cstheme="minorHAnsi"/>
          <w:szCs w:val="24"/>
        </w:rPr>
        <w:t xml:space="preserve"> which has</w:t>
      </w:r>
      <w:r w:rsidRPr="00884D54">
        <w:rPr>
          <w:rFonts w:asciiTheme="minorHAnsi" w:hAnsiTheme="minorHAnsi" w:cstheme="minorHAnsi"/>
          <w:szCs w:val="24"/>
        </w:rPr>
        <w:t xml:space="preserve"> resulted in the amendments contained in the </w:t>
      </w:r>
      <w:r w:rsidRPr="00884D54">
        <w:rPr>
          <w:rFonts w:asciiTheme="minorHAnsi" w:hAnsiTheme="minorHAnsi" w:cstheme="minorHAnsi"/>
          <w:i/>
          <w:iCs/>
          <w:szCs w:val="24"/>
        </w:rPr>
        <w:t>Court Proce</w:t>
      </w:r>
      <w:r w:rsidR="00AA1CDF">
        <w:rPr>
          <w:rFonts w:asciiTheme="minorHAnsi" w:hAnsiTheme="minorHAnsi" w:cstheme="minorHAnsi"/>
          <w:i/>
          <w:iCs/>
          <w:szCs w:val="24"/>
        </w:rPr>
        <w:t>dures Amendment Rules 2019</w:t>
      </w:r>
      <w:r w:rsidR="00AB117C">
        <w:rPr>
          <w:rFonts w:asciiTheme="minorHAnsi" w:hAnsiTheme="minorHAnsi" w:cstheme="minorHAnsi"/>
          <w:i/>
          <w:iCs/>
          <w:szCs w:val="24"/>
        </w:rPr>
        <w:t xml:space="preserve"> (No </w:t>
      </w:r>
      <w:r w:rsidR="00417C03">
        <w:rPr>
          <w:rFonts w:asciiTheme="minorHAnsi" w:hAnsiTheme="minorHAnsi" w:cstheme="minorHAnsi"/>
          <w:i/>
          <w:iCs/>
          <w:szCs w:val="24"/>
        </w:rPr>
        <w:t>2</w:t>
      </w:r>
      <w:r w:rsidRPr="00884D54">
        <w:rPr>
          <w:rFonts w:asciiTheme="minorHAnsi" w:hAnsiTheme="minorHAnsi" w:cstheme="minorHAnsi"/>
          <w:i/>
          <w:iCs/>
          <w:szCs w:val="24"/>
        </w:rPr>
        <w:t>)</w:t>
      </w:r>
      <w:r w:rsidRPr="00884D54">
        <w:rPr>
          <w:rFonts w:asciiTheme="minorHAnsi" w:hAnsiTheme="minorHAnsi" w:cstheme="minorHAnsi"/>
          <w:szCs w:val="24"/>
        </w:rPr>
        <w:t>.</w:t>
      </w:r>
    </w:p>
    <w:p w:rsidR="00151C4E" w:rsidRPr="004515BB" w:rsidRDefault="00151C4E" w:rsidP="0066304A">
      <w:pPr>
        <w:jc w:val="both"/>
        <w:rPr>
          <w:rFonts w:asciiTheme="minorHAnsi" w:hAnsiTheme="minorHAnsi"/>
          <w:szCs w:val="24"/>
        </w:rPr>
      </w:pPr>
    </w:p>
    <w:p w:rsidR="001C4F65" w:rsidRDefault="00AD4BD6" w:rsidP="00417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Rules</w:t>
      </w:r>
      <w:r w:rsidR="00417C03">
        <w:rPr>
          <w:rFonts w:asciiTheme="minorHAnsi" w:hAnsiTheme="minorHAnsi"/>
        </w:rPr>
        <w:t xml:space="preserve"> 1608</w:t>
      </w:r>
      <w:r w:rsidR="0087194D">
        <w:rPr>
          <w:rFonts w:asciiTheme="minorHAnsi" w:hAnsiTheme="minorHAnsi"/>
        </w:rPr>
        <w:t xml:space="preserve"> (Orders – Reasons)</w:t>
      </w:r>
      <w:r w:rsidR="00417C03">
        <w:rPr>
          <w:rFonts w:asciiTheme="minorHAnsi" w:hAnsiTheme="minorHAnsi"/>
        </w:rPr>
        <w:t xml:space="preserve"> and 6131</w:t>
      </w:r>
      <w:r>
        <w:rPr>
          <w:rFonts w:asciiTheme="minorHAnsi" w:hAnsiTheme="minorHAnsi"/>
        </w:rPr>
        <w:t xml:space="preserve"> </w:t>
      </w:r>
      <w:r w:rsidR="0087194D">
        <w:rPr>
          <w:rFonts w:asciiTheme="minorHAnsi" w:hAnsiTheme="minorHAnsi"/>
        </w:rPr>
        <w:t xml:space="preserve">(Signing, sealing and stamping documents filed electronically) </w:t>
      </w:r>
      <w:r w:rsidR="001C4F65">
        <w:rPr>
          <w:rFonts w:asciiTheme="minorHAnsi" w:hAnsiTheme="minorHAnsi"/>
        </w:rPr>
        <w:t>have been amended</w:t>
      </w:r>
      <w:r w:rsidR="00417C03">
        <w:rPr>
          <w:rFonts w:asciiTheme="minorHAnsi" w:hAnsiTheme="minorHAnsi"/>
        </w:rPr>
        <w:t xml:space="preserve">.  The Court Procedure Rules do not define “court officer”.  This term appears in the current rules 1608 and 6131.  The term is not defined or used in the </w:t>
      </w:r>
      <w:r w:rsidR="00417C03">
        <w:rPr>
          <w:rFonts w:asciiTheme="minorHAnsi" w:hAnsiTheme="minorHAnsi"/>
          <w:i/>
        </w:rPr>
        <w:t>Court Procedures Act 2004</w:t>
      </w:r>
      <w:r w:rsidR="00417C03">
        <w:rPr>
          <w:rFonts w:asciiTheme="minorHAnsi" w:hAnsiTheme="minorHAnsi"/>
        </w:rPr>
        <w:t xml:space="preserve">, the </w:t>
      </w:r>
      <w:r w:rsidR="00417C03">
        <w:rPr>
          <w:rFonts w:asciiTheme="minorHAnsi" w:hAnsiTheme="minorHAnsi"/>
          <w:i/>
        </w:rPr>
        <w:t>Supreme Court Act 1933</w:t>
      </w:r>
      <w:r w:rsidR="00417C03">
        <w:rPr>
          <w:rFonts w:asciiTheme="minorHAnsi" w:hAnsiTheme="minorHAnsi"/>
        </w:rPr>
        <w:t xml:space="preserve"> or the </w:t>
      </w:r>
      <w:r w:rsidR="00417C03">
        <w:rPr>
          <w:rFonts w:asciiTheme="minorHAnsi" w:hAnsiTheme="minorHAnsi"/>
          <w:i/>
        </w:rPr>
        <w:t>Magistrates Court Act 1903</w:t>
      </w:r>
      <w:r w:rsidR="001C4F65">
        <w:rPr>
          <w:rFonts w:asciiTheme="minorHAnsi" w:hAnsiTheme="minorHAnsi"/>
        </w:rPr>
        <w:t xml:space="preserve"> </w:t>
      </w:r>
      <w:r w:rsidR="00C23083">
        <w:rPr>
          <w:rFonts w:asciiTheme="minorHAnsi" w:hAnsiTheme="minorHAnsi"/>
        </w:rPr>
        <w:t xml:space="preserve">and </w:t>
      </w:r>
      <w:r w:rsidR="00417C03">
        <w:rPr>
          <w:rFonts w:asciiTheme="minorHAnsi" w:hAnsiTheme="minorHAnsi"/>
        </w:rPr>
        <w:t xml:space="preserve">it is not used in the approved court forms. </w:t>
      </w:r>
      <w:r w:rsidR="008269B4">
        <w:rPr>
          <w:rFonts w:asciiTheme="minorHAnsi" w:hAnsiTheme="minorHAnsi"/>
        </w:rPr>
        <w:t>By contracts, the term “registrar” is used on numerous occasions throughout the rules and forms and is defined in the relevant Acts.</w:t>
      </w:r>
    </w:p>
    <w:p w:rsidR="00696EBE" w:rsidRDefault="00696EBE" w:rsidP="00417C03">
      <w:pPr>
        <w:jc w:val="both"/>
        <w:rPr>
          <w:rFonts w:asciiTheme="minorHAnsi" w:hAnsiTheme="minorHAnsi"/>
        </w:rPr>
      </w:pPr>
    </w:p>
    <w:p w:rsidR="00696EBE" w:rsidRDefault="00696EBE" w:rsidP="00417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Rule 1608(2)(a) </w:t>
      </w:r>
      <w:r w:rsidR="0087194D">
        <w:rPr>
          <w:rFonts w:asciiTheme="minorHAnsi" w:hAnsiTheme="minorHAnsi"/>
        </w:rPr>
        <w:t>has consequently been amended to replace the term “court officer”  with the</w:t>
      </w:r>
      <w:r w:rsidR="008269B4">
        <w:rPr>
          <w:rFonts w:asciiTheme="minorHAnsi" w:hAnsiTheme="minorHAnsi"/>
        </w:rPr>
        <w:t xml:space="preserve"> more generic</w:t>
      </w:r>
      <w:r w:rsidR="0087194D">
        <w:rPr>
          <w:rFonts w:asciiTheme="minorHAnsi" w:hAnsiTheme="minorHAnsi"/>
        </w:rPr>
        <w:t xml:space="preserve"> term</w:t>
      </w:r>
      <w:r w:rsidR="008269B4">
        <w:rPr>
          <w:rFonts w:asciiTheme="minorHAnsi" w:hAnsiTheme="minorHAnsi"/>
        </w:rPr>
        <w:t xml:space="preserve"> of</w:t>
      </w:r>
      <w:r w:rsidR="0087194D">
        <w:rPr>
          <w:rFonts w:asciiTheme="minorHAnsi" w:hAnsiTheme="minorHAnsi"/>
        </w:rPr>
        <w:t xml:space="preserve"> “an appropriate officer of the court”</w:t>
      </w:r>
      <w:r w:rsidR="008269B4">
        <w:rPr>
          <w:rFonts w:asciiTheme="minorHAnsi" w:hAnsiTheme="minorHAnsi"/>
        </w:rPr>
        <w:t xml:space="preserve"> (the requirement of a registrar for this function not being needed)</w:t>
      </w:r>
      <w:r w:rsidR="0087194D">
        <w:rPr>
          <w:rFonts w:asciiTheme="minorHAnsi" w:hAnsiTheme="minorHAnsi"/>
        </w:rPr>
        <w:t>.</w:t>
      </w:r>
    </w:p>
    <w:p w:rsidR="0087194D" w:rsidRDefault="0087194D" w:rsidP="00417C03">
      <w:pPr>
        <w:jc w:val="both"/>
        <w:rPr>
          <w:rFonts w:asciiTheme="minorHAnsi" w:hAnsiTheme="minorHAnsi"/>
        </w:rPr>
      </w:pPr>
    </w:p>
    <w:p w:rsidR="0087194D" w:rsidRDefault="0087194D" w:rsidP="00417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Rule 6131 has been amended to provide that where the rules require that a document be signed by a registrar, sealed or stamped, and the document is filed or issued electronically, the document is taken to be signed by a registrar, sealed or stamped if the document is sealed or stamped electronically</w:t>
      </w:r>
      <w:r w:rsidR="008269B4">
        <w:rPr>
          <w:rFonts w:asciiTheme="minorHAnsi" w:hAnsiTheme="minorHAnsi"/>
        </w:rPr>
        <w:t>.</w:t>
      </w:r>
    </w:p>
    <w:p w:rsidR="008269B4" w:rsidRDefault="008269B4" w:rsidP="00417C03">
      <w:pPr>
        <w:jc w:val="both"/>
        <w:rPr>
          <w:rFonts w:asciiTheme="minorHAnsi" w:hAnsiTheme="minorHAnsi"/>
        </w:rPr>
      </w:pPr>
    </w:p>
    <w:p w:rsidR="008269B4" w:rsidRDefault="008269B4" w:rsidP="00417C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requirement that a document be signed by a registrar appears in only one rule (rule 1606). A large number of prescribed forms provide for signature by a registrar.</w:t>
      </w:r>
    </w:p>
    <w:p w:rsidR="0066304A" w:rsidRDefault="0066304A" w:rsidP="0066304A">
      <w:pPr>
        <w:jc w:val="both"/>
        <w:rPr>
          <w:rFonts w:asciiTheme="minorHAnsi" w:hAnsiTheme="minorHAnsi" w:cstheme="minorHAnsi"/>
          <w:szCs w:val="24"/>
        </w:rPr>
      </w:pPr>
    </w:p>
    <w:p w:rsidR="008B0A2A" w:rsidRPr="004515BB" w:rsidRDefault="008B0A2A" w:rsidP="0066304A">
      <w:pPr>
        <w:jc w:val="both"/>
        <w:rPr>
          <w:rFonts w:asciiTheme="minorHAnsi" w:hAnsiTheme="minorHAnsi" w:cstheme="minorHAnsi"/>
          <w:szCs w:val="24"/>
        </w:rPr>
      </w:pPr>
      <w:r w:rsidRPr="004515BB">
        <w:rPr>
          <w:rFonts w:asciiTheme="minorHAnsi" w:hAnsiTheme="minorHAnsi" w:cstheme="minorHAnsi"/>
          <w:szCs w:val="24"/>
        </w:rPr>
        <w:t>T</w:t>
      </w:r>
      <w:r w:rsidR="00C542B3" w:rsidRPr="004515BB">
        <w:rPr>
          <w:rFonts w:asciiTheme="minorHAnsi" w:hAnsiTheme="minorHAnsi" w:cstheme="minorHAnsi"/>
          <w:szCs w:val="24"/>
        </w:rPr>
        <w:t>he</w:t>
      </w:r>
      <w:r w:rsidR="006E4A21">
        <w:rPr>
          <w:rFonts w:asciiTheme="minorHAnsi" w:hAnsiTheme="minorHAnsi" w:cstheme="minorHAnsi"/>
          <w:szCs w:val="24"/>
        </w:rPr>
        <w:t xml:space="preserve"> rule</w:t>
      </w:r>
      <w:r w:rsidR="0001478C">
        <w:rPr>
          <w:rFonts w:asciiTheme="minorHAnsi" w:hAnsiTheme="minorHAnsi" w:cstheme="minorHAnsi"/>
          <w:szCs w:val="24"/>
        </w:rPr>
        <w:t>s</w:t>
      </w:r>
      <w:r w:rsidR="00D71053" w:rsidRPr="004515BB">
        <w:rPr>
          <w:rFonts w:asciiTheme="minorHAnsi" w:hAnsiTheme="minorHAnsi" w:cstheme="minorHAnsi"/>
          <w:szCs w:val="24"/>
        </w:rPr>
        <w:t xml:space="preserve"> will commence on </w:t>
      </w:r>
      <w:r w:rsidR="008269B4">
        <w:rPr>
          <w:rFonts w:asciiTheme="minorHAnsi" w:hAnsiTheme="minorHAnsi" w:cstheme="minorHAnsi"/>
          <w:szCs w:val="24"/>
        </w:rPr>
        <w:t>the day after their notification day</w:t>
      </w:r>
      <w:r w:rsidRPr="004515BB">
        <w:rPr>
          <w:rFonts w:asciiTheme="minorHAnsi" w:hAnsiTheme="minorHAnsi" w:cstheme="minorHAnsi"/>
          <w:szCs w:val="24"/>
        </w:rPr>
        <w:t>.</w:t>
      </w:r>
      <w:r w:rsidR="00F84F71" w:rsidRPr="004515BB">
        <w:rPr>
          <w:rFonts w:asciiTheme="minorHAnsi" w:hAnsiTheme="minorHAnsi" w:cstheme="minorHAnsi"/>
          <w:szCs w:val="24"/>
        </w:rPr>
        <w:t xml:space="preserve">  </w:t>
      </w:r>
    </w:p>
    <w:p w:rsidR="008B0A2A" w:rsidRPr="004515BB" w:rsidRDefault="008B0A2A" w:rsidP="0066304A">
      <w:pPr>
        <w:jc w:val="both"/>
        <w:rPr>
          <w:rFonts w:asciiTheme="minorHAnsi" w:hAnsiTheme="minorHAnsi" w:cstheme="minorHAnsi"/>
          <w:szCs w:val="24"/>
        </w:rPr>
      </w:pPr>
    </w:p>
    <w:sectPr w:rsidR="008B0A2A" w:rsidRPr="004515BB" w:rsidSect="006C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E72" w:rsidRDefault="00100E72" w:rsidP="0053442B">
      <w:r>
        <w:separator/>
      </w:r>
    </w:p>
  </w:endnote>
  <w:endnote w:type="continuationSeparator" w:id="0">
    <w:p w:rsidR="00100E72" w:rsidRDefault="00100E72" w:rsidP="0053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11" w:rsidRDefault="00230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11" w:rsidRPr="00230511" w:rsidRDefault="00230511" w:rsidP="00230511">
    <w:pPr>
      <w:pStyle w:val="Footer"/>
      <w:jc w:val="center"/>
      <w:rPr>
        <w:rFonts w:ascii="Arial" w:hAnsi="Arial" w:cs="Arial"/>
        <w:sz w:val="14"/>
      </w:rPr>
    </w:pPr>
    <w:r w:rsidRPr="0023051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11" w:rsidRDefault="00230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E72" w:rsidRDefault="00100E72" w:rsidP="0053442B">
      <w:r>
        <w:separator/>
      </w:r>
    </w:p>
  </w:footnote>
  <w:footnote w:type="continuationSeparator" w:id="0">
    <w:p w:rsidR="00100E72" w:rsidRDefault="00100E72" w:rsidP="0053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11" w:rsidRDefault="00230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11" w:rsidRDefault="00230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11" w:rsidRDefault="00230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1331"/>
    <w:multiLevelType w:val="hybridMultilevel"/>
    <w:tmpl w:val="E8A0FC20"/>
    <w:lvl w:ilvl="0" w:tplc="392CAAE6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65CB"/>
    <w:multiLevelType w:val="hybridMultilevel"/>
    <w:tmpl w:val="D8442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03CB4"/>
    <w:multiLevelType w:val="hybridMultilevel"/>
    <w:tmpl w:val="2F4CE39E"/>
    <w:lvl w:ilvl="0" w:tplc="7876C034">
      <w:start w:val="1"/>
      <w:numFmt w:val="lowerLetter"/>
      <w:lvlText w:val="(%1)"/>
      <w:lvlJc w:val="left"/>
      <w:pPr>
        <w:ind w:left="1140" w:hanging="4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563CF"/>
    <w:multiLevelType w:val="hybridMultilevel"/>
    <w:tmpl w:val="CC8A75DC"/>
    <w:lvl w:ilvl="0" w:tplc="BBA08430">
      <w:start w:val="1"/>
      <w:numFmt w:val="lowerRoman"/>
      <w:lvlText w:val="(%1)"/>
      <w:lvlJc w:val="left"/>
      <w:pPr>
        <w:ind w:left="1996" w:hanging="720"/>
      </w:p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53FDE"/>
    <w:multiLevelType w:val="hybridMultilevel"/>
    <w:tmpl w:val="299A7886"/>
    <w:lvl w:ilvl="0" w:tplc="83E090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F615D"/>
    <w:multiLevelType w:val="hybridMultilevel"/>
    <w:tmpl w:val="CEC017E8"/>
    <w:lvl w:ilvl="0" w:tplc="A4C0D6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54D66"/>
    <w:multiLevelType w:val="hybridMultilevel"/>
    <w:tmpl w:val="5E2E8AB8"/>
    <w:lvl w:ilvl="0" w:tplc="0C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D766AC6"/>
    <w:multiLevelType w:val="hybridMultilevel"/>
    <w:tmpl w:val="22187E02"/>
    <w:lvl w:ilvl="0" w:tplc="AD3C84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14"/>
    <w:rsid w:val="00003F45"/>
    <w:rsid w:val="00005204"/>
    <w:rsid w:val="00010FC0"/>
    <w:rsid w:val="0001478C"/>
    <w:rsid w:val="000308AD"/>
    <w:rsid w:val="000373FA"/>
    <w:rsid w:val="00056A94"/>
    <w:rsid w:val="0009753C"/>
    <w:rsid w:val="000C2EEA"/>
    <w:rsid w:val="00100E72"/>
    <w:rsid w:val="001052A4"/>
    <w:rsid w:val="00115C14"/>
    <w:rsid w:val="00151C4E"/>
    <w:rsid w:val="0017711E"/>
    <w:rsid w:val="0017787E"/>
    <w:rsid w:val="00196A0D"/>
    <w:rsid w:val="001B38E0"/>
    <w:rsid w:val="001C24F4"/>
    <w:rsid w:val="001C4F65"/>
    <w:rsid w:val="002149F8"/>
    <w:rsid w:val="00230511"/>
    <w:rsid w:val="002374AE"/>
    <w:rsid w:val="00264066"/>
    <w:rsid w:val="00265F7C"/>
    <w:rsid w:val="00276EE0"/>
    <w:rsid w:val="00284E43"/>
    <w:rsid w:val="002905B7"/>
    <w:rsid w:val="002B754A"/>
    <w:rsid w:val="002C2C95"/>
    <w:rsid w:val="002E27BC"/>
    <w:rsid w:val="002E5CCD"/>
    <w:rsid w:val="002F58CE"/>
    <w:rsid w:val="0031417B"/>
    <w:rsid w:val="00340283"/>
    <w:rsid w:val="003619E8"/>
    <w:rsid w:val="003624A5"/>
    <w:rsid w:val="00366336"/>
    <w:rsid w:val="00376436"/>
    <w:rsid w:val="003B1940"/>
    <w:rsid w:val="003B2E9A"/>
    <w:rsid w:val="003B3ED3"/>
    <w:rsid w:val="003C7C81"/>
    <w:rsid w:val="003D4BAA"/>
    <w:rsid w:val="003D5673"/>
    <w:rsid w:val="003E67B2"/>
    <w:rsid w:val="003F7B21"/>
    <w:rsid w:val="00417C03"/>
    <w:rsid w:val="00432058"/>
    <w:rsid w:val="00444CCC"/>
    <w:rsid w:val="004515BB"/>
    <w:rsid w:val="004515E6"/>
    <w:rsid w:val="00452AA4"/>
    <w:rsid w:val="00456B14"/>
    <w:rsid w:val="004608AA"/>
    <w:rsid w:val="00464C03"/>
    <w:rsid w:val="00466E5B"/>
    <w:rsid w:val="00485CDD"/>
    <w:rsid w:val="00492DE9"/>
    <w:rsid w:val="004930C9"/>
    <w:rsid w:val="004A1EB8"/>
    <w:rsid w:val="004A6021"/>
    <w:rsid w:val="004E137A"/>
    <w:rsid w:val="004E2590"/>
    <w:rsid w:val="004F49E4"/>
    <w:rsid w:val="00515545"/>
    <w:rsid w:val="0053442B"/>
    <w:rsid w:val="0055510C"/>
    <w:rsid w:val="005613A8"/>
    <w:rsid w:val="005719BE"/>
    <w:rsid w:val="005A5634"/>
    <w:rsid w:val="005D631D"/>
    <w:rsid w:val="005E3779"/>
    <w:rsid w:val="006049D3"/>
    <w:rsid w:val="00606397"/>
    <w:rsid w:val="00646048"/>
    <w:rsid w:val="0066304A"/>
    <w:rsid w:val="0066796F"/>
    <w:rsid w:val="00680F19"/>
    <w:rsid w:val="00696EBE"/>
    <w:rsid w:val="006A37B0"/>
    <w:rsid w:val="006C2AC8"/>
    <w:rsid w:val="006C7D2C"/>
    <w:rsid w:val="006D11C0"/>
    <w:rsid w:val="006E008D"/>
    <w:rsid w:val="006E4A21"/>
    <w:rsid w:val="00710ECD"/>
    <w:rsid w:val="007346B1"/>
    <w:rsid w:val="007504CD"/>
    <w:rsid w:val="0075749C"/>
    <w:rsid w:val="00774AC9"/>
    <w:rsid w:val="007801B8"/>
    <w:rsid w:val="00793140"/>
    <w:rsid w:val="0079538C"/>
    <w:rsid w:val="007B3F7C"/>
    <w:rsid w:val="008109D2"/>
    <w:rsid w:val="008269B4"/>
    <w:rsid w:val="00833E9A"/>
    <w:rsid w:val="0085067A"/>
    <w:rsid w:val="00861A97"/>
    <w:rsid w:val="00863D1C"/>
    <w:rsid w:val="0087194D"/>
    <w:rsid w:val="00881E5F"/>
    <w:rsid w:val="00884D54"/>
    <w:rsid w:val="008A6CDC"/>
    <w:rsid w:val="008B0A2A"/>
    <w:rsid w:val="008B3498"/>
    <w:rsid w:val="008B73DD"/>
    <w:rsid w:val="008B7E5D"/>
    <w:rsid w:val="008C14A4"/>
    <w:rsid w:val="008D123F"/>
    <w:rsid w:val="008D2E34"/>
    <w:rsid w:val="00905F21"/>
    <w:rsid w:val="00907FBE"/>
    <w:rsid w:val="00910AFC"/>
    <w:rsid w:val="00912C89"/>
    <w:rsid w:val="009374E4"/>
    <w:rsid w:val="00943A58"/>
    <w:rsid w:val="009457E4"/>
    <w:rsid w:val="009606F2"/>
    <w:rsid w:val="00974BBB"/>
    <w:rsid w:val="009C14D8"/>
    <w:rsid w:val="009E2B01"/>
    <w:rsid w:val="009E3A79"/>
    <w:rsid w:val="00A20687"/>
    <w:rsid w:val="00A4564F"/>
    <w:rsid w:val="00A535F7"/>
    <w:rsid w:val="00A72F5B"/>
    <w:rsid w:val="00A86A68"/>
    <w:rsid w:val="00AA1CDF"/>
    <w:rsid w:val="00AA2C8F"/>
    <w:rsid w:val="00AB117C"/>
    <w:rsid w:val="00AB1626"/>
    <w:rsid w:val="00AB5821"/>
    <w:rsid w:val="00AD0EF5"/>
    <w:rsid w:val="00AD4049"/>
    <w:rsid w:val="00AD4BD6"/>
    <w:rsid w:val="00AE57C5"/>
    <w:rsid w:val="00AF4F78"/>
    <w:rsid w:val="00AF515A"/>
    <w:rsid w:val="00B05B44"/>
    <w:rsid w:val="00B30354"/>
    <w:rsid w:val="00B316A7"/>
    <w:rsid w:val="00B86F14"/>
    <w:rsid w:val="00B936C9"/>
    <w:rsid w:val="00BA50CB"/>
    <w:rsid w:val="00BB5803"/>
    <w:rsid w:val="00BE59D4"/>
    <w:rsid w:val="00C02AC9"/>
    <w:rsid w:val="00C23083"/>
    <w:rsid w:val="00C32D52"/>
    <w:rsid w:val="00C35BCA"/>
    <w:rsid w:val="00C47B41"/>
    <w:rsid w:val="00C542B3"/>
    <w:rsid w:val="00C9511C"/>
    <w:rsid w:val="00CC0EEC"/>
    <w:rsid w:val="00CD7E05"/>
    <w:rsid w:val="00CE4F97"/>
    <w:rsid w:val="00CF03AC"/>
    <w:rsid w:val="00CF7752"/>
    <w:rsid w:val="00D46101"/>
    <w:rsid w:val="00D46411"/>
    <w:rsid w:val="00D5678C"/>
    <w:rsid w:val="00D658B3"/>
    <w:rsid w:val="00D71053"/>
    <w:rsid w:val="00D718D6"/>
    <w:rsid w:val="00D71F4B"/>
    <w:rsid w:val="00D736DF"/>
    <w:rsid w:val="00D75593"/>
    <w:rsid w:val="00D8439E"/>
    <w:rsid w:val="00D931E3"/>
    <w:rsid w:val="00D96986"/>
    <w:rsid w:val="00DA48FF"/>
    <w:rsid w:val="00DF61AA"/>
    <w:rsid w:val="00E1346B"/>
    <w:rsid w:val="00E13A4C"/>
    <w:rsid w:val="00E14A8F"/>
    <w:rsid w:val="00E24F89"/>
    <w:rsid w:val="00E34A68"/>
    <w:rsid w:val="00E65308"/>
    <w:rsid w:val="00E71428"/>
    <w:rsid w:val="00E737EF"/>
    <w:rsid w:val="00E87B4C"/>
    <w:rsid w:val="00E94561"/>
    <w:rsid w:val="00ED356A"/>
    <w:rsid w:val="00F03B22"/>
    <w:rsid w:val="00F13CFD"/>
    <w:rsid w:val="00F265F1"/>
    <w:rsid w:val="00F34CA9"/>
    <w:rsid w:val="00F46AC3"/>
    <w:rsid w:val="00F55744"/>
    <w:rsid w:val="00F573F3"/>
    <w:rsid w:val="00F629FD"/>
    <w:rsid w:val="00F7296E"/>
    <w:rsid w:val="00F84F71"/>
    <w:rsid w:val="00F861F0"/>
    <w:rsid w:val="00FA40DF"/>
    <w:rsid w:val="00FB4AD1"/>
    <w:rsid w:val="00FB6A58"/>
    <w:rsid w:val="00FC1CAE"/>
    <w:rsid w:val="00FD0228"/>
    <w:rsid w:val="00FE2590"/>
    <w:rsid w:val="00FE5EAD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2B0983-0F42-4FEB-BCAE-061BB591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C9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C2C9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2C95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2C2C95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C2C95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Itals">
    <w:name w:val="charItals"/>
    <w:basedOn w:val="DefaultParagraphFont"/>
    <w:rsid w:val="002C2C95"/>
    <w:rPr>
      <w:i/>
      <w:iCs/>
    </w:rPr>
  </w:style>
  <w:style w:type="paragraph" w:styleId="BodyText">
    <w:name w:val="Body Text"/>
    <w:basedOn w:val="Normal"/>
    <w:link w:val="BodyTextChar"/>
    <w:rsid w:val="002C2C95"/>
    <w:pPr>
      <w:jc w:val="both"/>
    </w:pPr>
  </w:style>
  <w:style w:type="paragraph" w:styleId="BalloonText">
    <w:name w:val="Balloon Text"/>
    <w:basedOn w:val="Normal"/>
    <w:semiHidden/>
    <w:rsid w:val="00FB4AD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344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442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442B"/>
    <w:pPr>
      <w:ind w:left="720"/>
      <w:contextualSpacing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rsid w:val="005344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42B"/>
    <w:rPr>
      <w:sz w:val="24"/>
      <w:lang w:eastAsia="en-US"/>
    </w:rPr>
  </w:style>
  <w:style w:type="paragraph" w:styleId="Footer">
    <w:name w:val="footer"/>
    <w:basedOn w:val="Normal"/>
    <w:link w:val="FooterChar"/>
    <w:rsid w:val="00534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442B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A40DF"/>
    <w:rPr>
      <w:sz w:val="24"/>
      <w:lang w:eastAsia="en-US"/>
    </w:rPr>
  </w:style>
  <w:style w:type="character" w:customStyle="1" w:styleId="charCitHyperlinkItal">
    <w:name w:val="charCitHyperlinkItal"/>
    <w:basedOn w:val="Hyperlink"/>
    <w:uiPriority w:val="1"/>
    <w:rsid w:val="008B0A2A"/>
    <w:rPr>
      <w:rFonts w:cs="Times New Roman"/>
      <w:i/>
      <w:color w:val="0000FF" w:themeColor="hyperlink"/>
      <w:u w:val="none"/>
    </w:rPr>
  </w:style>
  <w:style w:type="character" w:styleId="Hyperlink">
    <w:name w:val="Hyperlink"/>
    <w:basedOn w:val="DefaultParagraphFont"/>
    <w:rsid w:val="008B0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1620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ACT Government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Annie Glover</dc:creator>
  <cp:lastModifiedBy>PCODCS</cp:lastModifiedBy>
  <cp:revision>4</cp:revision>
  <cp:lastPrinted>2019-09-17T06:00:00Z</cp:lastPrinted>
  <dcterms:created xsi:type="dcterms:W3CDTF">2019-09-19T06:21:00Z</dcterms:created>
  <dcterms:modified xsi:type="dcterms:W3CDTF">2019-09-19T06:21:00Z</dcterms:modified>
</cp:coreProperties>
</file>