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rsidR="00C17FAB" w:rsidRDefault="00D75824">
      <w:pPr>
        <w:pStyle w:val="Billname"/>
        <w:spacing w:before="700"/>
      </w:pPr>
      <w:r>
        <w:t xml:space="preserve">Road Transport </w:t>
      </w:r>
      <w:r w:rsidR="00A70669">
        <w:t xml:space="preserve">(General) </w:t>
      </w:r>
      <w:r>
        <w:t>Extension of Time Guidelines</w:t>
      </w:r>
      <w:r w:rsidR="00FD75CE">
        <w:t xml:space="preserve"> (No </w:t>
      </w:r>
      <w:r>
        <w:t>1</w:t>
      </w:r>
      <w:r w:rsidR="00FD75CE">
        <w:t>)</w:t>
      </w:r>
    </w:p>
    <w:p w:rsidR="00C17FAB" w:rsidRDefault="002D7C60" w:rsidP="00DA3B00">
      <w:pPr>
        <w:spacing w:before="340"/>
        <w:rPr>
          <w:rFonts w:ascii="Arial" w:hAnsi="Arial" w:cs="Arial"/>
          <w:b/>
          <w:bCs/>
        </w:rPr>
      </w:pPr>
      <w:r>
        <w:rPr>
          <w:rFonts w:ascii="Arial" w:hAnsi="Arial" w:cs="Arial"/>
          <w:b/>
          <w:bCs/>
        </w:rPr>
        <w:t>Disallowable instrument DI</w:t>
      </w:r>
      <w:r w:rsidR="00D75824">
        <w:rPr>
          <w:rFonts w:ascii="Arial" w:hAnsi="Arial" w:cs="Arial"/>
          <w:b/>
          <w:bCs/>
        </w:rPr>
        <w:t>2019</w:t>
      </w:r>
      <w:r w:rsidR="00C17FAB">
        <w:rPr>
          <w:rFonts w:ascii="Arial" w:hAnsi="Arial" w:cs="Arial"/>
          <w:b/>
          <w:bCs/>
        </w:rPr>
        <w:t>–</w:t>
      </w:r>
      <w:r w:rsidR="00097A68">
        <w:rPr>
          <w:rFonts w:ascii="Arial" w:hAnsi="Arial" w:cs="Arial"/>
          <w:b/>
          <w:bCs/>
        </w:rPr>
        <w:t>213</w:t>
      </w:r>
    </w:p>
    <w:p w:rsidR="00C17FAB" w:rsidRDefault="00C17FAB" w:rsidP="00DA3B00">
      <w:pPr>
        <w:pStyle w:val="madeunder"/>
        <w:spacing w:before="300" w:after="0"/>
      </w:pPr>
      <w:r>
        <w:t xml:space="preserve">made under the  </w:t>
      </w:r>
    </w:p>
    <w:p w:rsidR="00C17FAB" w:rsidRDefault="00D75824" w:rsidP="00DA3B00">
      <w:pPr>
        <w:pStyle w:val="CoverActName"/>
        <w:spacing w:before="320" w:after="0"/>
        <w:rPr>
          <w:rFonts w:cs="Arial"/>
          <w:sz w:val="20"/>
        </w:rPr>
      </w:pPr>
      <w:r>
        <w:rPr>
          <w:rFonts w:cs="Arial"/>
          <w:i/>
          <w:sz w:val="20"/>
        </w:rPr>
        <w:t>Road Transport (General) Act 1999</w:t>
      </w:r>
      <w:r w:rsidR="00C17FAB">
        <w:rPr>
          <w:rFonts w:cs="Arial"/>
          <w:sz w:val="20"/>
        </w:rPr>
        <w:t xml:space="preserve">, </w:t>
      </w:r>
      <w:r>
        <w:rPr>
          <w:rFonts w:cs="Arial"/>
          <w:sz w:val="20"/>
        </w:rPr>
        <w:t xml:space="preserve">section 30 </w:t>
      </w:r>
      <w:r w:rsidR="00C17FAB">
        <w:rPr>
          <w:rFonts w:cs="Arial"/>
          <w:sz w:val="20"/>
        </w:rPr>
        <w:t>(</w:t>
      </w:r>
      <w:r>
        <w:rPr>
          <w:rFonts w:cs="Arial"/>
          <w:sz w:val="20"/>
        </w:rPr>
        <w:t>Extension of time - guidelines</w:t>
      </w:r>
      <w:r w:rsidR="00C17FAB">
        <w:rPr>
          <w:rFonts w:cs="Arial"/>
          <w:sz w:val="20"/>
        </w:rPr>
        <w:t>)</w:t>
      </w:r>
    </w:p>
    <w:p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pPr>
        <w:pStyle w:val="N-line3"/>
        <w:pBdr>
          <w:top w:val="single" w:sz="12" w:space="1" w:color="auto"/>
          <w:bottom w:val="none" w:sz="0" w:space="0" w:color="auto"/>
        </w:pBdr>
      </w:pPr>
    </w:p>
    <w:bookmarkEnd w:id="0"/>
    <w:p w:rsidR="00223594" w:rsidRDefault="00223594" w:rsidP="00223594">
      <w:r w:rsidRPr="00C73384">
        <w:t xml:space="preserve">Section 30 </w:t>
      </w:r>
      <w:r>
        <w:t xml:space="preserve">of the </w:t>
      </w:r>
      <w:r>
        <w:rPr>
          <w:i/>
        </w:rPr>
        <w:t xml:space="preserve">Road Transport (General) Act </w:t>
      </w:r>
      <w:r w:rsidRPr="00223594">
        <w:t>1999</w:t>
      </w:r>
      <w:r>
        <w:t xml:space="preserve"> (the </w:t>
      </w:r>
      <w:r w:rsidRPr="00223594">
        <w:t>Act</w:t>
      </w:r>
      <w:r>
        <w:t xml:space="preserve">) </w:t>
      </w:r>
      <w:r w:rsidRPr="00CF421F">
        <w:t>provides</w:t>
      </w:r>
      <w:r w:rsidRPr="00C73384">
        <w:t xml:space="preserve"> that the Minister may </w:t>
      </w:r>
      <w:r>
        <w:t xml:space="preserve">issue </w:t>
      </w:r>
      <w:r w:rsidRPr="00C73384">
        <w:t xml:space="preserve">guidelines </w:t>
      </w:r>
      <w:r>
        <w:t>for</w:t>
      </w:r>
      <w:r w:rsidRPr="00C73384">
        <w:t xml:space="preserve"> deciding applications for extensions of time, including applications for extensions of time that are made after </w:t>
      </w:r>
      <w:r>
        <w:t>time for d</w:t>
      </w:r>
      <w:r w:rsidRPr="00C73384">
        <w:t>oing something under section 26</w:t>
      </w:r>
      <w:r>
        <w:t xml:space="preserve"> (2)</w:t>
      </w:r>
      <w:r w:rsidRPr="00C73384">
        <w:t xml:space="preserve"> or 28</w:t>
      </w:r>
      <w:r>
        <w:t xml:space="preserve"> (2) of the Act</w:t>
      </w:r>
      <w:r w:rsidRPr="00C73384">
        <w:t xml:space="preserve"> has ended.</w:t>
      </w:r>
    </w:p>
    <w:p w:rsidR="00223594" w:rsidRDefault="00223594" w:rsidP="00223594"/>
    <w:p w:rsidR="004F2DB6" w:rsidRDefault="004F2DB6">
      <w:r w:rsidRPr="00B92623">
        <w:rPr>
          <w:b/>
        </w:rPr>
        <w:t>Clause 1 and 2</w:t>
      </w:r>
      <w:r>
        <w:t xml:space="preserve"> are formal provisions that deal with the name and commencement of the instrument. </w:t>
      </w:r>
    </w:p>
    <w:p w:rsidR="004F2DB6" w:rsidRDefault="004F2DB6"/>
    <w:p w:rsidR="004F2DB6" w:rsidRDefault="004F2DB6">
      <w:r w:rsidRPr="00B92623">
        <w:rPr>
          <w:b/>
        </w:rPr>
        <w:t>Clause 3</w:t>
      </w:r>
      <w:r w:rsidR="00304EA4">
        <w:t xml:space="preserve"> establishes that schedule 1</w:t>
      </w:r>
      <w:r w:rsidR="005B4042">
        <w:t xml:space="preserve"> contains the guidelines </w:t>
      </w:r>
      <w:r w:rsidR="00967A3C">
        <w:t xml:space="preserve">for the administering authority to </w:t>
      </w:r>
      <w:r w:rsidR="005F2D8C">
        <w:t xml:space="preserve">assess applications for extensions of time made in time and out of time. </w:t>
      </w:r>
    </w:p>
    <w:p w:rsidR="005F2D8C" w:rsidRDefault="005F2D8C"/>
    <w:p w:rsidR="00223594" w:rsidRDefault="00223594" w:rsidP="00223594">
      <w:pPr>
        <w:tabs>
          <w:tab w:val="left" w:pos="4320"/>
        </w:tabs>
      </w:pPr>
      <w:r>
        <w:t>A</w:t>
      </w:r>
      <w:r w:rsidRPr="004E3CF2">
        <w:t xml:space="preserve"> </w:t>
      </w:r>
      <w:r>
        <w:t>person who receives an infringement notice or reminder notice may apply for an extension of time in order to do one or more of the following, in relation to the infringement notice or reminder notice received:</w:t>
      </w:r>
    </w:p>
    <w:p w:rsidR="00223594" w:rsidRDefault="00223594" w:rsidP="00223594">
      <w:pPr>
        <w:tabs>
          <w:tab w:val="left" w:pos="4320"/>
        </w:tabs>
      </w:pPr>
    </w:p>
    <w:p w:rsidR="00223594" w:rsidRDefault="00223594" w:rsidP="00223594">
      <w:pPr>
        <w:pStyle w:val="ListParagraph"/>
        <w:numPr>
          <w:ilvl w:val="0"/>
          <w:numId w:val="10"/>
        </w:numPr>
        <w:tabs>
          <w:tab w:val="left" w:pos="4320"/>
        </w:tabs>
        <w:spacing w:before="120"/>
        <w:ind w:left="714" w:hanging="357"/>
        <w:contextualSpacing w:val="0"/>
      </w:pPr>
      <w:r>
        <w:t>Pay the infringement notice penalty stated in the notice.</w:t>
      </w:r>
    </w:p>
    <w:p w:rsidR="00223594" w:rsidRDefault="00223594" w:rsidP="00223594">
      <w:pPr>
        <w:pStyle w:val="ListParagraph"/>
        <w:numPr>
          <w:ilvl w:val="0"/>
          <w:numId w:val="10"/>
        </w:numPr>
        <w:tabs>
          <w:tab w:val="left" w:pos="4320"/>
        </w:tabs>
        <w:spacing w:before="120"/>
        <w:ind w:left="714" w:hanging="357"/>
        <w:contextualSpacing w:val="0"/>
      </w:pPr>
      <w:r>
        <w:t>Apply to the administering authority to enter into an infringement notice management plan or add the infringement notice penalty to an existing infringement notice management plan.</w:t>
      </w:r>
    </w:p>
    <w:p w:rsidR="00223594" w:rsidRDefault="00223594" w:rsidP="00223594">
      <w:pPr>
        <w:pStyle w:val="ListParagraph"/>
        <w:numPr>
          <w:ilvl w:val="0"/>
          <w:numId w:val="10"/>
        </w:numPr>
        <w:tabs>
          <w:tab w:val="left" w:pos="4320"/>
        </w:tabs>
        <w:spacing w:before="120"/>
        <w:ind w:left="714" w:hanging="357"/>
        <w:contextualSpacing w:val="0"/>
      </w:pPr>
      <w:r>
        <w:t>Apply to the administering authority for waiver of the infringement notice penalty.</w:t>
      </w:r>
    </w:p>
    <w:p w:rsidR="00223594" w:rsidRDefault="00223594" w:rsidP="00223594">
      <w:pPr>
        <w:pStyle w:val="ListParagraph"/>
        <w:numPr>
          <w:ilvl w:val="0"/>
          <w:numId w:val="10"/>
        </w:numPr>
        <w:tabs>
          <w:tab w:val="left" w:pos="4320"/>
        </w:tabs>
        <w:spacing w:before="120"/>
        <w:ind w:left="714" w:hanging="357"/>
        <w:contextualSpacing w:val="0"/>
      </w:pPr>
      <w:r>
        <w:t>Apply for withdrawal of the infringement notice.</w:t>
      </w:r>
    </w:p>
    <w:p w:rsidR="00223594" w:rsidRDefault="00223594" w:rsidP="00223594">
      <w:pPr>
        <w:pStyle w:val="ListParagraph"/>
        <w:numPr>
          <w:ilvl w:val="0"/>
          <w:numId w:val="10"/>
        </w:numPr>
        <w:tabs>
          <w:tab w:val="left" w:pos="4320"/>
        </w:tabs>
        <w:spacing w:before="120"/>
        <w:ind w:left="714" w:hanging="357"/>
        <w:contextualSpacing w:val="0"/>
      </w:pPr>
      <w:r>
        <w:t>Give the administering authority an infringement notice declaration asserting that they were not the person who committed the infringement notice offence to which the infringement notice relates.</w:t>
      </w:r>
    </w:p>
    <w:p w:rsidR="00223594" w:rsidRDefault="00223594" w:rsidP="00223594">
      <w:pPr>
        <w:pStyle w:val="ListParagraph"/>
        <w:numPr>
          <w:ilvl w:val="0"/>
          <w:numId w:val="10"/>
        </w:numPr>
        <w:tabs>
          <w:tab w:val="left" w:pos="4320"/>
        </w:tabs>
        <w:spacing w:before="120"/>
        <w:ind w:left="714" w:hanging="357"/>
        <w:contextualSpacing w:val="0"/>
      </w:pPr>
      <w:r>
        <w:t>Give the administering authority written notice disputing liability.</w:t>
      </w:r>
    </w:p>
    <w:p w:rsidR="00223594" w:rsidRDefault="00223594" w:rsidP="00223594"/>
    <w:p w:rsidR="00223594" w:rsidRDefault="00223594" w:rsidP="00223594">
      <w:r w:rsidRPr="008F0E7D">
        <w:t>Decisions on applications for extensions of time are reviewable</w:t>
      </w:r>
      <w:r>
        <w:t xml:space="preserve"> decisions</w:t>
      </w:r>
      <w:r w:rsidRPr="008F0E7D">
        <w:t xml:space="preserve"> and the administering authority must give reasons for </w:t>
      </w:r>
      <w:r>
        <w:t xml:space="preserve">its </w:t>
      </w:r>
      <w:r w:rsidRPr="008F0E7D">
        <w:t>decision</w:t>
      </w:r>
      <w:r>
        <w:t>(s).</w:t>
      </w:r>
    </w:p>
    <w:p w:rsidR="00223594" w:rsidRDefault="00223594"/>
    <w:p w:rsidR="007848F8" w:rsidRDefault="007848F8">
      <w:r>
        <w:t>Applications for an extension of time made in time (i.e. before the end of the allowed timeframe – 28 days) do not require an applicant to provide a reason</w:t>
      </w:r>
      <w:r w:rsidR="009A6C99">
        <w:t xml:space="preserve"> for the extension</w:t>
      </w:r>
      <w:r>
        <w:t xml:space="preserve">. Unless an extension </w:t>
      </w:r>
      <w:r w:rsidR="009A6C99">
        <w:t xml:space="preserve">timeframe is specified and </w:t>
      </w:r>
      <w:r w:rsidR="00223594">
        <w:t xml:space="preserve">that timeframe </w:t>
      </w:r>
      <w:r w:rsidR="009A6C99">
        <w:t xml:space="preserve">is </w:t>
      </w:r>
      <w:r w:rsidR="00223594">
        <w:t>no longer</w:t>
      </w:r>
      <w:r w:rsidR="009A6C99">
        <w:t xml:space="preserve"> than six months, </w:t>
      </w:r>
      <w:r w:rsidR="00BC5E90">
        <w:t xml:space="preserve">an extension will automatically be granted for 60 days. </w:t>
      </w:r>
      <w:r w:rsidR="009A6C99">
        <w:t xml:space="preserve"> </w:t>
      </w:r>
    </w:p>
    <w:p w:rsidR="007848F8" w:rsidRDefault="007848F8"/>
    <w:p w:rsidR="00203122" w:rsidRDefault="008514AB">
      <w:r>
        <w:t xml:space="preserve">Applications for an extension of time made </w:t>
      </w:r>
      <w:r w:rsidR="000756CB">
        <w:t>out</w:t>
      </w:r>
      <w:r w:rsidR="005045F1">
        <w:t>-o</w:t>
      </w:r>
      <w:r w:rsidR="000756CB">
        <w:t>f</w:t>
      </w:r>
      <w:r w:rsidR="005045F1">
        <w:t>-</w:t>
      </w:r>
      <w:r>
        <w:t xml:space="preserve">time </w:t>
      </w:r>
      <w:r w:rsidR="000756CB">
        <w:t xml:space="preserve">can be made if </w:t>
      </w:r>
      <w:r w:rsidR="00651808">
        <w:t xml:space="preserve">a person </w:t>
      </w:r>
      <w:r w:rsidR="00223594">
        <w:t xml:space="preserve">has been </w:t>
      </w:r>
      <w:r w:rsidR="00651808">
        <w:t>served with a reminder notice</w:t>
      </w:r>
      <w:r w:rsidR="00223594">
        <w:t xml:space="preserve">, </w:t>
      </w:r>
      <w:r w:rsidR="000756CB">
        <w:t xml:space="preserve">has not undertaken any action </w:t>
      </w:r>
      <w:r w:rsidR="00223594">
        <w:t xml:space="preserve">as </w:t>
      </w:r>
      <w:r w:rsidR="000756CB">
        <w:t>set out in section 28 (2)</w:t>
      </w:r>
      <w:r w:rsidR="00B92623">
        <w:t xml:space="preserve"> of the Act</w:t>
      </w:r>
      <w:r w:rsidR="00223594">
        <w:t xml:space="preserve"> and the time for doing something, including any extension of time under a previous application</w:t>
      </w:r>
      <w:r w:rsidR="003D074E">
        <w:t>, has ended.</w:t>
      </w:r>
    </w:p>
    <w:p w:rsidR="00634993" w:rsidRDefault="00634993"/>
    <w:p w:rsidR="00634993" w:rsidRPr="00203122" w:rsidRDefault="00634993">
      <w:r>
        <w:t>Out-of-time applications must specify the special circumstance</w:t>
      </w:r>
      <w:r w:rsidR="00223594">
        <w:t>s</w:t>
      </w:r>
      <w:r>
        <w:t xml:space="preserve"> for why the application should be approved. The administering authority can request additional information from the applicant if </w:t>
      </w:r>
      <w:r w:rsidR="00B975FB">
        <w:t>required</w:t>
      </w:r>
      <w:r>
        <w:t>.</w:t>
      </w:r>
    </w:p>
    <w:p w:rsidR="004F2DB6" w:rsidRDefault="004F2DB6"/>
    <w:p w:rsidR="004F2DB6" w:rsidRPr="00401B6F" w:rsidRDefault="004F2DB6">
      <w:r w:rsidRPr="00B92623">
        <w:rPr>
          <w:b/>
        </w:rPr>
        <w:t>Clause 4</w:t>
      </w:r>
      <w:r>
        <w:t xml:space="preserve"> sets out the definitions used in the instrument.</w:t>
      </w:r>
    </w:p>
    <w:p w:rsidR="00401B6F" w:rsidRDefault="00401B6F">
      <w:pPr>
        <w:rPr>
          <w:b/>
        </w:rPr>
      </w:pPr>
    </w:p>
    <w:sectPr w:rsidR="00401B6F"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FAB" w:rsidRDefault="00C17FAB" w:rsidP="00C17FAB">
      <w:r>
        <w:separator/>
      </w:r>
    </w:p>
  </w:endnote>
  <w:endnote w:type="continuationSeparator" w:id="0">
    <w:p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Pr="00BC4255" w:rsidRDefault="00BC4255" w:rsidP="00BC4255">
    <w:pPr>
      <w:pStyle w:val="Footer"/>
      <w:jc w:val="center"/>
      <w:rPr>
        <w:rFonts w:cs="Arial"/>
        <w:sz w:val="14"/>
      </w:rPr>
    </w:pPr>
    <w:r w:rsidRPr="00BC425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FAB" w:rsidRDefault="00C17FAB" w:rsidP="00C17FAB">
      <w:r>
        <w:separator/>
      </w:r>
    </w:p>
  </w:footnote>
  <w:footnote w:type="continuationSeparator" w:id="0">
    <w:p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4947632B"/>
    <w:multiLevelType w:val="hybridMultilevel"/>
    <w:tmpl w:val="49BC0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8"/>
  </w:num>
  <w:num w:numId="6">
    <w:abstractNumId w:val="1"/>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58E0"/>
    <w:rsid w:val="00024CB9"/>
    <w:rsid w:val="000756CB"/>
    <w:rsid w:val="00097A68"/>
    <w:rsid w:val="00103CD8"/>
    <w:rsid w:val="0017249D"/>
    <w:rsid w:val="00203122"/>
    <w:rsid w:val="00210CDE"/>
    <w:rsid w:val="00220AC3"/>
    <w:rsid w:val="00223594"/>
    <w:rsid w:val="002D7C60"/>
    <w:rsid w:val="00304EA4"/>
    <w:rsid w:val="003A7316"/>
    <w:rsid w:val="003D074E"/>
    <w:rsid w:val="003D3C49"/>
    <w:rsid w:val="00401B6F"/>
    <w:rsid w:val="004F2DB6"/>
    <w:rsid w:val="005045F1"/>
    <w:rsid w:val="005B15A4"/>
    <w:rsid w:val="005B4042"/>
    <w:rsid w:val="005E28EA"/>
    <w:rsid w:val="005F2D8C"/>
    <w:rsid w:val="00634993"/>
    <w:rsid w:val="00651808"/>
    <w:rsid w:val="006D08B3"/>
    <w:rsid w:val="007346AC"/>
    <w:rsid w:val="007848F8"/>
    <w:rsid w:val="008514AB"/>
    <w:rsid w:val="00876860"/>
    <w:rsid w:val="008F0E7D"/>
    <w:rsid w:val="00912CE3"/>
    <w:rsid w:val="009508A5"/>
    <w:rsid w:val="00967A3C"/>
    <w:rsid w:val="009A6C99"/>
    <w:rsid w:val="009E0BF2"/>
    <w:rsid w:val="00A414ED"/>
    <w:rsid w:val="00A70669"/>
    <w:rsid w:val="00B92623"/>
    <w:rsid w:val="00B975FB"/>
    <w:rsid w:val="00BC4255"/>
    <w:rsid w:val="00BC5E90"/>
    <w:rsid w:val="00C17FAB"/>
    <w:rsid w:val="00C73384"/>
    <w:rsid w:val="00CE599C"/>
    <w:rsid w:val="00CF421F"/>
    <w:rsid w:val="00D75824"/>
    <w:rsid w:val="00DA3B00"/>
    <w:rsid w:val="00ED0A29"/>
    <w:rsid w:val="00EF6BD5"/>
    <w:rsid w:val="00F30CB9"/>
    <w:rsid w:val="00F60BBA"/>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C73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4059">
      <w:bodyDiv w:val="1"/>
      <w:marLeft w:val="0"/>
      <w:marRight w:val="0"/>
      <w:marTop w:val="0"/>
      <w:marBottom w:val="0"/>
      <w:divBdr>
        <w:top w:val="none" w:sz="0" w:space="0" w:color="auto"/>
        <w:left w:val="none" w:sz="0" w:space="0" w:color="auto"/>
        <w:bottom w:val="none" w:sz="0" w:space="0" w:color="auto"/>
        <w:right w:val="none" w:sz="0" w:space="0" w:color="auto"/>
      </w:divBdr>
      <w:divsChild>
        <w:div w:id="1916545173">
          <w:marLeft w:val="0"/>
          <w:marRight w:val="0"/>
          <w:marTop w:val="0"/>
          <w:marBottom w:val="0"/>
          <w:divBdr>
            <w:top w:val="none" w:sz="0" w:space="0" w:color="auto"/>
            <w:left w:val="none" w:sz="0" w:space="0" w:color="auto"/>
            <w:bottom w:val="none" w:sz="0" w:space="0" w:color="auto"/>
            <w:right w:val="none" w:sz="0" w:space="0" w:color="auto"/>
          </w:divBdr>
        </w:div>
        <w:div w:id="1564171933">
          <w:marLeft w:val="0"/>
          <w:marRight w:val="0"/>
          <w:marTop w:val="0"/>
          <w:marBottom w:val="0"/>
          <w:divBdr>
            <w:top w:val="none" w:sz="0" w:space="0" w:color="auto"/>
            <w:left w:val="none" w:sz="0" w:space="0" w:color="auto"/>
            <w:bottom w:val="none" w:sz="0" w:space="0" w:color="auto"/>
            <w:right w:val="none" w:sz="0" w:space="0" w:color="auto"/>
          </w:divBdr>
        </w:div>
        <w:div w:id="1575700162">
          <w:marLeft w:val="0"/>
          <w:marRight w:val="0"/>
          <w:marTop w:val="0"/>
          <w:marBottom w:val="0"/>
          <w:divBdr>
            <w:top w:val="none" w:sz="0" w:space="0" w:color="auto"/>
            <w:left w:val="none" w:sz="0" w:space="0" w:color="auto"/>
            <w:bottom w:val="none" w:sz="0" w:space="0" w:color="auto"/>
            <w:right w:val="none" w:sz="0" w:space="0" w:color="auto"/>
          </w:divBdr>
        </w:div>
        <w:div w:id="188565735">
          <w:marLeft w:val="0"/>
          <w:marRight w:val="0"/>
          <w:marTop w:val="0"/>
          <w:marBottom w:val="0"/>
          <w:divBdr>
            <w:top w:val="none" w:sz="0" w:space="0" w:color="auto"/>
            <w:left w:val="none" w:sz="0" w:space="0" w:color="auto"/>
            <w:bottom w:val="none" w:sz="0" w:space="0" w:color="auto"/>
            <w:right w:val="none" w:sz="0" w:space="0" w:color="auto"/>
          </w:divBdr>
        </w:div>
        <w:div w:id="1486774192">
          <w:marLeft w:val="0"/>
          <w:marRight w:val="0"/>
          <w:marTop w:val="0"/>
          <w:marBottom w:val="0"/>
          <w:divBdr>
            <w:top w:val="none" w:sz="0" w:space="0" w:color="auto"/>
            <w:left w:val="none" w:sz="0" w:space="0" w:color="auto"/>
            <w:bottom w:val="none" w:sz="0" w:space="0" w:color="auto"/>
            <w:right w:val="none" w:sz="0" w:space="0" w:color="auto"/>
          </w:divBdr>
        </w:div>
      </w:divsChild>
    </w:div>
    <w:div w:id="907154756">
      <w:bodyDiv w:val="1"/>
      <w:marLeft w:val="0"/>
      <w:marRight w:val="0"/>
      <w:marTop w:val="0"/>
      <w:marBottom w:val="0"/>
      <w:divBdr>
        <w:top w:val="none" w:sz="0" w:space="0" w:color="auto"/>
        <w:left w:val="none" w:sz="0" w:space="0" w:color="auto"/>
        <w:bottom w:val="none" w:sz="0" w:space="0" w:color="auto"/>
        <w:right w:val="none" w:sz="0" w:space="0" w:color="auto"/>
      </w:divBdr>
      <w:divsChild>
        <w:div w:id="1770272323">
          <w:marLeft w:val="0"/>
          <w:marRight w:val="0"/>
          <w:marTop w:val="0"/>
          <w:marBottom w:val="0"/>
          <w:divBdr>
            <w:top w:val="none" w:sz="0" w:space="0" w:color="auto"/>
            <w:left w:val="none" w:sz="0" w:space="0" w:color="auto"/>
            <w:bottom w:val="none" w:sz="0" w:space="0" w:color="auto"/>
            <w:right w:val="none" w:sz="0" w:space="0" w:color="auto"/>
          </w:divBdr>
        </w:div>
        <w:div w:id="848448706">
          <w:marLeft w:val="0"/>
          <w:marRight w:val="0"/>
          <w:marTop w:val="0"/>
          <w:marBottom w:val="0"/>
          <w:divBdr>
            <w:top w:val="none" w:sz="0" w:space="0" w:color="auto"/>
            <w:left w:val="none" w:sz="0" w:space="0" w:color="auto"/>
            <w:bottom w:val="none" w:sz="0" w:space="0" w:color="auto"/>
            <w:right w:val="none" w:sz="0" w:space="0" w:color="auto"/>
          </w:divBdr>
        </w:div>
        <w:div w:id="1239359969">
          <w:marLeft w:val="0"/>
          <w:marRight w:val="0"/>
          <w:marTop w:val="0"/>
          <w:marBottom w:val="0"/>
          <w:divBdr>
            <w:top w:val="none" w:sz="0" w:space="0" w:color="auto"/>
            <w:left w:val="none" w:sz="0" w:space="0" w:color="auto"/>
            <w:bottom w:val="none" w:sz="0" w:space="0" w:color="auto"/>
            <w:right w:val="none" w:sz="0" w:space="0" w:color="auto"/>
          </w:divBdr>
        </w:div>
        <w:div w:id="983856731">
          <w:marLeft w:val="0"/>
          <w:marRight w:val="0"/>
          <w:marTop w:val="0"/>
          <w:marBottom w:val="0"/>
          <w:divBdr>
            <w:top w:val="none" w:sz="0" w:space="0" w:color="auto"/>
            <w:left w:val="none" w:sz="0" w:space="0" w:color="auto"/>
            <w:bottom w:val="none" w:sz="0" w:space="0" w:color="auto"/>
            <w:right w:val="none" w:sz="0" w:space="0" w:color="auto"/>
          </w:divBdr>
        </w:div>
        <w:div w:id="622349030">
          <w:marLeft w:val="0"/>
          <w:marRight w:val="0"/>
          <w:marTop w:val="0"/>
          <w:marBottom w:val="0"/>
          <w:divBdr>
            <w:top w:val="none" w:sz="0" w:space="0" w:color="auto"/>
            <w:left w:val="none" w:sz="0" w:space="0" w:color="auto"/>
            <w:bottom w:val="none" w:sz="0" w:space="0" w:color="auto"/>
            <w:right w:val="none" w:sz="0" w:space="0" w:color="auto"/>
          </w:divBdr>
        </w:div>
        <w:div w:id="39519173">
          <w:marLeft w:val="0"/>
          <w:marRight w:val="0"/>
          <w:marTop w:val="0"/>
          <w:marBottom w:val="0"/>
          <w:divBdr>
            <w:top w:val="none" w:sz="0" w:space="0" w:color="auto"/>
            <w:left w:val="none" w:sz="0" w:space="0" w:color="auto"/>
            <w:bottom w:val="none" w:sz="0" w:space="0" w:color="auto"/>
            <w:right w:val="none" w:sz="0" w:space="0" w:color="auto"/>
          </w:divBdr>
        </w:div>
      </w:divsChild>
    </w:div>
    <w:div w:id="1451241242">
      <w:bodyDiv w:val="1"/>
      <w:marLeft w:val="0"/>
      <w:marRight w:val="0"/>
      <w:marTop w:val="0"/>
      <w:marBottom w:val="0"/>
      <w:divBdr>
        <w:top w:val="none" w:sz="0" w:space="0" w:color="auto"/>
        <w:left w:val="none" w:sz="0" w:space="0" w:color="auto"/>
        <w:bottom w:val="none" w:sz="0" w:space="0" w:color="auto"/>
        <w:right w:val="none" w:sz="0" w:space="0" w:color="auto"/>
      </w:divBdr>
      <w:divsChild>
        <w:div w:id="1182166102">
          <w:marLeft w:val="0"/>
          <w:marRight w:val="0"/>
          <w:marTop w:val="0"/>
          <w:marBottom w:val="0"/>
          <w:divBdr>
            <w:top w:val="none" w:sz="0" w:space="0" w:color="auto"/>
            <w:left w:val="none" w:sz="0" w:space="0" w:color="auto"/>
            <w:bottom w:val="none" w:sz="0" w:space="0" w:color="auto"/>
            <w:right w:val="none" w:sz="0" w:space="0" w:color="auto"/>
          </w:divBdr>
        </w:div>
        <w:div w:id="1016883553">
          <w:marLeft w:val="0"/>
          <w:marRight w:val="0"/>
          <w:marTop w:val="0"/>
          <w:marBottom w:val="0"/>
          <w:divBdr>
            <w:top w:val="none" w:sz="0" w:space="0" w:color="auto"/>
            <w:left w:val="none" w:sz="0" w:space="0" w:color="auto"/>
            <w:bottom w:val="none" w:sz="0" w:space="0" w:color="auto"/>
            <w:right w:val="none" w:sz="0" w:space="0" w:color="auto"/>
          </w:divBdr>
        </w:div>
        <w:div w:id="1685785676">
          <w:marLeft w:val="0"/>
          <w:marRight w:val="0"/>
          <w:marTop w:val="0"/>
          <w:marBottom w:val="0"/>
          <w:divBdr>
            <w:top w:val="none" w:sz="0" w:space="0" w:color="auto"/>
            <w:left w:val="none" w:sz="0" w:space="0" w:color="auto"/>
            <w:bottom w:val="none" w:sz="0" w:space="0" w:color="auto"/>
            <w:right w:val="none" w:sz="0" w:space="0" w:color="auto"/>
          </w:divBdr>
        </w:div>
        <w:div w:id="1192499773">
          <w:marLeft w:val="0"/>
          <w:marRight w:val="0"/>
          <w:marTop w:val="0"/>
          <w:marBottom w:val="0"/>
          <w:divBdr>
            <w:top w:val="none" w:sz="0" w:space="0" w:color="auto"/>
            <w:left w:val="none" w:sz="0" w:space="0" w:color="auto"/>
            <w:bottom w:val="none" w:sz="0" w:space="0" w:color="auto"/>
            <w:right w:val="none" w:sz="0" w:space="0" w:color="auto"/>
          </w:divBdr>
        </w:div>
        <w:div w:id="839320355">
          <w:marLeft w:val="0"/>
          <w:marRight w:val="0"/>
          <w:marTop w:val="0"/>
          <w:marBottom w:val="0"/>
          <w:divBdr>
            <w:top w:val="none" w:sz="0" w:space="0" w:color="auto"/>
            <w:left w:val="none" w:sz="0" w:space="0" w:color="auto"/>
            <w:bottom w:val="none" w:sz="0" w:space="0" w:color="auto"/>
            <w:right w:val="none" w:sz="0" w:space="0" w:color="auto"/>
          </w:divBdr>
        </w:div>
        <w:div w:id="1747609081">
          <w:marLeft w:val="0"/>
          <w:marRight w:val="0"/>
          <w:marTop w:val="0"/>
          <w:marBottom w:val="0"/>
          <w:divBdr>
            <w:top w:val="none" w:sz="0" w:space="0" w:color="auto"/>
            <w:left w:val="none" w:sz="0" w:space="0" w:color="auto"/>
            <w:bottom w:val="none" w:sz="0" w:space="0" w:color="auto"/>
            <w:right w:val="none" w:sz="0" w:space="0" w:color="auto"/>
          </w:divBdr>
        </w:div>
        <w:div w:id="880558534">
          <w:marLeft w:val="0"/>
          <w:marRight w:val="0"/>
          <w:marTop w:val="0"/>
          <w:marBottom w:val="0"/>
          <w:divBdr>
            <w:top w:val="none" w:sz="0" w:space="0" w:color="auto"/>
            <w:left w:val="none" w:sz="0" w:space="0" w:color="auto"/>
            <w:bottom w:val="none" w:sz="0" w:space="0" w:color="auto"/>
            <w:right w:val="none" w:sz="0" w:space="0" w:color="auto"/>
          </w:divBdr>
        </w:div>
      </w:divsChild>
    </w:div>
    <w:div w:id="1612667432">
      <w:bodyDiv w:val="1"/>
      <w:marLeft w:val="0"/>
      <w:marRight w:val="0"/>
      <w:marTop w:val="0"/>
      <w:marBottom w:val="0"/>
      <w:divBdr>
        <w:top w:val="none" w:sz="0" w:space="0" w:color="auto"/>
        <w:left w:val="none" w:sz="0" w:space="0" w:color="auto"/>
        <w:bottom w:val="none" w:sz="0" w:space="0" w:color="auto"/>
        <w:right w:val="none" w:sz="0" w:space="0" w:color="auto"/>
      </w:divBdr>
      <w:divsChild>
        <w:div w:id="497691577">
          <w:marLeft w:val="0"/>
          <w:marRight w:val="0"/>
          <w:marTop w:val="0"/>
          <w:marBottom w:val="0"/>
          <w:divBdr>
            <w:top w:val="none" w:sz="0" w:space="0" w:color="auto"/>
            <w:left w:val="none" w:sz="0" w:space="0" w:color="auto"/>
            <w:bottom w:val="none" w:sz="0" w:space="0" w:color="auto"/>
            <w:right w:val="none" w:sz="0" w:space="0" w:color="auto"/>
          </w:divBdr>
        </w:div>
        <w:div w:id="1769422302">
          <w:marLeft w:val="0"/>
          <w:marRight w:val="0"/>
          <w:marTop w:val="0"/>
          <w:marBottom w:val="0"/>
          <w:divBdr>
            <w:top w:val="none" w:sz="0" w:space="0" w:color="auto"/>
            <w:left w:val="none" w:sz="0" w:space="0" w:color="auto"/>
            <w:bottom w:val="none" w:sz="0" w:space="0" w:color="auto"/>
            <w:right w:val="none" w:sz="0" w:space="0" w:color="auto"/>
          </w:divBdr>
        </w:div>
        <w:div w:id="456217270">
          <w:marLeft w:val="0"/>
          <w:marRight w:val="0"/>
          <w:marTop w:val="0"/>
          <w:marBottom w:val="0"/>
          <w:divBdr>
            <w:top w:val="none" w:sz="0" w:space="0" w:color="auto"/>
            <w:left w:val="none" w:sz="0" w:space="0" w:color="auto"/>
            <w:bottom w:val="none" w:sz="0" w:space="0" w:color="auto"/>
            <w:right w:val="none" w:sz="0" w:space="0" w:color="auto"/>
          </w:divBdr>
        </w:div>
        <w:div w:id="960693231">
          <w:marLeft w:val="0"/>
          <w:marRight w:val="0"/>
          <w:marTop w:val="0"/>
          <w:marBottom w:val="0"/>
          <w:divBdr>
            <w:top w:val="none" w:sz="0" w:space="0" w:color="auto"/>
            <w:left w:val="none" w:sz="0" w:space="0" w:color="auto"/>
            <w:bottom w:val="none" w:sz="0" w:space="0" w:color="auto"/>
            <w:right w:val="none" w:sz="0" w:space="0" w:color="auto"/>
          </w:divBdr>
        </w:div>
        <w:div w:id="1859545087">
          <w:marLeft w:val="0"/>
          <w:marRight w:val="0"/>
          <w:marTop w:val="0"/>
          <w:marBottom w:val="0"/>
          <w:divBdr>
            <w:top w:val="none" w:sz="0" w:space="0" w:color="auto"/>
            <w:left w:val="none" w:sz="0" w:space="0" w:color="auto"/>
            <w:bottom w:val="none" w:sz="0" w:space="0" w:color="auto"/>
            <w:right w:val="none" w:sz="0" w:space="0" w:color="auto"/>
          </w:divBdr>
        </w:div>
        <w:div w:id="1488092634">
          <w:marLeft w:val="0"/>
          <w:marRight w:val="0"/>
          <w:marTop w:val="0"/>
          <w:marBottom w:val="0"/>
          <w:divBdr>
            <w:top w:val="none" w:sz="0" w:space="0" w:color="auto"/>
            <w:left w:val="none" w:sz="0" w:space="0" w:color="auto"/>
            <w:bottom w:val="none" w:sz="0" w:space="0" w:color="auto"/>
            <w:right w:val="none" w:sz="0" w:space="0" w:color="auto"/>
          </w:divBdr>
        </w:div>
        <w:div w:id="1391684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2273</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2019-09-19T06:21:00Z</dcterms:created>
  <dcterms:modified xsi:type="dcterms:W3CDTF">2019-09-19T06:21:00Z</dcterms:modified>
</cp:coreProperties>
</file>