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716A3" w14:textId="77777777" w:rsidR="00AF0D54" w:rsidRDefault="00AF0D54">
      <w:pPr>
        <w:spacing w:after="0" w:line="240" w:lineRule="auto"/>
        <w:rPr>
          <w:b/>
          <w:bCs/>
          <w:szCs w:val="24"/>
        </w:rPr>
      </w:pPr>
      <w:bookmarkStart w:id="0" w:name="_Hlk17734929"/>
      <w:bookmarkStart w:id="1" w:name="_GoBack"/>
      <w:bookmarkEnd w:id="1"/>
    </w:p>
    <w:p w14:paraId="587DDEA3" w14:textId="7232B956" w:rsidR="0030585F" w:rsidRPr="00EE32FF" w:rsidRDefault="0030585F" w:rsidP="00AF0D54">
      <w:pPr>
        <w:autoSpaceDE w:val="0"/>
        <w:autoSpaceDN w:val="0"/>
        <w:adjustRightInd w:val="0"/>
        <w:spacing w:before="240" w:after="120"/>
        <w:jc w:val="center"/>
        <w:rPr>
          <w:b/>
          <w:bCs/>
          <w:szCs w:val="24"/>
        </w:rPr>
      </w:pPr>
      <w:r w:rsidRPr="00EE32FF">
        <w:rPr>
          <w:b/>
          <w:bCs/>
          <w:szCs w:val="24"/>
        </w:rPr>
        <w:t>201</w:t>
      </w:r>
      <w:r w:rsidR="00CA4ADB">
        <w:rPr>
          <w:b/>
          <w:bCs/>
          <w:szCs w:val="24"/>
        </w:rPr>
        <w:t>9</w:t>
      </w:r>
    </w:p>
    <w:p w14:paraId="6FD2F644" w14:textId="77777777" w:rsidR="0030585F" w:rsidRPr="00EE32FF" w:rsidRDefault="0030585F" w:rsidP="00A363CB">
      <w:pPr>
        <w:autoSpaceDE w:val="0"/>
        <w:autoSpaceDN w:val="0"/>
        <w:adjustRightInd w:val="0"/>
        <w:spacing w:before="240" w:after="120"/>
        <w:jc w:val="center"/>
        <w:rPr>
          <w:b/>
          <w:bCs/>
          <w:szCs w:val="24"/>
        </w:rPr>
      </w:pPr>
    </w:p>
    <w:p w14:paraId="0B3E93DB" w14:textId="77777777" w:rsidR="0030585F" w:rsidRDefault="0030585F" w:rsidP="002E1092">
      <w:pPr>
        <w:autoSpaceDE w:val="0"/>
        <w:autoSpaceDN w:val="0"/>
        <w:adjustRightInd w:val="0"/>
        <w:spacing w:before="240" w:after="120"/>
        <w:rPr>
          <w:b/>
          <w:bCs/>
          <w:szCs w:val="24"/>
        </w:rPr>
      </w:pPr>
    </w:p>
    <w:p w14:paraId="7ABAE37D" w14:textId="77777777" w:rsidR="00EE32FF" w:rsidRPr="00EE32FF" w:rsidRDefault="00EE32FF" w:rsidP="002E1092">
      <w:pPr>
        <w:autoSpaceDE w:val="0"/>
        <w:autoSpaceDN w:val="0"/>
        <w:adjustRightInd w:val="0"/>
        <w:spacing w:before="240" w:after="120"/>
        <w:rPr>
          <w:b/>
          <w:bCs/>
          <w:szCs w:val="24"/>
        </w:rPr>
      </w:pPr>
    </w:p>
    <w:p w14:paraId="6EB635AF" w14:textId="77777777" w:rsidR="0030585F" w:rsidRPr="00EE32FF" w:rsidRDefault="0030585F" w:rsidP="00A363CB">
      <w:pPr>
        <w:autoSpaceDE w:val="0"/>
        <w:autoSpaceDN w:val="0"/>
        <w:adjustRightInd w:val="0"/>
        <w:spacing w:before="240" w:after="120"/>
        <w:jc w:val="center"/>
        <w:rPr>
          <w:b/>
          <w:bCs/>
          <w:szCs w:val="24"/>
        </w:rPr>
      </w:pPr>
      <w:r w:rsidRPr="00EE32FF">
        <w:rPr>
          <w:b/>
          <w:bCs/>
          <w:szCs w:val="24"/>
        </w:rPr>
        <w:t>LEGISLATIVE ASSEMBLY FOR THE</w:t>
      </w:r>
    </w:p>
    <w:p w14:paraId="5F365D67" w14:textId="77777777" w:rsidR="0030585F" w:rsidRPr="00EE32FF" w:rsidRDefault="0030585F" w:rsidP="00A363CB">
      <w:pPr>
        <w:autoSpaceDE w:val="0"/>
        <w:autoSpaceDN w:val="0"/>
        <w:adjustRightInd w:val="0"/>
        <w:spacing w:before="240" w:after="120"/>
        <w:jc w:val="center"/>
        <w:rPr>
          <w:b/>
          <w:bCs/>
          <w:szCs w:val="24"/>
        </w:rPr>
      </w:pPr>
      <w:r w:rsidRPr="00EE32FF">
        <w:rPr>
          <w:b/>
          <w:bCs/>
          <w:szCs w:val="24"/>
        </w:rPr>
        <w:t>AUSTRALIAN CAPITAL TERRITORY</w:t>
      </w:r>
    </w:p>
    <w:p w14:paraId="43AA28BC" w14:textId="77777777" w:rsidR="0030585F" w:rsidRPr="00EE32FF" w:rsidRDefault="0030585F" w:rsidP="002E1092">
      <w:pPr>
        <w:autoSpaceDE w:val="0"/>
        <w:autoSpaceDN w:val="0"/>
        <w:adjustRightInd w:val="0"/>
        <w:spacing w:before="240" w:after="120"/>
        <w:rPr>
          <w:b/>
          <w:bCs/>
          <w:szCs w:val="24"/>
        </w:rPr>
      </w:pPr>
    </w:p>
    <w:p w14:paraId="71E998D9" w14:textId="77777777" w:rsidR="0030585F" w:rsidRPr="00EE32FF" w:rsidRDefault="0030585F" w:rsidP="00A363CB">
      <w:pPr>
        <w:autoSpaceDE w:val="0"/>
        <w:autoSpaceDN w:val="0"/>
        <w:adjustRightInd w:val="0"/>
        <w:spacing w:before="240" w:after="120"/>
        <w:jc w:val="center"/>
        <w:rPr>
          <w:b/>
          <w:bCs/>
          <w:szCs w:val="24"/>
        </w:rPr>
      </w:pPr>
    </w:p>
    <w:p w14:paraId="2999B3E5" w14:textId="162C4CB8" w:rsidR="007326EC" w:rsidRPr="00C87B10" w:rsidRDefault="00CA4ADB" w:rsidP="00A363CB">
      <w:pPr>
        <w:spacing w:before="240" w:after="120"/>
        <w:jc w:val="center"/>
        <w:rPr>
          <w:b/>
          <w:bCs/>
          <w:caps/>
          <w:szCs w:val="24"/>
        </w:rPr>
      </w:pPr>
      <w:r>
        <w:rPr>
          <w:b/>
          <w:bCs/>
          <w:caps/>
          <w:szCs w:val="24"/>
        </w:rPr>
        <w:t>Evidence (miscellaneous provisions) amendment Bill 2019</w:t>
      </w:r>
    </w:p>
    <w:p w14:paraId="089723CC" w14:textId="77777777" w:rsidR="0030585F" w:rsidRDefault="0030585F" w:rsidP="00A363CB">
      <w:pPr>
        <w:autoSpaceDE w:val="0"/>
        <w:autoSpaceDN w:val="0"/>
        <w:adjustRightInd w:val="0"/>
        <w:spacing w:before="240" w:after="120"/>
        <w:rPr>
          <w:b/>
          <w:bCs/>
          <w:szCs w:val="24"/>
        </w:rPr>
      </w:pPr>
    </w:p>
    <w:p w14:paraId="29450727" w14:textId="77777777" w:rsidR="00EE32FF" w:rsidRPr="00EE32FF" w:rsidRDefault="00EE32FF" w:rsidP="00A363CB">
      <w:pPr>
        <w:autoSpaceDE w:val="0"/>
        <w:autoSpaceDN w:val="0"/>
        <w:adjustRightInd w:val="0"/>
        <w:spacing w:before="240" w:after="120"/>
        <w:rPr>
          <w:b/>
          <w:bCs/>
          <w:szCs w:val="24"/>
        </w:rPr>
      </w:pPr>
    </w:p>
    <w:p w14:paraId="583025EE" w14:textId="77777777" w:rsidR="0030585F" w:rsidRPr="00EE32FF" w:rsidRDefault="0030585F" w:rsidP="00A363CB">
      <w:pPr>
        <w:autoSpaceDE w:val="0"/>
        <w:autoSpaceDN w:val="0"/>
        <w:adjustRightInd w:val="0"/>
        <w:spacing w:before="240" w:after="120"/>
        <w:jc w:val="center"/>
        <w:rPr>
          <w:b/>
          <w:bCs/>
          <w:szCs w:val="24"/>
        </w:rPr>
      </w:pPr>
      <w:r w:rsidRPr="00EE32FF">
        <w:rPr>
          <w:b/>
          <w:bCs/>
          <w:szCs w:val="24"/>
        </w:rPr>
        <w:t>EXPLANATORY STATEMENT</w:t>
      </w:r>
    </w:p>
    <w:p w14:paraId="4A2BEF3B" w14:textId="77777777" w:rsidR="0030585F" w:rsidRPr="00EE32FF" w:rsidRDefault="0030585F" w:rsidP="00A363CB">
      <w:pPr>
        <w:autoSpaceDE w:val="0"/>
        <w:autoSpaceDN w:val="0"/>
        <w:adjustRightInd w:val="0"/>
        <w:spacing w:before="240" w:after="120"/>
        <w:rPr>
          <w:b/>
          <w:bCs/>
          <w:szCs w:val="24"/>
        </w:rPr>
      </w:pPr>
    </w:p>
    <w:p w14:paraId="1285871F" w14:textId="77777777" w:rsidR="007B7934" w:rsidRPr="00EE32FF" w:rsidRDefault="007B7934" w:rsidP="00A363CB">
      <w:pPr>
        <w:autoSpaceDE w:val="0"/>
        <w:autoSpaceDN w:val="0"/>
        <w:adjustRightInd w:val="0"/>
        <w:spacing w:before="240" w:after="120"/>
        <w:rPr>
          <w:b/>
          <w:bCs/>
          <w:szCs w:val="24"/>
        </w:rPr>
      </w:pPr>
    </w:p>
    <w:p w14:paraId="279D7E30" w14:textId="77777777" w:rsidR="0030585F" w:rsidRPr="00EE32FF" w:rsidRDefault="0030585F" w:rsidP="00A363CB">
      <w:pPr>
        <w:autoSpaceDE w:val="0"/>
        <w:autoSpaceDN w:val="0"/>
        <w:adjustRightInd w:val="0"/>
        <w:spacing w:before="240" w:after="120"/>
        <w:rPr>
          <w:b/>
          <w:bCs/>
          <w:szCs w:val="24"/>
        </w:rPr>
      </w:pPr>
    </w:p>
    <w:p w14:paraId="5FFECDAE" w14:textId="77777777" w:rsidR="00852B37" w:rsidRDefault="00852B37" w:rsidP="00A363CB">
      <w:pPr>
        <w:autoSpaceDE w:val="0"/>
        <w:autoSpaceDN w:val="0"/>
        <w:adjustRightInd w:val="0"/>
        <w:spacing w:before="240" w:after="120"/>
        <w:rPr>
          <w:b/>
          <w:bCs/>
          <w:szCs w:val="24"/>
        </w:rPr>
      </w:pPr>
    </w:p>
    <w:p w14:paraId="4D2568AC" w14:textId="77777777" w:rsidR="00EE32FF" w:rsidRPr="009428EA" w:rsidRDefault="00EE32FF" w:rsidP="00A363CB">
      <w:pPr>
        <w:autoSpaceDE w:val="0"/>
        <w:autoSpaceDN w:val="0"/>
        <w:adjustRightInd w:val="0"/>
        <w:spacing w:before="240" w:after="120"/>
        <w:rPr>
          <w:b/>
          <w:bCs/>
          <w:szCs w:val="24"/>
        </w:rPr>
      </w:pPr>
    </w:p>
    <w:p w14:paraId="2F2D6DDF" w14:textId="77777777" w:rsidR="0030585F" w:rsidRPr="009428EA" w:rsidRDefault="0030585F" w:rsidP="00A363CB">
      <w:pPr>
        <w:autoSpaceDE w:val="0"/>
        <w:autoSpaceDN w:val="0"/>
        <w:adjustRightInd w:val="0"/>
        <w:spacing w:before="240" w:after="120"/>
        <w:rPr>
          <w:b/>
          <w:bCs/>
          <w:szCs w:val="24"/>
        </w:rPr>
      </w:pPr>
    </w:p>
    <w:p w14:paraId="7CDCC040" w14:textId="77777777" w:rsidR="0030585F" w:rsidRPr="009428EA" w:rsidRDefault="0030585F" w:rsidP="00A363CB">
      <w:pPr>
        <w:autoSpaceDE w:val="0"/>
        <w:autoSpaceDN w:val="0"/>
        <w:adjustRightInd w:val="0"/>
        <w:spacing w:before="240" w:after="120"/>
        <w:rPr>
          <w:b/>
          <w:bCs/>
          <w:szCs w:val="24"/>
        </w:rPr>
      </w:pPr>
    </w:p>
    <w:p w14:paraId="3BC858F4" w14:textId="77777777" w:rsidR="0030585F" w:rsidRPr="00EE32FF" w:rsidRDefault="0030585F" w:rsidP="00EE32FF">
      <w:pPr>
        <w:autoSpaceDE w:val="0"/>
        <w:autoSpaceDN w:val="0"/>
        <w:adjustRightInd w:val="0"/>
        <w:spacing w:after="0" w:line="240" w:lineRule="auto"/>
        <w:jc w:val="right"/>
        <w:rPr>
          <w:szCs w:val="24"/>
        </w:rPr>
      </w:pPr>
      <w:r w:rsidRPr="00EE32FF">
        <w:rPr>
          <w:szCs w:val="24"/>
        </w:rPr>
        <w:t>Presented by</w:t>
      </w:r>
    </w:p>
    <w:p w14:paraId="10094C4E" w14:textId="02F2205F" w:rsidR="0030585F" w:rsidRPr="00EE32FF" w:rsidRDefault="00CA4ADB" w:rsidP="00EE32FF">
      <w:pPr>
        <w:autoSpaceDE w:val="0"/>
        <w:autoSpaceDN w:val="0"/>
        <w:adjustRightInd w:val="0"/>
        <w:spacing w:after="0" w:line="240" w:lineRule="auto"/>
        <w:jc w:val="right"/>
        <w:rPr>
          <w:szCs w:val="24"/>
        </w:rPr>
      </w:pPr>
      <w:r>
        <w:rPr>
          <w:szCs w:val="24"/>
        </w:rPr>
        <w:t>Gordon Ramsay</w:t>
      </w:r>
      <w:r w:rsidR="0030585F" w:rsidRPr="00EE32FF">
        <w:rPr>
          <w:szCs w:val="24"/>
        </w:rPr>
        <w:t xml:space="preserve"> MLA</w:t>
      </w:r>
    </w:p>
    <w:sdt>
      <w:sdtPr>
        <w:rPr>
          <w:szCs w:val="24"/>
        </w:rPr>
        <w:alias w:val="Relevant Minister"/>
        <w:tag w:val="Relevant Minister"/>
        <w:id w:val="172944409"/>
        <w:placeholder>
          <w:docPart w:val="DefaultPlaceholder_22675704"/>
        </w:placeholder>
        <w:dropDownList>
          <w:listItem w:displayText="Choose item." w:value="Choose item."/>
          <w:listItem w:displayText="Attorney-General" w:value="Attorney-General"/>
          <w:listItem w:displayText="Minister for the Prevention of Domestic and Family Violence" w:value="Minister for the Prevention of Domestic and Family Violence"/>
          <w:listItem w:displayText="Minister for Police and Emergency Services" w:value="Minister for Police and Emergency Services"/>
          <w:listItem w:displayText="Minister for Justice, Consumer Affairs and Road Safety" w:value="Minister for Justice, Consumer Affairs and Road Safety"/>
          <w:listItem w:displayText="Minister for Corrections" w:value="Minister for Corrections"/>
        </w:dropDownList>
      </w:sdtPr>
      <w:sdtEndPr/>
      <w:sdtContent>
        <w:p w14:paraId="4FC100A3" w14:textId="395F3B22" w:rsidR="0030585F" w:rsidRPr="00EE32FF" w:rsidRDefault="002B7BAA" w:rsidP="00EE32FF">
          <w:pPr>
            <w:spacing w:after="0" w:line="240" w:lineRule="auto"/>
            <w:jc w:val="right"/>
            <w:rPr>
              <w:szCs w:val="24"/>
            </w:rPr>
          </w:pPr>
          <w:r>
            <w:rPr>
              <w:szCs w:val="24"/>
            </w:rPr>
            <w:t>Attorney-General</w:t>
          </w:r>
        </w:p>
      </w:sdtContent>
    </w:sdt>
    <w:p w14:paraId="3A423ED0" w14:textId="77777777" w:rsidR="00EE32FF" w:rsidRDefault="009428EA" w:rsidP="002E1092">
      <w:pPr>
        <w:spacing w:after="120"/>
        <w:jc w:val="center"/>
        <w:rPr>
          <w:b/>
          <w:bCs/>
          <w:szCs w:val="24"/>
        </w:rPr>
        <w:sectPr w:rsidR="00EE32FF" w:rsidSect="006B28D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r>
        <w:rPr>
          <w:b/>
          <w:bCs/>
          <w:szCs w:val="24"/>
        </w:rPr>
        <w:br w:type="page"/>
      </w:r>
    </w:p>
    <w:p w14:paraId="1A7083FC" w14:textId="7BAFBB93" w:rsidR="00BF0E36" w:rsidRPr="00A5134C" w:rsidRDefault="00CA4ADB" w:rsidP="002E1092">
      <w:pPr>
        <w:spacing w:after="120"/>
        <w:jc w:val="center"/>
        <w:rPr>
          <w:b/>
          <w:bCs/>
          <w:caps/>
          <w:szCs w:val="24"/>
        </w:rPr>
      </w:pPr>
      <w:r>
        <w:rPr>
          <w:b/>
          <w:bCs/>
          <w:caps/>
          <w:szCs w:val="24"/>
        </w:rPr>
        <w:lastRenderedPageBreak/>
        <w:t>Evidence (Miscellaneous Provision) Amendment Bill 2019</w:t>
      </w:r>
    </w:p>
    <w:p w14:paraId="69842CE4" w14:textId="77777777" w:rsidR="006431CF" w:rsidRDefault="006431CF" w:rsidP="0088781C">
      <w:pPr>
        <w:pStyle w:val="Title"/>
      </w:pPr>
      <w:bookmarkStart w:id="2" w:name="_Toc426711258"/>
      <w:bookmarkStart w:id="3" w:name="_Toc429052821"/>
      <w:bookmarkStart w:id="4" w:name="_Toc18399868"/>
      <w:r w:rsidRPr="0088781C">
        <w:t>Outline</w:t>
      </w:r>
      <w:bookmarkEnd w:id="2"/>
      <w:bookmarkEnd w:id="3"/>
      <w:bookmarkEnd w:id="4"/>
    </w:p>
    <w:p w14:paraId="23FD3BB5" w14:textId="5CC1394A" w:rsidR="00046A9E" w:rsidRDefault="00326167">
      <w:pPr>
        <w:pStyle w:val="TOC1"/>
        <w:tabs>
          <w:tab w:val="right" w:leader="dot" w:pos="9016"/>
        </w:tabs>
        <w:rPr>
          <w:rFonts w:asciiTheme="minorHAnsi" w:eastAsiaTheme="minorEastAsia" w:hAnsiTheme="minorHAnsi" w:cstheme="minorBidi"/>
          <w:noProof/>
          <w:sz w:val="22"/>
          <w:lang w:eastAsia="en-AU"/>
        </w:rPr>
      </w:pPr>
      <w:r>
        <w:fldChar w:fldCharType="begin"/>
      </w:r>
      <w:r w:rsidR="00AC5B87">
        <w:instrText xml:space="preserve"> TOC \o "1-3" \h \z \u </w:instrText>
      </w:r>
      <w:r>
        <w:fldChar w:fldCharType="separate"/>
      </w:r>
      <w:hyperlink w:anchor="_Toc18399868" w:history="1">
        <w:r w:rsidR="00046A9E" w:rsidRPr="00BC68D1">
          <w:rPr>
            <w:rStyle w:val="Hyperlink"/>
            <w:noProof/>
          </w:rPr>
          <w:t>Outline</w:t>
        </w:r>
        <w:r w:rsidR="00046A9E">
          <w:rPr>
            <w:noProof/>
            <w:webHidden/>
          </w:rPr>
          <w:tab/>
        </w:r>
        <w:r w:rsidR="00046A9E">
          <w:rPr>
            <w:noProof/>
            <w:webHidden/>
          </w:rPr>
          <w:fldChar w:fldCharType="begin"/>
        </w:r>
        <w:r w:rsidR="00046A9E">
          <w:rPr>
            <w:noProof/>
            <w:webHidden/>
          </w:rPr>
          <w:instrText xml:space="preserve"> PAGEREF _Toc18399868 \h </w:instrText>
        </w:r>
        <w:r w:rsidR="00046A9E">
          <w:rPr>
            <w:noProof/>
            <w:webHidden/>
          </w:rPr>
        </w:r>
        <w:r w:rsidR="00046A9E">
          <w:rPr>
            <w:noProof/>
            <w:webHidden/>
          </w:rPr>
          <w:fldChar w:fldCharType="separate"/>
        </w:r>
        <w:r w:rsidR="00D24F11">
          <w:rPr>
            <w:noProof/>
            <w:webHidden/>
          </w:rPr>
          <w:t>1</w:t>
        </w:r>
        <w:r w:rsidR="00046A9E">
          <w:rPr>
            <w:noProof/>
            <w:webHidden/>
          </w:rPr>
          <w:fldChar w:fldCharType="end"/>
        </w:r>
      </w:hyperlink>
    </w:p>
    <w:p w14:paraId="44E843A7" w14:textId="05E8D1FB" w:rsidR="00046A9E" w:rsidRDefault="00C97571">
      <w:pPr>
        <w:pStyle w:val="TOC2"/>
        <w:tabs>
          <w:tab w:val="right" w:leader="dot" w:pos="9016"/>
        </w:tabs>
        <w:rPr>
          <w:rFonts w:asciiTheme="minorHAnsi" w:eastAsiaTheme="minorEastAsia" w:hAnsiTheme="minorHAnsi" w:cstheme="minorBidi"/>
          <w:noProof/>
          <w:sz w:val="22"/>
          <w:lang w:eastAsia="en-AU"/>
        </w:rPr>
      </w:pPr>
      <w:hyperlink w:anchor="_Toc18399869" w:history="1">
        <w:r w:rsidR="00046A9E" w:rsidRPr="00BC68D1">
          <w:rPr>
            <w:rStyle w:val="Hyperlink"/>
            <w:noProof/>
          </w:rPr>
          <w:t>Purpose of the Bill</w:t>
        </w:r>
        <w:r w:rsidR="00046A9E">
          <w:rPr>
            <w:noProof/>
            <w:webHidden/>
          </w:rPr>
          <w:tab/>
        </w:r>
        <w:r w:rsidR="00046A9E">
          <w:rPr>
            <w:noProof/>
            <w:webHidden/>
          </w:rPr>
          <w:fldChar w:fldCharType="begin"/>
        </w:r>
        <w:r w:rsidR="00046A9E">
          <w:rPr>
            <w:noProof/>
            <w:webHidden/>
          </w:rPr>
          <w:instrText xml:space="preserve"> PAGEREF _Toc18399869 \h </w:instrText>
        </w:r>
        <w:r w:rsidR="00046A9E">
          <w:rPr>
            <w:noProof/>
            <w:webHidden/>
          </w:rPr>
        </w:r>
        <w:r w:rsidR="00046A9E">
          <w:rPr>
            <w:noProof/>
            <w:webHidden/>
          </w:rPr>
          <w:fldChar w:fldCharType="separate"/>
        </w:r>
        <w:r w:rsidR="00D24F11">
          <w:rPr>
            <w:noProof/>
            <w:webHidden/>
          </w:rPr>
          <w:t>2</w:t>
        </w:r>
        <w:r w:rsidR="00046A9E">
          <w:rPr>
            <w:noProof/>
            <w:webHidden/>
          </w:rPr>
          <w:fldChar w:fldCharType="end"/>
        </w:r>
      </w:hyperlink>
    </w:p>
    <w:p w14:paraId="1D7840A7" w14:textId="6A7A41A6" w:rsidR="00046A9E" w:rsidRDefault="00C97571">
      <w:pPr>
        <w:pStyle w:val="TOC2"/>
        <w:tabs>
          <w:tab w:val="right" w:leader="dot" w:pos="9016"/>
        </w:tabs>
        <w:rPr>
          <w:rFonts w:asciiTheme="minorHAnsi" w:eastAsiaTheme="minorEastAsia" w:hAnsiTheme="minorHAnsi" w:cstheme="minorBidi"/>
          <w:noProof/>
          <w:sz w:val="22"/>
          <w:lang w:eastAsia="en-AU"/>
        </w:rPr>
      </w:pPr>
      <w:hyperlink w:anchor="_Toc18399870" w:history="1">
        <w:r w:rsidR="00046A9E" w:rsidRPr="00BC68D1">
          <w:rPr>
            <w:rStyle w:val="Hyperlink"/>
            <w:noProof/>
          </w:rPr>
          <w:t>Human Rights Considerations</w:t>
        </w:r>
        <w:r w:rsidR="00046A9E">
          <w:rPr>
            <w:noProof/>
            <w:webHidden/>
          </w:rPr>
          <w:tab/>
        </w:r>
        <w:r w:rsidR="00046A9E">
          <w:rPr>
            <w:noProof/>
            <w:webHidden/>
          </w:rPr>
          <w:fldChar w:fldCharType="begin"/>
        </w:r>
        <w:r w:rsidR="00046A9E">
          <w:rPr>
            <w:noProof/>
            <w:webHidden/>
          </w:rPr>
          <w:instrText xml:space="preserve"> PAGEREF _Toc18399870 \h </w:instrText>
        </w:r>
        <w:r w:rsidR="00046A9E">
          <w:rPr>
            <w:noProof/>
            <w:webHidden/>
          </w:rPr>
        </w:r>
        <w:r w:rsidR="00046A9E">
          <w:rPr>
            <w:noProof/>
            <w:webHidden/>
          </w:rPr>
          <w:fldChar w:fldCharType="separate"/>
        </w:r>
        <w:r w:rsidR="00D24F11">
          <w:rPr>
            <w:noProof/>
            <w:webHidden/>
          </w:rPr>
          <w:t>5</w:t>
        </w:r>
        <w:r w:rsidR="00046A9E">
          <w:rPr>
            <w:noProof/>
            <w:webHidden/>
          </w:rPr>
          <w:fldChar w:fldCharType="end"/>
        </w:r>
      </w:hyperlink>
    </w:p>
    <w:p w14:paraId="2954F81F" w14:textId="703F8B5D" w:rsidR="00046A9E" w:rsidRDefault="00C97571">
      <w:pPr>
        <w:pStyle w:val="TOC1"/>
        <w:tabs>
          <w:tab w:val="right" w:leader="dot" w:pos="9016"/>
        </w:tabs>
        <w:rPr>
          <w:rFonts w:asciiTheme="minorHAnsi" w:eastAsiaTheme="minorEastAsia" w:hAnsiTheme="minorHAnsi" w:cstheme="minorBidi"/>
          <w:noProof/>
          <w:sz w:val="22"/>
          <w:lang w:eastAsia="en-AU"/>
        </w:rPr>
      </w:pPr>
      <w:hyperlink w:anchor="_Toc18399871" w:history="1">
        <w:r w:rsidR="00046A9E" w:rsidRPr="00BC68D1">
          <w:rPr>
            <w:rStyle w:val="Hyperlink"/>
            <w:noProof/>
            <w:lang w:eastAsia="en-AU"/>
          </w:rPr>
          <w:t>Detail</w:t>
        </w:r>
        <w:r w:rsidR="00046A9E">
          <w:rPr>
            <w:noProof/>
            <w:webHidden/>
          </w:rPr>
          <w:tab/>
        </w:r>
        <w:r w:rsidR="00046A9E">
          <w:rPr>
            <w:noProof/>
            <w:webHidden/>
          </w:rPr>
          <w:fldChar w:fldCharType="begin"/>
        </w:r>
        <w:r w:rsidR="00046A9E">
          <w:rPr>
            <w:noProof/>
            <w:webHidden/>
          </w:rPr>
          <w:instrText xml:space="preserve"> PAGEREF _Toc18399871 \h </w:instrText>
        </w:r>
        <w:r w:rsidR="00046A9E">
          <w:rPr>
            <w:noProof/>
            <w:webHidden/>
          </w:rPr>
        </w:r>
        <w:r w:rsidR="00046A9E">
          <w:rPr>
            <w:noProof/>
            <w:webHidden/>
          </w:rPr>
          <w:fldChar w:fldCharType="separate"/>
        </w:r>
        <w:r w:rsidR="00D24F11">
          <w:rPr>
            <w:noProof/>
            <w:webHidden/>
          </w:rPr>
          <w:t>11</w:t>
        </w:r>
        <w:r w:rsidR="00046A9E">
          <w:rPr>
            <w:noProof/>
            <w:webHidden/>
          </w:rPr>
          <w:fldChar w:fldCharType="end"/>
        </w:r>
      </w:hyperlink>
    </w:p>
    <w:p w14:paraId="3BBF929B" w14:textId="32F03D8E" w:rsidR="00046A9E" w:rsidRDefault="00C97571">
      <w:pPr>
        <w:pStyle w:val="TOC1"/>
        <w:tabs>
          <w:tab w:val="right" w:leader="dot" w:pos="9016"/>
        </w:tabs>
        <w:rPr>
          <w:rFonts w:asciiTheme="minorHAnsi" w:eastAsiaTheme="minorEastAsia" w:hAnsiTheme="minorHAnsi" w:cstheme="minorBidi"/>
          <w:noProof/>
          <w:sz w:val="22"/>
          <w:lang w:eastAsia="en-AU"/>
        </w:rPr>
      </w:pPr>
      <w:hyperlink w:anchor="_Toc18399872" w:history="1">
        <w:r w:rsidR="00046A9E" w:rsidRPr="00BC68D1">
          <w:rPr>
            <w:rStyle w:val="Hyperlink"/>
            <w:noProof/>
            <w:lang w:eastAsia="en-AU"/>
          </w:rPr>
          <w:t>Part 1 – Preliminary</w:t>
        </w:r>
        <w:r w:rsidR="00046A9E">
          <w:rPr>
            <w:noProof/>
            <w:webHidden/>
          </w:rPr>
          <w:tab/>
        </w:r>
        <w:r w:rsidR="00046A9E">
          <w:rPr>
            <w:noProof/>
            <w:webHidden/>
          </w:rPr>
          <w:fldChar w:fldCharType="begin"/>
        </w:r>
        <w:r w:rsidR="00046A9E">
          <w:rPr>
            <w:noProof/>
            <w:webHidden/>
          </w:rPr>
          <w:instrText xml:space="preserve"> PAGEREF _Toc18399872 \h </w:instrText>
        </w:r>
        <w:r w:rsidR="00046A9E">
          <w:rPr>
            <w:noProof/>
            <w:webHidden/>
          </w:rPr>
        </w:r>
        <w:r w:rsidR="00046A9E">
          <w:rPr>
            <w:noProof/>
            <w:webHidden/>
          </w:rPr>
          <w:fldChar w:fldCharType="separate"/>
        </w:r>
        <w:r w:rsidR="00D24F11">
          <w:rPr>
            <w:noProof/>
            <w:webHidden/>
          </w:rPr>
          <w:t>11</w:t>
        </w:r>
        <w:r w:rsidR="00046A9E">
          <w:rPr>
            <w:noProof/>
            <w:webHidden/>
          </w:rPr>
          <w:fldChar w:fldCharType="end"/>
        </w:r>
      </w:hyperlink>
    </w:p>
    <w:p w14:paraId="3F6819E1" w14:textId="665FA5C7" w:rsidR="00046A9E" w:rsidRDefault="00C97571">
      <w:pPr>
        <w:pStyle w:val="TOC1"/>
        <w:tabs>
          <w:tab w:val="right" w:leader="dot" w:pos="9016"/>
        </w:tabs>
        <w:rPr>
          <w:rFonts w:asciiTheme="minorHAnsi" w:eastAsiaTheme="minorEastAsia" w:hAnsiTheme="minorHAnsi" w:cstheme="minorBidi"/>
          <w:noProof/>
          <w:sz w:val="22"/>
          <w:lang w:eastAsia="en-AU"/>
        </w:rPr>
      </w:pPr>
      <w:hyperlink w:anchor="_Toc18399873" w:history="1">
        <w:r w:rsidR="00046A9E" w:rsidRPr="00BC68D1">
          <w:rPr>
            <w:rStyle w:val="Hyperlink"/>
            <w:noProof/>
            <w:lang w:eastAsia="en-AU"/>
          </w:rPr>
          <w:t>Part 2 – Evidence (Miscellaneous Provisions) Act 1991</w:t>
        </w:r>
        <w:r w:rsidR="00046A9E">
          <w:rPr>
            <w:noProof/>
            <w:webHidden/>
          </w:rPr>
          <w:tab/>
        </w:r>
        <w:r w:rsidR="00046A9E">
          <w:rPr>
            <w:noProof/>
            <w:webHidden/>
          </w:rPr>
          <w:fldChar w:fldCharType="begin"/>
        </w:r>
        <w:r w:rsidR="00046A9E">
          <w:rPr>
            <w:noProof/>
            <w:webHidden/>
          </w:rPr>
          <w:instrText xml:space="preserve"> PAGEREF _Toc18399873 \h </w:instrText>
        </w:r>
        <w:r w:rsidR="00046A9E">
          <w:rPr>
            <w:noProof/>
            <w:webHidden/>
          </w:rPr>
        </w:r>
        <w:r w:rsidR="00046A9E">
          <w:rPr>
            <w:noProof/>
            <w:webHidden/>
          </w:rPr>
          <w:fldChar w:fldCharType="separate"/>
        </w:r>
        <w:r w:rsidR="00D24F11">
          <w:rPr>
            <w:noProof/>
            <w:webHidden/>
          </w:rPr>
          <w:t>11</w:t>
        </w:r>
        <w:r w:rsidR="00046A9E">
          <w:rPr>
            <w:noProof/>
            <w:webHidden/>
          </w:rPr>
          <w:fldChar w:fldCharType="end"/>
        </w:r>
      </w:hyperlink>
    </w:p>
    <w:p w14:paraId="17B590DA" w14:textId="68854D34" w:rsidR="00046A9E" w:rsidRDefault="00C97571">
      <w:pPr>
        <w:pStyle w:val="TOC1"/>
        <w:tabs>
          <w:tab w:val="right" w:leader="dot" w:pos="9016"/>
        </w:tabs>
        <w:rPr>
          <w:rFonts w:asciiTheme="minorHAnsi" w:eastAsiaTheme="minorEastAsia" w:hAnsiTheme="minorHAnsi" w:cstheme="minorBidi"/>
          <w:noProof/>
          <w:sz w:val="22"/>
          <w:lang w:eastAsia="en-AU"/>
        </w:rPr>
      </w:pPr>
      <w:hyperlink w:anchor="_Toc18399874" w:history="1">
        <w:r w:rsidR="00046A9E" w:rsidRPr="00BC68D1">
          <w:rPr>
            <w:rStyle w:val="Hyperlink"/>
            <w:noProof/>
            <w:lang w:eastAsia="en-AU"/>
          </w:rPr>
          <w:t>Part 3 – Evidence (Miscellaneous Provisions) Regulation 2009</w:t>
        </w:r>
        <w:r w:rsidR="00046A9E">
          <w:rPr>
            <w:noProof/>
            <w:webHidden/>
          </w:rPr>
          <w:tab/>
        </w:r>
        <w:r w:rsidR="00046A9E">
          <w:rPr>
            <w:noProof/>
            <w:webHidden/>
          </w:rPr>
          <w:fldChar w:fldCharType="begin"/>
        </w:r>
        <w:r w:rsidR="00046A9E">
          <w:rPr>
            <w:noProof/>
            <w:webHidden/>
          </w:rPr>
          <w:instrText xml:space="preserve"> PAGEREF _Toc18399874 \h </w:instrText>
        </w:r>
        <w:r w:rsidR="00046A9E">
          <w:rPr>
            <w:noProof/>
            <w:webHidden/>
          </w:rPr>
        </w:r>
        <w:r w:rsidR="00046A9E">
          <w:rPr>
            <w:noProof/>
            <w:webHidden/>
          </w:rPr>
          <w:fldChar w:fldCharType="separate"/>
        </w:r>
        <w:r w:rsidR="00D24F11">
          <w:rPr>
            <w:noProof/>
            <w:webHidden/>
          </w:rPr>
          <w:t>15</w:t>
        </w:r>
        <w:r w:rsidR="00046A9E">
          <w:rPr>
            <w:noProof/>
            <w:webHidden/>
          </w:rPr>
          <w:fldChar w:fldCharType="end"/>
        </w:r>
      </w:hyperlink>
    </w:p>
    <w:p w14:paraId="2B82B2F2" w14:textId="7068D642" w:rsidR="00046A9E" w:rsidRDefault="00C97571">
      <w:pPr>
        <w:pStyle w:val="TOC1"/>
        <w:tabs>
          <w:tab w:val="right" w:leader="dot" w:pos="9016"/>
        </w:tabs>
        <w:rPr>
          <w:rFonts w:asciiTheme="minorHAnsi" w:eastAsiaTheme="minorEastAsia" w:hAnsiTheme="minorHAnsi" w:cstheme="minorBidi"/>
          <w:noProof/>
          <w:sz w:val="22"/>
          <w:lang w:eastAsia="en-AU"/>
        </w:rPr>
      </w:pPr>
      <w:hyperlink w:anchor="_Toc18399875" w:history="1">
        <w:r w:rsidR="00046A9E" w:rsidRPr="00BC68D1">
          <w:rPr>
            <w:rStyle w:val="Hyperlink"/>
            <w:noProof/>
            <w:lang w:eastAsia="en-AU"/>
          </w:rPr>
          <w:t>Schedule 1 – Consequential amendments</w:t>
        </w:r>
        <w:r w:rsidR="00046A9E">
          <w:rPr>
            <w:noProof/>
            <w:webHidden/>
          </w:rPr>
          <w:tab/>
        </w:r>
        <w:r w:rsidR="00046A9E">
          <w:rPr>
            <w:noProof/>
            <w:webHidden/>
          </w:rPr>
          <w:fldChar w:fldCharType="begin"/>
        </w:r>
        <w:r w:rsidR="00046A9E">
          <w:rPr>
            <w:noProof/>
            <w:webHidden/>
          </w:rPr>
          <w:instrText xml:space="preserve"> PAGEREF _Toc18399875 \h </w:instrText>
        </w:r>
        <w:r w:rsidR="00046A9E">
          <w:rPr>
            <w:noProof/>
            <w:webHidden/>
          </w:rPr>
        </w:r>
        <w:r w:rsidR="00046A9E">
          <w:rPr>
            <w:noProof/>
            <w:webHidden/>
          </w:rPr>
          <w:fldChar w:fldCharType="separate"/>
        </w:r>
        <w:r w:rsidR="00D24F11">
          <w:rPr>
            <w:noProof/>
            <w:webHidden/>
          </w:rPr>
          <w:t>16</w:t>
        </w:r>
        <w:r w:rsidR="00046A9E">
          <w:rPr>
            <w:noProof/>
            <w:webHidden/>
          </w:rPr>
          <w:fldChar w:fldCharType="end"/>
        </w:r>
      </w:hyperlink>
    </w:p>
    <w:p w14:paraId="5017A6C9" w14:textId="270F788D" w:rsidR="00046A9E" w:rsidRDefault="00C97571">
      <w:pPr>
        <w:pStyle w:val="TOC3"/>
        <w:tabs>
          <w:tab w:val="right" w:leader="dot" w:pos="9016"/>
        </w:tabs>
        <w:rPr>
          <w:rFonts w:asciiTheme="minorHAnsi" w:eastAsiaTheme="minorEastAsia" w:hAnsiTheme="minorHAnsi" w:cstheme="minorBidi"/>
          <w:noProof/>
          <w:sz w:val="22"/>
          <w:lang w:eastAsia="en-AU"/>
        </w:rPr>
      </w:pPr>
      <w:hyperlink w:anchor="_Toc18399876" w:history="1">
        <w:r w:rsidR="00046A9E" w:rsidRPr="00BC68D1">
          <w:rPr>
            <w:rStyle w:val="Hyperlink"/>
            <w:noProof/>
          </w:rPr>
          <w:t xml:space="preserve">Part 1.1 – </w:t>
        </w:r>
        <w:r w:rsidR="00046A9E" w:rsidRPr="00BC68D1">
          <w:rPr>
            <w:rStyle w:val="Hyperlink"/>
            <w:noProof/>
            <w:lang w:eastAsia="en-AU"/>
          </w:rPr>
          <w:t>Criminal Code 2002</w:t>
        </w:r>
        <w:r w:rsidR="00046A9E">
          <w:rPr>
            <w:noProof/>
            <w:webHidden/>
          </w:rPr>
          <w:tab/>
        </w:r>
        <w:r w:rsidR="00046A9E">
          <w:rPr>
            <w:noProof/>
            <w:webHidden/>
          </w:rPr>
          <w:fldChar w:fldCharType="begin"/>
        </w:r>
        <w:r w:rsidR="00046A9E">
          <w:rPr>
            <w:noProof/>
            <w:webHidden/>
          </w:rPr>
          <w:instrText xml:space="preserve"> PAGEREF _Toc18399876 \h </w:instrText>
        </w:r>
        <w:r w:rsidR="00046A9E">
          <w:rPr>
            <w:noProof/>
            <w:webHidden/>
          </w:rPr>
        </w:r>
        <w:r w:rsidR="00046A9E">
          <w:rPr>
            <w:noProof/>
            <w:webHidden/>
          </w:rPr>
          <w:fldChar w:fldCharType="separate"/>
        </w:r>
        <w:r w:rsidR="00D24F11">
          <w:rPr>
            <w:noProof/>
            <w:webHidden/>
          </w:rPr>
          <w:t>16</w:t>
        </w:r>
        <w:r w:rsidR="00046A9E">
          <w:rPr>
            <w:noProof/>
            <w:webHidden/>
          </w:rPr>
          <w:fldChar w:fldCharType="end"/>
        </w:r>
      </w:hyperlink>
    </w:p>
    <w:p w14:paraId="366641B0" w14:textId="1D5BAD09" w:rsidR="00046A9E" w:rsidRDefault="00C97571">
      <w:pPr>
        <w:pStyle w:val="TOC3"/>
        <w:tabs>
          <w:tab w:val="right" w:leader="dot" w:pos="9016"/>
        </w:tabs>
        <w:rPr>
          <w:rFonts w:asciiTheme="minorHAnsi" w:eastAsiaTheme="minorEastAsia" w:hAnsiTheme="minorHAnsi" w:cstheme="minorBidi"/>
          <w:noProof/>
          <w:sz w:val="22"/>
          <w:lang w:eastAsia="en-AU"/>
        </w:rPr>
      </w:pPr>
      <w:hyperlink w:anchor="_Toc18399877" w:history="1">
        <w:r w:rsidR="00046A9E" w:rsidRPr="00BC68D1">
          <w:rPr>
            <w:rStyle w:val="Hyperlink"/>
            <w:noProof/>
          </w:rPr>
          <w:t xml:space="preserve">Part 1.2 – </w:t>
        </w:r>
        <w:r w:rsidR="00046A9E" w:rsidRPr="00BC68D1">
          <w:rPr>
            <w:rStyle w:val="Hyperlink"/>
            <w:noProof/>
            <w:lang w:eastAsia="en-AU"/>
          </w:rPr>
          <w:t>Evidence Act 2011</w:t>
        </w:r>
        <w:r w:rsidR="00046A9E">
          <w:rPr>
            <w:noProof/>
            <w:webHidden/>
          </w:rPr>
          <w:tab/>
        </w:r>
        <w:r w:rsidR="00046A9E">
          <w:rPr>
            <w:noProof/>
            <w:webHidden/>
          </w:rPr>
          <w:fldChar w:fldCharType="begin"/>
        </w:r>
        <w:r w:rsidR="00046A9E">
          <w:rPr>
            <w:noProof/>
            <w:webHidden/>
          </w:rPr>
          <w:instrText xml:space="preserve"> PAGEREF _Toc18399877 \h </w:instrText>
        </w:r>
        <w:r w:rsidR="00046A9E">
          <w:rPr>
            <w:noProof/>
            <w:webHidden/>
          </w:rPr>
        </w:r>
        <w:r w:rsidR="00046A9E">
          <w:rPr>
            <w:noProof/>
            <w:webHidden/>
          </w:rPr>
          <w:fldChar w:fldCharType="separate"/>
        </w:r>
        <w:r w:rsidR="00D24F11">
          <w:rPr>
            <w:noProof/>
            <w:webHidden/>
          </w:rPr>
          <w:t>16</w:t>
        </w:r>
        <w:r w:rsidR="00046A9E">
          <w:rPr>
            <w:noProof/>
            <w:webHidden/>
          </w:rPr>
          <w:fldChar w:fldCharType="end"/>
        </w:r>
      </w:hyperlink>
    </w:p>
    <w:p w14:paraId="314FFBD4" w14:textId="51BEE8FE" w:rsidR="00AC5B87" w:rsidRPr="00AC5B87" w:rsidRDefault="00326167" w:rsidP="00AC5B87">
      <w:r>
        <w:fldChar w:fldCharType="end"/>
      </w:r>
    </w:p>
    <w:p w14:paraId="647CCAEE" w14:textId="77777777" w:rsidR="0030585F" w:rsidRPr="002E1092" w:rsidRDefault="00AC5B87" w:rsidP="002E1092">
      <w:pPr>
        <w:pStyle w:val="Heading2"/>
        <w:spacing w:after="120"/>
      </w:pPr>
      <w:bookmarkStart w:id="5" w:name="_Toc426711259"/>
      <w:bookmarkStart w:id="6" w:name="_Toc429052822"/>
      <w:r>
        <w:br w:type="page"/>
      </w:r>
      <w:bookmarkStart w:id="7" w:name="_Toc18399869"/>
      <w:r w:rsidR="0030585F" w:rsidRPr="009428EA">
        <w:lastRenderedPageBreak/>
        <w:t>Purpose of the Bill</w:t>
      </w:r>
      <w:bookmarkEnd w:id="5"/>
      <w:bookmarkEnd w:id="6"/>
      <w:bookmarkEnd w:id="7"/>
    </w:p>
    <w:p w14:paraId="24C7BD38" w14:textId="0B862ADB" w:rsidR="00026E14" w:rsidRDefault="00026E14" w:rsidP="00026E14">
      <w:pPr>
        <w:autoSpaceDE w:val="0"/>
        <w:autoSpaceDN w:val="0"/>
        <w:adjustRightInd w:val="0"/>
        <w:spacing w:before="240" w:after="120"/>
        <w:rPr>
          <w:szCs w:val="24"/>
        </w:rPr>
      </w:pPr>
      <w:r w:rsidRPr="009428EA">
        <w:rPr>
          <w:szCs w:val="24"/>
        </w:rPr>
        <w:t xml:space="preserve">The </w:t>
      </w:r>
      <w:r>
        <w:rPr>
          <w:i/>
          <w:szCs w:val="24"/>
        </w:rPr>
        <w:t xml:space="preserve">Evidence (Miscellaneous Provisions) Amendment Bill 2019 </w:t>
      </w:r>
      <w:r>
        <w:rPr>
          <w:szCs w:val="24"/>
        </w:rPr>
        <w:t>(the Bill) will establish the legislative framework for the use of intermediaries and ground rules hearings in criminal proceedings</w:t>
      </w:r>
      <w:r w:rsidR="00A315B4">
        <w:rPr>
          <w:szCs w:val="24"/>
        </w:rPr>
        <w:t xml:space="preserve">. In doing so, it implements recommendations made by the </w:t>
      </w:r>
      <w:r w:rsidR="00A315B4">
        <w:rPr>
          <w:i/>
          <w:szCs w:val="24"/>
        </w:rPr>
        <w:t xml:space="preserve">Royal Commission into Institutional Responses to Child Sexual Abuse </w:t>
      </w:r>
      <w:r w:rsidR="00A315B4">
        <w:rPr>
          <w:szCs w:val="24"/>
        </w:rPr>
        <w:t>(the Royal Commission), as well as improving access to justice for vulnerable witnesses more broadly.</w:t>
      </w:r>
    </w:p>
    <w:p w14:paraId="44A80FBA" w14:textId="77777777" w:rsidR="009B75C7" w:rsidRDefault="00A315B4" w:rsidP="00A315B4">
      <w:pPr>
        <w:autoSpaceDE w:val="0"/>
        <w:autoSpaceDN w:val="0"/>
        <w:adjustRightInd w:val="0"/>
        <w:spacing w:before="240" w:after="120"/>
        <w:rPr>
          <w:szCs w:val="24"/>
        </w:rPr>
      </w:pPr>
      <w:r w:rsidRPr="00D65E31">
        <w:rPr>
          <w:szCs w:val="24"/>
        </w:rPr>
        <w:t xml:space="preserve">An intermediary is an independent communication specialist whose role is to assist a person with communication difficulties to communicate their best evidence to police and to the Court. </w:t>
      </w:r>
    </w:p>
    <w:p w14:paraId="6295B2FC" w14:textId="258A0BFA" w:rsidR="00A315B4" w:rsidRDefault="00A315B4" w:rsidP="00A315B4">
      <w:pPr>
        <w:autoSpaceDE w:val="0"/>
        <w:autoSpaceDN w:val="0"/>
        <w:adjustRightInd w:val="0"/>
        <w:spacing w:before="240" w:after="120"/>
        <w:rPr>
          <w:szCs w:val="24"/>
        </w:rPr>
      </w:pPr>
      <w:r>
        <w:rPr>
          <w:szCs w:val="24"/>
        </w:rPr>
        <w:t xml:space="preserve">A grounds rules hearing is a pre-hearing process </w:t>
      </w:r>
      <w:r w:rsidRPr="001A3795">
        <w:rPr>
          <w:szCs w:val="24"/>
        </w:rPr>
        <w:t>where the Court takes into consideration the communication, support or other needs of a witness, and sets ‘ground rules’ accordingly.</w:t>
      </w:r>
      <w:r>
        <w:rPr>
          <w:szCs w:val="24"/>
        </w:rPr>
        <w:t xml:space="preserve"> Where an intermediary has been appointed, the ground rules hearing provides an opportunity for the intermediary to inform the </w:t>
      </w:r>
      <w:r w:rsidR="0080087F">
        <w:rPr>
          <w:szCs w:val="24"/>
        </w:rPr>
        <w:t>C</w:t>
      </w:r>
      <w:r>
        <w:rPr>
          <w:szCs w:val="24"/>
        </w:rPr>
        <w:t xml:space="preserve">ourt of the communication needs of the witness, and for the </w:t>
      </w:r>
      <w:r w:rsidR="0080087F">
        <w:rPr>
          <w:szCs w:val="24"/>
        </w:rPr>
        <w:t>C</w:t>
      </w:r>
      <w:r>
        <w:rPr>
          <w:szCs w:val="24"/>
        </w:rPr>
        <w:t xml:space="preserve">ourt to make any adjustments </w:t>
      </w:r>
      <w:r w:rsidR="0048484E">
        <w:rPr>
          <w:szCs w:val="24"/>
        </w:rPr>
        <w:t>that are in the interests of justice</w:t>
      </w:r>
      <w:r>
        <w:rPr>
          <w:szCs w:val="24"/>
        </w:rPr>
        <w:t>.</w:t>
      </w:r>
    </w:p>
    <w:p w14:paraId="378F39A6" w14:textId="1B732942" w:rsidR="00D65E31" w:rsidRDefault="00D65E31" w:rsidP="00D65E31">
      <w:pPr>
        <w:autoSpaceDE w:val="0"/>
        <w:autoSpaceDN w:val="0"/>
        <w:adjustRightInd w:val="0"/>
        <w:spacing w:before="240" w:after="120"/>
        <w:rPr>
          <w:szCs w:val="24"/>
        </w:rPr>
      </w:pPr>
      <w:r w:rsidRPr="001A3795">
        <w:rPr>
          <w:szCs w:val="24"/>
        </w:rPr>
        <w:t>The</w:t>
      </w:r>
      <w:r>
        <w:rPr>
          <w:szCs w:val="24"/>
        </w:rPr>
        <w:t xml:space="preserve"> Criminal Justice Report of the</w:t>
      </w:r>
      <w:r w:rsidRPr="001A3795">
        <w:rPr>
          <w:szCs w:val="24"/>
        </w:rPr>
        <w:t xml:space="preserve"> </w:t>
      </w:r>
      <w:r w:rsidRPr="00D65E31">
        <w:rPr>
          <w:i/>
          <w:szCs w:val="24"/>
        </w:rPr>
        <w:t xml:space="preserve">Royal Commission </w:t>
      </w:r>
      <w:r w:rsidR="00D61999">
        <w:rPr>
          <w:i/>
          <w:szCs w:val="24"/>
        </w:rPr>
        <w:t>i</w:t>
      </w:r>
      <w:r w:rsidRPr="00D65E31">
        <w:rPr>
          <w:i/>
          <w:szCs w:val="24"/>
        </w:rPr>
        <w:t>nto Institutional Responses to Child Sexual Abuse</w:t>
      </w:r>
      <w:r>
        <w:rPr>
          <w:szCs w:val="24"/>
        </w:rPr>
        <w:t xml:space="preserve"> (the Royal Commission)</w:t>
      </w:r>
      <w:r w:rsidRPr="001A3795">
        <w:rPr>
          <w:szCs w:val="24"/>
        </w:rPr>
        <w:t xml:space="preserve"> emphasised </w:t>
      </w:r>
      <w:r w:rsidR="00A62DE2">
        <w:rPr>
          <w:szCs w:val="24"/>
        </w:rPr>
        <w:t>that child victims</w:t>
      </w:r>
      <w:r w:rsidRPr="001A3795">
        <w:rPr>
          <w:szCs w:val="24"/>
        </w:rPr>
        <w:t xml:space="preserve"> face particular difficulties</w:t>
      </w:r>
      <w:r>
        <w:rPr>
          <w:szCs w:val="24"/>
        </w:rPr>
        <w:t xml:space="preserve"> in accessing justice through the criminal justice system</w:t>
      </w:r>
      <w:r w:rsidRPr="001A3795">
        <w:rPr>
          <w:szCs w:val="24"/>
        </w:rPr>
        <w:t xml:space="preserve">. The Royal Commission heard examples of </w:t>
      </w:r>
      <w:r w:rsidR="00A62DE2">
        <w:rPr>
          <w:szCs w:val="24"/>
        </w:rPr>
        <w:t>many child complainants</w:t>
      </w:r>
      <w:r w:rsidRPr="001A3795">
        <w:rPr>
          <w:szCs w:val="24"/>
        </w:rPr>
        <w:t xml:space="preserve"> breaking down during cross-examination</w:t>
      </w:r>
      <w:r w:rsidR="00311088">
        <w:rPr>
          <w:szCs w:val="24"/>
        </w:rPr>
        <w:t xml:space="preserve"> due to the stress and trauma associated with giving their evidence. </w:t>
      </w:r>
      <w:r w:rsidRPr="001A3795">
        <w:rPr>
          <w:szCs w:val="24"/>
        </w:rPr>
        <w:t xml:space="preserve">The Criminal Justice Report noted that vulnerable witnesses may not have language to describe what happened, and that even if they </w:t>
      </w:r>
      <w:r w:rsidR="00311088">
        <w:rPr>
          <w:szCs w:val="24"/>
        </w:rPr>
        <w:t>can</w:t>
      </w:r>
      <w:r w:rsidRPr="001A3795">
        <w:rPr>
          <w:szCs w:val="24"/>
        </w:rPr>
        <w:t xml:space="preserve"> articulate that something happened, </w:t>
      </w:r>
      <w:r w:rsidR="00311088">
        <w:rPr>
          <w:szCs w:val="24"/>
        </w:rPr>
        <w:t xml:space="preserve">they struggle to </w:t>
      </w:r>
      <w:r w:rsidRPr="001A3795">
        <w:rPr>
          <w:szCs w:val="24"/>
        </w:rPr>
        <w:t>disclos</w:t>
      </w:r>
      <w:r w:rsidR="00311088">
        <w:rPr>
          <w:szCs w:val="24"/>
        </w:rPr>
        <w:t>e</w:t>
      </w:r>
      <w:r w:rsidRPr="001A3795">
        <w:rPr>
          <w:szCs w:val="24"/>
        </w:rPr>
        <w:t xml:space="preserve"> this</w:t>
      </w:r>
      <w:r w:rsidR="00311088">
        <w:rPr>
          <w:szCs w:val="24"/>
        </w:rPr>
        <w:t xml:space="preserve"> accurately</w:t>
      </w:r>
      <w:r w:rsidRPr="001A3795">
        <w:rPr>
          <w:szCs w:val="24"/>
        </w:rPr>
        <w:t xml:space="preserve"> to strangers in unfamiliar settings.</w:t>
      </w:r>
      <w:r w:rsidR="00311088">
        <w:rPr>
          <w:szCs w:val="24"/>
        </w:rPr>
        <w:t xml:space="preserve"> Communication barriers may also make it</w:t>
      </w:r>
      <w:r w:rsidRPr="001A3795">
        <w:rPr>
          <w:szCs w:val="24"/>
        </w:rPr>
        <w:t xml:space="preserve"> difficult for </w:t>
      </w:r>
      <w:r w:rsidR="00311088">
        <w:rPr>
          <w:szCs w:val="24"/>
        </w:rPr>
        <w:t>children</w:t>
      </w:r>
      <w:r w:rsidR="00311088" w:rsidRPr="001A3795">
        <w:rPr>
          <w:szCs w:val="24"/>
        </w:rPr>
        <w:t xml:space="preserve"> </w:t>
      </w:r>
      <w:r w:rsidRPr="001A3795">
        <w:rPr>
          <w:szCs w:val="24"/>
        </w:rPr>
        <w:t xml:space="preserve">to disclose the abuse with a sufficient level of particularity to </w:t>
      </w:r>
      <w:r w:rsidR="00311088">
        <w:rPr>
          <w:szCs w:val="24"/>
        </w:rPr>
        <w:t>assist</w:t>
      </w:r>
      <w:r w:rsidR="00311088" w:rsidRPr="001A3795">
        <w:rPr>
          <w:szCs w:val="24"/>
        </w:rPr>
        <w:t xml:space="preserve"> </w:t>
      </w:r>
      <w:r w:rsidRPr="001A3795">
        <w:rPr>
          <w:szCs w:val="24"/>
        </w:rPr>
        <w:t xml:space="preserve">further investigation and </w:t>
      </w:r>
      <w:r w:rsidR="00311088">
        <w:rPr>
          <w:szCs w:val="24"/>
        </w:rPr>
        <w:t>the laying of charges</w:t>
      </w:r>
      <w:r w:rsidRPr="001A3795">
        <w:rPr>
          <w:szCs w:val="24"/>
        </w:rPr>
        <w:t>.</w:t>
      </w:r>
      <w:r w:rsidR="007B2587">
        <w:rPr>
          <w:rStyle w:val="FootnoteReference"/>
          <w:szCs w:val="24"/>
        </w:rPr>
        <w:footnoteReference w:id="1"/>
      </w:r>
    </w:p>
    <w:p w14:paraId="0CA36CD3" w14:textId="09DB9F72" w:rsidR="00D65E31" w:rsidRDefault="00D65E31" w:rsidP="00D65E31">
      <w:pPr>
        <w:autoSpaceDE w:val="0"/>
        <w:autoSpaceDN w:val="0"/>
        <w:adjustRightInd w:val="0"/>
        <w:spacing w:before="240" w:after="120"/>
        <w:rPr>
          <w:szCs w:val="24"/>
        </w:rPr>
      </w:pPr>
      <w:r w:rsidRPr="004C3091">
        <w:rPr>
          <w:szCs w:val="24"/>
        </w:rPr>
        <w:t>At the most fundamental level, in order to participate in the criminal justice process, children must be able to give a comprehensible account of what has happened, understand the questions being asked of them, and provide</w:t>
      </w:r>
      <w:r w:rsidR="00311088">
        <w:rPr>
          <w:szCs w:val="24"/>
        </w:rPr>
        <w:t xml:space="preserve"> a </w:t>
      </w:r>
      <w:r w:rsidRPr="004C3091">
        <w:rPr>
          <w:szCs w:val="24"/>
        </w:rPr>
        <w:t xml:space="preserve">comprehensible </w:t>
      </w:r>
      <w:r w:rsidR="00311088">
        <w:rPr>
          <w:szCs w:val="24"/>
        </w:rPr>
        <w:t>response</w:t>
      </w:r>
      <w:r w:rsidRPr="004C3091">
        <w:rPr>
          <w:szCs w:val="24"/>
        </w:rPr>
        <w:t>.</w:t>
      </w:r>
      <w:r w:rsidR="007B2587">
        <w:rPr>
          <w:rStyle w:val="FootnoteReference"/>
          <w:szCs w:val="24"/>
        </w:rPr>
        <w:footnoteReference w:id="2"/>
      </w:r>
      <w:r w:rsidRPr="004C3091">
        <w:rPr>
          <w:szCs w:val="24"/>
        </w:rPr>
        <w:t xml:space="preserve"> Without this, evidence of </w:t>
      </w:r>
      <w:r w:rsidR="00311088">
        <w:rPr>
          <w:szCs w:val="24"/>
        </w:rPr>
        <w:t>any</w:t>
      </w:r>
      <w:r w:rsidR="00311088" w:rsidRPr="004C3091">
        <w:rPr>
          <w:szCs w:val="24"/>
        </w:rPr>
        <w:t xml:space="preserve"> </w:t>
      </w:r>
      <w:r w:rsidRPr="004C3091">
        <w:rPr>
          <w:szCs w:val="24"/>
        </w:rPr>
        <w:t>criminal acts perpetrated against them cannot be heard and considered by the criminal justice system</w:t>
      </w:r>
      <w:r w:rsidR="00311088">
        <w:rPr>
          <w:szCs w:val="24"/>
        </w:rPr>
        <w:t xml:space="preserve">. </w:t>
      </w:r>
      <w:r w:rsidR="00AE57FD">
        <w:rPr>
          <w:szCs w:val="24"/>
        </w:rPr>
        <w:t>Consequently</w:t>
      </w:r>
      <w:r w:rsidR="00A315B4">
        <w:rPr>
          <w:szCs w:val="24"/>
        </w:rPr>
        <w:t xml:space="preserve">, </w:t>
      </w:r>
      <w:r>
        <w:rPr>
          <w:szCs w:val="24"/>
        </w:rPr>
        <w:t>t</w:t>
      </w:r>
      <w:r w:rsidRPr="004C3091">
        <w:rPr>
          <w:szCs w:val="24"/>
        </w:rPr>
        <w:t xml:space="preserve">he </w:t>
      </w:r>
      <w:r w:rsidR="00311088">
        <w:rPr>
          <w:szCs w:val="24"/>
        </w:rPr>
        <w:t xml:space="preserve">abuse </w:t>
      </w:r>
      <w:r w:rsidRPr="004C3091">
        <w:rPr>
          <w:szCs w:val="24"/>
        </w:rPr>
        <w:t>remain</w:t>
      </w:r>
      <w:r w:rsidR="00A62DE2">
        <w:rPr>
          <w:szCs w:val="24"/>
        </w:rPr>
        <w:t>s</w:t>
      </w:r>
      <w:r w:rsidRPr="004C3091">
        <w:rPr>
          <w:szCs w:val="24"/>
        </w:rPr>
        <w:t xml:space="preserve"> unheard and unaddressed</w:t>
      </w:r>
      <w:r w:rsidR="00311088">
        <w:rPr>
          <w:szCs w:val="24"/>
        </w:rPr>
        <w:t xml:space="preserve">. </w:t>
      </w:r>
    </w:p>
    <w:p w14:paraId="7492941F" w14:textId="2B92B735" w:rsidR="00D65E31" w:rsidRDefault="00D65E31" w:rsidP="00D65E31">
      <w:pPr>
        <w:autoSpaceDE w:val="0"/>
        <w:autoSpaceDN w:val="0"/>
        <w:adjustRightInd w:val="0"/>
        <w:spacing w:before="240" w:after="120"/>
        <w:rPr>
          <w:szCs w:val="24"/>
        </w:rPr>
      </w:pPr>
      <w:r w:rsidRPr="001A3795">
        <w:rPr>
          <w:szCs w:val="24"/>
        </w:rPr>
        <w:t>In addition to limiting the rights of victims, communication barriers</w:t>
      </w:r>
      <w:r w:rsidR="00311088">
        <w:rPr>
          <w:szCs w:val="24"/>
        </w:rPr>
        <w:t xml:space="preserve"> between a witness and the justice system </w:t>
      </w:r>
      <w:r w:rsidRPr="001A3795">
        <w:rPr>
          <w:szCs w:val="24"/>
        </w:rPr>
        <w:t xml:space="preserve">critically undermine the system’s ability to hold offenders to account. Child sexual abuse offences are generally committed in private. Typically, </w:t>
      </w:r>
      <w:r w:rsidR="00311088">
        <w:rPr>
          <w:szCs w:val="24"/>
        </w:rPr>
        <w:t xml:space="preserve">the victim </w:t>
      </w:r>
      <w:r w:rsidR="000A4256">
        <w:rPr>
          <w:szCs w:val="24"/>
        </w:rPr>
        <w:t xml:space="preserve">is the only witness </w:t>
      </w:r>
      <w:r w:rsidR="00311088">
        <w:rPr>
          <w:szCs w:val="24"/>
        </w:rPr>
        <w:t>who</w:t>
      </w:r>
      <w:r w:rsidR="000A4256">
        <w:rPr>
          <w:szCs w:val="24"/>
        </w:rPr>
        <w:t xml:space="preserve"> can</w:t>
      </w:r>
      <w:r w:rsidR="00311088">
        <w:rPr>
          <w:szCs w:val="24"/>
        </w:rPr>
        <w:t xml:space="preserve"> provide</w:t>
      </w:r>
      <w:r w:rsidR="000A4256">
        <w:rPr>
          <w:szCs w:val="24"/>
        </w:rPr>
        <w:t xml:space="preserve"> </w:t>
      </w:r>
      <w:r w:rsidRPr="001A3795">
        <w:rPr>
          <w:szCs w:val="24"/>
        </w:rPr>
        <w:t>direct evidence of the abuse.</w:t>
      </w:r>
      <w:r w:rsidR="007B2587">
        <w:rPr>
          <w:rStyle w:val="FootnoteReference"/>
          <w:szCs w:val="24"/>
        </w:rPr>
        <w:footnoteReference w:id="3"/>
      </w:r>
      <w:r w:rsidRPr="001A3795">
        <w:rPr>
          <w:szCs w:val="24"/>
        </w:rPr>
        <w:t xml:space="preserve"> </w:t>
      </w:r>
      <w:r w:rsidR="000A4256">
        <w:rPr>
          <w:szCs w:val="24"/>
        </w:rPr>
        <w:t>Ensuring</w:t>
      </w:r>
      <w:r w:rsidR="000A4256" w:rsidRPr="001A3795">
        <w:rPr>
          <w:szCs w:val="24"/>
        </w:rPr>
        <w:t xml:space="preserve"> </w:t>
      </w:r>
      <w:r w:rsidR="00AE57FD">
        <w:rPr>
          <w:szCs w:val="24"/>
        </w:rPr>
        <w:t>children</w:t>
      </w:r>
      <w:r w:rsidR="00AE57FD" w:rsidRPr="001A3795">
        <w:rPr>
          <w:szCs w:val="24"/>
        </w:rPr>
        <w:t xml:space="preserve"> </w:t>
      </w:r>
      <w:r w:rsidR="000A4256">
        <w:rPr>
          <w:szCs w:val="24"/>
        </w:rPr>
        <w:t xml:space="preserve">can communicate their </w:t>
      </w:r>
      <w:r w:rsidRPr="001A3795">
        <w:rPr>
          <w:szCs w:val="24"/>
        </w:rPr>
        <w:t>evidence is integral to prosecuting child sexual abuse offen</w:t>
      </w:r>
      <w:r w:rsidR="00AE57FD">
        <w:rPr>
          <w:szCs w:val="24"/>
        </w:rPr>
        <w:t>ce</w:t>
      </w:r>
      <w:r w:rsidRPr="001A3795">
        <w:rPr>
          <w:szCs w:val="24"/>
        </w:rPr>
        <w:t>s</w:t>
      </w:r>
      <w:r w:rsidR="00AE57FD">
        <w:rPr>
          <w:szCs w:val="24"/>
        </w:rPr>
        <w:t xml:space="preserve">. In the absence of such evidence, offenders may remain at liberty to perpetrate further abuse against </w:t>
      </w:r>
      <w:r w:rsidR="00AE57FD">
        <w:rPr>
          <w:szCs w:val="24"/>
        </w:rPr>
        <w:lastRenderedPageBreak/>
        <w:t>additional victims</w:t>
      </w:r>
      <w:r w:rsidRPr="001A3795">
        <w:rPr>
          <w:szCs w:val="24"/>
        </w:rPr>
        <w:t>.</w:t>
      </w:r>
      <w:r w:rsidR="00C260DC">
        <w:rPr>
          <w:rStyle w:val="FootnoteReference"/>
          <w:szCs w:val="24"/>
        </w:rPr>
        <w:footnoteReference w:id="4"/>
      </w:r>
      <w:r w:rsidRPr="001A3795">
        <w:rPr>
          <w:szCs w:val="24"/>
        </w:rPr>
        <w:t xml:space="preserve"> </w:t>
      </w:r>
      <w:r w:rsidR="00AE57FD">
        <w:rPr>
          <w:szCs w:val="24"/>
        </w:rPr>
        <w:t>Better methods for hearing the evidence of child abuse victims may</w:t>
      </w:r>
      <w:r w:rsidR="00AE57FD" w:rsidRPr="001A3795">
        <w:rPr>
          <w:szCs w:val="24"/>
        </w:rPr>
        <w:t xml:space="preserve"> </w:t>
      </w:r>
      <w:r w:rsidRPr="001A3795">
        <w:rPr>
          <w:szCs w:val="24"/>
        </w:rPr>
        <w:t xml:space="preserve">also </w:t>
      </w:r>
      <w:r w:rsidR="00AE57FD">
        <w:rPr>
          <w:szCs w:val="24"/>
        </w:rPr>
        <w:t xml:space="preserve">increase offender accountability by </w:t>
      </w:r>
      <w:r w:rsidR="00AE57FD" w:rsidRPr="001A3795">
        <w:rPr>
          <w:szCs w:val="24"/>
        </w:rPr>
        <w:t>encourag</w:t>
      </w:r>
      <w:r w:rsidR="00AE57FD">
        <w:rPr>
          <w:szCs w:val="24"/>
        </w:rPr>
        <w:t>ing the</w:t>
      </w:r>
      <w:r w:rsidRPr="001A3795">
        <w:rPr>
          <w:szCs w:val="24"/>
        </w:rPr>
        <w:t xml:space="preserve"> reporting </w:t>
      </w:r>
      <w:r w:rsidR="00AE57FD">
        <w:rPr>
          <w:szCs w:val="24"/>
        </w:rPr>
        <w:t xml:space="preserve">of such </w:t>
      </w:r>
      <w:r w:rsidRPr="001A3795">
        <w:rPr>
          <w:szCs w:val="24"/>
        </w:rPr>
        <w:t xml:space="preserve">crime, </w:t>
      </w:r>
      <w:r w:rsidR="00AE57FD">
        <w:rPr>
          <w:szCs w:val="24"/>
        </w:rPr>
        <w:t xml:space="preserve">recognising that </w:t>
      </w:r>
      <w:r w:rsidRPr="001A3795">
        <w:rPr>
          <w:szCs w:val="24"/>
        </w:rPr>
        <w:t>current system</w:t>
      </w:r>
      <w:r w:rsidR="00AE57FD">
        <w:rPr>
          <w:szCs w:val="24"/>
        </w:rPr>
        <w:t xml:space="preserve"> failures</w:t>
      </w:r>
      <w:r w:rsidRPr="001A3795">
        <w:rPr>
          <w:szCs w:val="24"/>
        </w:rPr>
        <w:t xml:space="preserve"> can </w:t>
      </w:r>
      <w:r w:rsidR="00AE57FD">
        <w:rPr>
          <w:szCs w:val="24"/>
        </w:rPr>
        <w:t>deter victims from making a report</w:t>
      </w:r>
    </w:p>
    <w:p w14:paraId="61CC4F50" w14:textId="6F296BB4" w:rsidR="00D65E31" w:rsidRDefault="00D65E31" w:rsidP="00D65E31">
      <w:pPr>
        <w:autoSpaceDE w:val="0"/>
        <w:autoSpaceDN w:val="0"/>
        <w:adjustRightInd w:val="0"/>
        <w:spacing w:before="240" w:after="120"/>
        <w:rPr>
          <w:szCs w:val="24"/>
        </w:rPr>
      </w:pPr>
      <w:r w:rsidRPr="001A3795">
        <w:rPr>
          <w:szCs w:val="24"/>
        </w:rPr>
        <w:t>The Royal Commission made a number of recommendations to improve opportunities for victims to provide their best evidence. Many of these have already been implemented, including recent extensions to special measures available for witnesses in court proceedings.</w:t>
      </w:r>
      <w:r>
        <w:rPr>
          <w:szCs w:val="24"/>
        </w:rPr>
        <w:t xml:space="preserve"> This Bill </w:t>
      </w:r>
      <w:r w:rsidR="00A315B4">
        <w:rPr>
          <w:szCs w:val="24"/>
        </w:rPr>
        <w:t>makes</w:t>
      </w:r>
      <w:r>
        <w:rPr>
          <w:szCs w:val="24"/>
        </w:rPr>
        <w:t xml:space="preserve"> further progress towards improving opportunities for witnesses to provide evidence </w:t>
      </w:r>
      <w:r w:rsidR="001910CD">
        <w:rPr>
          <w:szCs w:val="24"/>
        </w:rPr>
        <w:t xml:space="preserve">by legislating for </w:t>
      </w:r>
      <w:r>
        <w:rPr>
          <w:szCs w:val="24"/>
        </w:rPr>
        <w:t>intermediaries and ground rules hearings</w:t>
      </w:r>
      <w:r w:rsidRPr="001A3795">
        <w:rPr>
          <w:szCs w:val="24"/>
        </w:rPr>
        <w:t xml:space="preserve">. </w:t>
      </w:r>
    </w:p>
    <w:p w14:paraId="122B717E" w14:textId="4024D8CD" w:rsidR="00FB28EC" w:rsidRPr="00FB28EC" w:rsidRDefault="00FB28EC" w:rsidP="00A363CB">
      <w:pPr>
        <w:keepNext/>
        <w:autoSpaceDE w:val="0"/>
        <w:autoSpaceDN w:val="0"/>
        <w:adjustRightInd w:val="0"/>
        <w:spacing w:before="240" w:after="120"/>
        <w:rPr>
          <w:szCs w:val="24"/>
        </w:rPr>
      </w:pPr>
      <w:r>
        <w:rPr>
          <w:szCs w:val="24"/>
        </w:rPr>
        <w:t xml:space="preserve">In establishing the legal framework for intermediaries and ground rules hearings, the Bill implements </w:t>
      </w:r>
      <w:r w:rsidR="00D65E31">
        <w:rPr>
          <w:szCs w:val="24"/>
        </w:rPr>
        <w:t xml:space="preserve">the following </w:t>
      </w:r>
      <w:r>
        <w:rPr>
          <w:szCs w:val="24"/>
        </w:rPr>
        <w:t xml:space="preserve">key recommendations made by the Royal Commission in its Criminal Justice </w:t>
      </w:r>
      <w:r w:rsidR="00D65E31">
        <w:rPr>
          <w:szCs w:val="24"/>
        </w:rPr>
        <w:t>Report:</w:t>
      </w:r>
      <w:r>
        <w:rPr>
          <w:szCs w:val="24"/>
        </w:rPr>
        <w:t xml:space="preserve"> </w:t>
      </w:r>
    </w:p>
    <w:p w14:paraId="0F7399DF" w14:textId="77777777" w:rsidR="00026E14" w:rsidRPr="00026E14" w:rsidRDefault="00026E14" w:rsidP="00026E14">
      <w:pPr>
        <w:numPr>
          <w:ilvl w:val="1"/>
          <w:numId w:val="1"/>
        </w:numPr>
        <w:autoSpaceDE w:val="0"/>
        <w:autoSpaceDN w:val="0"/>
        <w:adjustRightInd w:val="0"/>
        <w:spacing w:before="240" w:after="120"/>
        <w:rPr>
          <w:szCs w:val="24"/>
        </w:rPr>
      </w:pPr>
      <w:r w:rsidRPr="00026E14">
        <w:rPr>
          <w:szCs w:val="24"/>
        </w:rPr>
        <w:t>Recommendation 59 – which recommends that state and territory governments establish intermediary schemes similar to the Registered Intermediary Scheme in England and Wales; and</w:t>
      </w:r>
    </w:p>
    <w:p w14:paraId="3C5120F8" w14:textId="123E8822" w:rsidR="00722E63" w:rsidRDefault="00026E14" w:rsidP="00026E14">
      <w:pPr>
        <w:numPr>
          <w:ilvl w:val="1"/>
          <w:numId w:val="1"/>
        </w:numPr>
        <w:autoSpaceDE w:val="0"/>
        <w:autoSpaceDN w:val="0"/>
        <w:adjustRightInd w:val="0"/>
        <w:spacing w:before="240" w:after="120"/>
        <w:rPr>
          <w:szCs w:val="24"/>
        </w:rPr>
      </w:pPr>
      <w:r w:rsidRPr="00026E14">
        <w:rPr>
          <w:szCs w:val="24"/>
        </w:rPr>
        <w:t>Recommendation 60 – which recommends that state and territory governments ensure ground rules hearings are able to be held and are in fact held in child sexual abuse prosecutions.</w:t>
      </w:r>
    </w:p>
    <w:p w14:paraId="47F050E3" w14:textId="463D1E6F" w:rsidR="00026E14" w:rsidRPr="00026E14" w:rsidRDefault="00026E14" w:rsidP="00026E14">
      <w:pPr>
        <w:autoSpaceDE w:val="0"/>
        <w:autoSpaceDN w:val="0"/>
        <w:adjustRightInd w:val="0"/>
        <w:spacing w:before="240" w:after="120"/>
        <w:rPr>
          <w:szCs w:val="24"/>
        </w:rPr>
      </w:pPr>
      <w:r w:rsidRPr="00026E14">
        <w:rPr>
          <w:szCs w:val="24"/>
        </w:rPr>
        <w:t>It will also contribute to the effective implementation of the following recommendations</w:t>
      </w:r>
      <w:r w:rsidR="00D65E31">
        <w:rPr>
          <w:szCs w:val="24"/>
        </w:rPr>
        <w:t xml:space="preserve"> in the Criminal Justice Report</w:t>
      </w:r>
      <w:r w:rsidRPr="00026E14">
        <w:rPr>
          <w:szCs w:val="24"/>
        </w:rPr>
        <w:t>, of which the establishment of an intermediary scheme is one element:</w:t>
      </w:r>
    </w:p>
    <w:p w14:paraId="695BE5AF" w14:textId="2D28A9EB" w:rsidR="00026E14" w:rsidRPr="00026E14" w:rsidRDefault="00026E14" w:rsidP="00026E14">
      <w:pPr>
        <w:pStyle w:val="ListParagraph"/>
        <w:numPr>
          <w:ilvl w:val="0"/>
          <w:numId w:val="26"/>
        </w:numPr>
        <w:autoSpaceDE w:val="0"/>
        <w:autoSpaceDN w:val="0"/>
        <w:adjustRightInd w:val="0"/>
        <w:spacing w:before="240" w:after="120"/>
        <w:rPr>
          <w:sz w:val="24"/>
          <w:szCs w:val="24"/>
        </w:rPr>
      </w:pPr>
      <w:r w:rsidRPr="00026E14">
        <w:rPr>
          <w:sz w:val="24"/>
          <w:szCs w:val="24"/>
        </w:rPr>
        <w:t>Recommendation 9 – which makes a number of recommendations about police interviewing practice, including that intermediaries be made available; and</w:t>
      </w:r>
    </w:p>
    <w:p w14:paraId="03F93900" w14:textId="22B0184E" w:rsidR="00026E14" w:rsidRDefault="00026E14" w:rsidP="00026E14">
      <w:pPr>
        <w:pStyle w:val="ListParagraph"/>
        <w:numPr>
          <w:ilvl w:val="0"/>
          <w:numId w:val="26"/>
        </w:numPr>
        <w:autoSpaceDE w:val="0"/>
        <w:autoSpaceDN w:val="0"/>
        <w:adjustRightInd w:val="0"/>
        <w:spacing w:before="240" w:after="120"/>
        <w:rPr>
          <w:sz w:val="24"/>
          <w:szCs w:val="24"/>
        </w:rPr>
      </w:pPr>
      <w:r w:rsidRPr="00026E14">
        <w:rPr>
          <w:sz w:val="24"/>
          <w:szCs w:val="24"/>
        </w:rPr>
        <w:t>Recommendation 13 – which recommends, among other things, that police make all appropriate use of any available intermediary scheme responding to victims and survivors with a disability.</w:t>
      </w:r>
    </w:p>
    <w:p w14:paraId="4B022B58" w14:textId="2405DE56" w:rsidR="00382F43" w:rsidRDefault="00FB28EC" w:rsidP="00FB28EC">
      <w:pPr>
        <w:autoSpaceDE w:val="0"/>
        <w:autoSpaceDN w:val="0"/>
        <w:adjustRightInd w:val="0"/>
        <w:spacing w:before="240" w:after="120"/>
        <w:rPr>
          <w:szCs w:val="24"/>
        </w:rPr>
      </w:pPr>
      <w:r>
        <w:rPr>
          <w:szCs w:val="24"/>
        </w:rPr>
        <w:t xml:space="preserve">While the Bill is primarily intended to </w:t>
      </w:r>
      <w:r w:rsidR="00382F43">
        <w:rPr>
          <w:szCs w:val="24"/>
        </w:rPr>
        <w:t xml:space="preserve">improve the experience of </w:t>
      </w:r>
      <w:r w:rsidR="00A15AB2">
        <w:rPr>
          <w:szCs w:val="24"/>
        </w:rPr>
        <w:t>victims of child sexual abuse</w:t>
      </w:r>
      <w:r w:rsidR="00382F43">
        <w:rPr>
          <w:szCs w:val="24"/>
        </w:rPr>
        <w:t xml:space="preserve"> in the criminal justice system, it will also deliver clear benefits to </w:t>
      </w:r>
      <w:r w:rsidR="00A15AB2">
        <w:rPr>
          <w:szCs w:val="24"/>
        </w:rPr>
        <w:t xml:space="preserve">other witnesses, </w:t>
      </w:r>
      <w:r w:rsidR="00382F43">
        <w:rPr>
          <w:szCs w:val="24"/>
        </w:rPr>
        <w:t>the accused and the Court.</w:t>
      </w:r>
      <w:r w:rsidR="00A15AB2">
        <w:rPr>
          <w:szCs w:val="24"/>
        </w:rPr>
        <w:t xml:space="preserve"> T</w:t>
      </w:r>
      <w:r w:rsidR="00382F43">
        <w:rPr>
          <w:szCs w:val="24"/>
        </w:rPr>
        <w:t xml:space="preserve">he Bill </w:t>
      </w:r>
      <w:r w:rsidR="00A15AB2">
        <w:rPr>
          <w:szCs w:val="24"/>
        </w:rPr>
        <w:t>does this</w:t>
      </w:r>
      <w:r w:rsidR="00382F43">
        <w:rPr>
          <w:szCs w:val="24"/>
        </w:rPr>
        <w:t xml:space="preserve"> by providing the </w:t>
      </w:r>
      <w:r w:rsidR="0080087F">
        <w:rPr>
          <w:szCs w:val="24"/>
        </w:rPr>
        <w:t>C</w:t>
      </w:r>
      <w:r w:rsidR="00382F43">
        <w:rPr>
          <w:szCs w:val="24"/>
        </w:rPr>
        <w:t>ourt with a broad discretion to order a ground rules hearing or appoint an intermediary for any witness</w:t>
      </w:r>
      <w:r w:rsidR="00744661">
        <w:rPr>
          <w:szCs w:val="24"/>
        </w:rPr>
        <w:t xml:space="preserve"> with a communication difficulty</w:t>
      </w:r>
      <w:r w:rsidR="00A15AB2">
        <w:rPr>
          <w:szCs w:val="24"/>
        </w:rPr>
        <w:t>, including an accused person</w:t>
      </w:r>
      <w:r w:rsidR="00382F43">
        <w:rPr>
          <w:szCs w:val="24"/>
        </w:rPr>
        <w:t xml:space="preserve">. </w:t>
      </w:r>
      <w:r w:rsidR="00A15AB2">
        <w:rPr>
          <w:szCs w:val="24"/>
        </w:rPr>
        <w:t xml:space="preserve">In addition, high quality communication with witnesses and obtaining accurate and complete testimony, can ensure that not only the complainant, but also the accused experiences a fair trial. Obtaining clear, accurate testimony also improves the </w:t>
      </w:r>
      <w:r w:rsidR="0080087F">
        <w:rPr>
          <w:szCs w:val="24"/>
        </w:rPr>
        <w:t>C</w:t>
      </w:r>
      <w:r w:rsidR="00A15AB2">
        <w:rPr>
          <w:szCs w:val="24"/>
        </w:rPr>
        <w:t xml:space="preserve">ourt’s ability to deliver justice more effectively. This has been shown to be the case in other jurisdictions where similar legislation has been </w:t>
      </w:r>
      <w:r w:rsidR="00A15AB2">
        <w:rPr>
          <w:szCs w:val="24"/>
        </w:rPr>
        <w:lastRenderedPageBreak/>
        <w:t>implemented, such as in NSW, Victoria and elsewhere.</w:t>
      </w:r>
      <w:r w:rsidR="00A15AB2">
        <w:rPr>
          <w:rStyle w:val="FootnoteReference"/>
          <w:szCs w:val="24"/>
        </w:rPr>
        <w:footnoteReference w:id="5"/>
      </w:r>
      <w:r w:rsidR="00A15AB2">
        <w:rPr>
          <w:szCs w:val="24"/>
        </w:rPr>
        <w:t xml:space="preserve"> </w:t>
      </w:r>
      <w:r w:rsidR="00382F43">
        <w:rPr>
          <w:szCs w:val="24"/>
        </w:rPr>
        <w:t xml:space="preserve">Therefore, in addition to making strides towards a fairer justice system for victims of child sexual abuse, the Bill also benefits other witnesses, the accused, and the </w:t>
      </w:r>
      <w:r w:rsidR="0080087F">
        <w:rPr>
          <w:szCs w:val="24"/>
        </w:rPr>
        <w:t>C</w:t>
      </w:r>
      <w:r w:rsidR="00A15AB2">
        <w:rPr>
          <w:szCs w:val="24"/>
        </w:rPr>
        <w:t>ourt more broadly.</w:t>
      </w:r>
    </w:p>
    <w:p w14:paraId="629553F3" w14:textId="77777777" w:rsidR="00382F43" w:rsidRDefault="00382F43" w:rsidP="00FB28EC">
      <w:pPr>
        <w:autoSpaceDE w:val="0"/>
        <w:autoSpaceDN w:val="0"/>
        <w:adjustRightInd w:val="0"/>
        <w:spacing w:before="240" w:after="120"/>
        <w:rPr>
          <w:szCs w:val="24"/>
        </w:rPr>
      </w:pPr>
    </w:p>
    <w:p w14:paraId="58A12AA5" w14:textId="25FAC833" w:rsidR="00FB28EC" w:rsidRPr="00FB28EC" w:rsidRDefault="00FB28EC" w:rsidP="00FB28EC">
      <w:pPr>
        <w:autoSpaceDE w:val="0"/>
        <w:autoSpaceDN w:val="0"/>
        <w:adjustRightInd w:val="0"/>
        <w:spacing w:before="240" w:after="120"/>
        <w:rPr>
          <w:szCs w:val="24"/>
        </w:rPr>
      </w:pPr>
    </w:p>
    <w:p w14:paraId="6B6F3F66" w14:textId="77777777" w:rsidR="00A315B4" w:rsidRDefault="00A315B4" w:rsidP="00214EAF">
      <w:pPr>
        <w:pStyle w:val="Heading2"/>
        <w:spacing w:after="120"/>
      </w:pPr>
      <w:bookmarkStart w:id="8" w:name="_Toc426711260"/>
      <w:bookmarkStart w:id="9" w:name="_Toc429052823"/>
      <w:r>
        <w:br w:type="page"/>
      </w:r>
    </w:p>
    <w:p w14:paraId="0F6AAC2E" w14:textId="79772910" w:rsidR="00702566" w:rsidRPr="00A363CB" w:rsidRDefault="00702566" w:rsidP="00214EAF">
      <w:pPr>
        <w:pStyle w:val="Heading2"/>
        <w:spacing w:after="120"/>
      </w:pPr>
      <w:bookmarkStart w:id="10" w:name="_Toc18399870"/>
      <w:r w:rsidRPr="009428EA">
        <w:lastRenderedPageBreak/>
        <w:t>Human Rights Considerations</w:t>
      </w:r>
      <w:bookmarkEnd w:id="8"/>
      <w:bookmarkEnd w:id="9"/>
      <w:bookmarkEnd w:id="10"/>
    </w:p>
    <w:p w14:paraId="3653E1F8" w14:textId="77777777" w:rsidR="00026E14" w:rsidRPr="00A315B4" w:rsidRDefault="00026E14" w:rsidP="00026E14">
      <w:pPr>
        <w:rPr>
          <w:szCs w:val="24"/>
        </w:rPr>
      </w:pPr>
      <w:r w:rsidRPr="00A315B4">
        <w:t xml:space="preserve">The Royal Commission was established in January 2013 to investigate institutions that have failed to protect children or respond to allegations of child sexual abuse. </w:t>
      </w:r>
      <w:r w:rsidRPr="00A315B4">
        <w:rPr>
          <w:szCs w:val="24"/>
        </w:rPr>
        <w:t>The Royal Commission showed that countless children have been sexually abused in many institutions in Australia, and that society’s institutions have failed to protect them and hold perpetrators to account. The Royal Commission found that</w:t>
      </w:r>
      <w:r w:rsidRPr="00A315B4">
        <w:rPr>
          <w:rStyle w:val="FootnoteReference"/>
          <w:szCs w:val="24"/>
        </w:rPr>
        <w:footnoteReference w:id="6"/>
      </w:r>
      <w:r w:rsidRPr="00A315B4">
        <w:rPr>
          <w:szCs w:val="24"/>
        </w:rPr>
        <w:t xml:space="preserve"> </w:t>
      </w:r>
    </w:p>
    <w:p w14:paraId="4B10C73A" w14:textId="77777777" w:rsidR="00026E14" w:rsidRPr="00A315B4" w:rsidRDefault="00026E14" w:rsidP="00026E14">
      <w:pPr>
        <w:ind w:left="720"/>
        <w:rPr>
          <w:i/>
          <w:szCs w:val="24"/>
        </w:rPr>
      </w:pPr>
      <w:r w:rsidRPr="00A315B4">
        <w:rPr>
          <w:i/>
          <w:szCs w:val="24"/>
        </w:rPr>
        <w:t xml:space="preserve">The impacts of child sexual abuse are different for each victim.  For many victims, the abuse can have profound and lasting impacts.  They experience deep, complex trauma, which can pervade all aspects of their lives, and cause a range of effects across their lifespans.  Other victims do not perceive themselves to be profoundly harmed by the experience. </w:t>
      </w:r>
    </w:p>
    <w:p w14:paraId="523DA1C0" w14:textId="1C4699A7" w:rsidR="00A66E97" w:rsidRDefault="00026E14" w:rsidP="00FB28EC">
      <w:pPr>
        <w:ind w:left="720"/>
        <w:rPr>
          <w:i/>
          <w:szCs w:val="24"/>
        </w:rPr>
      </w:pPr>
      <w:r w:rsidRPr="00A315B4">
        <w:rPr>
          <w:i/>
          <w:szCs w:val="24"/>
        </w:rPr>
        <w:t>Some impacts on victims are immediate and temporary, while others can last throughout adulthood.  Some emerge later in life; others abate only to re-emerge or manifest in response to triggers or events.  As victims have new experiences or enter new stages of development over their life courses, the consequences of abuse may manifest in different ways.</w:t>
      </w:r>
      <w:r w:rsidRPr="005B12A0">
        <w:rPr>
          <w:i/>
          <w:szCs w:val="24"/>
        </w:rPr>
        <w:t xml:space="preserve"> </w:t>
      </w:r>
    </w:p>
    <w:p w14:paraId="50C8A5D0" w14:textId="45B34B7C" w:rsidR="00026E14" w:rsidRDefault="00026E14" w:rsidP="00026E14">
      <w:pPr>
        <w:rPr>
          <w:szCs w:val="24"/>
        </w:rPr>
      </w:pPr>
      <w:r w:rsidRPr="00A511E0">
        <w:rPr>
          <w:szCs w:val="24"/>
        </w:rPr>
        <w:t xml:space="preserve">The issue of child sexual abuse raises important human rights issues and engages many rights under the </w:t>
      </w:r>
      <w:r w:rsidRPr="00A511E0">
        <w:rPr>
          <w:i/>
          <w:szCs w:val="24"/>
        </w:rPr>
        <w:t>Human Rights Act 2004</w:t>
      </w:r>
      <w:r w:rsidRPr="00A511E0">
        <w:rPr>
          <w:szCs w:val="24"/>
        </w:rPr>
        <w:t xml:space="preserve"> (HR Act). Child sexual abuse violates children’s most basic rights including the right to protection from torture and cruel, inhuman or degrading treatment (s 10 HR Act), the right to protection of family and children (s 11 HR Act), and the right to liberty and security of person (s 12 HR Act). </w:t>
      </w:r>
    </w:p>
    <w:p w14:paraId="19B3D3DE" w14:textId="6B907202" w:rsidR="00D65E31" w:rsidRPr="009D360B" w:rsidRDefault="00BD0650" w:rsidP="00D65E31">
      <w:pPr>
        <w:autoSpaceDE w:val="0"/>
        <w:autoSpaceDN w:val="0"/>
        <w:adjustRightInd w:val="0"/>
        <w:spacing w:before="240" w:after="120"/>
        <w:rPr>
          <w:bCs/>
          <w:szCs w:val="24"/>
        </w:rPr>
      </w:pPr>
      <w:r>
        <w:rPr>
          <w:bCs/>
          <w:szCs w:val="24"/>
        </w:rPr>
        <w:t xml:space="preserve">The ACT Government has obligations under </w:t>
      </w:r>
      <w:r w:rsidR="00565B40">
        <w:rPr>
          <w:bCs/>
          <w:szCs w:val="24"/>
        </w:rPr>
        <w:t xml:space="preserve">international human rights law to address these violations. </w:t>
      </w:r>
      <w:r w:rsidR="00D65E31" w:rsidRPr="00670567">
        <w:rPr>
          <w:bCs/>
          <w:szCs w:val="24"/>
        </w:rPr>
        <w:t xml:space="preserve">International human rights law places obligations on governments to “respect, protect and fulfil” rights. The obligation to respect means governments must </w:t>
      </w:r>
      <w:r w:rsidR="00D65E31">
        <w:rPr>
          <w:bCs/>
          <w:szCs w:val="24"/>
        </w:rPr>
        <w:t>ensure its organs and agents do not commit violations themselves</w:t>
      </w:r>
      <w:r w:rsidR="00D65E31" w:rsidRPr="00670567">
        <w:rPr>
          <w:bCs/>
          <w:szCs w:val="24"/>
        </w:rPr>
        <w:t>; the obligation to protect means governments must protect individuals and groups fro</w:t>
      </w:r>
      <w:r w:rsidR="00D65E31">
        <w:rPr>
          <w:bCs/>
          <w:szCs w:val="24"/>
        </w:rPr>
        <w:t>m having rights interfered with by third parties and punish perpetrators;</w:t>
      </w:r>
      <w:r w:rsidR="00D65E31" w:rsidRPr="00670567">
        <w:rPr>
          <w:bCs/>
          <w:szCs w:val="24"/>
        </w:rPr>
        <w:t xml:space="preserve"> and the obligation to fulfil means governm</w:t>
      </w:r>
      <w:r w:rsidR="00D65E31">
        <w:rPr>
          <w:bCs/>
          <w:szCs w:val="24"/>
        </w:rPr>
        <w:t xml:space="preserve">ents must take positive action </w:t>
      </w:r>
      <w:r w:rsidR="00D65E31" w:rsidRPr="00670567">
        <w:rPr>
          <w:bCs/>
          <w:szCs w:val="24"/>
        </w:rPr>
        <w:t xml:space="preserve">to </w:t>
      </w:r>
      <w:r w:rsidR="00D65E31" w:rsidRPr="009D360B">
        <w:rPr>
          <w:bCs/>
          <w:szCs w:val="24"/>
        </w:rPr>
        <w:t xml:space="preserve">facilitate the full enjoyment of rights. </w:t>
      </w:r>
    </w:p>
    <w:p w14:paraId="22D3ADAA" w14:textId="77777777" w:rsidR="00D65E31" w:rsidRPr="009D360B" w:rsidRDefault="00D65E31" w:rsidP="00D65E31">
      <w:pPr>
        <w:autoSpaceDE w:val="0"/>
        <w:autoSpaceDN w:val="0"/>
        <w:adjustRightInd w:val="0"/>
        <w:spacing w:before="240" w:after="120"/>
        <w:rPr>
          <w:bCs/>
          <w:szCs w:val="24"/>
        </w:rPr>
      </w:pPr>
      <w:r w:rsidRPr="009D360B">
        <w:rPr>
          <w:bCs/>
          <w:szCs w:val="24"/>
        </w:rPr>
        <w:t>The European Court of Human Rights has considered the positive obligation of governments to uphold rights in depth, noting government must put in place legislative and administrative frameworks to deter conduct that infringes rights, and to undertake operational measures to protect an individual who is at risk of rights infringement.</w:t>
      </w:r>
      <w:r w:rsidRPr="009D360B">
        <w:rPr>
          <w:rStyle w:val="FootnoteReference"/>
          <w:bCs/>
          <w:szCs w:val="24"/>
        </w:rPr>
        <w:footnoteReference w:id="7"/>
      </w:r>
    </w:p>
    <w:p w14:paraId="2DBA0736" w14:textId="3405E861" w:rsidR="00D65E31" w:rsidRPr="006D1244" w:rsidRDefault="00D65E31" w:rsidP="00D65E31">
      <w:pPr>
        <w:autoSpaceDE w:val="0"/>
        <w:autoSpaceDN w:val="0"/>
        <w:adjustRightInd w:val="0"/>
        <w:spacing w:before="240" w:after="120"/>
        <w:rPr>
          <w:szCs w:val="24"/>
        </w:rPr>
      </w:pPr>
      <w:r w:rsidRPr="006D1244">
        <w:rPr>
          <w:szCs w:val="24"/>
        </w:rPr>
        <w:t xml:space="preserve">The ECHR has held that the positive obligation on States extends to imposing a duty to protect children from sexual abuse under Article 3 of the European Convention on Human </w:t>
      </w:r>
      <w:r w:rsidRPr="006D1244">
        <w:rPr>
          <w:szCs w:val="24"/>
        </w:rPr>
        <w:lastRenderedPageBreak/>
        <w:t xml:space="preserve">Rights (the Convention) (the right to protection from torture and cruel, inhuman or degrading treatment). In particular, in the case of </w:t>
      </w:r>
      <w:r w:rsidRPr="006D1244">
        <w:rPr>
          <w:i/>
          <w:szCs w:val="24"/>
        </w:rPr>
        <w:t>E and Others v United Kingdom</w:t>
      </w:r>
      <w:r w:rsidRPr="006D1244">
        <w:rPr>
          <w:szCs w:val="24"/>
        </w:rPr>
        <w:t>,</w:t>
      </w:r>
      <w:r w:rsidR="004A26AC" w:rsidRPr="006D1244">
        <w:rPr>
          <w:rStyle w:val="FootnoteReference"/>
          <w:i/>
          <w:szCs w:val="24"/>
        </w:rPr>
        <w:footnoteReference w:id="8"/>
      </w:r>
      <w:r w:rsidRPr="006D1244">
        <w:rPr>
          <w:szCs w:val="24"/>
        </w:rPr>
        <w:t xml:space="preserve"> the ECHR found that prolonged sexual abuse meets the threshold of an Article 3 violation, and that “a failure to take reasonably available measures which could have had a real prospect of altering the outcome or mitigating the harm is sufficient to engage the responsibility of the State”.</w:t>
      </w:r>
    </w:p>
    <w:p w14:paraId="54B35BC9" w14:textId="77777777" w:rsidR="00D65E31" w:rsidRPr="006D1244" w:rsidRDefault="00D65E31" w:rsidP="00D65E31">
      <w:pPr>
        <w:autoSpaceDE w:val="0"/>
        <w:autoSpaceDN w:val="0"/>
        <w:adjustRightInd w:val="0"/>
        <w:spacing w:before="240" w:after="120"/>
        <w:rPr>
          <w:bCs/>
          <w:szCs w:val="24"/>
        </w:rPr>
      </w:pPr>
      <w:r w:rsidRPr="006D1244">
        <w:rPr>
          <w:bCs/>
          <w:szCs w:val="24"/>
        </w:rPr>
        <w:t>The Convention on the Rights of the Child (CRC), to which Australia is a signatory, further articulates States’ human rights obligations to protect children. Article 34 of the CRC states that:</w:t>
      </w:r>
    </w:p>
    <w:p w14:paraId="7FD51E8F" w14:textId="77777777" w:rsidR="00D65E31" w:rsidRPr="006D1244" w:rsidRDefault="00D65E31" w:rsidP="00D65E31">
      <w:pPr>
        <w:autoSpaceDE w:val="0"/>
        <w:autoSpaceDN w:val="0"/>
        <w:adjustRightInd w:val="0"/>
        <w:spacing w:before="240" w:after="120"/>
        <w:ind w:left="720"/>
        <w:rPr>
          <w:bCs/>
          <w:i/>
          <w:szCs w:val="24"/>
        </w:rPr>
      </w:pPr>
      <w:r w:rsidRPr="006D1244">
        <w:rPr>
          <w:bCs/>
          <w:i/>
          <w:szCs w:val="24"/>
        </w:rPr>
        <w:t>States parties undertake to protect the child from all forms of sexual exploitation and sexual abuse.</w:t>
      </w:r>
    </w:p>
    <w:p w14:paraId="2E024D69" w14:textId="77777777" w:rsidR="00D65E31" w:rsidRPr="006D1244" w:rsidRDefault="00D65E31" w:rsidP="00D65E31">
      <w:pPr>
        <w:keepNext/>
        <w:autoSpaceDE w:val="0"/>
        <w:autoSpaceDN w:val="0"/>
        <w:adjustRightInd w:val="0"/>
        <w:spacing w:before="240" w:after="120"/>
        <w:rPr>
          <w:bCs/>
          <w:szCs w:val="24"/>
        </w:rPr>
      </w:pPr>
      <w:r w:rsidRPr="006D1244">
        <w:rPr>
          <w:bCs/>
          <w:szCs w:val="24"/>
        </w:rPr>
        <w:t>Article 19 of the CRC further states that:</w:t>
      </w:r>
    </w:p>
    <w:p w14:paraId="2960798E" w14:textId="77777777" w:rsidR="00D65E31" w:rsidRPr="006D1244" w:rsidRDefault="00D65E31" w:rsidP="00D65E31">
      <w:pPr>
        <w:keepNext/>
        <w:autoSpaceDE w:val="0"/>
        <w:autoSpaceDN w:val="0"/>
        <w:adjustRightInd w:val="0"/>
        <w:spacing w:before="240" w:after="120"/>
        <w:ind w:left="720"/>
        <w:rPr>
          <w:i/>
        </w:rPr>
      </w:pPr>
      <w:r w:rsidRPr="006D1244">
        <w:rPr>
          <w:bCs/>
          <w:i/>
          <w:szCs w:val="24"/>
        </w:rPr>
        <w:t xml:space="preserve">(1) </w:t>
      </w:r>
      <w:r w:rsidRPr="006D1244">
        <w:rPr>
          <w:i/>
        </w:rPr>
        <w:t xml:space="preserve">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 </w:t>
      </w:r>
    </w:p>
    <w:p w14:paraId="75241034" w14:textId="77777777" w:rsidR="00D65E31" w:rsidRDefault="00D65E31" w:rsidP="00D65E31">
      <w:pPr>
        <w:autoSpaceDE w:val="0"/>
        <w:autoSpaceDN w:val="0"/>
        <w:adjustRightInd w:val="0"/>
        <w:spacing w:before="240" w:after="120"/>
        <w:ind w:left="720"/>
        <w:rPr>
          <w:i/>
        </w:rPr>
      </w:pPr>
      <w:r w:rsidRPr="006D1244">
        <w:rPr>
          <w:i/>
        </w:rPr>
        <w:t>(2) 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of instances of child maltreatment described heretofore, and, as appropriate, for judicial involvement.</w:t>
      </w:r>
    </w:p>
    <w:p w14:paraId="3C8E0A68" w14:textId="718D958E" w:rsidR="00026E14" w:rsidRPr="00A511E0" w:rsidRDefault="00026E14" w:rsidP="00026E14">
      <w:pPr>
        <w:autoSpaceDE w:val="0"/>
        <w:autoSpaceDN w:val="0"/>
        <w:adjustRightInd w:val="0"/>
        <w:spacing w:before="240" w:after="120"/>
        <w:rPr>
          <w:szCs w:val="24"/>
        </w:rPr>
      </w:pPr>
      <w:r w:rsidRPr="00A511E0">
        <w:rPr>
          <w:szCs w:val="24"/>
        </w:rPr>
        <w:t>It is incumbent on all parts of society to do what they can to protect children from abuse. The Royal Commission made recommendations for legislative change to impr</w:t>
      </w:r>
      <w:r>
        <w:rPr>
          <w:szCs w:val="24"/>
        </w:rPr>
        <w:t>ove the criminal justice system and society’</w:t>
      </w:r>
      <w:r w:rsidRPr="00A511E0">
        <w:rPr>
          <w:szCs w:val="24"/>
        </w:rPr>
        <w:t>s response to child sexual abuse. This Bill implements a number of those recommendations. In doing so, the Bill engages and places limitations on a number of human rights in the HR Act. These limitations are appropriate</w:t>
      </w:r>
      <w:r>
        <w:rPr>
          <w:szCs w:val="24"/>
        </w:rPr>
        <w:t xml:space="preserve"> having regard to</w:t>
      </w:r>
      <w:r w:rsidRPr="00A511E0">
        <w:rPr>
          <w:szCs w:val="24"/>
        </w:rPr>
        <w:t xml:space="preserve"> the human rights of children to safety, protection and justice. </w:t>
      </w:r>
    </w:p>
    <w:p w14:paraId="08293681" w14:textId="77777777" w:rsidR="00351F41" w:rsidRPr="00717656" w:rsidRDefault="00351F41" w:rsidP="00A363CB">
      <w:pPr>
        <w:autoSpaceDE w:val="0"/>
        <w:autoSpaceDN w:val="0"/>
        <w:adjustRightInd w:val="0"/>
        <w:spacing w:before="240" w:after="120"/>
        <w:rPr>
          <w:bCs/>
          <w:szCs w:val="24"/>
        </w:rPr>
      </w:pPr>
      <w:r>
        <w:rPr>
          <w:bCs/>
          <w:szCs w:val="24"/>
        </w:rPr>
        <w:t xml:space="preserve">Broadly, </w:t>
      </w:r>
      <w:r w:rsidR="00B0799C">
        <w:rPr>
          <w:bCs/>
          <w:szCs w:val="24"/>
        </w:rPr>
        <w:t>the Bill</w:t>
      </w:r>
      <w:r w:rsidRPr="00717656">
        <w:rPr>
          <w:bCs/>
          <w:szCs w:val="24"/>
        </w:rPr>
        <w:t xml:space="preserve"> engages, and places limitations on, the following HR Act rights: </w:t>
      </w:r>
    </w:p>
    <w:p w14:paraId="54D5D868" w14:textId="495982F8" w:rsidR="0088781C" w:rsidRDefault="0088781C" w:rsidP="00DF7319">
      <w:pPr>
        <w:numPr>
          <w:ilvl w:val="0"/>
          <w:numId w:val="2"/>
        </w:numPr>
        <w:autoSpaceDE w:val="0"/>
        <w:autoSpaceDN w:val="0"/>
        <w:adjustRightInd w:val="0"/>
        <w:spacing w:before="240" w:after="120"/>
        <w:rPr>
          <w:bCs/>
          <w:szCs w:val="24"/>
        </w:rPr>
      </w:pPr>
      <w:r>
        <w:rPr>
          <w:bCs/>
          <w:szCs w:val="24"/>
        </w:rPr>
        <w:t>Section 8 – Recognition and equality before the law</w:t>
      </w:r>
    </w:p>
    <w:p w14:paraId="32DC097E" w14:textId="45636CF8" w:rsidR="0088781C" w:rsidRDefault="0088781C" w:rsidP="00DF7319">
      <w:pPr>
        <w:numPr>
          <w:ilvl w:val="0"/>
          <w:numId w:val="2"/>
        </w:numPr>
        <w:autoSpaceDE w:val="0"/>
        <w:autoSpaceDN w:val="0"/>
        <w:adjustRightInd w:val="0"/>
        <w:spacing w:before="240" w:after="120"/>
        <w:rPr>
          <w:bCs/>
          <w:szCs w:val="24"/>
        </w:rPr>
      </w:pPr>
      <w:r>
        <w:rPr>
          <w:bCs/>
          <w:szCs w:val="24"/>
        </w:rPr>
        <w:t>Section 21 – Right to a fair trial</w:t>
      </w:r>
    </w:p>
    <w:p w14:paraId="5E320A26" w14:textId="77777777" w:rsidR="009015BE" w:rsidRPr="007E74CF" w:rsidRDefault="009015BE" w:rsidP="009015BE">
      <w:pPr>
        <w:numPr>
          <w:ilvl w:val="0"/>
          <w:numId w:val="2"/>
        </w:numPr>
        <w:autoSpaceDE w:val="0"/>
        <w:autoSpaceDN w:val="0"/>
        <w:adjustRightInd w:val="0"/>
        <w:spacing w:before="240" w:after="120"/>
        <w:rPr>
          <w:bCs/>
          <w:szCs w:val="24"/>
        </w:rPr>
      </w:pPr>
      <w:r>
        <w:rPr>
          <w:bCs/>
          <w:szCs w:val="24"/>
        </w:rPr>
        <w:t>Section 22 – Rights in criminal proceedings</w:t>
      </w:r>
    </w:p>
    <w:p w14:paraId="5E03D5E6" w14:textId="77777777" w:rsidR="00351F41" w:rsidRPr="00DF7319" w:rsidRDefault="00351F41" w:rsidP="00DF7319">
      <w:pPr>
        <w:autoSpaceDE w:val="0"/>
        <w:autoSpaceDN w:val="0"/>
        <w:adjustRightInd w:val="0"/>
        <w:spacing w:before="240" w:after="120"/>
        <w:rPr>
          <w:bCs/>
          <w:szCs w:val="24"/>
        </w:rPr>
      </w:pPr>
      <w:r w:rsidRPr="00DF7319">
        <w:rPr>
          <w:bCs/>
          <w:szCs w:val="24"/>
        </w:rPr>
        <w:t>The Bill also engages, and supports, the following HR Act rights:</w:t>
      </w:r>
    </w:p>
    <w:p w14:paraId="39D27975" w14:textId="77777777" w:rsidR="007E74CF" w:rsidRPr="00A511E0" w:rsidRDefault="007E74CF" w:rsidP="007E74CF">
      <w:pPr>
        <w:keepNext/>
        <w:numPr>
          <w:ilvl w:val="0"/>
          <w:numId w:val="3"/>
        </w:numPr>
        <w:autoSpaceDE w:val="0"/>
        <w:autoSpaceDN w:val="0"/>
        <w:adjustRightInd w:val="0"/>
        <w:spacing w:before="240" w:after="120"/>
        <w:jc w:val="both"/>
        <w:rPr>
          <w:bCs/>
          <w:szCs w:val="24"/>
        </w:rPr>
      </w:pPr>
      <w:r w:rsidRPr="00A511E0">
        <w:rPr>
          <w:bCs/>
          <w:szCs w:val="24"/>
        </w:rPr>
        <w:lastRenderedPageBreak/>
        <w:t>Section 10 – Protection from torture and cruel, inhuman or degrading treatment;</w:t>
      </w:r>
    </w:p>
    <w:p w14:paraId="5A8A6341" w14:textId="77777777" w:rsidR="007E74CF" w:rsidRPr="00A511E0" w:rsidRDefault="007E74CF" w:rsidP="007E74CF">
      <w:pPr>
        <w:numPr>
          <w:ilvl w:val="0"/>
          <w:numId w:val="3"/>
        </w:numPr>
        <w:autoSpaceDE w:val="0"/>
        <w:autoSpaceDN w:val="0"/>
        <w:adjustRightInd w:val="0"/>
        <w:spacing w:before="240" w:after="120"/>
        <w:jc w:val="both"/>
        <w:rPr>
          <w:bCs/>
          <w:szCs w:val="24"/>
        </w:rPr>
      </w:pPr>
      <w:r w:rsidRPr="00A511E0">
        <w:rPr>
          <w:bCs/>
          <w:szCs w:val="24"/>
        </w:rPr>
        <w:t>Section 11 – Protection of family and children;</w:t>
      </w:r>
    </w:p>
    <w:p w14:paraId="61B36264" w14:textId="0A0EA815" w:rsidR="007E74CF" w:rsidRDefault="007E74CF" w:rsidP="007E74CF">
      <w:pPr>
        <w:numPr>
          <w:ilvl w:val="0"/>
          <w:numId w:val="3"/>
        </w:numPr>
        <w:autoSpaceDE w:val="0"/>
        <w:autoSpaceDN w:val="0"/>
        <w:adjustRightInd w:val="0"/>
        <w:spacing w:before="240" w:after="120"/>
        <w:rPr>
          <w:bCs/>
          <w:szCs w:val="24"/>
        </w:rPr>
      </w:pPr>
      <w:r w:rsidRPr="00A511E0">
        <w:rPr>
          <w:bCs/>
          <w:szCs w:val="24"/>
        </w:rPr>
        <w:t>Section 18 – Right to liberty and security of person</w:t>
      </w:r>
    </w:p>
    <w:p w14:paraId="33136A0A" w14:textId="77777777" w:rsidR="00A403C7" w:rsidRDefault="00A403C7" w:rsidP="00A403C7">
      <w:pPr>
        <w:numPr>
          <w:ilvl w:val="0"/>
          <w:numId w:val="3"/>
        </w:numPr>
        <w:autoSpaceDE w:val="0"/>
        <w:autoSpaceDN w:val="0"/>
        <w:adjustRightInd w:val="0"/>
        <w:spacing w:before="240" w:after="120"/>
        <w:rPr>
          <w:bCs/>
          <w:szCs w:val="24"/>
        </w:rPr>
      </w:pPr>
      <w:r>
        <w:rPr>
          <w:bCs/>
          <w:szCs w:val="24"/>
        </w:rPr>
        <w:t>Section 21 – Right to a fair trial</w:t>
      </w:r>
    </w:p>
    <w:p w14:paraId="0613D6A4" w14:textId="77777777" w:rsidR="00351F41" w:rsidRPr="002F0FD2" w:rsidRDefault="00351F41" w:rsidP="002F0FD2">
      <w:pPr>
        <w:autoSpaceDE w:val="0"/>
        <w:autoSpaceDN w:val="0"/>
        <w:adjustRightInd w:val="0"/>
        <w:spacing w:before="240" w:after="120"/>
        <w:rPr>
          <w:bCs/>
          <w:szCs w:val="24"/>
        </w:rPr>
      </w:pPr>
      <w:r w:rsidRPr="002F0FD2">
        <w:rPr>
          <w:szCs w:val="24"/>
        </w:rPr>
        <w:t>The preamble to the HR Act notes that few rights are absolute and that they may be subject only to the reasonable limits in law that can be demonstrably justified in a free and democratic society. Section 28 (2) of the HR Act contains the framework that is used to determine the acceptable limitations that may be placed on human rights.</w:t>
      </w:r>
      <w:r w:rsidR="008147D7">
        <w:rPr>
          <w:szCs w:val="24"/>
        </w:rPr>
        <w:t xml:space="preserve"> </w:t>
      </w:r>
    </w:p>
    <w:p w14:paraId="2CC9B16A" w14:textId="4C9DA7C9" w:rsidR="004C3091" w:rsidRDefault="00351F41" w:rsidP="00A363CB">
      <w:pPr>
        <w:autoSpaceDE w:val="0"/>
        <w:autoSpaceDN w:val="0"/>
        <w:adjustRightInd w:val="0"/>
        <w:spacing w:before="240" w:after="120"/>
        <w:rPr>
          <w:szCs w:val="24"/>
        </w:rPr>
      </w:pPr>
      <w:r w:rsidRPr="004C3091">
        <w:rPr>
          <w:szCs w:val="24"/>
        </w:rPr>
        <w:t xml:space="preserve">Section 28 </w:t>
      </w:r>
      <w:r w:rsidR="00254797" w:rsidRPr="004C3091">
        <w:rPr>
          <w:szCs w:val="24"/>
        </w:rPr>
        <w:t xml:space="preserve">of the HR Act </w:t>
      </w:r>
      <w:r w:rsidRPr="004C3091">
        <w:rPr>
          <w:szCs w:val="24"/>
        </w:rPr>
        <w:t xml:space="preserve">requires that any limitation on a </w:t>
      </w:r>
      <w:r w:rsidR="00214A59" w:rsidRPr="004C3091">
        <w:rPr>
          <w:szCs w:val="24"/>
        </w:rPr>
        <w:t>human</w:t>
      </w:r>
      <w:r w:rsidRPr="004C3091">
        <w:rPr>
          <w:szCs w:val="24"/>
        </w:rPr>
        <w:t xml:space="preserve"> right must be authorised by a Territory law, be based on evidence, and be reasonable to achieve a legitimate aim. The </w:t>
      </w:r>
      <w:r w:rsidR="00A12828" w:rsidRPr="004C3091">
        <w:rPr>
          <w:szCs w:val="24"/>
        </w:rPr>
        <w:t xml:space="preserve">limitations on </w:t>
      </w:r>
      <w:r w:rsidRPr="004C3091">
        <w:rPr>
          <w:szCs w:val="24"/>
        </w:rPr>
        <w:t xml:space="preserve">human rights </w:t>
      </w:r>
      <w:r w:rsidR="00C87E6B" w:rsidRPr="004C3091">
        <w:rPr>
          <w:szCs w:val="24"/>
        </w:rPr>
        <w:t>in</w:t>
      </w:r>
      <w:r w:rsidRPr="004C3091">
        <w:rPr>
          <w:szCs w:val="24"/>
        </w:rPr>
        <w:t xml:space="preserve"> </w:t>
      </w:r>
      <w:r w:rsidR="00B0799C" w:rsidRPr="004C3091">
        <w:rPr>
          <w:szCs w:val="24"/>
        </w:rPr>
        <w:t>the Bill</w:t>
      </w:r>
      <w:r w:rsidR="004C3091">
        <w:rPr>
          <w:szCs w:val="24"/>
        </w:rPr>
        <w:t xml:space="preserve"> meet each of these requirements</w:t>
      </w:r>
      <w:r w:rsidR="008D2D26">
        <w:rPr>
          <w:szCs w:val="24"/>
        </w:rPr>
        <w:t>, as is discussed in detail below</w:t>
      </w:r>
      <w:r w:rsidR="004C3091">
        <w:rPr>
          <w:szCs w:val="24"/>
        </w:rPr>
        <w:t>.</w:t>
      </w:r>
      <w:r w:rsidR="008D2D26">
        <w:rPr>
          <w:szCs w:val="24"/>
        </w:rPr>
        <w:t xml:space="preserve"> The limitations are reasonable and justified for the purpose of improving access to justice for vulnerable witnesses and deterring child sexual abuse.</w:t>
      </w:r>
    </w:p>
    <w:p w14:paraId="4C110EF3" w14:textId="77777777" w:rsidR="00D65E31" w:rsidRDefault="00D65E31" w:rsidP="00A363CB">
      <w:pPr>
        <w:autoSpaceDE w:val="0"/>
        <w:autoSpaceDN w:val="0"/>
        <w:adjustRightInd w:val="0"/>
        <w:spacing w:before="240" w:after="120"/>
        <w:rPr>
          <w:b/>
          <w:szCs w:val="24"/>
          <w:u w:val="single"/>
        </w:rPr>
      </w:pPr>
    </w:p>
    <w:p w14:paraId="706DC5A8" w14:textId="5782B2C5" w:rsidR="00351F41" w:rsidRPr="003E08A7" w:rsidRDefault="00351F41" w:rsidP="00A363CB">
      <w:pPr>
        <w:autoSpaceDE w:val="0"/>
        <w:autoSpaceDN w:val="0"/>
        <w:adjustRightInd w:val="0"/>
        <w:spacing w:before="240" w:after="120"/>
        <w:rPr>
          <w:b/>
          <w:szCs w:val="24"/>
          <w:u w:val="single"/>
        </w:rPr>
      </w:pPr>
      <w:r w:rsidRPr="003E08A7">
        <w:rPr>
          <w:b/>
          <w:szCs w:val="24"/>
          <w:u w:val="single"/>
        </w:rPr>
        <w:t>Detailed human rights discussion</w:t>
      </w:r>
    </w:p>
    <w:p w14:paraId="3E44AF40" w14:textId="77777777" w:rsidR="006E5770" w:rsidRPr="00FB6246" w:rsidRDefault="006E5770" w:rsidP="00A363CB">
      <w:pPr>
        <w:autoSpaceDE w:val="0"/>
        <w:autoSpaceDN w:val="0"/>
        <w:adjustRightInd w:val="0"/>
        <w:spacing w:before="240" w:after="120"/>
        <w:rPr>
          <w:b/>
          <w:bCs/>
          <w:i/>
          <w:szCs w:val="24"/>
          <w:u w:val="single"/>
        </w:rPr>
      </w:pPr>
      <w:r w:rsidRPr="00FB6246">
        <w:rPr>
          <w:b/>
          <w:bCs/>
          <w:i/>
          <w:szCs w:val="24"/>
          <w:u w:val="single"/>
        </w:rPr>
        <w:t>Rights engaged and supported</w:t>
      </w:r>
    </w:p>
    <w:p w14:paraId="1D4B18E6" w14:textId="07CB8487" w:rsidR="009D360B" w:rsidRPr="00A511E0" w:rsidRDefault="009D360B" w:rsidP="009D360B">
      <w:pPr>
        <w:autoSpaceDE w:val="0"/>
        <w:autoSpaceDN w:val="0"/>
        <w:adjustRightInd w:val="0"/>
        <w:spacing w:before="240" w:after="120"/>
        <w:rPr>
          <w:szCs w:val="24"/>
        </w:rPr>
      </w:pPr>
      <w:r w:rsidRPr="007753CC">
        <w:rPr>
          <w:szCs w:val="24"/>
          <w:lang w:eastAsia="en-AU"/>
        </w:rPr>
        <w:t xml:space="preserve">The primary purpose of the Bill is to ensure </w:t>
      </w:r>
      <w:r w:rsidR="007753CC" w:rsidRPr="007753CC">
        <w:rPr>
          <w:szCs w:val="24"/>
          <w:lang w:eastAsia="en-AU"/>
        </w:rPr>
        <w:t xml:space="preserve">access to justice for vulnerable witnesses (particularly child </w:t>
      </w:r>
      <w:r w:rsidR="007753CC">
        <w:rPr>
          <w:szCs w:val="24"/>
          <w:lang w:eastAsia="en-AU"/>
        </w:rPr>
        <w:t>complainants</w:t>
      </w:r>
      <w:r w:rsidR="007753CC" w:rsidRPr="007753CC">
        <w:rPr>
          <w:szCs w:val="24"/>
          <w:lang w:eastAsia="en-AU"/>
        </w:rPr>
        <w:t xml:space="preserve"> in sexual offence proceedings)</w:t>
      </w:r>
      <w:r w:rsidRPr="007753CC">
        <w:rPr>
          <w:szCs w:val="24"/>
          <w:lang w:eastAsia="en-AU"/>
        </w:rPr>
        <w:t xml:space="preserve"> and to deter child sexual abuse. This purpose supports the </w:t>
      </w:r>
      <w:r w:rsidRPr="007753CC">
        <w:rPr>
          <w:szCs w:val="24"/>
        </w:rPr>
        <w:t xml:space="preserve">right to protection from torture and cruel, inhuman or degrading treatment (s 10 HR Act), the right to protection of family and children (s 11 HR Act), and the right to liberty and security of person (s 18 HR Act). The Bill gives effect to these rights by </w:t>
      </w:r>
      <w:r w:rsidR="007753CC" w:rsidRPr="007753CC">
        <w:rPr>
          <w:szCs w:val="24"/>
        </w:rPr>
        <w:t>making</w:t>
      </w:r>
      <w:r w:rsidRPr="007753CC">
        <w:rPr>
          <w:szCs w:val="24"/>
        </w:rPr>
        <w:t xml:space="preserve"> amendments that assist </w:t>
      </w:r>
      <w:r w:rsidR="007753CC">
        <w:rPr>
          <w:szCs w:val="24"/>
        </w:rPr>
        <w:t xml:space="preserve">child complainants in sexual offence proceedings </w:t>
      </w:r>
      <w:r w:rsidRPr="007753CC">
        <w:rPr>
          <w:szCs w:val="24"/>
        </w:rPr>
        <w:t>to seek justice.</w:t>
      </w:r>
    </w:p>
    <w:p w14:paraId="0D31063F" w14:textId="77777777" w:rsidR="00565B40" w:rsidRDefault="009D360B" w:rsidP="009D360B">
      <w:pPr>
        <w:autoSpaceDE w:val="0"/>
        <w:autoSpaceDN w:val="0"/>
        <w:adjustRightInd w:val="0"/>
        <w:spacing w:before="240" w:after="120"/>
        <w:rPr>
          <w:szCs w:val="24"/>
        </w:rPr>
      </w:pPr>
      <w:r w:rsidRPr="007753CC">
        <w:rPr>
          <w:szCs w:val="24"/>
        </w:rPr>
        <w:t>In addition, the Bill makes a number of amendments that engage and support the right to a fair trial (s 21 HR Act). The right to a fair trial has been found to include a ‘triangulation of interests’ which include those of the accused, the victim and his or her family, and the public.</w:t>
      </w:r>
      <w:r w:rsidRPr="007753CC">
        <w:rPr>
          <w:rStyle w:val="FootnoteReference"/>
          <w:szCs w:val="24"/>
        </w:rPr>
        <w:footnoteReference w:id="9"/>
      </w:r>
      <w:r w:rsidRPr="007753CC">
        <w:rPr>
          <w:szCs w:val="24"/>
        </w:rPr>
        <w:t xml:space="preserve"> The Bill gives effect to this right by </w:t>
      </w:r>
      <w:r w:rsidR="007753CC" w:rsidRPr="007753CC">
        <w:rPr>
          <w:szCs w:val="24"/>
        </w:rPr>
        <w:t>enhancing the ability of child complainants and other vulnerable witnesses to provide evidence</w:t>
      </w:r>
      <w:r w:rsidRPr="007753CC">
        <w:rPr>
          <w:szCs w:val="24"/>
        </w:rPr>
        <w:t>.</w:t>
      </w:r>
      <w:r w:rsidR="009B75C7">
        <w:rPr>
          <w:szCs w:val="24"/>
        </w:rPr>
        <w:t xml:space="preserve"> </w:t>
      </w:r>
    </w:p>
    <w:p w14:paraId="65070100" w14:textId="2A638794" w:rsidR="009D360B" w:rsidRPr="00A511E0" w:rsidRDefault="00565B40" w:rsidP="009D360B">
      <w:pPr>
        <w:autoSpaceDE w:val="0"/>
        <w:autoSpaceDN w:val="0"/>
        <w:adjustRightInd w:val="0"/>
        <w:spacing w:before="240" w:after="120"/>
        <w:rPr>
          <w:szCs w:val="24"/>
        </w:rPr>
      </w:pPr>
      <w:r>
        <w:rPr>
          <w:szCs w:val="24"/>
        </w:rPr>
        <w:t>For an accused, high quality communication with witnesses and obtaining accurate and complete testimony ensures that they too experience a fair trial. In addition, t</w:t>
      </w:r>
      <w:r w:rsidR="009B75C7">
        <w:rPr>
          <w:szCs w:val="24"/>
        </w:rPr>
        <w:t xml:space="preserve">he Bill </w:t>
      </w:r>
      <w:r>
        <w:rPr>
          <w:szCs w:val="24"/>
        </w:rPr>
        <w:t xml:space="preserve">provides </w:t>
      </w:r>
      <w:r w:rsidR="009B75C7">
        <w:rPr>
          <w:szCs w:val="24"/>
        </w:rPr>
        <w:t xml:space="preserve">the Court </w:t>
      </w:r>
      <w:r>
        <w:rPr>
          <w:szCs w:val="24"/>
        </w:rPr>
        <w:t xml:space="preserve">with a </w:t>
      </w:r>
      <w:r w:rsidR="009B75C7">
        <w:rPr>
          <w:szCs w:val="24"/>
        </w:rPr>
        <w:t xml:space="preserve">discretion to order a ground rules hearings or appoint an intermediary for </w:t>
      </w:r>
      <w:r w:rsidR="00744661">
        <w:rPr>
          <w:szCs w:val="24"/>
        </w:rPr>
        <w:t>a</w:t>
      </w:r>
      <w:r w:rsidR="009B75C7">
        <w:rPr>
          <w:szCs w:val="24"/>
        </w:rPr>
        <w:t xml:space="preserve"> defendant </w:t>
      </w:r>
      <w:r w:rsidR="00744661">
        <w:rPr>
          <w:szCs w:val="24"/>
        </w:rPr>
        <w:t>with a communication difficulty</w:t>
      </w:r>
      <w:r>
        <w:rPr>
          <w:szCs w:val="24"/>
        </w:rPr>
        <w:t>, allowing them to also benefit from the provisions in the Bill</w:t>
      </w:r>
      <w:r w:rsidR="009B75C7">
        <w:rPr>
          <w:szCs w:val="24"/>
        </w:rPr>
        <w:t>.</w:t>
      </w:r>
      <w:r>
        <w:rPr>
          <w:szCs w:val="24"/>
        </w:rPr>
        <w:t xml:space="preserve"> </w:t>
      </w:r>
    </w:p>
    <w:p w14:paraId="383F9443" w14:textId="77777777" w:rsidR="006E5770" w:rsidRPr="00FB6246" w:rsidRDefault="006E5770" w:rsidP="005D0412">
      <w:pPr>
        <w:keepNext/>
        <w:autoSpaceDE w:val="0"/>
        <w:autoSpaceDN w:val="0"/>
        <w:adjustRightInd w:val="0"/>
        <w:spacing w:before="240" w:after="120"/>
        <w:rPr>
          <w:b/>
          <w:bCs/>
          <w:i/>
          <w:szCs w:val="24"/>
          <w:u w:val="single"/>
        </w:rPr>
      </w:pPr>
      <w:r w:rsidRPr="00FB6246">
        <w:rPr>
          <w:b/>
          <w:bCs/>
          <w:i/>
          <w:szCs w:val="24"/>
          <w:u w:val="single"/>
        </w:rPr>
        <w:lastRenderedPageBreak/>
        <w:t>Rights engaged and limited</w:t>
      </w:r>
    </w:p>
    <w:p w14:paraId="493C6FCA" w14:textId="77777777" w:rsidR="00DE7BA8" w:rsidRPr="00093829" w:rsidRDefault="00DE7BA8" w:rsidP="00093829">
      <w:pPr>
        <w:pStyle w:val="Heading4"/>
        <w:rPr>
          <w:i/>
        </w:rPr>
      </w:pPr>
      <w:r w:rsidRPr="00093829">
        <w:rPr>
          <w:i/>
        </w:rPr>
        <w:t xml:space="preserve">Section 8 </w:t>
      </w:r>
      <w:r w:rsidR="002A69FB" w:rsidRPr="00093829">
        <w:rPr>
          <w:i/>
        </w:rPr>
        <w:t xml:space="preserve">– </w:t>
      </w:r>
      <w:r w:rsidRPr="00093829">
        <w:rPr>
          <w:i/>
        </w:rPr>
        <w:t xml:space="preserve"> Recognition and equality before the law</w:t>
      </w:r>
    </w:p>
    <w:p w14:paraId="7AD62CD9" w14:textId="4F013AE9" w:rsidR="007A63B3" w:rsidRDefault="00DE7BA8" w:rsidP="00DE7BA8">
      <w:pPr>
        <w:autoSpaceDE w:val="0"/>
        <w:autoSpaceDN w:val="0"/>
        <w:adjustRightInd w:val="0"/>
        <w:spacing w:before="240" w:after="120"/>
        <w:rPr>
          <w:bCs/>
          <w:szCs w:val="24"/>
        </w:rPr>
      </w:pPr>
      <w:r>
        <w:rPr>
          <w:bCs/>
          <w:szCs w:val="24"/>
        </w:rPr>
        <w:t xml:space="preserve">This right requires that </w:t>
      </w:r>
      <w:r w:rsidR="007753CC">
        <w:rPr>
          <w:bCs/>
          <w:szCs w:val="24"/>
        </w:rPr>
        <w:t xml:space="preserve">everyone is equal before the law and is entitled to the equal protection of the law without discrimination. This right is engaged because intermediaries (and by extension, ground rules hearings) are made available to certain categories of witness as a matter of course and others only at the discretion of the Court. The provisions operate such that child complainants in sexual offence proceedings and chid witnesses in homicide proceedings will have an intermediary appointed </w:t>
      </w:r>
      <w:r w:rsidR="007A63B3">
        <w:rPr>
          <w:bCs/>
          <w:szCs w:val="24"/>
        </w:rPr>
        <w:t>subject to exceptions</w:t>
      </w:r>
      <w:r w:rsidR="004A26AC">
        <w:rPr>
          <w:bCs/>
          <w:szCs w:val="24"/>
        </w:rPr>
        <w:t>;</w:t>
      </w:r>
      <w:r w:rsidR="007A63B3">
        <w:rPr>
          <w:bCs/>
          <w:szCs w:val="24"/>
        </w:rPr>
        <w:t xml:space="preserve"> however</w:t>
      </w:r>
      <w:r w:rsidR="004A26AC">
        <w:rPr>
          <w:bCs/>
          <w:szCs w:val="24"/>
        </w:rPr>
        <w:t>,</w:t>
      </w:r>
      <w:r w:rsidR="007A63B3">
        <w:rPr>
          <w:bCs/>
          <w:szCs w:val="24"/>
        </w:rPr>
        <w:t xml:space="preserve"> </w:t>
      </w:r>
      <w:r w:rsidR="00382F43">
        <w:rPr>
          <w:bCs/>
          <w:szCs w:val="24"/>
        </w:rPr>
        <w:t xml:space="preserve">other </w:t>
      </w:r>
      <w:r w:rsidR="007A63B3">
        <w:rPr>
          <w:bCs/>
          <w:szCs w:val="24"/>
        </w:rPr>
        <w:t xml:space="preserve">types of witnesses (including defendants) can only have an intermediary appointed at the discretion of the Court. </w:t>
      </w:r>
    </w:p>
    <w:p w14:paraId="0C2DEE84" w14:textId="5E5A0BB9" w:rsidR="007753CC" w:rsidRPr="00117275" w:rsidRDefault="007A63B3" w:rsidP="00DE7BA8">
      <w:pPr>
        <w:autoSpaceDE w:val="0"/>
        <w:autoSpaceDN w:val="0"/>
        <w:adjustRightInd w:val="0"/>
        <w:spacing w:before="240" w:after="120"/>
        <w:rPr>
          <w:bCs/>
          <w:szCs w:val="24"/>
        </w:rPr>
      </w:pPr>
      <w:r>
        <w:rPr>
          <w:bCs/>
          <w:szCs w:val="24"/>
        </w:rPr>
        <w:t xml:space="preserve">The purpose of prescribing certain witnesses as having a default ‘entitlement’ to </w:t>
      </w:r>
      <w:r w:rsidR="0010054B">
        <w:rPr>
          <w:bCs/>
          <w:szCs w:val="24"/>
        </w:rPr>
        <w:t xml:space="preserve">an intermediary </w:t>
      </w:r>
      <w:r>
        <w:rPr>
          <w:bCs/>
          <w:szCs w:val="24"/>
        </w:rPr>
        <w:t>is to ensure that those who are most vulnerable do not miss out on the assistance they need. The Royal Commission provided ample evidence as to why child complainants in sexual offence proceedings should have access to an intermediary as a matter of course.</w:t>
      </w:r>
      <w:r w:rsidR="0010054B">
        <w:rPr>
          <w:bCs/>
          <w:szCs w:val="24"/>
        </w:rPr>
        <w:t xml:space="preserve"> That evidence has been discussed in detail above.</w:t>
      </w:r>
      <w:r>
        <w:rPr>
          <w:bCs/>
          <w:szCs w:val="24"/>
        </w:rPr>
        <w:t xml:space="preserve"> This default entitlement has been extended to child witnesses in homicide proceedings in recognition of the severe trauma </w:t>
      </w:r>
      <w:r w:rsidR="0010054B">
        <w:rPr>
          <w:bCs/>
          <w:szCs w:val="24"/>
        </w:rPr>
        <w:t>children can experience when witnessing homicides.</w:t>
      </w:r>
      <w:r w:rsidR="00117275">
        <w:rPr>
          <w:bCs/>
          <w:szCs w:val="24"/>
        </w:rPr>
        <w:t xml:space="preserve"> It is difficult to conceptualise a situation in which a child complainant in a sexual offence proceeding or a child witness in a homicide proceeding would </w:t>
      </w:r>
      <w:r w:rsidR="00117275">
        <w:rPr>
          <w:bCs/>
          <w:i/>
          <w:szCs w:val="24"/>
        </w:rPr>
        <w:t>not</w:t>
      </w:r>
      <w:r w:rsidR="00117275" w:rsidRPr="00117275">
        <w:rPr>
          <w:bCs/>
          <w:szCs w:val="24"/>
        </w:rPr>
        <w:t xml:space="preserve"> </w:t>
      </w:r>
      <w:r w:rsidR="00117275">
        <w:rPr>
          <w:bCs/>
          <w:szCs w:val="24"/>
        </w:rPr>
        <w:t>benefit from an intermediary.</w:t>
      </w:r>
    </w:p>
    <w:p w14:paraId="6D598FCB" w14:textId="24FCBE63" w:rsidR="007753CC" w:rsidRDefault="0010054B" w:rsidP="00DE7BA8">
      <w:pPr>
        <w:autoSpaceDE w:val="0"/>
        <w:autoSpaceDN w:val="0"/>
        <w:adjustRightInd w:val="0"/>
        <w:spacing w:before="240" w:after="120"/>
        <w:rPr>
          <w:bCs/>
          <w:szCs w:val="24"/>
        </w:rPr>
      </w:pPr>
      <w:r>
        <w:rPr>
          <w:bCs/>
          <w:szCs w:val="24"/>
        </w:rPr>
        <w:t>The nature and extent of the limitation is minimised by allowing an application to be made to the Court for a ground rules hearing or intermediary for any witness</w:t>
      </w:r>
      <w:r w:rsidR="00117275">
        <w:rPr>
          <w:bCs/>
          <w:szCs w:val="24"/>
        </w:rPr>
        <w:t xml:space="preserve"> (including defendants)</w:t>
      </w:r>
      <w:r w:rsidR="00744661">
        <w:rPr>
          <w:bCs/>
          <w:szCs w:val="24"/>
        </w:rPr>
        <w:t xml:space="preserve"> with a communication difficulty</w:t>
      </w:r>
      <w:r>
        <w:rPr>
          <w:bCs/>
          <w:szCs w:val="24"/>
        </w:rPr>
        <w:t xml:space="preserve">. In doing so, the amendments expand the current rights of </w:t>
      </w:r>
      <w:r w:rsidR="00744661">
        <w:rPr>
          <w:bCs/>
          <w:szCs w:val="24"/>
        </w:rPr>
        <w:t>accused, complainants, and other witnesses</w:t>
      </w:r>
      <w:r>
        <w:rPr>
          <w:bCs/>
          <w:szCs w:val="24"/>
        </w:rPr>
        <w:t xml:space="preserve">. Under this scheme, any witness </w:t>
      </w:r>
      <w:r w:rsidR="00744661">
        <w:rPr>
          <w:bCs/>
          <w:szCs w:val="24"/>
        </w:rPr>
        <w:t xml:space="preserve">with a communication difficulty </w:t>
      </w:r>
      <w:r>
        <w:rPr>
          <w:bCs/>
          <w:szCs w:val="24"/>
        </w:rPr>
        <w:t>could potentially benefit from greater access to justice.</w:t>
      </w:r>
    </w:p>
    <w:p w14:paraId="5A84A9F0" w14:textId="7D1FC7C5" w:rsidR="0010054B" w:rsidRPr="00117275" w:rsidRDefault="0010054B" w:rsidP="00DE7BA8">
      <w:pPr>
        <w:autoSpaceDE w:val="0"/>
        <w:autoSpaceDN w:val="0"/>
        <w:adjustRightInd w:val="0"/>
        <w:spacing w:before="240" w:after="120"/>
        <w:rPr>
          <w:bCs/>
          <w:szCs w:val="24"/>
        </w:rPr>
      </w:pPr>
      <w:r>
        <w:rPr>
          <w:bCs/>
          <w:szCs w:val="24"/>
        </w:rPr>
        <w:t xml:space="preserve">The limitation is the least restrictive possible. </w:t>
      </w:r>
      <w:r w:rsidR="00117275">
        <w:rPr>
          <w:bCs/>
          <w:szCs w:val="24"/>
        </w:rPr>
        <w:t xml:space="preserve">Broadly speaking, there are three alternative options for achieving the purpose of making intermediaries available for child complainants in sexual offence proceedings and child witnesses in homicide proceedings. The first, is to simply prescribe those witness categories and not provide a discretion to appoint intermediaries for other witnesses. This is a more restrictive approach as it reduces even further the likelihood that other witnesses will access the same rights as prescribed witnesses. The second option is to allow all witnesses access to an intermediary. This is impractical and not in keeping with the policy rationale of the intermediary scheme which is to assist </w:t>
      </w:r>
      <w:r w:rsidR="00117275">
        <w:rPr>
          <w:bCs/>
          <w:i/>
          <w:szCs w:val="24"/>
        </w:rPr>
        <w:t xml:space="preserve">vulnerable </w:t>
      </w:r>
      <w:r w:rsidR="00117275">
        <w:rPr>
          <w:bCs/>
          <w:szCs w:val="24"/>
        </w:rPr>
        <w:t xml:space="preserve">witnesses. The third alternative option is to develop legislative guidelines for the </w:t>
      </w:r>
      <w:r w:rsidR="0080087F">
        <w:rPr>
          <w:bCs/>
          <w:szCs w:val="24"/>
        </w:rPr>
        <w:t>C</w:t>
      </w:r>
      <w:r w:rsidR="00117275">
        <w:rPr>
          <w:bCs/>
          <w:szCs w:val="24"/>
        </w:rPr>
        <w:t xml:space="preserve">ourt to consider in </w:t>
      </w:r>
      <w:r w:rsidR="008D2D26">
        <w:rPr>
          <w:bCs/>
          <w:szCs w:val="24"/>
        </w:rPr>
        <w:t xml:space="preserve">determining a witness is vulnerable and </w:t>
      </w:r>
      <w:r w:rsidR="00117275">
        <w:rPr>
          <w:bCs/>
          <w:szCs w:val="24"/>
        </w:rPr>
        <w:t xml:space="preserve">appointing an intermediary </w:t>
      </w:r>
      <w:r w:rsidR="008D2D26">
        <w:rPr>
          <w:bCs/>
          <w:szCs w:val="24"/>
        </w:rPr>
        <w:t>accordingly</w:t>
      </w:r>
      <w:r w:rsidR="00117275">
        <w:rPr>
          <w:bCs/>
          <w:szCs w:val="24"/>
        </w:rPr>
        <w:t>. However, this option may inadvertently constrain the scope of witnesses that may access an intermediary. It also takes discretion away from the Court, whereas the Court may be better placed to make assessments of whether it is appropriate to appoint an intermediary on a case by case basis.</w:t>
      </w:r>
      <w:r w:rsidR="008D2D26">
        <w:rPr>
          <w:bCs/>
          <w:szCs w:val="24"/>
        </w:rPr>
        <w:t xml:space="preserve"> Accordingly, the legislative framework in the Bill is the least restrictive way possible to ensure intermediaries and ground rules hearings are used for </w:t>
      </w:r>
      <w:r w:rsidR="008D2D26">
        <w:rPr>
          <w:bCs/>
          <w:szCs w:val="24"/>
        </w:rPr>
        <w:lastRenderedPageBreak/>
        <w:t>child complainants in sexual offence proceedings and child witnesses in homicide proceedings.</w:t>
      </w:r>
    </w:p>
    <w:p w14:paraId="1E654A77" w14:textId="2A0EAC78" w:rsidR="00DE7BA8" w:rsidRPr="00093829" w:rsidRDefault="00DE7BA8" w:rsidP="00093829">
      <w:pPr>
        <w:pStyle w:val="Heading4"/>
        <w:rPr>
          <w:i/>
        </w:rPr>
      </w:pPr>
      <w:r w:rsidRPr="00093829">
        <w:rPr>
          <w:i/>
        </w:rPr>
        <w:t xml:space="preserve">Section 21 </w:t>
      </w:r>
      <w:r w:rsidR="009644FC">
        <w:rPr>
          <w:i/>
        </w:rPr>
        <w:t>and Section 22 – Fair Trial and Rights in Criminal Proceedings</w:t>
      </w:r>
    </w:p>
    <w:p w14:paraId="5E31E35E" w14:textId="473FD6D6" w:rsidR="009644FC" w:rsidRDefault="009644FC" w:rsidP="00DE7BA8">
      <w:pPr>
        <w:rPr>
          <w:bCs/>
          <w:szCs w:val="24"/>
        </w:rPr>
      </w:pPr>
      <w:r>
        <w:rPr>
          <w:bCs/>
          <w:szCs w:val="24"/>
        </w:rPr>
        <w:t xml:space="preserve">Sections 21 and 22 are closely connected. Section 21 provides a right to a fair trial broadly, in which criminal charges are decided by a competent, independent and impartial </w:t>
      </w:r>
      <w:r w:rsidR="0080087F">
        <w:rPr>
          <w:bCs/>
          <w:szCs w:val="24"/>
        </w:rPr>
        <w:t>C</w:t>
      </w:r>
      <w:r>
        <w:rPr>
          <w:bCs/>
          <w:szCs w:val="24"/>
        </w:rPr>
        <w:t>ourt or tribunal after a fair and public hearing. Section 22 provides that anyone charged with a criminal offence is entitled to a number of minimum guarantees. Of particular relevance to this Bill are the following</w:t>
      </w:r>
      <w:r w:rsidR="00856AED">
        <w:rPr>
          <w:bCs/>
          <w:szCs w:val="24"/>
        </w:rPr>
        <w:t xml:space="preserve"> minimum guarantees</w:t>
      </w:r>
      <w:r>
        <w:rPr>
          <w:bCs/>
          <w:szCs w:val="24"/>
        </w:rPr>
        <w:t>:</w:t>
      </w:r>
    </w:p>
    <w:p w14:paraId="777F3302" w14:textId="72193EAA" w:rsidR="009644FC" w:rsidRPr="009644FC" w:rsidRDefault="00856AED" w:rsidP="009644FC">
      <w:pPr>
        <w:pStyle w:val="ListParagraph"/>
        <w:numPr>
          <w:ilvl w:val="0"/>
          <w:numId w:val="27"/>
        </w:numPr>
        <w:rPr>
          <w:bCs/>
          <w:sz w:val="24"/>
          <w:szCs w:val="24"/>
        </w:rPr>
      </w:pPr>
      <w:r>
        <w:rPr>
          <w:bCs/>
          <w:sz w:val="24"/>
          <w:szCs w:val="24"/>
        </w:rPr>
        <w:t xml:space="preserve">the right </w:t>
      </w:r>
      <w:r w:rsidR="009644FC" w:rsidRPr="009644FC">
        <w:rPr>
          <w:bCs/>
          <w:sz w:val="24"/>
          <w:szCs w:val="24"/>
        </w:rPr>
        <w:t>to be tried without unreasonable delay</w:t>
      </w:r>
      <w:r w:rsidR="009644FC">
        <w:rPr>
          <w:bCs/>
          <w:sz w:val="24"/>
          <w:szCs w:val="24"/>
        </w:rPr>
        <w:t xml:space="preserve"> (section 22(2)(c)); and</w:t>
      </w:r>
    </w:p>
    <w:p w14:paraId="457B5F50" w14:textId="553EB754" w:rsidR="009644FC" w:rsidRDefault="009644FC" w:rsidP="009644FC">
      <w:pPr>
        <w:pStyle w:val="ListParagraph"/>
        <w:numPr>
          <w:ilvl w:val="0"/>
          <w:numId w:val="27"/>
        </w:numPr>
        <w:rPr>
          <w:bCs/>
          <w:sz w:val="24"/>
          <w:szCs w:val="24"/>
        </w:rPr>
      </w:pPr>
      <w:r w:rsidRPr="009644FC">
        <w:rPr>
          <w:bCs/>
          <w:sz w:val="24"/>
          <w:szCs w:val="24"/>
        </w:rPr>
        <w:t>the right to examine prosecution witnesses</w:t>
      </w:r>
      <w:r>
        <w:rPr>
          <w:bCs/>
          <w:sz w:val="24"/>
          <w:szCs w:val="24"/>
        </w:rPr>
        <w:t>, or have them examined, and to obtain the attendance and examination of witnesses on his or her behalf under the same conditions as prosecution witnesses (section 22(2)(f)).</w:t>
      </w:r>
    </w:p>
    <w:p w14:paraId="78947614" w14:textId="519A2429" w:rsidR="00D77E70" w:rsidRDefault="009644FC" w:rsidP="00DE7BA8">
      <w:pPr>
        <w:rPr>
          <w:bCs/>
          <w:szCs w:val="24"/>
        </w:rPr>
      </w:pPr>
      <w:r>
        <w:rPr>
          <w:bCs/>
          <w:szCs w:val="24"/>
        </w:rPr>
        <w:t xml:space="preserve">The concept of providing intermediaries and having ground rules hearings may, on its face, appear to limit the </w:t>
      </w:r>
      <w:r w:rsidR="00856AED">
        <w:rPr>
          <w:bCs/>
          <w:szCs w:val="24"/>
        </w:rPr>
        <w:t>right to be tried without unreasonable delay</w:t>
      </w:r>
      <w:r>
        <w:rPr>
          <w:bCs/>
          <w:szCs w:val="24"/>
        </w:rPr>
        <w:t xml:space="preserve">. Arguments may be made that holding ground rules hearings may delay proceedings, </w:t>
      </w:r>
      <w:r w:rsidR="00856AED">
        <w:rPr>
          <w:bCs/>
          <w:szCs w:val="24"/>
        </w:rPr>
        <w:t xml:space="preserve">and </w:t>
      </w:r>
      <w:r>
        <w:rPr>
          <w:bCs/>
          <w:szCs w:val="24"/>
        </w:rPr>
        <w:t xml:space="preserve">the directions made during ground rules hearings may serve to delay proceedings even further. Similarly, </w:t>
      </w:r>
      <w:r w:rsidR="00F648BA">
        <w:rPr>
          <w:bCs/>
          <w:szCs w:val="24"/>
        </w:rPr>
        <w:t xml:space="preserve">it could be argued that </w:t>
      </w:r>
      <w:r w:rsidR="00D77E70">
        <w:rPr>
          <w:bCs/>
          <w:szCs w:val="24"/>
        </w:rPr>
        <w:t>the use of an intermediary could serve to delay proceedings by virtue of the added time required to communicate through the third party. However, the evidence from intermediary schemes in the United Kingdom and in New South Wales</w:t>
      </w:r>
      <w:r w:rsidR="00523C3F">
        <w:rPr>
          <w:bCs/>
          <w:szCs w:val="24"/>
        </w:rPr>
        <w:t xml:space="preserve">, as well as the Royal Commission’s report </w:t>
      </w:r>
      <w:r w:rsidR="00BB5D4F">
        <w:rPr>
          <w:bCs/>
          <w:szCs w:val="24"/>
        </w:rPr>
        <w:t>indicate</w:t>
      </w:r>
      <w:r w:rsidR="00D77E70">
        <w:rPr>
          <w:bCs/>
          <w:szCs w:val="24"/>
        </w:rPr>
        <w:t xml:space="preserve"> that the use of intermediaries </w:t>
      </w:r>
      <w:r w:rsidR="009B75C7">
        <w:rPr>
          <w:bCs/>
          <w:szCs w:val="24"/>
        </w:rPr>
        <w:t>may result in</w:t>
      </w:r>
      <w:r w:rsidR="00D77E70">
        <w:rPr>
          <w:bCs/>
          <w:szCs w:val="24"/>
        </w:rPr>
        <w:t xml:space="preserve"> more efficient proceedings.</w:t>
      </w:r>
      <w:r w:rsidR="00D77E70">
        <w:rPr>
          <w:rStyle w:val="FootnoteReference"/>
          <w:bCs/>
          <w:szCs w:val="24"/>
        </w:rPr>
        <w:footnoteReference w:id="10"/>
      </w:r>
      <w:r w:rsidR="00D77E70">
        <w:rPr>
          <w:bCs/>
          <w:szCs w:val="24"/>
        </w:rPr>
        <w:t xml:space="preserve"> </w:t>
      </w:r>
      <w:r w:rsidR="00384187">
        <w:rPr>
          <w:bCs/>
          <w:szCs w:val="24"/>
        </w:rPr>
        <w:t>This is as a result of the w</w:t>
      </w:r>
      <w:r w:rsidR="00D77E70">
        <w:rPr>
          <w:bCs/>
          <w:szCs w:val="24"/>
        </w:rPr>
        <w:t xml:space="preserve">itness </w:t>
      </w:r>
      <w:r w:rsidR="00384187">
        <w:rPr>
          <w:bCs/>
          <w:szCs w:val="24"/>
        </w:rPr>
        <w:t>being able to</w:t>
      </w:r>
      <w:r w:rsidR="00D77E70">
        <w:rPr>
          <w:bCs/>
          <w:szCs w:val="24"/>
        </w:rPr>
        <w:t xml:space="preserve"> </w:t>
      </w:r>
      <w:r w:rsidR="00384187">
        <w:rPr>
          <w:bCs/>
          <w:szCs w:val="24"/>
        </w:rPr>
        <w:t xml:space="preserve">communicate </w:t>
      </w:r>
      <w:r w:rsidR="00F34B2B">
        <w:rPr>
          <w:bCs/>
          <w:szCs w:val="24"/>
        </w:rPr>
        <w:t>more clearly</w:t>
      </w:r>
      <w:r w:rsidR="00D77E70">
        <w:rPr>
          <w:bCs/>
          <w:szCs w:val="24"/>
        </w:rPr>
        <w:t>, and therefore</w:t>
      </w:r>
      <w:r w:rsidR="00F34B2B">
        <w:rPr>
          <w:bCs/>
          <w:szCs w:val="24"/>
        </w:rPr>
        <w:t>,</w:t>
      </w:r>
      <w:r w:rsidR="00D77E70">
        <w:rPr>
          <w:bCs/>
          <w:szCs w:val="24"/>
        </w:rPr>
        <w:t xml:space="preserve"> the case be</w:t>
      </w:r>
      <w:r w:rsidR="00F34B2B">
        <w:rPr>
          <w:bCs/>
          <w:szCs w:val="24"/>
        </w:rPr>
        <w:t>ing</w:t>
      </w:r>
      <w:r w:rsidR="00D77E70">
        <w:rPr>
          <w:bCs/>
          <w:szCs w:val="24"/>
        </w:rPr>
        <w:t xml:space="preserve"> made out</w:t>
      </w:r>
      <w:r w:rsidR="00F34B2B">
        <w:rPr>
          <w:bCs/>
          <w:szCs w:val="24"/>
        </w:rPr>
        <w:t xml:space="preserve"> or disproved,</w:t>
      </w:r>
      <w:r w:rsidR="00D77E70">
        <w:rPr>
          <w:bCs/>
          <w:szCs w:val="24"/>
        </w:rPr>
        <w:t xml:space="preserve"> more quick</w:t>
      </w:r>
      <w:r w:rsidR="00F34B2B">
        <w:rPr>
          <w:bCs/>
          <w:szCs w:val="24"/>
        </w:rPr>
        <w:t>ly</w:t>
      </w:r>
      <w:r w:rsidR="00D77E70">
        <w:rPr>
          <w:bCs/>
          <w:szCs w:val="24"/>
        </w:rPr>
        <w:t xml:space="preserve">—aiding the efficiency and fairness of the trial. Therefore, while a limitation in terms of delay </w:t>
      </w:r>
      <w:r w:rsidR="00384187">
        <w:rPr>
          <w:bCs/>
          <w:szCs w:val="24"/>
        </w:rPr>
        <w:t>is possible</w:t>
      </w:r>
      <w:r w:rsidR="00D77E70">
        <w:rPr>
          <w:bCs/>
          <w:szCs w:val="24"/>
        </w:rPr>
        <w:t xml:space="preserve">, the evidence is that the amendments </w:t>
      </w:r>
      <w:r w:rsidR="00DD7FD9">
        <w:rPr>
          <w:bCs/>
          <w:szCs w:val="24"/>
        </w:rPr>
        <w:t>may</w:t>
      </w:r>
      <w:r w:rsidR="00D77E70">
        <w:rPr>
          <w:bCs/>
          <w:szCs w:val="24"/>
        </w:rPr>
        <w:t xml:space="preserve"> have the contrary effect.</w:t>
      </w:r>
    </w:p>
    <w:p w14:paraId="6EB671C6" w14:textId="5F495405" w:rsidR="00D77E70" w:rsidRDefault="00D77E70" w:rsidP="00DE7BA8">
      <w:pPr>
        <w:rPr>
          <w:bCs/>
          <w:szCs w:val="24"/>
        </w:rPr>
      </w:pPr>
      <w:r>
        <w:rPr>
          <w:bCs/>
          <w:szCs w:val="24"/>
        </w:rPr>
        <w:t xml:space="preserve">The provisions </w:t>
      </w:r>
      <w:r w:rsidR="00384187">
        <w:rPr>
          <w:bCs/>
          <w:szCs w:val="24"/>
        </w:rPr>
        <w:t>also</w:t>
      </w:r>
      <w:r>
        <w:rPr>
          <w:bCs/>
          <w:szCs w:val="24"/>
        </w:rPr>
        <w:t xml:space="preserve"> </w:t>
      </w:r>
      <w:r w:rsidR="00E64B00">
        <w:rPr>
          <w:bCs/>
          <w:szCs w:val="24"/>
        </w:rPr>
        <w:t>limit</w:t>
      </w:r>
      <w:r>
        <w:rPr>
          <w:bCs/>
          <w:szCs w:val="24"/>
        </w:rPr>
        <w:t xml:space="preserve"> the right to examine witnesses. At the ground rules hearing, a court may </w:t>
      </w:r>
      <w:r w:rsidR="00E64B00">
        <w:rPr>
          <w:bCs/>
          <w:szCs w:val="24"/>
        </w:rPr>
        <w:t xml:space="preserve">make a range of directions about how a witness can be questioned and what they can and cannot be asked. In addition, the intermediary may ask questions in certain ways. </w:t>
      </w:r>
    </w:p>
    <w:p w14:paraId="72E06D34" w14:textId="6E31149F" w:rsidR="00E64B00" w:rsidRDefault="00E64B00" w:rsidP="00DE7BA8">
      <w:pPr>
        <w:rPr>
          <w:bCs/>
          <w:szCs w:val="24"/>
        </w:rPr>
      </w:pPr>
      <w:r>
        <w:rPr>
          <w:bCs/>
          <w:szCs w:val="24"/>
        </w:rPr>
        <w:t>The purpose of th</w:t>
      </w:r>
      <w:r w:rsidR="00384187">
        <w:rPr>
          <w:bCs/>
          <w:szCs w:val="24"/>
        </w:rPr>
        <w:t>e</w:t>
      </w:r>
      <w:r>
        <w:rPr>
          <w:bCs/>
          <w:szCs w:val="24"/>
        </w:rPr>
        <w:t xml:space="preserve"> limitation</w:t>
      </w:r>
      <w:r w:rsidR="00384187">
        <w:rPr>
          <w:bCs/>
          <w:szCs w:val="24"/>
        </w:rPr>
        <w:t>s</w:t>
      </w:r>
      <w:r>
        <w:rPr>
          <w:bCs/>
          <w:szCs w:val="24"/>
        </w:rPr>
        <w:t xml:space="preserve"> is to ensure witnesses are able to give their best evidence, which in turn, enhances the fairness of the trial. It also serves to reduce the trauma associated with giving evidence.</w:t>
      </w:r>
    </w:p>
    <w:p w14:paraId="36D51079" w14:textId="7BDB4CA1" w:rsidR="00E64B00" w:rsidRDefault="00E64B00" w:rsidP="00DE7BA8">
      <w:pPr>
        <w:rPr>
          <w:bCs/>
          <w:szCs w:val="24"/>
        </w:rPr>
      </w:pPr>
      <w:r>
        <w:rPr>
          <w:bCs/>
          <w:szCs w:val="24"/>
        </w:rPr>
        <w:t xml:space="preserve">The provisions in the Bill are the least restrictive means possible to achieve this purpose. </w:t>
      </w:r>
      <w:r w:rsidR="00DD7FD9">
        <w:rPr>
          <w:bCs/>
          <w:szCs w:val="24"/>
        </w:rPr>
        <w:t xml:space="preserve">The Royal Commission considered a </w:t>
      </w:r>
      <w:r w:rsidR="00D50109">
        <w:rPr>
          <w:bCs/>
          <w:szCs w:val="24"/>
        </w:rPr>
        <w:t>broad range of options for ensuring witnesses are able to give their best evidence in a manner that reduce</w:t>
      </w:r>
      <w:r w:rsidR="00E92180">
        <w:rPr>
          <w:bCs/>
          <w:szCs w:val="24"/>
        </w:rPr>
        <w:t>s</w:t>
      </w:r>
      <w:r w:rsidR="00D50109">
        <w:rPr>
          <w:bCs/>
          <w:szCs w:val="24"/>
        </w:rPr>
        <w:t xml:space="preserve"> the trauma associated with providing evidence. In its comprehensive assessment it considered that this purpose could not be </w:t>
      </w:r>
      <w:r w:rsidR="00D50109">
        <w:rPr>
          <w:bCs/>
          <w:szCs w:val="24"/>
        </w:rPr>
        <w:lastRenderedPageBreak/>
        <w:t>adequately met without implementing ground rules hearings and an intermediary scheme. While implementation of these is necessary to achieve the purpose, the e</w:t>
      </w:r>
      <w:r>
        <w:rPr>
          <w:bCs/>
          <w:szCs w:val="24"/>
        </w:rPr>
        <w:t>xtent of the limitation</w:t>
      </w:r>
      <w:r w:rsidR="00384187">
        <w:rPr>
          <w:bCs/>
          <w:szCs w:val="24"/>
        </w:rPr>
        <w:t>s</w:t>
      </w:r>
      <w:r>
        <w:rPr>
          <w:bCs/>
          <w:szCs w:val="24"/>
        </w:rPr>
        <w:t xml:space="preserve"> ha</w:t>
      </w:r>
      <w:r w:rsidR="00384187">
        <w:rPr>
          <w:bCs/>
          <w:szCs w:val="24"/>
        </w:rPr>
        <w:t>ve</w:t>
      </w:r>
      <w:r>
        <w:rPr>
          <w:bCs/>
          <w:szCs w:val="24"/>
        </w:rPr>
        <w:t xml:space="preserve"> been restricted</w:t>
      </w:r>
      <w:r w:rsidR="00D50109">
        <w:rPr>
          <w:bCs/>
          <w:szCs w:val="24"/>
        </w:rPr>
        <w:t xml:space="preserve"> insofar as possible</w:t>
      </w:r>
      <w:r>
        <w:rPr>
          <w:bCs/>
          <w:szCs w:val="24"/>
        </w:rPr>
        <w:t xml:space="preserve"> through the following:</w:t>
      </w:r>
    </w:p>
    <w:p w14:paraId="7C105761" w14:textId="0F20B4AF" w:rsidR="00E64B00" w:rsidRPr="009D74A6" w:rsidRDefault="007948B8" w:rsidP="00E64B00">
      <w:pPr>
        <w:pStyle w:val="ListParagraph"/>
        <w:numPr>
          <w:ilvl w:val="0"/>
          <w:numId w:val="29"/>
        </w:numPr>
        <w:rPr>
          <w:bCs/>
          <w:sz w:val="24"/>
          <w:szCs w:val="24"/>
        </w:rPr>
      </w:pPr>
      <w:r>
        <w:rPr>
          <w:bCs/>
          <w:sz w:val="24"/>
          <w:szCs w:val="24"/>
        </w:rPr>
        <w:t xml:space="preserve">the </w:t>
      </w:r>
      <w:r w:rsidR="0080087F">
        <w:rPr>
          <w:bCs/>
          <w:sz w:val="24"/>
          <w:szCs w:val="24"/>
        </w:rPr>
        <w:t>C</w:t>
      </w:r>
      <w:r>
        <w:rPr>
          <w:bCs/>
          <w:sz w:val="24"/>
          <w:szCs w:val="24"/>
        </w:rPr>
        <w:t xml:space="preserve">ourt can make a direction at a ground rules hearing only where it considers it in the interests of justice to do so; </w:t>
      </w:r>
    </w:p>
    <w:p w14:paraId="06577490" w14:textId="13B58400" w:rsidR="00E64B00" w:rsidRPr="009D74A6" w:rsidRDefault="00E64B00" w:rsidP="00E64B00">
      <w:pPr>
        <w:pStyle w:val="ListParagraph"/>
        <w:numPr>
          <w:ilvl w:val="0"/>
          <w:numId w:val="29"/>
        </w:numPr>
        <w:rPr>
          <w:bCs/>
          <w:sz w:val="24"/>
          <w:szCs w:val="24"/>
        </w:rPr>
      </w:pPr>
      <w:r w:rsidRPr="009D74A6">
        <w:rPr>
          <w:bCs/>
          <w:sz w:val="24"/>
          <w:szCs w:val="24"/>
        </w:rPr>
        <w:t xml:space="preserve">intermediaries are </w:t>
      </w:r>
      <w:r w:rsidRPr="009D74A6">
        <w:rPr>
          <w:bCs/>
          <w:i/>
          <w:sz w:val="24"/>
          <w:szCs w:val="24"/>
        </w:rPr>
        <w:t>independent officers of the Court</w:t>
      </w:r>
      <w:r w:rsidRPr="009D74A6">
        <w:rPr>
          <w:bCs/>
          <w:sz w:val="24"/>
          <w:szCs w:val="24"/>
        </w:rPr>
        <w:t xml:space="preserve"> who have </w:t>
      </w:r>
      <w:r w:rsidR="00FA46BB">
        <w:rPr>
          <w:bCs/>
          <w:sz w:val="24"/>
          <w:szCs w:val="24"/>
        </w:rPr>
        <w:t xml:space="preserve">a </w:t>
      </w:r>
      <w:r w:rsidRPr="009D74A6">
        <w:rPr>
          <w:bCs/>
          <w:sz w:val="24"/>
          <w:szCs w:val="24"/>
        </w:rPr>
        <w:t>legislated duty to act impartially when assisting communication with the witness</w:t>
      </w:r>
      <w:r w:rsidR="00DD7FD9">
        <w:rPr>
          <w:bCs/>
          <w:sz w:val="24"/>
          <w:szCs w:val="24"/>
        </w:rPr>
        <w:t>;</w:t>
      </w:r>
    </w:p>
    <w:p w14:paraId="411B55EA" w14:textId="79882F31" w:rsidR="00E64B00" w:rsidRPr="009D74A6" w:rsidRDefault="00E64B00" w:rsidP="00E64B00">
      <w:pPr>
        <w:pStyle w:val="ListParagraph"/>
        <w:numPr>
          <w:ilvl w:val="0"/>
          <w:numId w:val="29"/>
        </w:numPr>
        <w:rPr>
          <w:bCs/>
          <w:sz w:val="24"/>
          <w:szCs w:val="24"/>
        </w:rPr>
      </w:pPr>
      <w:r w:rsidRPr="009D74A6">
        <w:rPr>
          <w:bCs/>
          <w:sz w:val="24"/>
          <w:szCs w:val="24"/>
        </w:rPr>
        <w:t xml:space="preserve">evidence of a witness given in the presence of an intermediary must be given in circumstances in which the </w:t>
      </w:r>
      <w:r w:rsidR="0080087F">
        <w:rPr>
          <w:bCs/>
          <w:sz w:val="24"/>
          <w:szCs w:val="24"/>
        </w:rPr>
        <w:t>C</w:t>
      </w:r>
      <w:r w:rsidRPr="009D74A6">
        <w:rPr>
          <w:bCs/>
          <w:sz w:val="24"/>
          <w:szCs w:val="24"/>
        </w:rPr>
        <w:t>ourt and any lawyer appearing in the proceeding are able to see and hear the witness giving evidence and communicate with the intermediary</w:t>
      </w:r>
      <w:r w:rsidR="00DD7FD9">
        <w:rPr>
          <w:bCs/>
          <w:sz w:val="24"/>
          <w:szCs w:val="24"/>
        </w:rPr>
        <w:t>; and</w:t>
      </w:r>
    </w:p>
    <w:p w14:paraId="6DFB09BB" w14:textId="788772B8" w:rsidR="00E64B00" w:rsidRDefault="00E64B00" w:rsidP="009D74A6">
      <w:pPr>
        <w:pStyle w:val="ListParagraph"/>
        <w:numPr>
          <w:ilvl w:val="0"/>
          <w:numId w:val="29"/>
        </w:numPr>
        <w:rPr>
          <w:bCs/>
          <w:sz w:val="24"/>
          <w:szCs w:val="24"/>
        </w:rPr>
      </w:pPr>
      <w:r w:rsidRPr="009D74A6">
        <w:rPr>
          <w:bCs/>
          <w:sz w:val="24"/>
          <w:szCs w:val="24"/>
        </w:rPr>
        <w:t xml:space="preserve">the </w:t>
      </w:r>
      <w:r w:rsidR="0080087F">
        <w:rPr>
          <w:bCs/>
          <w:sz w:val="24"/>
          <w:szCs w:val="24"/>
        </w:rPr>
        <w:t>C</w:t>
      </w:r>
      <w:r w:rsidRPr="009D74A6">
        <w:rPr>
          <w:bCs/>
          <w:sz w:val="24"/>
          <w:szCs w:val="24"/>
        </w:rPr>
        <w:t>ourt has a discretion to not appoint an intermediary where it is not in the interests of justice to do so</w:t>
      </w:r>
      <w:r w:rsidR="00DD7FD9">
        <w:rPr>
          <w:bCs/>
          <w:sz w:val="24"/>
          <w:szCs w:val="24"/>
        </w:rPr>
        <w:t>.</w:t>
      </w:r>
    </w:p>
    <w:p w14:paraId="69662D0D" w14:textId="6073DAD0" w:rsidR="009D74A6" w:rsidRPr="009D74A6" w:rsidRDefault="009D74A6" w:rsidP="009D74A6">
      <w:pPr>
        <w:rPr>
          <w:bCs/>
          <w:szCs w:val="24"/>
        </w:rPr>
      </w:pPr>
      <w:r>
        <w:rPr>
          <w:bCs/>
          <w:szCs w:val="24"/>
        </w:rPr>
        <w:t>These features serve to ensure that the least restrictive approach possible has been taken to allowing witnesses to benefit from ground rules hearings and intermediaries</w:t>
      </w:r>
      <w:r w:rsidR="00D50109">
        <w:rPr>
          <w:bCs/>
          <w:szCs w:val="24"/>
        </w:rPr>
        <w:t>, and consequently, enabling witnesses to provide their best evidence in a manner that reduces trauma</w:t>
      </w:r>
      <w:r>
        <w:rPr>
          <w:bCs/>
          <w:szCs w:val="24"/>
        </w:rPr>
        <w:t>.</w:t>
      </w:r>
    </w:p>
    <w:p w14:paraId="37F216B6" w14:textId="77777777" w:rsidR="00D77E70" w:rsidRDefault="00D77E70" w:rsidP="00DE7BA8">
      <w:pPr>
        <w:rPr>
          <w:bCs/>
          <w:szCs w:val="24"/>
        </w:rPr>
      </w:pPr>
    </w:p>
    <w:p w14:paraId="5C36BD0F" w14:textId="6CEE0E82" w:rsidR="00D50109" w:rsidRDefault="00D77E70" w:rsidP="00DE7BA8">
      <w:pPr>
        <w:rPr>
          <w:bCs/>
          <w:szCs w:val="24"/>
        </w:rPr>
      </w:pPr>
      <w:r>
        <w:rPr>
          <w:bCs/>
          <w:szCs w:val="24"/>
        </w:rPr>
        <w:t xml:space="preserve"> </w:t>
      </w:r>
      <w:r w:rsidR="00D50109">
        <w:rPr>
          <w:bCs/>
          <w:szCs w:val="24"/>
        </w:rPr>
        <w:br w:type="page"/>
      </w:r>
    </w:p>
    <w:p w14:paraId="75C30062" w14:textId="77777777" w:rsidR="00D21B72" w:rsidRDefault="00D21B72" w:rsidP="00D21B72">
      <w:pPr>
        <w:keepNext/>
        <w:autoSpaceDE w:val="0"/>
        <w:autoSpaceDN w:val="0"/>
        <w:adjustRightInd w:val="0"/>
        <w:spacing w:before="240" w:after="120"/>
        <w:jc w:val="center"/>
        <w:rPr>
          <w:bCs/>
          <w:szCs w:val="24"/>
        </w:rPr>
      </w:pPr>
    </w:p>
    <w:p w14:paraId="54F2A35E" w14:textId="6332503D" w:rsidR="00702566" w:rsidRDefault="008003D9" w:rsidP="008003D9">
      <w:pPr>
        <w:spacing w:before="240" w:after="120"/>
        <w:jc w:val="center"/>
        <w:rPr>
          <w:b/>
          <w:bCs/>
          <w:noProof/>
          <w:sz w:val="28"/>
          <w:szCs w:val="28"/>
          <w:lang w:eastAsia="en-AU"/>
        </w:rPr>
      </w:pPr>
      <w:r w:rsidRPr="008003D9">
        <w:rPr>
          <w:b/>
          <w:bCs/>
          <w:noProof/>
          <w:sz w:val="28"/>
          <w:szCs w:val="28"/>
          <w:lang w:eastAsia="en-AU"/>
        </w:rPr>
        <w:t>Evidence (Miscellaneous Provisions) Amendment Bill 2019</w:t>
      </w:r>
    </w:p>
    <w:p w14:paraId="1C3D1A24" w14:textId="77777777" w:rsidR="008003D9" w:rsidRPr="009428EA" w:rsidRDefault="008003D9" w:rsidP="008003D9">
      <w:pPr>
        <w:spacing w:before="240" w:after="120"/>
        <w:jc w:val="center"/>
        <w:rPr>
          <w:b/>
          <w:bCs/>
          <w:noProof/>
          <w:sz w:val="28"/>
          <w:szCs w:val="28"/>
          <w:lang w:eastAsia="en-AU"/>
        </w:rPr>
      </w:pPr>
    </w:p>
    <w:p w14:paraId="7B72276F" w14:textId="77777777" w:rsidR="00702566" w:rsidRPr="00A363CB" w:rsidRDefault="00702566" w:rsidP="00A363CB">
      <w:pPr>
        <w:pStyle w:val="Title"/>
        <w:spacing w:before="240" w:after="120"/>
        <w:rPr>
          <w:lang w:eastAsia="en-AU"/>
        </w:rPr>
      </w:pPr>
      <w:bookmarkStart w:id="12" w:name="_Toc426711261"/>
      <w:bookmarkStart w:id="13" w:name="_Toc429052824"/>
      <w:bookmarkStart w:id="14" w:name="_Toc18399871"/>
      <w:r w:rsidRPr="009428EA">
        <w:rPr>
          <w:lang w:eastAsia="en-AU"/>
        </w:rPr>
        <w:t>Detail</w:t>
      </w:r>
      <w:bookmarkEnd w:id="12"/>
      <w:bookmarkEnd w:id="13"/>
      <w:bookmarkEnd w:id="14"/>
    </w:p>
    <w:p w14:paraId="655FC8CE" w14:textId="389C4447" w:rsidR="00AC5B87" w:rsidRPr="00807087" w:rsidRDefault="00AC5B87" w:rsidP="00AC5B87">
      <w:pPr>
        <w:pStyle w:val="Heading1"/>
        <w:rPr>
          <w:lang w:eastAsia="en-AU"/>
        </w:rPr>
      </w:pPr>
      <w:bookmarkStart w:id="15" w:name="_Preamble"/>
      <w:bookmarkStart w:id="16" w:name="_Toc18399872"/>
      <w:bookmarkEnd w:id="15"/>
      <w:r>
        <w:rPr>
          <w:lang w:eastAsia="en-AU"/>
        </w:rPr>
        <w:t xml:space="preserve">Part </w:t>
      </w:r>
      <w:r w:rsidR="00326167">
        <w:rPr>
          <w:lang w:eastAsia="en-AU"/>
        </w:rPr>
        <w:fldChar w:fldCharType="begin"/>
      </w:r>
      <w:r>
        <w:rPr>
          <w:lang w:eastAsia="en-AU"/>
        </w:rPr>
        <w:instrText xml:space="preserve"> SEQ Part \* ARABIC </w:instrText>
      </w:r>
      <w:r w:rsidR="00326167">
        <w:rPr>
          <w:lang w:eastAsia="en-AU"/>
        </w:rPr>
        <w:fldChar w:fldCharType="separate"/>
      </w:r>
      <w:r w:rsidR="00D24F11">
        <w:rPr>
          <w:noProof/>
          <w:lang w:eastAsia="en-AU"/>
        </w:rPr>
        <w:t>1</w:t>
      </w:r>
      <w:r w:rsidR="00326167">
        <w:rPr>
          <w:lang w:eastAsia="en-AU"/>
        </w:rPr>
        <w:fldChar w:fldCharType="end"/>
      </w:r>
      <w:r w:rsidRPr="009428EA">
        <w:rPr>
          <w:lang w:eastAsia="en-AU"/>
        </w:rPr>
        <w:t xml:space="preserve"> – Preliminary</w:t>
      </w:r>
      <w:bookmarkEnd w:id="16"/>
    </w:p>
    <w:p w14:paraId="26A76DDD" w14:textId="113CB994" w:rsidR="00702566" w:rsidRPr="00C71A66" w:rsidRDefault="00C71A66" w:rsidP="00C07F8C">
      <w:pPr>
        <w:pStyle w:val="Heading4"/>
        <w:rPr>
          <w:bCs/>
          <w:lang w:eastAsia="en-AU"/>
        </w:rPr>
      </w:pPr>
      <w:r w:rsidRPr="00C71A66">
        <w:t xml:space="preserve">Clause </w:t>
      </w:r>
      <w:r w:rsidR="00326167" w:rsidRPr="00C71A66">
        <w:fldChar w:fldCharType="begin"/>
      </w:r>
      <w:r w:rsidRPr="00C71A66">
        <w:instrText xml:space="preserve"> SEQ Clause \* ARABIC </w:instrText>
      </w:r>
      <w:r w:rsidR="00326167" w:rsidRPr="00C71A66">
        <w:fldChar w:fldCharType="separate"/>
      </w:r>
      <w:r w:rsidR="00D24F11">
        <w:rPr>
          <w:noProof/>
        </w:rPr>
        <w:t>1</w:t>
      </w:r>
      <w:r w:rsidR="00326167" w:rsidRPr="00C71A66">
        <w:fldChar w:fldCharType="end"/>
      </w:r>
      <w:r w:rsidR="00702566" w:rsidRPr="00C71A66">
        <w:rPr>
          <w:bCs/>
          <w:lang w:eastAsia="en-AU"/>
        </w:rPr>
        <w:t xml:space="preserve"> — Name of Act</w:t>
      </w:r>
    </w:p>
    <w:p w14:paraId="002E87C3" w14:textId="60373674" w:rsidR="00702566" w:rsidRPr="00807087" w:rsidRDefault="00702566" w:rsidP="00A363CB">
      <w:pPr>
        <w:keepNext/>
        <w:autoSpaceDE w:val="0"/>
        <w:autoSpaceDN w:val="0"/>
        <w:adjustRightInd w:val="0"/>
        <w:spacing w:before="240" w:after="120"/>
        <w:rPr>
          <w:szCs w:val="24"/>
          <w:lang w:eastAsia="en-AU"/>
        </w:rPr>
      </w:pPr>
      <w:r w:rsidRPr="009428EA">
        <w:rPr>
          <w:szCs w:val="24"/>
          <w:lang w:eastAsia="en-AU"/>
        </w:rPr>
        <w:t xml:space="preserve">This is a technical clause that names the short title of the Act. The name of the Act </w:t>
      </w:r>
      <w:r w:rsidR="00807087">
        <w:rPr>
          <w:szCs w:val="24"/>
          <w:lang w:eastAsia="en-AU"/>
        </w:rPr>
        <w:t>will</w:t>
      </w:r>
      <w:r w:rsidRPr="009428EA">
        <w:rPr>
          <w:szCs w:val="24"/>
          <w:lang w:eastAsia="en-AU"/>
        </w:rPr>
        <w:t xml:space="preserve"> be</w:t>
      </w:r>
      <w:r w:rsidR="001B7E69" w:rsidRPr="009428EA">
        <w:rPr>
          <w:szCs w:val="24"/>
          <w:lang w:eastAsia="en-AU"/>
        </w:rPr>
        <w:t xml:space="preserve"> </w:t>
      </w:r>
      <w:r w:rsidRPr="009428EA">
        <w:rPr>
          <w:szCs w:val="24"/>
          <w:lang w:eastAsia="en-AU"/>
        </w:rPr>
        <w:t xml:space="preserve">the </w:t>
      </w:r>
      <w:r w:rsidR="008003D9">
        <w:rPr>
          <w:i/>
          <w:szCs w:val="24"/>
          <w:lang w:eastAsia="en-AU"/>
        </w:rPr>
        <w:t xml:space="preserve">Evidence (Miscellaneous Provisions) Amendment </w:t>
      </w:r>
      <w:r w:rsidR="004A26AC">
        <w:rPr>
          <w:i/>
          <w:szCs w:val="24"/>
          <w:lang w:eastAsia="en-AU"/>
        </w:rPr>
        <w:t>Act</w:t>
      </w:r>
      <w:r w:rsidR="008003D9">
        <w:rPr>
          <w:i/>
          <w:szCs w:val="24"/>
          <w:lang w:eastAsia="en-AU"/>
        </w:rPr>
        <w:t xml:space="preserve"> 2019</w:t>
      </w:r>
      <w:r w:rsidRPr="009428EA">
        <w:rPr>
          <w:szCs w:val="24"/>
          <w:lang w:eastAsia="en-AU"/>
        </w:rPr>
        <w:t>.</w:t>
      </w:r>
    </w:p>
    <w:p w14:paraId="141AFA77" w14:textId="0E4626F6" w:rsidR="00702566" w:rsidRPr="009428EA" w:rsidRDefault="00C71A66" w:rsidP="00C07F8C">
      <w:pPr>
        <w:pStyle w:val="Heading4"/>
        <w:rPr>
          <w:bCs/>
          <w:lang w:eastAsia="en-AU"/>
        </w:rPr>
      </w:pPr>
      <w:r w:rsidRPr="00C71A66">
        <w:t xml:space="preserve">Clause </w:t>
      </w:r>
      <w:r w:rsidR="00326167" w:rsidRPr="00C71A66">
        <w:fldChar w:fldCharType="begin"/>
      </w:r>
      <w:r w:rsidRPr="00C71A66">
        <w:instrText xml:space="preserve"> SEQ Clause \* ARABIC </w:instrText>
      </w:r>
      <w:r w:rsidR="00326167" w:rsidRPr="00C71A66">
        <w:fldChar w:fldCharType="separate"/>
      </w:r>
      <w:r w:rsidR="00D24F11">
        <w:rPr>
          <w:noProof/>
        </w:rPr>
        <w:t>2</w:t>
      </w:r>
      <w:r w:rsidR="00326167" w:rsidRPr="00C71A66">
        <w:fldChar w:fldCharType="end"/>
      </w:r>
      <w:r w:rsidRPr="00C71A66">
        <w:rPr>
          <w:bCs/>
          <w:lang w:eastAsia="en-AU"/>
        </w:rPr>
        <w:t xml:space="preserve"> </w:t>
      </w:r>
      <w:r w:rsidR="00702566" w:rsidRPr="009428EA">
        <w:rPr>
          <w:bCs/>
          <w:lang w:eastAsia="en-AU"/>
        </w:rPr>
        <w:t>— Commencement</w:t>
      </w:r>
    </w:p>
    <w:p w14:paraId="6A076AAA" w14:textId="66B4116A" w:rsidR="00A11978" w:rsidRPr="00A11978" w:rsidRDefault="001F7F5F" w:rsidP="00DF7319">
      <w:pPr>
        <w:keepNext/>
        <w:autoSpaceDE w:val="0"/>
        <w:autoSpaceDN w:val="0"/>
        <w:adjustRightInd w:val="0"/>
        <w:spacing w:before="240" w:after="120"/>
        <w:rPr>
          <w:szCs w:val="24"/>
          <w:lang w:eastAsia="en-AU"/>
        </w:rPr>
      </w:pPr>
      <w:r>
        <w:rPr>
          <w:szCs w:val="24"/>
          <w:lang w:eastAsia="en-AU"/>
        </w:rPr>
        <w:t>This clause provid</w:t>
      </w:r>
      <w:r w:rsidR="00393C03">
        <w:rPr>
          <w:szCs w:val="24"/>
          <w:lang w:eastAsia="en-AU"/>
        </w:rPr>
        <w:t>es that the Act</w:t>
      </w:r>
      <w:r w:rsidR="00DF7319">
        <w:rPr>
          <w:szCs w:val="24"/>
          <w:lang w:eastAsia="en-AU"/>
        </w:rPr>
        <w:t xml:space="preserve"> </w:t>
      </w:r>
      <w:r w:rsidR="00393C03">
        <w:rPr>
          <w:szCs w:val="24"/>
          <w:lang w:eastAsia="en-AU"/>
        </w:rPr>
        <w:t>will commence</w:t>
      </w:r>
      <w:r w:rsidR="005D0412">
        <w:rPr>
          <w:szCs w:val="24"/>
          <w:lang w:eastAsia="en-AU"/>
        </w:rPr>
        <w:t xml:space="preserve"> </w:t>
      </w:r>
      <w:r w:rsidR="00DF7319">
        <w:rPr>
          <w:szCs w:val="24"/>
          <w:lang w:eastAsia="en-AU"/>
        </w:rPr>
        <w:t xml:space="preserve">on </w:t>
      </w:r>
      <w:r w:rsidR="008003D9">
        <w:rPr>
          <w:szCs w:val="24"/>
          <w:lang w:eastAsia="en-AU"/>
        </w:rPr>
        <w:t>a day fixed by the Minister by written notice, no later than six months after the notification day</w:t>
      </w:r>
      <w:r w:rsidR="00DF7319">
        <w:rPr>
          <w:szCs w:val="24"/>
          <w:lang w:eastAsia="en-AU"/>
        </w:rPr>
        <w:t>.</w:t>
      </w:r>
    </w:p>
    <w:p w14:paraId="3E1BACD4" w14:textId="366D4CF4" w:rsidR="00C87B10" w:rsidRPr="009428EA" w:rsidRDefault="00C87B10" w:rsidP="00C87B10">
      <w:pPr>
        <w:pStyle w:val="Heading4"/>
        <w:rPr>
          <w:bCs/>
          <w:lang w:eastAsia="en-AU"/>
        </w:rPr>
      </w:pPr>
      <w:r w:rsidRPr="00C71A66">
        <w:t xml:space="preserve">Clause </w:t>
      </w:r>
      <w:r w:rsidR="00C97571">
        <w:fldChar w:fldCharType="begin"/>
      </w:r>
      <w:r w:rsidR="00C97571">
        <w:instrText xml:space="preserve"> SEQ Clause \* ARABIC </w:instrText>
      </w:r>
      <w:r w:rsidR="00C97571">
        <w:fldChar w:fldCharType="separate"/>
      </w:r>
      <w:r w:rsidR="00D24F11">
        <w:rPr>
          <w:noProof/>
        </w:rPr>
        <w:t>3</w:t>
      </w:r>
      <w:r w:rsidR="00C97571">
        <w:rPr>
          <w:noProof/>
        </w:rPr>
        <w:fldChar w:fldCharType="end"/>
      </w:r>
      <w:r w:rsidRPr="00C71A66">
        <w:rPr>
          <w:bCs/>
          <w:lang w:eastAsia="en-AU"/>
        </w:rPr>
        <w:t xml:space="preserve"> </w:t>
      </w:r>
      <w:r w:rsidRPr="009428EA">
        <w:rPr>
          <w:bCs/>
          <w:lang w:eastAsia="en-AU"/>
        </w:rPr>
        <w:t xml:space="preserve">— </w:t>
      </w:r>
      <w:r>
        <w:rPr>
          <w:bCs/>
          <w:lang w:eastAsia="en-AU"/>
        </w:rPr>
        <w:t>Legislation Amended</w:t>
      </w:r>
    </w:p>
    <w:p w14:paraId="269078A0" w14:textId="3372F339" w:rsidR="00AC5B87" w:rsidRPr="00A363CB" w:rsidRDefault="00C87B10" w:rsidP="00AC5B87">
      <w:pPr>
        <w:spacing w:before="240" w:after="120"/>
        <w:rPr>
          <w:szCs w:val="24"/>
          <w:lang w:eastAsia="en-AU"/>
        </w:rPr>
      </w:pPr>
      <w:r w:rsidRPr="009428EA">
        <w:rPr>
          <w:szCs w:val="24"/>
          <w:lang w:eastAsia="en-AU"/>
        </w:rPr>
        <w:t xml:space="preserve">This clause </w:t>
      </w:r>
      <w:r w:rsidR="00442BD2">
        <w:rPr>
          <w:szCs w:val="24"/>
          <w:lang w:eastAsia="en-AU"/>
        </w:rPr>
        <w:t>lists the legislation amended by th</w:t>
      </w:r>
      <w:r w:rsidR="00366250">
        <w:rPr>
          <w:szCs w:val="24"/>
          <w:lang w:eastAsia="en-AU"/>
        </w:rPr>
        <w:t>e</w:t>
      </w:r>
      <w:r w:rsidR="00442BD2">
        <w:rPr>
          <w:szCs w:val="24"/>
          <w:lang w:eastAsia="en-AU"/>
        </w:rPr>
        <w:t xml:space="preserve"> Bill. Th</w:t>
      </w:r>
      <w:r w:rsidR="00366250">
        <w:rPr>
          <w:szCs w:val="24"/>
          <w:lang w:eastAsia="en-AU"/>
        </w:rPr>
        <w:t>e</w:t>
      </w:r>
      <w:r w:rsidR="00442BD2">
        <w:rPr>
          <w:szCs w:val="24"/>
          <w:lang w:eastAsia="en-AU"/>
        </w:rPr>
        <w:t xml:space="preserve"> Bill will amend the </w:t>
      </w:r>
      <w:r w:rsidR="008003D9">
        <w:rPr>
          <w:i/>
          <w:szCs w:val="24"/>
          <w:lang w:eastAsia="en-AU"/>
        </w:rPr>
        <w:t>Evidence (Miscellaneous Provisions) Act 1991</w:t>
      </w:r>
      <w:r w:rsidR="008003D9">
        <w:rPr>
          <w:szCs w:val="24"/>
          <w:lang w:eastAsia="en-AU"/>
        </w:rPr>
        <w:t xml:space="preserve"> and the </w:t>
      </w:r>
      <w:r w:rsidR="008003D9">
        <w:rPr>
          <w:i/>
          <w:szCs w:val="24"/>
          <w:lang w:eastAsia="en-AU"/>
        </w:rPr>
        <w:t>Evidence (Miscellaneous Provisions) Regulation 2009</w:t>
      </w:r>
      <w:r w:rsidR="00442BD2">
        <w:rPr>
          <w:szCs w:val="24"/>
          <w:lang w:eastAsia="en-AU"/>
        </w:rPr>
        <w:t>.</w:t>
      </w:r>
    </w:p>
    <w:p w14:paraId="0F705FFB" w14:textId="5BB2FB6F" w:rsidR="00CF129B" w:rsidRDefault="00AC5B87" w:rsidP="00A363CB">
      <w:pPr>
        <w:pStyle w:val="Heading1"/>
        <w:rPr>
          <w:lang w:eastAsia="en-AU"/>
        </w:rPr>
      </w:pPr>
      <w:bookmarkStart w:id="17" w:name="_Part_2_–"/>
      <w:bookmarkStart w:id="18" w:name="_Toc426711263"/>
      <w:bookmarkStart w:id="19" w:name="_Toc429052826"/>
      <w:bookmarkStart w:id="20" w:name="_Toc18399873"/>
      <w:bookmarkEnd w:id="17"/>
      <w:r>
        <w:rPr>
          <w:lang w:eastAsia="en-AU"/>
        </w:rPr>
        <w:t xml:space="preserve">Part </w:t>
      </w:r>
      <w:r w:rsidR="00326167">
        <w:rPr>
          <w:lang w:eastAsia="en-AU"/>
        </w:rPr>
        <w:fldChar w:fldCharType="begin"/>
      </w:r>
      <w:r>
        <w:rPr>
          <w:lang w:eastAsia="en-AU"/>
        </w:rPr>
        <w:instrText xml:space="preserve"> SEQ Part \* ARABIC </w:instrText>
      </w:r>
      <w:r w:rsidR="00326167">
        <w:rPr>
          <w:lang w:eastAsia="en-AU"/>
        </w:rPr>
        <w:fldChar w:fldCharType="separate"/>
      </w:r>
      <w:r w:rsidR="00D24F11">
        <w:rPr>
          <w:noProof/>
          <w:lang w:eastAsia="en-AU"/>
        </w:rPr>
        <w:t>2</w:t>
      </w:r>
      <w:r w:rsidR="00326167">
        <w:rPr>
          <w:lang w:eastAsia="en-AU"/>
        </w:rPr>
        <w:fldChar w:fldCharType="end"/>
      </w:r>
      <w:r w:rsidR="00CF129B" w:rsidRPr="009428EA">
        <w:rPr>
          <w:lang w:eastAsia="en-AU"/>
        </w:rPr>
        <w:t xml:space="preserve"> – </w:t>
      </w:r>
      <w:bookmarkEnd w:id="18"/>
      <w:bookmarkEnd w:id="19"/>
      <w:r w:rsidR="008003D9" w:rsidRPr="008003D9">
        <w:rPr>
          <w:lang w:eastAsia="en-AU"/>
        </w:rPr>
        <w:t>Evidence (Miscellaneous Provisions) Act 1991</w:t>
      </w:r>
      <w:bookmarkEnd w:id="20"/>
    </w:p>
    <w:p w14:paraId="7418BB59" w14:textId="434B0AB2" w:rsidR="008003D9" w:rsidRDefault="008003D9" w:rsidP="008003D9">
      <w:pPr>
        <w:rPr>
          <w:lang w:eastAsia="en-AU"/>
        </w:rPr>
      </w:pPr>
      <w:r>
        <w:rPr>
          <w:lang w:eastAsia="en-AU"/>
        </w:rPr>
        <w:t xml:space="preserve">This part </w:t>
      </w:r>
      <w:r w:rsidR="00D35A39" w:rsidRPr="00335E21">
        <w:rPr>
          <w:lang w:eastAsia="en-AU"/>
        </w:rPr>
        <w:t xml:space="preserve">amends the </w:t>
      </w:r>
      <w:r w:rsidR="00D35A39" w:rsidRPr="00E55BAF">
        <w:rPr>
          <w:i/>
          <w:lang w:eastAsia="en-AU"/>
        </w:rPr>
        <w:t xml:space="preserve">Evidence (Miscellaneous Provision) Act 1991 </w:t>
      </w:r>
      <w:r w:rsidR="00D35A39" w:rsidRPr="00335E21">
        <w:rPr>
          <w:lang w:eastAsia="en-AU"/>
        </w:rPr>
        <w:t>(EMPA) to</w:t>
      </w:r>
      <w:r w:rsidR="00335E21" w:rsidRPr="00335E21">
        <w:rPr>
          <w:lang w:eastAsia="en-AU"/>
        </w:rPr>
        <w:t xml:space="preserve"> establish the legal framework for ground rules hearings</w:t>
      </w:r>
      <w:r w:rsidR="00335E21">
        <w:rPr>
          <w:lang w:eastAsia="en-AU"/>
        </w:rPr>
        <w:t xml:space="preserve"> and the use of intermediaries</w:t>
      </w:r>
      <w:r w:rsidR="00335E21" w:rsidRPr="00335E21">
        <w:rPr>
          <w:lang w:eastAsia="en-AU"/>
        </w:rPr>
        <w:t>.</w:t>
      </w:r>
    </w:p>
    <w:p w14:paraId="69157E4D" w14:textId="6B2C74E3" w:rsidR="00AC5B87" w:rsidRPr="009428EA" w:rsidRDefault="00AC5B87" w:rsidP="00DF7319">
      <w:pPr>
        <w:pStyle w:val="Heading4"/>
        <w:keepNext w:val="0"/>
        <w:rPr>
          <w:lang w:eastAsia="en-AU"/>
        </w:rPr>
      </w:pPr>
      <w:bookmarkStart w:id="21" w:name="_Clause_6_–"/>
      <w:bookmarkEnd w:id="21"/>
      <w:r w:rsidRPr="00C71A66">
        <w:t xml:space="preserve">Clause </w:t>
      </w:r>
      <w:r w:rsidR="00326167" w:rsidRPr="00C71A66">
        <w:fldChar w:fldCharType="begin"/>
      </w:r>
      <w:r w:rsidRPr="00C71A66">
        <w:instrText xml:space="preserve"> SEQ Clause \* ARABIC </w:instrText>
      </w:r>
      <w:r w:rsidR="00326167" w:rsidRPr="00C71A66">
        <w:fldChar w:fldCharType="separate"/>
      </w:r>
      <w:r w:rsidR="00D24F11">
        <w:rPr>
          <w:noProof/>
        </w:rPr>
        <w:t>4</w:t>
      </w:r>
      <w:r w:rsidR="00326167" w:rsidRPr="00C71A66">
        <w:fldChar w:fldCharType="end"/>
      </w:r>
      <w:r w:rsidRPr="00C71A66">
        <w:rPr>
          <w:bCs/>
          <w:lang w:eastAsia="en-AU"/>
        </w:rPr>
        <w:t xml:space="preserve"> </w:t>
      </w:r>
      <w:r w:rsidRPr="009428EA">
        <w:rPr>
          <w:lang w:eastAsia="en-AU"/>
        </w:rPr>
        <w:t xml:space="preserve">– </w:t>
      </w:r>
      <w:r w:rsidR="00D35A39" w:rsidRPr="00D35A39">
        <w:rPr>
          <w:lang w:eastAsia="en-AU"/>
        </w:rPr>
        <w:t>New chapter</w:t>
      </w:r>
      <w:r w:rsidR="00633421">
        <w:rPr>
          <w:lang w:eastAsia="en-AU"/>
        </w:rPr>
        <w:t>s</w:t>
      </w:r>
      <w:r w:rsidR="00D35A39" w:rsidRPr="00D35A39">
        <w:rPr>
          <w:lang w:eastAsia="en-AU"/>
        </w:rPr>
        <w:t xml:space="preserve"> 1A</w:t>
      </w:r>
      <w:r w:rsidR="00633421">
        <w:rPr>
          <w:lang w:eastAsia="en-AU"/>
        </w:rPr>
        <w:t xml:space="preserve"> and 1B</w:t>
      </w:r>
    </w:p>
    <w:p w14:paraId="1FFD20D4" w14:textId="33C91D77" w:rsidR="00D35A39" w:rsidRPr="00D35A39" w:rsidRDefault="00D35A39" w:rsidP="00D35A39">
      <w:pPr>
        <w:rPr>
          <w:u w:val="single"/>
          <w:lang w:eastAsia="en-AU"/>
        </w:rPr>
      </w:pPr>
      <w:bookmarkStart w:id="22" w:name="_Clause_7_–"/>
      <w:bookmarkEnd w:id="22"/>
      <w:r w:rsidRPr="00D35A39">
        <w:rPr>
          <w:b/>
          <w:bCs/>
          <w:u w:val="single"/>
          <w:lang w:eastAsia="en-AU"/>
        </w:rPr>
        <w:t>Chapter 1A Ground rules hearings</w:t>
      </w:r>
      <w:r w:rsidR="00677D84">
        <w:rPr>
          <w:b/>
          <w:bCs/>
          <w:u w:val="single"/>
          <w:lang w:eastAsia="en-AU"/>
        </w:rPr>
        <w:t xml:space="preserve"> – criminal proceedings</w:t>
      </w:r>
      <w:r w:rsidRPr="00D35A39">
        <w:rPr>
          <w:b/>
          <w:bCs/>
          <w:u w:val="single"/>
          <w:lang w:eastAsia="en-AU"/>
        </w:rPr>
        <w:t xml:space="preserve"> </w:t>
      </w:r>
    </w:p>
    <w:p w14:paraId="515B9AD4" w14:textId="4857B176" w:rsidR="00D35A39" w:rsidRDefault="00D35A39" w:rsidP="00D35A39">
      <w:pPr>
        <w:pStyle w:val="Heading5"/>
        <w:rPr>
          <w:b w:val="0"/>
          <w:lang w:eastAsia="en-AU"/>
        </w:rPr>
      </w:pPr>
      <w:r w:rsidRPr="00573EFD">
        <w:rPr>
          <w:b w:val="0"/>
          <w:i w:val="0"/>
          <w:u w:val="single"/>
        </w:rPr>
        <w:t>New Section 4</w:t>
      </w:r>
      <w:r w:rsidRPr="00573EFD">
        <w:rPr>
          <w:b w:val="0"/>
          <w:i w:val="0"/>
          <w:u w:val="single"/>
        </w:rPr>
        <w:fldChar w:fldCharType="begin"/>
      </w:r>
      <w:r w:rsidRPr="00573EFD">
        <w:rPr>
          <w:b w:val="0"/>
          <w:i w:val="0"/>
          <w:u w:val="single"/>
        </w:rPr>
        <w:instrText xml:space="preserve"> SEQ New_Section \* ALPHABETIC </w:instrText>
      </w:r>
      <w:r w:rsidRPr="00573EFD">
        <w:rPr>
          <w:b w:val="0"/>
          <w:i w:val="0"/>
          <w:u w:val="single"/>
        </w:rPr>
        <w:fldChar w:fldCharType="separate"/>
      </w:r>
      <w:r w:rsidR="00D24F11">
        <w:rPr>
          <w:b w:val="0"/>
          <w:i w:val="0"/>
          <w:noProof/>
          <w:u w:val="single"/>
        </w:rPr>
        <w:t>A</w:t>
      </w:r>
      <w:r w:rsidRPr="00573EFD">
        <w:rPr>
          <w:b w:val="0"/>
          <w:i w:val="0"/>
          <w:u w:val="single"/>
        </w:rPr>
        <w:fldChar w:fldCharType="end"/>
      </w:r>
      <w:r w:rsidR="00633421">
        <w:rPr>
          <w:b w:val="0"/>
          <w:i w:val="0"/>
          <w:u w:val="single"/>
        </w:rPr>
        <w:t>A</w:t>
      </w:r>
      <w:r w:rsidRPr="00573EFD">
        <w:rPr>
          <w:b w:val="0"/>
          <w:i w:val="0"/>
          <w:u w:val="single"/>
        </w:rPr>
        <w:t xml:space="preserve"> </w:t>
      </w:r>
      <w:r w:rsidR="00573EFD">
        <w:rPr>
          <w:b w:val="0"/>
          <w:i w:val="0"/>
          <w:u w:val="single"/>
        </w:rPr>
        <w:t xml:space="preserve">– </w:t>
      </w:r>
      <w:r w:rsidR="00573EFD" w:rsidRPr="00573EFD">
        <w:rPr>
          <w:b w:val="0"/>
          <w:i w:val="0"/>
          <w:u w:val="single"/>
          <w:lang w:eastAsia="en-AU"/>
        </w:rPr>
        <w:t>Definitions—ch 1A</w:t>
      </w:r>
    </w:p>
    <w:p w14:paraId="43F61E47" w14:textId="3BBF069B" w:rsidR="00573EFD" w:rsidRPr="00573EFD" w:rsidRDefault="00573EFD" w:rsidP="00573EFD">
      <w:pPr>
        <w:rPr>
          <w:lang w:eastAsia="en-AU"/>
        </w:rPr>
      </w:pPr>
      <w:r>
        <w:rPr>
          <w:lang w:eastAsia="en-AU"/>
        </w:rPr>
        <w:t>This section defines key terms for the chapter.</w:t>
      </w:r>
    </w:p>
    <w:p w14:paraId="50166D67" w14:textId="11CD5C40" w:rsidR="00573EFD" w:rsidRDefault="00573EFD" w:rsidP="00573EFD">
      <w:pPr>
        <w:pStyle w:val="Heading5"/>
        <w:rPr>
          <w:b w:val="0"/>
          <w:lang w:eastAsia="en-AU"/>
        </w:rPr>
      </w:pPr>
      <w:r w:rsidRPr="00573EFD">
        <w:rPr>
          <w:b w:val="0"/>
          <w:i w:val="0"/>
          <w:u w:val="single"/>
        </w:rPr>
        <w:t>New Section 4</w:t>
      </w:r>
      <w:r w:rsidR="00633421">
        <w:rPr>
          <w:b w:val="0"/>
          <w:i w:val="0"/>
          <w:u w:val="single"/>
        </w:rPr>
        <w:t>A</w:t>
      </w:r>
      <w:r w:rsidRPr="00573EFD">
        <w:rPr>
          <w:b w:val="0"/>
          <w:i w:val="0"/>
          <w:u w:val="single"/>
        </w:rPr>
        <w:fldChar w:fldCharType="begin"/>
      </w:r>
      <w:r w:rsidRPr="00573EFD">
        <w:rPr>
          <w:b w:val="0"/>
          <w:i w:val="0"/>
          <w:u w:val="single"/>
        </w:rPr>
        <w:instrText xml:space="preserve"> SEQ New_Section \* ALPHABETIC </w:instrText>
      </w:r>
      <w:r w:rsidRPr="00573EFD">
        <w:rPr>
          <w:b w:val="0"/>
          <w:i w:val="0"/>
          <w:u w:val="single"/>
        </w:rPr>
        <w:fldChar w:fldCharType="separate"/>
      </w:r>
      <w:r w:rsidR="00D24F11">
        <w:rPr>
          <w:b w:val="0"/>
          <w:i w:val="0"/>
          <w:noProof/>
          <w:u w:val="single"/>
        </w:rPr>
        <w:t>B</w:t>
      </w:r>
      <w:r w:rsidRPr="00573EFD">
        <w:rPr>
          <w:b w:val="0"/>
          <w:i w:val="0"/>
          <w:u w:val="single"/>
        </w:rPr>
        <w:fldChar w:fldCharType="end"/>
      </w:r>
      <w:r w:rsidRPr="00573EFD">
        <w:rPr>
          <w:b w:val="0"/>
          <w:i w:val="0"/>
          <w:u w:val="single"/>
        </w:rPr>
        <w:t xml:space="preserve"> </w:t>
      </w:r>
      <w:r>
        <w:rPr>
          <w:b w:val="0"/>
          <w:i w:val="0"/>
          <w:u w:val="single"/>
        </w:rPr>
        <w:t>–</w:t>
      </w:r>
      <w:r w:rsidRPr="00573EFD">
        <w:rPr>
          <w:bCs/>
          <w:i w:val="0"/>
          <w:szCs w:val="22"/>
          <w:u w:val="single"/>
          <w:lang w:eastAsia="en-AU"/>
        </w:rPr>
        <w:t xml:space="preserve"> </w:t>
      </w:r>
      <w:r w:rsidR="00677D84">
        <w:rPr>
          <w:b w:val="0"/>
          <w:bCs/>
          <w:i w:val="0"/>
          <w:u w:val="single"/>
        </w:rPr>
        <w:t>Direction to hold ground rules hearing</w:t>
      </w:r>
    </w:p>
    <w:p w14:paraId="12B19042" w14:textId="14ADC2E2" w:rsidR="003217FF" w:rsidRDefault="001E0822" w:rsidP="003217FF">
      <w:pPr>
        <w:rPr>
          <w:lang w:eastAsia="en-AU"/>
        </w:rPr>
      </w:pPr>
      <w:r>
        <w:rPr>
          <w:lang w:eastAsia="en-AU"/>
        </w:rPr>
        <w:t>This section sets out that a court may</w:t>
      </w:r>
      <w:r w:rsidR="003217FF" w:rsidRPr="00D35A39">
        <w:rPr>
          <w:lang w:eastAsia="en-AU"/>
        </w:rPr>
        <w:t>, at any time, direct that a ground rules hearing be held for any witness in a criminal proceeding</w:t>
      </w:r>
      <w:r>
        <w:rPr>
          <w:lang w:eastAsia="en-AU"/>
        </w:rPr>
        <w:t xml:space="preserve"> </w:t>
      </w:r>
      <w:r w:rsidR="00335E21">
        <w:rPr>
          <w:lang w:eastAsia="en-AU"/>
        </w:rPr>
        <w:t xml:space="preserve">where it is in the interests of justice to do so. A </w:t>
      </w:r>
      <w:r w:rsidR="0080087F">
        <w:rPr>
          <w:lang w:eastAsia="en-AU"/>
        </w:rPr>
        <w:t>c</w:t>
      </w:r>
      <w:r w:rsidR="00335E21">
        <w:rPr>
          <w:lang w:eastAsia="en-AU"/>
        </w:rPr>
        <w:t xml:space="preserve">ourt can make a direction to hold a ground rules hearing </w:t>
      </w:r>
      <w:r>
        <w:rPr>
          <w:lang w:eastAsia="en-AU"/>
        </w:rPr>
        <w:t xml:space="preserve">on its own initiative, </w:t>
      </w:r>
      <w:r w:rsidR="00335E21">
        <w:rPr>
          <w:lang w:eastAsia="en-AU"/>
        </w:rPr>
        <w:t xml:space="preserve">or </w:t>
      </w:r>
      <w:r>
        <w:rPr>
          <w:lang w:eastAsia="en-AU"/>
        </w:rPr>
        <w:t xml:space="preserve">on the application of </w:t>
      </w:r>
      <w:r w:rsidR="00335E21">
        <w:rPr>
          <w:lang w:eastAsia="en-AU"/>
        </w:rPr>
        <w:t xml:space="preserve">the DPP, the </w:t>
      </w:r>
      <w:r>
        <w:rPr>
          <w:lang w:eastAsia="en-AU"/>
        </w:rPr>
        <w:t>accused person or the witness.</w:t>
      </w:r>
    </w:p>
    <w:p w14:paraId="664EA431" w14:textId="77777777" w:rsidR="00677D84" w:rsidRPr="00D35A39" w:rsidRDefault="00677D84" w:rsidP="00677D84">
      <w:pPr>
        <w:rPr>
          <w:lang w:eastAsia="en-AU"/>
        </w:rPr>
      </w:pPr>
      <w:r w:rsidRPr="00D35A39">
        <w:rPr>
          <w:lang w:eastAsia="en-AU"/>
        </w:rPr>
        <w:t xml:space="preserve">A court must direct that a ground rules hearing be held for a witness in a criminal proceeding if an intermediary has been appointed for the witness in the proceeding. </w:t>
      </w:r>
    </w:p>
    <w:p w14:paraId="709D043B" w14:textId="5494DF08" w:rsidR="001E0822" w:rsidRPr="00D35A39" w:rsidRDefault="00677D84" w:rsidP="003217FF">
      <w:pPr>
        <w:rPr>
          <w:lang w:eastAsia="en-AU"/>
        </w:rPr>
      </w:pPr>
      <w:r>
        <w:rPr>
          <w:lang w:eastAsia="en-AU"/>
        </w:rPr>
        <w:lastRenderedPageBreak/>
        <w:t>This section also</w:t>
      </w:r>
      <w:r w:rsidR="001E0822">
        <w:rPr>
          <w:lang w:eastAsia="en-AU"/>
        </w:rPr>
        <w:t xml:space="preserve"> clarifies that an application for a ground rules hearing can be made orally or in writing to afford the maximum flexibility to the process.</w:t>
      </w:r>
    </w:p>
    <w:p w14:paraId="4E8ADA3A" w14:textId="76C900DC" w:rsidR="001E0822" w:rsidRPr="001E0822" w:rsidRDefault="00573EFD" w:rsidP="001E0822">
      <w:pPr>
        <w:pStyle w:val="Heading5"/>
        <w:rPr>
          <w:b w:val="0"/>
          <w:i w:val="0"/>
          <w:u w:val="single"/>
        </w:rPr>
      </w:pPr>
      <w:r w:rsidRPr="00573EFD">
        <w:rPr>
          <w:b w:val="0"/>
          <w:i w:val="0"/>
          <w:u w:val="single"/>
        </w:rPr>
        <w:t>New Section 4</w:t>
      </w:r>
      <w:r w:rsidR="00633421">
        <w:rPr>
          <w:b w:val="0"/>
          <w:i w:val="0"/>
          <w:u w:val="single"/>
        </w:rPr>
        <w:t>A</w:t>
      </w:r>
      <w:r w:rsidRPr="00573EFD">
        <w:rPr>
          <w:b w:val="0"/>
          <w:i w:val="0"/>
          <w:u w:val="single"/>
        </w:rPr>
        <w:fldChar w:fldCharType="begin"/>
      </w:r>
      <w:r w:rsidRPr="00573EFD">
        <w:rPr>
          <w:b w:val="0"/>
          <w:i w:val="0"/>
          <w:u w:val="single"/>
        </w:rPr>
        <w:instrText xml:space="preserve"> SEQ New_Section \* ALPHABETIC </w:instrText>
      </w:r>
      <w:r w:rsidRPr="00573EFD">
        <w:rPr>
          <w:b w:val="0"/>
          <w:i w:val="0"/>
          <w:u w:val="single"/>
        </w:rPr>
        <w:fldChar w:fldCharType="separate"/>
      </w:r>
      <w:r w:rsidR="00D24F11">
        <w:rPr>
          <w:b w:val="0"/>
          <w:i w:val="0"/>
          <w:noProof/>
          <w:u w:val="single"/>
        </w:rPr>
        <w:t>C</w:t>
      </w:r>
      <w:r w:rsidRPr="00573EFD">
        <w:rPr>
          <w:b w:val="0"/>
          <w:i w:val="0"/>
          <w:u w:val="single"/>
        </w:rPr>
        <w:fldChar w:fldCharType="end"/>
      </w:r>
      <w:r w:rsidRPr="00573EFD">
        <w:rPr>
          <w:b w:val="0"/>
          <w:i w:val="0"/>
          <w:u w:val="single"/>
        </w:rPr>
        <w:t xml:space="preserve"> </w:t>
      </w:r>
      <w:r>
        <w:rPr>
          <w:b w:val="0"/>
          <w:i w:val="0"/>
          <w:u w:val="single"/>
        </w:rPr>
        <w:t>–</w:t>
      </w:r>
      <w:r w:rsidR="001E0822">
        <w:rPr>
          <w:b w:val="0"/>
          <w:i w:val="0"/>
          <w:u w:val="single"/>
        </w:rPr>
        <w:t xml:space="preserve"> </w:t>
      </w:r>
      <w:r w:rsidR="001E0822" w:rsidRPr="001E0822">
        <w:rPr>
          <w:b w:val="0"/>
          <w:bCs/>
          <w:i w:val="0"/>
          <w:u w:val="single"/>
        </w:rPr>
        <w:t xml:space="preserve">Ground rules hearings—time limits </w:t>
      </w:r>
    </w:p>
    <w:p w14:paraId="3FE2B32B" w14:textId="58626F65" w:rsidR="001E0822" w:rsidRDefault="001E0822" w:rsidP="001E0822">
      <w:pPr>
        <w:pStyle w:val="BodyText"/>
      </w:pPr>
      <w:r>
        <w:t xml:space="preserve">This section </w:t>
      </w:r>
      <w:r w:rsidR="004546B5">
        <w:t>mandates</w:t>
      </w:r>
      <w:r>
        <w:t xml:space="preserve"> </w:t>
      </w:r>
      <w:r w:rsidR="004546B5">
        <w:t>that</w:t>
      </w:r>
      <w:r>
        <w:t xml:space="preserve"> a ground rules hearing must occur prior to a witness giving </w:t>
      </w:r>
      <w:r w:rsidR="008E0B34">
        <w:t>evidence in</w:t>
      </w:r>
      <w:r w:rsidRPr="001E0822">
        <w:t xml:space="preserve"> the proceeding. </w:t>
      </w:r>
    </w:p>
    <w:p w14:paraId="15BADF60" w14:textId="4130ED29" w:rsidR="00DF25F8" w:rsidRPr="001E0822" w:rsidRDefault="00DF25F8" w:rsidP="001E0822">
      <w:pPr>
        <w:pStyle w:val="BodyText"/>
      </w:pPr>
      <w:r>
        <w:t xml:space="preserve">Subsection (2) allows the </w:t>
      </w:r>
      <w:r w:rsidR="0080087F">
        <w:t>C</w:t>
      </w:r>
      <w:r>
        <w:t>ourt to extend the time for holding a ground rules hearing if it is in the interests of justice to do so.</w:t>
      </w:r>
      <w:r w:rsidR="00063F45">
        <w:t xml:space="preserve"> For example, it may not become apparent until part way through a proceeding that the witness has a communication difficulty and would benefit from an intermediary. In this situation the Court may extend the time for holding a ground rules hearing.</w:t>
      </w:r>
    </w:p>
    <w:p w14:paraId="39DC430A" w14:textId="086B304A" w:rsidR="00573EFD" w:rsidRDefault="00573EFD" w:rsidP="00573EFD">
      <w:pPr>
        <w:pStyle w:val="Heading5"/>
        <w:rPr>
          <w:b w:val="0"/>
          <w:lang w:eastAsia="en-AU"/>
        </w:rPr>
      </w:pPr>
      <w:r w:rsidRPr="00573EFD">
        <w:rPr>
          <w:b w:val="0"/>
          <w:i w:val="0"/>
          <w:u w:val="single"/>
        </w:rPr>
        <w:t>New Section 4</w:t>
      </w:r>
      <w:r w:rsidR="00633421">
        <w:rPr>
          <w:b w:val="0"/>
          <w:i w:val="0"/>
          <w:u w:val="single"/>
        </w:rPr>
        <w:t>A</w:t>
      </w:r>
      <w:r w:rsidRPr="00573EFD">
        <w:rPr>
          <w:b w:val="0"/>
          <w:i w:val="0"/>
          <w:u w:val="single"/>
        </w:rPr>
        <w:fldChar w:fldCharType="begin"/>
      </w:r>
      <w:r w:rsidRPr="00573EFD">
        <w:rPr>
          <w:b w:val="0"/>
          <w:i w:val="0"/>
          <w:u w:val="single"/>
        </w:rPr>
        <w:instrText xml:space="preserve"> SEQ New_Section \* ALPHABETIC </w:instrText>
      </w:r>
      <w:r w:rsidRPr="00573EFD">
        <w:rPr>
          <w:b w:val="0"/>
          <w:i w:val="0"/>
          <w:u w:val="single"/>
        </w:rPr>
        <w:fldChar w:fldCharType="separate"/>
      </w:r>
      <w:r w:rsidR="00D24F11">
        <w:rPr>
          <w:b w:val="0"/>
          <w:i w:val="0"/>
          <w:noProof/>
          <w:u w:val="single"/>
        </w:rPr>
        <w:t>D</w:t>
      </w:r>
      <w:r w:rsidRPr="00573EFD">
        <w:rPr>
          <w:b w:val="0"/>
          <w:i w:val="0"/>
          <w:u w:val="single"/>
        </w:rPr>
        <w:fldChar w:fldCharType="end"/>
      </w:r>
      <w:r w:rsidRPr="00573EFD">
        <w:rPr>
          <w:b w:val="0"/>
          <w:i w:val="0"/>
          <w:u w:val="single"/>
        </w:rPr>
        <w:t xml:space="preserve"> </w:t>
      </w:r>
      <w:r>
        <w:rPr>
          <w:b w:val="0"/>
          <w:i w:val="0"/>
          <w:u w:val="single"/>
        </w:rPr>
        <w:t>–</w:t>
      </w:r>
      <w:r w:rsidR="00DF25F8">
        <w:rPr>
          <w:b w:val="0"/>
          <w:i w:val="0"/>
          <w:u w:val="single"/>
        </w:rPr>
        <w:t xml:space="preserve"> </w:t>
      </w:r>
      <w:r w:rsidR="00DF25F8" w:rsidRPr="00DF25F8">
        <w:rPr>
          <w:b w:val="0"/>
          <w:bCs/>
          <w:i w:val="0"/>
          <w:u w:val="single"/>
        </w:rPr>
        <w:t>Ground rules hearings—who must attend</w:t>
      </w:r>
    </w:p>
    <w:p w14:paraId="52049892" w14:textId="6A8E4134" w:rsidR="00573EFD" w:rsidRDefault="00063F45" w:rsidP="008601BD">
      <w:pPr>
        <w:rPr>
          <w:lang w:eastAsia="en-AU"/>
        </w:rPr>
      </w:pPr>
      <w:r>
        <w:rPr>
          <w:lang w:eastAsia="en-AU"/>
        </w:rPr>
        <w:t xml:space="preserve">The purpose of this section is to ensure that the relevant legal representatives and the intermediary are present for the ground rules hearing. </w:t>
      </w:r>
      <w:r w:rsidR="008601BD">
        <w:rPr>
          <w:lang w:eastAsia="en-AU"/>
        </w:rPr>
        <w:t xml:space="preserve">A </w:t>
      </w:r>
      <w:r w:rsidR="00DF25F8">
        <w:rPr>
          <w:lang w:eastAsia="en-AU"/>
        </w:rPr>
        <w:t>witness is not required to attend the ground rules hearing</w:t>
      </w:r>
      <w:r w:rsidR="00573EFD">
        <w:rPr>
          <w:lang w:eastAsia="en-AU"/>
        </w:rPr>
        <w:t>.</w:t>
      </w:r>
      <w:r w:rsidR="00DF25F8">
        <w:rPr>
          <w:lang w:eastAsia="en-AU"/>
        </w:rPr>
        <w:t xml:space="preserve"> In this regard, the </w:t>
      </w:r>
      <w:r w:rsidR="0080087F">
        <w:rPr>
          <w:lang w:eastAsia="en-AU"/>
        </w:rPr>
        <w:t>C</w:t>
      </w:r>
      <w:r w:rsidR="00DF25F8">
        <w:rPr>
          <w:lang w:eastAsia="en-AU"/>
        </w:rPr>
        <w:t>ourt may make an order that a witness for whom an intermediary is appointed not attend a ground rules hearing.</w:t>
      </w:r>
      <w:r>
        <w:rPr>
          <w:lang w:eastAsia="en-AU"/>
        </w:rPr>
        <w:t xml:space="preserve"> The reason for allowing the Court to order that a witness not attend, is to facilitate transparent discussion about any communication difficulties the witness may have. Discussion about the barriers may be inhibited by the presence of the witness in some circumstances.</w:t>
      </w:r>
    </w:p>
    <w:p w14:paraId="155DECE3" w14:textId="2BB14922" w:rsidR="00573EFD" w:rsidRPr="00063F45" w:rsidRDefault="00573EFD" w:rsidP="00573EFD">
      <w:pPr>
        <w:pStyle w:val="Heading5"/>
        <w:rPr>
          <w:b w:val="0"/>
          <w:bCs/>
          <w:i w:val="0"/>
          <w:u w:val="single"/>
        </w:rPr>
      </w:pPr>
      <w:r w:rsidRPr="00063F45">
        <w:rPr>
          <w:b w:val="0"/>
          <w:i w:val="0"/>
          <w:u w:val="single"/>
        </w:rPr>
        <w:t>New Section 4</w:t>
      </w:r>
      <w:r w:rsidR="00633421">
        <w:rPr>
          <w:b w:val="0"/>
          <w:i w:val="0"/>
          <w:u w:val="single"/>
        </w:rPr>
        <w:t>A</w:t>
      </w:r>
      <w:r w:rsidRPr="00063F45">
        <w:rPr>
          <w:b w:val="0"/>
          <w:i w:val="0"/>
          <w:u w:val="single"/>
        </w:rPr>
        <w:fldChar w:fldCharType="begin"/>
      </w:r>
      <w:r w:rsidRPr="00063F45">
        <w:rPr>
          <w:b w:val="0"/>
          <w:i w:val="0"/>
          <w:u w:val="single"/>
        </w:rPr>
        <w:instrText xml:space="preserve"> SEQ New_Section \* ALPHABETIC </w:instrText>
      </w:r>
      <w:r w:rsidRPr="00063F45">
        <w:rPr>
          <w:b w:val="0"/>
          <w:i w:val="0"/>
          <w:u w:val="single"/>
        </w:rPr>
        <w:fldChar w:fldCharType="separate"/>
      </w:r>
      <w:r w:rsidR="00D24F11">
        <w:rPr>
          <w:b w:val="0"/>
          <w:i w:val="0"/>
          <w:noProof/>
          <w:u w:val="single"/>
        </w:rPr>
        <w:t>E</w:t>
      </w:r>
      <w:r w:rsidRPr="00063F45">
        <w:rPr>
          <w:b w:val="0"/>
          <w:i w:val="0"/>
          <w:u w:val="single"/>
        </w:rPr>
        <w:fldChar w:fldCharType="end"/>
      </w:r>
      <w:r w:rsidRPr="00063F45">
        <w:rPr>
          <w:b w:val="0"/>
          <w:i w:val="0"/>
          <w:u w:val="single"/>
        </w:rPr>
        <w:t xml:space="preserve"> –</w:t>
      </w:r>
      <w:r w:rsidR="008E0B34" w:rsidRPr="00063F45">
        <w:rPr>
          <w:b w:val="0"/>
          <w:i w:val="0"/>
          <w:u w:val="single"/>
        </w:rPr>
        <w:t xml:space="preserve"> </w:t>
      </w:r>
      <w:r w:rsidR="008E0B34" w:rsidRPr="00063F45">
        <w:rPr>
          <w:b w:val="0"/>
          <w:bCs/>
          <w:i w:val="0"/>
          <w:u w:val="single"/>
        </w:rPr>
        <w:t>Ground rules hearings—</w:t>
      </w:r>
      <w:r w:rsidR="00677D84" w:rsidRPr="00063F45">
        <w:rPr>
          <w:b w:val="0"/>
          <w:bCs/>
          <w:i w:val="0"/>
          <w:u w:val="single"/>
        </w:rPr>
        <w:t>intermediary’s report</w:t>
      </w:r>
    </w:p>
    <w:p w14:paraId="6FAE4F51" w14:textId="56CA69DE" w:rsidR="00677D84" w:rsidRPr="00063F45" w:rsidRDefault="00063F45" w:rsidP="00677D84">
      <w:pPr>
        <w:pStyle w:val="BodyText"/>
      </w:pPr>
      <w:r w:rsidRPr="00063F45">
        <w:t xml:space="preserve">This section requires an intermediary to provide the </w:t>
      </w:r>
      <w:r w:rsidR="0080087F">
        <w:t>C</w:t>
      </w:r>
      <w:r w:rsidRPr="00063F45">
        <w:t xml:space="preserve">ourt with a report about the communication needs of the witness before the ground rules hearing. The report will be based on an assessment </w:t>
      </w:r>
      <w:r w:rsidR="00F34B2B">
        <w:t>of</w:t>
      </w:r>
      <w:r w:rsidR="00F34B2B" w:rsidRPr="00063F45">
        <w:t xml:space="preserve"> </w:t>
      </w:r>
      <w:r w:rsidRPr="00063F45">
        <w:t>the witness. The purpose of the report is to provide a basis on which the Court can make appropriate directions.</w:t>
      </w:r>
    </w:p>
    <w:p w14:paraId="5C0DD09B" w14:textId="532FC743" w:rsidR="00677D84" w:rsidRPr="00063F45" w:rsidRDefault="00677D84" w:rsidP="00677D84">
      <w:pPr>
        <w:pStyle w:val="Heading5"/>
        <w:rPr>
          <w:b w:val="0"/>
          <w:lang w:eastAsia="en-AU"/>
        </w:rPr>
      </w:pPr>
      <w:r w:rsidRPr="00063F45">
        <w:rPr>
          <w:b w:val="0"/>
          <w:i w:val="0"/>
          <w:u w:val="single"/>
        </w:rPr>
        <w:t>New Section 4</w:t>
      </w:r>
      <w:r w:rsidR="00633421">
        <w:rPr>
          <w:b w:val="0"/>
          <w:i w:val="0"/>
          <w:u w:val="single"/>
        </w:rPr>
        <w:t>A</w:t>
      </w:r>
      <w:r w:rsidRPr="00063F45">
        <w:rPr>
          <w:b w:val="0"/>
          <w:i w:val="0"/>
          <w:u w:val="single"/>
        </w:rPr>
        <w:fldChar w:fldCharType="begin"/>
      </w:r>
      <w:r w:rsidRPr="00063F45">
        <w:rPr>
          <w:b w:val="0"/>
          <w:i w:val="0"/>
          <w:u w:val="single"/>
        </w:rPr>
        <w:instrText xml:space="preserve"> SEQ New_Section \* ALPHABETIC </w:instrText>
      </w:r>
      <w:r w:rsidRPr="00063F45">
        <w:rPr>
          <w:b w:val="0"/>
          <w:i w:val="0"/>
          <w:u w:val="single"/>
        </w:rPr>
        <w:fldChar w:fldCharType="separate"/>
      </w:r>
      <w:r w:rsidR="00D24F11">
        <w:rPr>
          <w:b w:val="0"/>
          <w:i w:val="0"/>
          <w:noProof/>
          <w:u w:val="single"/>
        </w:rPr>
        <w:t>F</w:t>
      </w:r>
      <w:r w:rsidRPr="00063F45">
        <w:rPr>
          <w:b w:val="0"/>
          <w:i w:val="0"/>
          <w:u w:val="single"/>
        </w:rPr>
        <w:fldChar w:fldCharType="end"/>
      </w:r>
      <w:r w:rsidRPr="00063F45">
        <w:rPr>
          <w:b w:val="0"/>
          <w:i w:val="0"/>
          <w:u w:val="single"/>
        </w:rPr>
        <w:t xml:space="preserve"> – </w:t>
      </w:r>
      <w:r w:rsidRPr="00063F45">
        <w:rPr>
          <w:b w:val="0"/>
          <w:bCs/>
          <w:i w:val="0"/>
          <w:u w:val="single"/>
        </w:rPr>
        <w:t>Ground rules hearings—directions</w:t>
      </w:r>
    </w:p>
    <w:p w14:paraId="4F557DC1" w14:textId="114E2D42" w:rsidR="00573EFD" w:rsidRDefault="00063F45" w:rsidP="00573EFD">
      <w:pPr>
        <w:rPr>
          <w:lang w:eastAsia="en-AU"/>
        </w:rPr>
      </w:pPr>
      <w:r w:rsidRPr="00063F45">
        <w:rPr>
          <w:lang w:eastAsia="en-AU"/>
        </w:rPr>
        <w:t xml:space="preserve">This section </w:t>
      </w:r>
      <w:r w:rsidR="008601BD">
        <w:rPr>
          <w:lang w:eastAsia="en-AU"/>
        </w:rPr>
        <w:t xml:space="preserve">allows a court to make a </w:t>
      </w:r>
      <w:r w:rsidRPr="00063F45">
        <w:rPr>
          <w:lang w:eastAsia="en-AU"/>
        </w:rPr>
        <w:t xml:space="preserve">range of directions </w:t>
      </w:r>
      <w:r w:rsidR="008601BD">
        <w:rPr>
          <w:lang w:eastAsia="en-AU"/>
        </w:rPr>
        <w:t>where it considers it in the interests of justice to do so.</w:t>
      </w:r>
    </w:p>
    <w:p w14:paraId="4C54CC76" w14:textId="51E8A5B0" w:rsidR="00063F45" w:rsidRPr="00063F45" w:rsidRDefault="00063F45" w:rsidP="00573EFD">
      <w:pPr>
        <w:rPr>
          <w:lang w:eastAsia="en-AU"/>
        </w:rPr>
      </w:pPr>
      <w:r>
        <w:rPr>
          <w:lang w:eastAsia="en-AU"/>
        </w:rPr>
        <w:t xml:space="preserve">This section also requires that, if an intermediary has provided a report to the </w:t>
      </w:r>
      <w:r w:rsidR="0080087F">
        <w:rPr>
          <w:lang w:eastAsia="en-AU"/>
        </w:rPr>
        <w:t>C</w:t>
      </w:r>
      <w:r>
        <w:rPr>
          <w:lang w:eastAsia="en-AU"/>
        </w:rPr>
        <w:t xml:space="preserve">ourt under section 4E, the Court must consider the matters mentioned in the report in making the direction. </w:t>
      </w:r>
    </w:p>
    <w:p w14:paraId="00BF4A5F" w14:textId="53C318C5" w:rsidR="008E0B34" w:rsidRPr="00C80079" w:rsidRDefault="008E0B34" w:rsidP="004A26AC">
      <w:pPr>
        <w:keepNext/>
        <w:rPr>
          <w:u w:val="single"/>
          <w:lang w:eastAsia="en-AU"/>
        </w:rPr>
      </w:pPr>
      <w:r w:rsidRPr="00C80079">
        <w:rPr>
          <w:b/>
          <w:bCs/>
          <w:u w:val="single"/>
          <w:lang w:eastAsia="en-AU"/>
        </w:rPr>
        <w:t>Chapter 1B Witness intermediaries</w:t>
      </w:r>
      <w:r w:rsidR="00677D84" w:rsidRPr="00C80079">
        <w:rPr>
          <w:b/>
          <w:bCs/>
          <w:u w:val="single"/>
          <w:lang w:eastAsia="en-AU"/>
        </w:rPr>
        <w:t xml:space="preserve"> – criminal proceedings</w:t>
      </w:r>
      <w:r w:rsidRPr="00C80079">
        <w:rPr>
          <w:b/>
          <w:bCs/>
          <w:u w:val="single"/>
          <w:lang w:eastAsia="en-AU"/>
        </w:rPr>
        <w:t xml:space="preserve"> </w:t>
      </w:r>
    </w:p>
    <w:p w14:paraId="1DC64549" w14:textId="6283559E" w:rsidR="00573EFD" w:rsidRPr="00C80079" w:rsidRDefault="00573EFD" w:rsidP="00573EFD">
      <w:pPr>
        <w:pStyle w:val="Heading5"/>
        <w:rPr>
          <w:b w:val="0"/>
          <w:lang w:eastAsia="en-AU"/>
        </w:rPr>
      </w:pPr>
      <w:r w:rsidRPr="00C80079">
        <w:rPr>
          <w:b w:val="0"/>
          <w:i w:val="0"/>
          <w:u w:val="single"/>
        </w:rPr>
        <w:t>New Section 4</w:t>
      </w:r>
      <w:r w:rsidR="00633421">
        <w:rPr>
          <w:b w:val="0"/>
          <w:i w:val="0"/>
          <w:u w:val="single"/>
        </w:rPr>
        <w:t>A</w:t>
      </w:r>
      <w:r w:rsidRPr="00C80079">
        <w:rPr>
          <w:b w:val="0"/>
          <w:i w:val="0"/>
          <w:u w:val="single"/>
        </w:rPr>
        <w:fldChar w:fldCharType="begin"/>
      </w:r>
      <w:r w:rsidRPr="00C80079">
        <w:rPr>
          <w:b w:val="0"/>
          <w:i w:val="0"/>
          <w:u w:val="single"/>
        </w:rPr>
        <w:instrText xml:space="preserve"> SEQ New_Section \* ALPHABETIC </w:instrText>
      </w:r>
      <w:r w:rsidRPr="00C80079">
        <w:rPr>
          <w:b w:val="0"/>
          <w:i w:val="0"/>
          <w:u w:val="single"/>
        </w:rPr>
        <w:fldChar w:fldCharType="separate"/>
      </w:r>
      <w:r w:rsidR="00D24F11">
        <w:rPr>
          <w:b w:val="0"/>
          <w:i w:val="0"/>
          <w:noProof/>
          <w:u w:val="single"/>
        </w:rPr>
        <w:t>G</w:t>
      </w:r>
      <w:r w:rsidRPr="00C80079">
        <w:rPr>
          <w:b w:val="0"/>
          <w:i w:val="0"/>
          <w:u w:val="single"/>
        </w:rPr>
        <w:fldChar w:fldCharType="end"/>
      </w:r>
      <w:r w:rsidRPr="00C80079">
        <w:rPr>
          <w:b w:val="0"/>
          <w:i w:val="0"/>
          <w:u w:val="single"/>
        </w:rPr>
        <w:t xml:space="preserve"> –</w:t>
      </w:r>
      <w:r w:rsidR="00DB553E" w:rsidRPr="00C80079">
        <w:rPr>
          <w:b w:val="0"/>
          <w:i w:val="0"/>
          <w:u w:val="single"/>
        </w:rPr>
        <w:t xml:space="preserve"> Definitions</w:t>
      </w:r>
    </w:p>
    <w:p w14:paraId="5A5CB1C6" w14:textId="77777777" w:rsidR="00573EFD" w:rsidRPr="00C80079" w:rsidRDefault="00573EFD" w:rsidP="00573EFD">
      <w:pPr>
        <w:rPr>
          <w:lang w:eastAsia="en-AU"/>
        </w:rPr>
      </w:pPr>
      <w:r w:rsidRPr="00C80079">
        <w:rPr>
          <w:lang w:eastAsia="en-AU"/>
        </w:rPr>
        <w:t>This section defines key terms for the chapter.</w:t>
      </w:r>
    </w:p>
    <w:p w14:paraId="311CD1DF" w14:textId="207E5C9C" w:rsidR="00573EFD" w:rsidRPr="00C80079" w:rsidRDefault="00573EFD" w:rsidP="00573EFD">
      <w:pPr>
        <w:pStyle w:val="Heading5"/>
        <w:rPr>
          <w:b w:val="0"/>
          <w:lang w:eastAsia="en-AU"/>
        </w:rPr>
      </w:pPr>
      <w:r w:rsidRPr="00C80079">
        <w:rPr>
          <w:b w:val="0"/>
          <w:i w:val="0"/>
          <w:u w:val="single"/>
        </w:rPr>
        <w:t>New Section 4</w:t>
      </w:r>
      <w:r w:rsidR="00633421">
        <w:rPr>
          <w:b w:val="0"/>
          <w:i w:val="0"/>
          <w:u w:val="single"/>
        </w:rPr>
        <w:t>A</w:t>
      </w:r>
      <w:r w:rsidRPr="00C80079">
        <w:rPr>
          <w:b w:val="0"/>
          <w:i w:val="0"/>
          <w:u w:val="single"/>
        </w:rPr>
        <w:fldChar w:fldCharType="begin"/>
      </w:r>
      <w:r w:rsidRPr="00C80079">
        <w:rPr>
          <w:b w:val="0"/>
          <w:i w:val="0"/>
          <w:u w:val="single"/>
        </w:rPr>
        <w:instrText xml:space="preserve"> SEQ New_Section \* ALPHABETIC </w:instrText>
      </w:r>
      <w:r w:rsidRPr="00C80079">
        <w:rPr>
          <w:b w:val="0"/>
          <w:i w:val="0"/>
          <w:u w:val="single"/>
        </w:rPr>
        <w:fldChar w:fldCharType="separate"/>
      </w:r>
      <w:r w:rsidR="00D24F11">
        <w:rPr>
          <w:b w:val="0"/>
          <w:i w:val="0"/>
          <w:noProof/>
          <w:u w:val="single"/>
        </w:rPr>
        <w:t>H</w:t>
      </w:r>
      <w:r w:rsidRPr="00C80079">
        <w:rPr>
          <w:b w:val="0"/>
          <w:i w:val="0"/>
          <w:u w:val="single"/>
        </w:rPr>
        <w:fldChar w:fldCharType="end"/>
      </w:r>
      <w:r w:rsidRPr="00C80079">
        <w:rPr>
          <w:b w:val="0"/>
          <w:i w:val="0"/>
          <w:u w:val="single"/>
        </w:rPr>
        <w:t xml:space="preserve"> –</w:t>
      </w:r>
      <w:r w:rsidR="004D1803" w:rsidRPr="00C80079">
        <w:rPr>
          <w:b w:val="0"/>
          <w:i w:val="0"/>
          <w:color w:val="000000"/>
          <w:u w:val="single"/>
          <w:lang w:eastAsia="en-AU"/>
        </w:rPr>
        <w:t xml:space="preserve"> </w:t>
      </w:r>
      <w:r w:rsidR="004D1803" w:rsidRPr="00C80079">
        <w:rPr>
          <w:b w:val="0"/>
          <w:i w:val="0"/>
          <w:u w:val="single"/>
        </w:rPr>
        <w:t>Panel of witness intermediaries</w:t>
      </w:r>
    </w:p>
    <w:p w14:paraId="39AC22CA" w14:textId="71AC81C0" w:rsidR="00573EFD" w:rsidRPr="00C80079" w:rsidRDefault="004D1803" w:rsidP="00D676A2">
      <w:pPr>
        <w:pStyle w:val="BodyText"/>
      </w:pPr>
      <w:r w:rsidRPr="00C80079">
        <w:lastRenderedPageBreak/>
        <w:t>This section creates the power for the intermediaries administrator to establish</w:t>
      </w:r>
      <w:r w:rsidR="00B0215A">
        <w:t xml:space="preserve"> </w:t>
      </w:r>
      <w:r w:rsidR="00B0215A" w:rsidRPr="0048484E">
        <w:t xml:space="preserve">and </w:t>
      </w:r>
      <w:r w:rsidR="0048484E" w:rsidRPr="0048484E">
        <w:t>maintain</w:t>
      </w:r>
      <w:r w:rsidRPr="00C80079">
        <w:t xml:space="preserve"> an intermediaries panel</w:t>
      </w:r>
      <w:r w:rsidR="00E109E9">
        <w:t xml:space="preserve">, </w:t>
      </w:r>
      <w:r w:rsidR="001E2B11">
        <w:t>including the power to remove and replace members</w:t>
      </w:r>
      <w:r w:rsidRPr="00C80079">
        <w:t xml:space="preserve">. The intermediaries administrator can appoint people who have a tertiary or other qualification in specific fields as prescribed in the regulation or by legislation. The administrator can also appoint people if they have qualifications, training, experience or skills that the administrator considers are suitable to exercise the functions of a witness intermediary. </w:t>
      </w:r>
    </w:p>
    <w:p w14:paraId="1BBF83DD" w14:textId="6D423D69" w:rsidR="00573EFD" w:rsidRPr="004872DC" w:rsidRDefault="00573EFD" w:rsidP="00573EFD">
      <w:pPr>
        <w:pStyle w:val="Heading5"/>
        <w:rPr>
          <w:b w:val="0"/>
          <w:u w:val="single"/>
          <w:lang w:eastAsia="en-AU"/>
        </w:rPr>
      </w:pPr>
      <w:r w:rsidRPr="004872DC">
        <w:rPr>
          <w:b w:val="0"/>
          <w:i w:val="0"/>
          <w:u w:val="single"/>
        </w:rPr>
        <w:t>New Section 4</w:t>
      </w:r>
      <w:r w:rsidR="00633421">
        <w:rPr>
          <w:b w:val="0"/>
          <w:i w:val="0"/>
          <w:u w:val="single"/>
        </w:rPr>
        <w:t>A</w:t>
      </w:r>
      <w:r w:rsidRPr="004872DC">
        <w:rPr>
          <w:b w:val="0"/>
          <w:i w:val="0"/>
          <w:u w:val="single"/>
        </w:rPr>
        <w:fldChar w:fldCharType="begin"/>
      </w:r>
      <w:r w:rsidRPr="004872DC">
        <w:rPr>
          <w:b w:val="0"/>
          <w:i w:val="0"/>
          <w:u w:val="single"/>
        </w:rPr>
        <w:instrText xml:space="preserve"> SEQ New_Section \* ALPHABETIC </w:instrText>
      </w:r>
      <w:r w:rsidRPr="004872DC">
        <w:rPr>
          <w:b w:val="0"/>
          <w:i w:val="0"/>
          <w:u w:val="single"/>
        </w:rPr>
        <w:fldChar w:fldCharType="separate"/>
      </w:r>
      <w:r w:rsidR="00D24F11">
        <w:rPr>
          <w:b w:val="0"/>
          <w:i w:val="0"/>
          <w:noProof/>
          <w:u w:val="single"/>
        </w:rPr>
        <w:t>I</w:t>
      </w:r>
      <w:r w:rsidRPr="004872DC">
        <w:rPr>
          <w:b w:val="0"/>
          <w:i w:val="0"/>
          <w:u w:val="single"/>
        </w:rPr>
        <w:fldChar w:fldCharType="end"/>
      </w:r>
      <w:r w:rsidRPr="004872DC">
        <w:rPr>
          <w:b w:val="0"/>
          <w:i w:val="0"/>
          <w:u w:val="single"/>
        </w:rPr>
        <w:t xml:space="preserve"> –</w:t>
      </w:r>
      <w:r w:rsidR="004D1803" w:rsidRPr="004872DC">
        <w:rPr>
          <w:b w:val="0"/>
          <w:i w:val="0"/>
          <w:u w:val="single"/>
        </w:rPr>
        <w:t xml:space="preserve"> Functions of witness intermediaries</w:t>
      </w:r>
    </w:p>
    <w:p w14:paraId="1D327F04" w14:textId="65293929" w:rsidR="00573EFD" w:rsidRDefault="00573EFD" w:rsidP="00573EFD">
      <w:pPr>
        <w:rPr>
          <w:lang w:eastAsia="en-AU"/>
        </w:rPr>
      </w:pPr>
      <w:r w:rsidRPr="00C80079">
        <w:rPr>
          <w:lang w:eastAsia="en-AU"/>
        </w:rPr>
        <w:t xml:space="preserve">This section </w:t>
      </w:r>
      <w:r w:rsidR="00C80079" w:rsidRPr="00C80079">
        <w:rPr>
          <w:lang w:eastAsia="en-AU"/>
        </w:rPr>
        <w:t xml:space="preserve">outlines the functions of </w:t>
      </w:r>
      <w:r w:rsidR="00C80079">
        <w:rPr>
          <w:lang w:eastAsia="en-AU"/>
        </w:rPr>
        <w:t xml:space="preserve">intermediaries. These are to prepare reports for the purposes of ground rules hearings, and to facilitate communication between the witness and the person putting questions to the witness. </w:t>
      </w:r>
    </w:p>
    <w:p w14:paraId="7982CD22" w14:textId="44F0DF61" w:rsidR="00366250" w:rsidRPr="00C80079" w:rsidRDefault="00366250" w:rsidP="00573EFD">
      <w:pPr>
        <w:rPr>
          <w:lang w:eastAsia="en-AU"/>
        </w:rPr>
      </w:pPr>
      <w:r>
        <w:rPr>
          <w:lang w:eastAsia="en-AU"/>
        </w:rPr>
        <w:t>This section also makes clear that an intermediary appointed for a witness is an officer of the court and must act impartially when assisting communication with the witness.</w:t>
      </w:r>
    </w:p>
    <w:p w14:paraId="11592624" w14:textId="51E5EC36" w:rsidR="000A3860" w:rsidRPr="00B728EF" w:rsidRDefault="000A3860" w:rsidP="000A3860">
      <w:pPr>
        <w:pStyle w:val="Heading5"/>
        <w:rPr>
          <w:b w:val="0"/>
          <w:lang w:eastAsia="en-AU"/>
        </w:rPr>
      </w:pPr>
      <w:r w:rsidRPr="00B728EF">
        <w:rPr>
          <w:b w:val="0"/>
          <w:i w:val="0"/>
          <w:u w:val="single"/>
        </w:rPr>
        <w:t>New Section 4</w:t>
      </w:r>
      <w:r w:rsidR="00633421">
        <w:rPr>
          <w:b w:val="0"/>
          <w:i w:val="0"/>
          <w:u w:val="single"/>
        </w:rPr>
        <w:t>A</w:t>
      </w:r>
      <w:r w:rsidRPr="00B728EF">
        <w:rPr>
          <w:b w:val="0"/>
          <w:i w:val="0"/>
          <w:u w:val="single"/>
        </w:rPr>
        <w:fldChar w:fldCharType="begin"/>
      </w:r>
      <w:r w:rsidRPr="00B728EF">
        <w:rPr>
          <w:b w:val="0"/>
          <w:i w:val="0"/>
          <w:u w:val="single"/>
        </w:rPr>
        <w:instrText xml:space="preserve"> SEQ New_Section \* ALPHABETIC </w:instrText>
      </w:r>
      <w:r w:rsidRPr="00B728EF">
        <w:rPr>
          <w:b w:val="0"/>
          <w:i w:val="0"/>
          <w:u w:val="single"/>
        </w:rPr>
        <w:fldChar w:fldCharType="separate"/>
      </w:r>
      <w:r w:rsidR="00D24F11">
        <w:rPr>
          <w:b w:val="0"/>
          <w:i w:val="0"/>
          <w:noProof/>
          <w:u w:val="single"/>
        </w:rPr>
        <w:t>J</w:t>
      </w:r>
      <w:r w:rsidRPr="00B728EF">
        <w:rPr>
          <w:b w:val="0"/>
          <w:i w:val="0"/>
          <w:u w:val="single"/>
        </w:rPr>
        <w:fldChar w:fldCharType="end"/>
      </w:r>
      <w:r w:rsidRPr="00B728EF">
        <w:rPr>
          <w:b w:val="0"/>
          <w:i w:val="0"/>
          <w:u w:val="single"/>
        </w:rPr>
        <w:t xml:space="preserve"> –</w:t>
      </w:r>
      <w:r w:rsidRPr="00B728EF">
        <w:rPr>
          <w:rFonts w:ascii="Arial" w:hAnsi="Arial" w:cs="Arial"/>
          <w:bCs/>
          <w:i w:val="0"/>
          <w:color w:val="000000"/>
          <w:sz w:val="23"/>
          <w:szCs w:val="23"/>
          <w:u w:val="single"/>
          <w:lang w:eastAsia="en-AU"/>
        </w:rPr>
        <w:t xml:space="preserve"> </w:t>
      </w:r>
      <w:r w:rsidR="00677D84" w:rsidRPr="00B728EF">
        <w:rPr>
          <w:b w:val="0"/>
          <w:bCs/>
          <w:i w:val="0"/>
          <w:u w:val="single"/>
        </w:rPr>
        <w:t>Appointment of witness intermediary—generally</w:t>
      </w:r>
    </w:p>
    <w:p w14:paraId="2418E309" w14:textId="6BE5B0F5" w:rsidR="000A3860" w:rsidRDefault="000A3860" w:rsidP="000A3860">
      <w:pPr>
        <w:rPr>
          <w:lang w:eastAsia="en-AU"/>
        </w:rPr>
      </w:pPr>
      <w:r w:rsidRPr="00B728EF">
        <w:rPr>
          <w:lang w:eastAsia="en-AU"/>
        </w:rPr>
        <w:t xml:space="preserve">This section </w:t>
      </w:r>
      <w:r w:rsidR="00C80079" w:rsidRPr="00B728EF">
        <w:rPr>
          <w:lang w:eastAsia="en-AU"/>
        </w:rPr>
        <w:t>outlines the process for appointing intermediaries. A court may appoint an intermediary</w:t>
      </w:r>
      <w:r w:rsidR="00B0215A">
        <w:rPr>
          <w:lang w:eastAsia="en-AU"/>
        </w:rPr>
        <w:t xml:space="preserve"> </w:t>
      </w:r>
      <w:r w:rsidR="00B0215A" w:rsidRPr="0048484E">
        <w:rPr>
          <w:lang w:eastAsia="en-AU"/>
        </w:rPr>
        <w:t>for a witness with a communication difficulty</w:t>
      </w:r>
      <w:r w:rsidR="00C80079" w:rsidRPr="00B728EF">
        <w:rPr>
          <w:lang w:eastAsia="en-AU"/>
        </w:rPr>
        <w:t xml:space="preserve"> on its own initiative, or on the application of the DPP, the witness, or the accused person. </w:t>
      </w:r>
    </w:p>
    <w:p w14:paraId="65C2A5DB" w14:textId="52A4D4D7" w:rsidR="0048484E" w:rsidRPr="00B728EF" w:rsidRDefault="0048484E" w:rsidP="000A3860">
      <w:pPr>
        <w:rPr>
          <w:lang w:eastAsia="en-AU"/>
        </w:rPr>
      </w:pPr>
      <w:r>
        <w:rPr>
          <w:lang w:eastAsia="en-AU"/>
        </w:rPr>
        <w:t>The section lists mental or physical disabilities that impede speech as examples of communication difficulties, although the examples are not intended to be exhaustive.</w:t>
      </w:r>
    </w:p>
    <w:p w14:paraId="3FFC7E56" w14:textId="2E4AE4C4" w:rsidR="00C80079" w:rsidRPr="00B728EF" w:rsidRDefault="00C80079" w:rsidP="000A3860">
      <w:pPr>
        <w:rPr>
          <w:lang w:eastAsia="en-AU"/>
        </w:rPr>
      </w:pPr>
      <w:r w:rsidRPr="00B728EF">
        <w:rPr>
          <w:lang w:eastAsia="en-AU"/>
        </w:rPr>
        <w:t xml:space="preserve">The section </w:t>
      </w:r>
      <w:r w:rsidR="004B2688" w:rsidRPr="00B728EF">
        <w:rPr>
          <w:lang w:eastAsia="en-AU"/>
        </w:rPr>
        <w:t xml:space="preserve">also outlines when an intermediary must not be appointed. The Court must not appoint an intermediary where the witness is aware of their right to make an application for an intermediary </w:t>
      </w:r>
      <w:r w:rsidR="004D22B3" w:rsidRPr="00B728EF">
        <w:rPr>
          <w:lang w:eastAsia="en-AU"/>
        </w:rPr>
        <w:t xml:space="preserve">and is able and wishes to give evidence </w:t>
      </w:r>
      <w:r w:rsidR="00B728EF" w:rsidRPr="00B728EF">
        <w:rPr>
          <w:lang w:eastAsia="en-AU"/>
        </w:rPr>
        <w:t>without the assistance of an intermediary. The policy intent of this provision is to preserve the agency or the witness and respect their wishes as long as they are able to give evidence on their own.</w:t>
      </w:r>
    </w:p>
    <w:p w14:paraId="0A370567" w14:textId="3B7BCD0C" w:rsidR="00B728EF" w:rsidRPr="00B728EF" w:rsidRDefault="00B728EF" w:rsidP="000A3860">
      <w:pPr>
        <w:rPr>
          <w:lang w:eastAsia="en-AU"/>
        </w:rPr>
      </w:pPr>
      <w:r>
        <w:rPr>
          <w:lang w:eastAsia="en-AU"/>
        </w:rPr>
        <w:t>Under s</w:t>
      </w:r>
      <w:r w:rsidRPr="00B728EF">
        <w:rPr>
          <w:lang w:eastAsia="en-AU"/>
        </w:rPr>
        <w:t>ubsection (3) the Court is not bound by the rules of evidence</w:t>
      </w:r>
      <w:r>
        <w:rPr>
          <w:lang w:eastAsia="en-AU"/>
        </w:rPr>
        <w:t xml:space="preserve"> and may inform itself as it considers appropriate.</w:t>
      </w:r>
    </w:p>
    <w:p w14:paraId="69CA8D55" w14:textId="5F03237E" w:rsidR="000A3860" w:rsidRPr="00674CEA" w:rsidRDefault="000A3860" w:rsidP="000A3860">
      <w:pPr>
        <w:pStyle w:val="Heading5"/>
        <w:rPr>
          <w:b w:val="0"/>
          <w:lang w:eastAsia="en-AU"/>
        </w:rPr>
      </w:pPr>
      <w:r w:rsidRPr="00674CEA">
        <w:rPr>
          <w:b w:val="0"/>
          <w:i w:val="0"/>
          <w:u w:val="single"/>
        </w:rPr>
        <w:t>New Section 4</w:t>
      </w:r>
      <w:r w:rsidR="00633421">
        <w:rPr>
          <w:b w:val="0"/>
          <w:i w:val="0"/>
          <w:u w:val="single"/>
        </w:rPr>
        <w:t>A</w:t>
      </w:r>
      <w:r w:rsidRPr="00674CEA">
        <w:rPr>
          <w:b w:val="0"/>
          <w:i w:val="0"/>
          <w:u w:val="single"/>
        </w:rPr>
        <w:fldChar w:fldCharType="begin"/>
      </w:r>
      <w:r w:rsidRPr="00674CEA">
        <w:rPr>
          <w:b w:val="0"/>
          <w:i w:val="0"/>
          <w:u w:val="single"/>
        </w:rPr>
        <w:instrText xml:space="preserve"> SEQ New_Section \* ALPHABETIC </w:instrText>
      </w:r>
      <w:r w:rsidRPr="00674CEA">
        <w:rPr>
          <w:b w:val="0"/>
          <w:i w:val="0"/>
          <w:u w:val="single"/>
        </w:rPr>
        <w:fldChar w:fldCharType="separate"/>
      </w:r>
      <w:r w:rsidR="00D24F11">
        <w:rPr>
          <w:b w:val="0"/>
          <w:i w:val="0"/>
          <w:noProof/>
          <w:u w:val="single"/>
        </w:rPr>
        <w:t>K</w:t>
      </w:r>
      <w:r w:rsidRPr="00674CEA">
        <w:rPr>
          <w:b w:val="0"/>
          <w:i w:val="0"/>
          <w:u w:val="single"/>
        </w:rPr>
        <w:fldChar w:fldCharType="end"/>
      </w:r>
      <w:r w:rsidRPr="00674CEA">
        <w:rPr>
          <w:b w:val="0"/>
          <w:i w:val="0"/>
          <w:u w:val="single"/>
        </w:rPr>
        <w:t xml:space="preserve"> – </w:t>
      </w:r>
      <w:r w:rsidR="00677D84" w:rsidRPr="00674CEA">
        <w:rPr>
          <w:b w:val="0"/>
          <w:bCs/>
          <w:i w:val="0"/>
          <w:u w:val="single"/>
        </w:rPr>
        <w:t>Appointment of witness intermediary—prescribed witnesses</w:t>
      </w:r>
    </w:p>
    <w:p w14:paraId="7ED66E75" w14:textId="7F240E59" w:rsidR="00674CEA" w:rsidRPr="00674CEA" w:rsidRDefault="000A3860" w:rsidP="000A3860">
      <w:pPr>
        <w:rPr>
          <w:lang w:eastAsia="en-AU"/>
        </w:rPr>
      </w:pPr>
      <w:r w:rsidRPr="00674CEA">
        <w:rPr>
          <w:lang w:eastAsia="en-AU"/>
        </w:rPr>
        <w:t xml:space="preserve">This section </w:t>
      </w:r>
      <w:r w:rsidR="00674CEA" w:rsidRPr="00674CEA">
        <w:rPr>
          <w:lang w:eastAsia="en-AU"/>
        </w:rPr>
        <w:t xml:space="preserve">mandates that a court must appoint an intermediary in a criminal proceeding for a witness proscribed by regulation. However, in order to ensure a fair trial, the </w:t>
      </w:r>
      <w:r w:rsidR="0080087F">
        <w:rPr>
          <w:lang w:eastAsia="en-AU"/>
        </w:rPr>
        <w:t>C</w:t>
      </w:r>
      <w:r w:rsidR="00674CEA" w:rsidRPr="00674CEA">
        <w:rPr>
          <w:lang w:eastAsia="en-AU"/>
        </w:rPr>
        <w:t xml:space="preserve">ourt need not appoint an intermediary for a witness if there is no one available who meets the needs of the witness and satisfies the requirements of a witness intermediary, or if it is not in the interests of justice to appoint an intermediary. </w:t>
      </w:r>
    </w:p>
    <w:p w14:paraId="546E16A7" w14:textId="60765FB1" w:rsidR="00674CEA" w:rsidRPr="00674CEA" w:rsidRDefault="00674CEA" w:rsidP="000A3860">
      <w:pPr>
        <w:rPr>
          <w:lang w:eastAsia="en-AU"/>
        </w:rPr>
      </w:pPr>
      <w:r w:rsidRPr="00674CEA">
        <w:rPr>
          <w:lang w:eastAsia="en-AU"/>
        </w:rPr>
        <w:t xml:space="preserve">This section also </w:t>
      </w:r>
      <w:r w:rsidR="008C3081">
        <w:rPr>
          <w:lang w:eastAsia="en-AU"/>
        </w:rPr>
        <w:t>provides</w:t>
      </w:r>
      <w:r w:rsidRPr="00674CEA">
        <w:rPr>
          <w:lang w:eastAsia="en-AU"/>
        </w:rPr>
        <w:t xml:space="preserve"> that the </w:t>
      </w:r>
      <w:r w:rsidR="0080087F">
        <w:rPr>
          <w:lang w:eastAsia="en-AU"/>
        </w:rPr>
        <w:t>C</w:t>
      </w:r>
      <w:r w:rsidRPr="00674CEA">
        <w:rPr>
          <w:lang w:eastAsia="en-AU"/>
        </w:rPr>
        <w:t xml:space="preserve">ourt must not appoint an intermediary for a witness if the </w:t>
      </w:r>
      <w:r w:rsidR="0080087F">
        <w:rPr>
          <w:lang w:eastAsia="en-AU"/>
        </w:rPr>
        <w:t>C</w:t>
      </w:r>
      <w:r w:rsidRPr="00674CEA">
        <w:rPr>
          <w:lang w:eastAsia="en-AU"/>
        </w:rPr>
        <w:t>ourt is satisfied that the witness is aware of their right to an intermediary and is able to, and wishes to, give evidence without an intermediary.</w:t>
      </w:r>
    </w:p>
    <w:p w14:paraId="6820E121" w14:textId="4F629B7D" w:rsidR="00674CEA" w:rsidRPr="00D676A2" w:rsidRDefault="00674CEA" w:rsidP="000A3860">
      <w:pPr>
        <w:rPr>
          <w:highlight w:val="yellow"/>
          <w:lang w:eastAsia="en-AU"/>
        </w:rPr>
      </w:pPr>
      <w:r w:rsidRPr="00674CEA">
        <w:rPr>
          <w:lang w:eastAsia="en-AU"/>
        </w:rPr>
        <w:t>Under subsection (</w:t>
      </w:r>
      <w:r w:rsidR="009C1100">
        <w:rPr>
          <w:lang w:eastAsia="en-AU"/>
        </w:rPr>
        <w:t>4</w:t>
      </w:r>
      <w:r w:rsidRPr="00674CEA">
        <w:rPr>
          <w:lang w:eastAsia="en-AU"/>
        </w:rPr>
        <w:t>) the Court is not bound by the rules of evidence</w:t>
      </w:r>
      <w:r>
        <w:rPr>
          <w:lang w:eastAsia="en-AU"/>
        </w:rPr>
        <w:t xml:space="preserve"> and may inform itself as it considers appropriate.</w:t>
      </w:r>
    </w:p>
    <w:p w14:paraId="17450F0C" w14:textId="7AF99A36" w:rsidR="00677D84" w:rsidRPr="00B7760A" w:rsidRDefault="00677D84" w:rsidP="00677D84">
      <w:pPr>
        <w:pStyle w:val="Heading5"/>
        <w:rPr>
          <w:b w:val="0"/>
          <w:lang w:eastAsia="en-AU"/>
        </w:rPr>
      </w:pPr>
      <w:r w:rsidRPr="00B7760A">
        <w:rPr>
          <w:b w:val="0"/>
          <w:i w:val="0"/>
          <w:u w:val="single"/>
        </w:rPr>
        <w:lastRenderedPageBreak/>
        <w:t>New Section 4</w:t>
      </w:r>
      <w:r w:rsidR="00633421">
        <w:rPr>
          <w:b w:val="0"/>
          <w:i w:val="0"/>
          <w:u w:val="single"/>
        </w:rPr>
        <w:t>A</w:t>
      </w:r>
      <w:r w:rsidRPr="00B7760A">
        <w:rPr>
          <w:b w:val="0"/>
          <w:i w:val="0"/>
          <w:u w:val="single"/>
        </w:rPr>
        <w:fldChar w:fldCharType="begin"/>
      </w:r>
      <w:r w:rsidRPr="00B7760A">
        <w:rPr>
          <w:b w:val="0"/>
          <w:i w:val="0"/>
          <w:u w:val="single"/>
        </w:rPr>
        <w:instrText xml:space="preserve"> SEQ New_Section \* ALPHABETIC </w:instrText>
      </w:r>
      <w:r w:rsidRPr="00B7760A">
        <w:rPr>
          <w:b w:val="0"/>
          <w:i w:val="0"/>
          <w:u w:val="single"/>
        </w:rPr>
        <w:fldChar w:fldCharType="separate"/>
      </w:r>
      <w:r w:rsidR="00D24F11">
        <w:rPr>
          <w:b w:val="0"/>
          <w:i w:val="0"/>
          <w:noProof/>
          <w:u w:val="single"/>
        </w:rPr>
        <w:t>L</w:t>
      </w:r>
      <w:r w:rsidRPr="00B7760A">
        <w:rPr>
          <w:b w:val="0"/>
          <w:i w:val="0"/>
          <w:u w:val="single"/>
        </w:rPr>
        <w:fldChar w:fldCharType="end"/>
      </w:r>
      <w:r w:rsidRPr="00B7760A">
        <w:rPr>
          <w:b w:val="0"/>
          <w:i w:val="0"/>
          <w:u w:val="single"/>
        </w:rPr>
        <w:t xml:space="preserve"> – </w:t>
      </w:r>
      <w:r w:rsidR="00B7760A">
        <w:rPr>
          <w:b w:val="0"/>
          <w:bCs/>
          <w:i w:val="0"/>
          <w:u w:val="single"/>
        </w:rPr>
        <w:t xml:space="preserve">Appointment of witness </w:t>
      </w:r>
      <w:r w:rsidR="00B7760A" w:rsidRPr="00B7760A">
        <w:rPr>
          <w:b w:val="0"/>
          <w:bCs/>
          <w:i w:val="0"/>
          <w:u w:val="single"/>
        </w:rPr>
        <w:t xml:space="preserve">intermediary—suitability of the intermediary for the witness etc </w:t>
      </w:r>
      <w:r w:rsidR="00B7760A">
        <w:rPr>
          <w:b w:val="0"/>
          <w:bCs/>
          <w:i w:val="0"/>
          <w:u w:val="single"/>
        </w:rPr>
        <w:t xml:space="preserve"> </w:t>
      </w:r>
    </w:p>
    <w:p w14:paraId="4F5EF083" w14:textId="08B6CBC3" w:rsidR="00677D84" w:rsidRDefault="00677D84" w:rsidP="00677D84">
      <w:pPr>
        <w:rPr>
          <w:lang w:eastAsia="en-AU"/>
        </w:rPr>
      </w:pPr>
      <w:r w:rsidRPr="00B7760A">
        <w:rPr>
          <w:lang w:eastAsia="en-AU"/>
        </w:rPr>
        <w:t>This s</w:t>
      </w:r>
      <w:r w:rsidR="00B7760A" w:rsidRPr="00B7760A">
        <w:rPr>
          <w:lang w:eastAsia="en-AU"/>
        </w:rPr>
        <w:t>ection</w:t>
      </w:r>
      <w:r w:rsidR="00B7760A">
        <w:rPr>
          <w:lang w:eastAsia="en-AU"/>
        </w:rPr>
        <w:t xml:space="preserve"> ensures that a court may appoint an intermediary in a criminal proceeding only if the intermediaries administrator is satisfied the intermediary has qualifications, training, experience or skills suitable for the witness.</w:t>
      </w:r>
    </w:p>
    <w:p w14:paraId="679C7F20" w14:textId="3EB57D0A" w:rsidR="00B7760A" w:rsidRDefault="009C1100" w:rsidP="00677D84">
      <w:pPr>
        <w:rPr>
          <w:lang w:eastAsia="en-AU"/>
        </w:rPr>
      </w:pPr>
      <w:r>
        <w:rPr>
          <w:lang w:eastAsia="en-AU"/>
        </w:rPr>
        <w:t>This section</w:t>
      </w:r>
      <w:r w:rsidR="00B7760A">
        <w:rPr>
          <w:lang w:eastAsia="en-AU"/>
        </w:rPr>
        <w:t xml:space="preserve"> also requires that, if the intermediary is a relative, friend or acquaintance of the witness, a person who has previously assisted the person in a professional capacity or a part to (or potential witness) in the proceeding</w:t>
      </w:r>
      <w:r w:rsidR="00E55BAF">
        <w:rPr>
          <w:lang w:eastAsia="en-AU"/>
        </w:rPr>
        <w:t>,</w:t>
      </w:r>
      <w:r w:rsidR="00B7760A">
        <w:rPr>
          <w:lang w:eastAsia="en-AU"/>
        </w:rPr>
        <w:t xml:space="preserve"> the </w:t>
      </w:r>
      <w:r w:rsidR="0080087F">
        <w:rPr>
          <w:lang w:eastAsia="en-AU"/>
        </w:rPr>
        <w:t>C</w:t>
      </w:r>
      <w:r w:rsidR="00B7760A">
        <w:rPr>
          <w:lang w:eastAsia="en-AU"/>
        </w:rPr>
        <w:t>ourt must also be satisfied that the appointment is</w:t>
      </w:r>
      <w:r w:rsidR="00814B01">
        <w:rPr>
          <w:lang w:eastAsia="en-AU"/>
        </w:rPr>
        <w:t xml:space="preserve"> necessary and</w:t>
      </w:r>
      <w:r w:rsidR="00B7760A">
        <w:rPr>
          <w:lang w:eastAsia="en-AU"/>
        </w:rPr>
        <w:t xml:space="preserve"> in the interests of justice. </w:t>
      </w:r>
    </w:p>
    <w:p w14:paraId="676E38A0" w14:textId="46DEC7C5" w:rsidR="00A85944" w:rsidRDefault="00B7760A" w:rsidP="00677D84">
      <w:r>
        <w:rPr>
          <w:lang w:eastAsia="en-AU"/>
        </w:rPr>
        <w:t>This section ensures that a</w:t>
      </w:r>
      <w:r>
        <w:t xml:space="preserve">n intermediary who has a pre-existing relationship with the witness can only be appointed as an intermediary where </w:t>
      </w:r>
      <w:r w:rsidR="0017301E">
        <w:t xml:space="preserve">there is no other suitable intermediary reasonably available </w:t>
      </w:r>
      <w:r w:rsidR="00814B01">
        <w:t>and</w:t>
      </w:r>
      <w:r w:rsidR="0017301E">
        <w:t xml:space="preserve"> it is</w:t>
      </w:r>
      <w:r w:rsidR="00814B01">
        <w:t xml:space="preserve"> </w:t>
      </w:r>
      <w:r w:rsidR="00F71562">
        <w:t>in</w:t>
      </w:r>
      <w:r>
        <w:t xml:space="preserve"> the interests of justice. </w:t>
      </w:r>
      <w:r w:rsidR="00A85944">
        <w:t>This provision is intended to be used rarely, and only where there are a limited number of people who are able to communicate with the witness and no other options are available. Examples of</w:t>
      </w:r>
      <w:r w:rsidR="00F71562">
        <w:t xml:space="preserve"> rare</w:t>
      </w:r>
      <w:r>
        <w:t xml:space="preserve"> circumstances where the Court </w:t>
      </w:r>
      <w:r w:rsidR="00A85944">
        <w:t xml:space="preserve">may </w:t>
      </w:r>
      <w:r>
        <w:t>consider it is in the interests of justice to</w:t>
      </w:r>
      <w:r w:rsidR="00A85944">
        <w:t xml:space="preserve"> allow a person known to the witness to be an intermediary may include</w:t>
      </w:r>
      <w:r>
        <w:t xml:space="preserve"> where the witness is an Aboriginal or Torres Strait Islander and there are limited Aboriginal and Torres Strait Islander people able to </w:t>
      </w:r>
      <w:r w:rsidR="00A85944">
        <w:t>communicate with the witness;</w:t>
      </w:r>
      <w:r>
        <w:t xml:space="preserve"> or where the</w:t>
      </w:r>
      <w:r w:rsidR="00A85944">
        <w:t xml:space="preserve"> witness has a very specific communication difficulty requiring a highly specialised clinical professional and that professional has a long standing professional relationship with the witness.</w:t>
      </w:r>
      <w:r>
        <w:t xml:space="preserve"> </w:t>
      </w:r>
    </w:p>
    <w:p w14:paraId="67B3B2E2" w14:textId="22FE0CED" w:rsidR="00B7760A" w:rsidRDefault="00B7760A" w:rsidP="00677D84">
      <w:r>
        <w:t xml:space="preserve">Given the small size of the ACT as a jurisdiction, a blanket prohibition on anyone who is a relative, friend or acquaintance </w:t>
      </w:r>
      <w:r w:rsidR="00814B01">
        <w:t>would</w:t>
      </w:r>
      <w:r>
        <w:t xml:space="preserve"> be too limiting. For this reason, the Court has discretion to appoint such individuals if </w:t>
      </w:r>
      <w:r w:rsidR="0017301E">
        <w:t>there is no other suitable intermediary reasonably available and it is in the interests of justice</w:t>
      </w:r>
      <w:r>
        <w:t>.</w:t>
      </w:r>
    </w:p>
    <w:p w14:paraId="1038B4C9" w14:textId="478075A0" w:rsidR="00814B01" w:rsidRDefault="00814B01" w:rsidP="00677D84">
      <w:pPr>
        <w:rPr>
          <w:i/>
        </w:rPr>
      </w:pPr>
      <w:r>
        <w:t xml:space="preserve">Importantly, an intermediary who is known to the witness must still communicate accurately and act impartially, or risk imprisonment. There are a number of offences that apply to intermediaries that communicate in a way that is false or misleading under the consequential amendments to the </w:t>
      </w:r>
      <w:r w:rsidRPr="008C3081">
        <w:rPr>
          <w:i/>
        </w:rPr>
        <w:t>Criminal Code 2002.</w:t>
      </w:r>
    </w:p>
    <w:p w14:paraId="262D562A" w14:textId="6B5DD293" w:rsidR="00B0215A" w:rsidRPr="00B0215A" w:rsidRDefault="00B0215A" w:rsidP="00677D84">
      <w:pPr>
        <w:rPr>
          <w:lang w:eastAsia="en-AU"/>
        </w:rPr>
      </w:pPr>
      <w:r>
        <w:t xml:space="preserve">Under </w:t>
      </w:r>
      <w:r w:rsidRPr="0048484E">
        <w:t>subsection (</w:t>
      </w:r>
      <w:r w:rsidR="0048484E" w:rsidRPr="0048484E">
        <w:t>2</w:t>
      </w:r>
      <w:r w:rsidRPr="0048484E">
        <w:t xml:space="preserve">) </w:t>
      </w:r>
      <w:r w:rsidRPr="0048484E">
        <w:rPr>
          <w:lang w:eastAsia="en-AU"/>
        </w:rPr>
        <w:t>the</w:t>
      </w:r>
      <w:r w:rsidRPr="00674CEA">
        <w:rPr>
          <w:lang w:eastAsia="en-AU"/>
        </w:rPr>
        <w:t xml:space="preserve"> Court is not bound by the rules of evidence</w:t>
      </w:r>
      <w:r>
        <w:rPr>
          <w:lang w:eastAsia="en-AU"/>
        </w:rPr>
        <w:t xml:space="preserve"> and may inform itself as it considers appropriate.</w:t>
      </w:r>
    </w:p>
    <w:p w14:paraId="083DB16D" w14:textId="436E8D7D" w:rsidR="00677D84" w:rsidRPr="006575B6" w:rsidRDefault="00B7760A" w:rsidP="00677D84">
      <w:pPr>
        <w:pStyle w:val="Heading5"/>
        <w:rPr>
          <w:b w:val="0"/>
          <w:lang w:eastAsia="en-AU"/>
        </w:rPr>
      </w:pPr>
      <w:r w:rsidRPr="00573EFD">
        <w:rPr>
          <w:b w:val="0"/>
          <w:i w:val="0"/>
          <w:u w:val="single"/>
        </w:rPr>
        <w:t xml:space="preserve">New Section </w:t>
      </w:r>
      <w:r w:rsidRPr="006575B6">
        <w:rPr>
          <w:b w:val="0"/>
          <w:i w:val="0"/>
          <w:u w:val="single"/>
        </w:rPr>
        <w:t>4</w:t>
      </w:r>
      <w:r w:rsidR="00633421">
        <w:rPr>
          <w:b w:val="0"/>
          <w:i w:val="0"/>
          <w:u w:val="single"/>
        </w:rPr>
        <w:t>A</w:t>
      </w:r>
      <w:r w:rsidRPr="006575B6">
        <w:rPr>
          <w:b w:val="0"/>
          <w:i w:val="0"/>
          <w:u w:val="single"/>
        </w:rPr>
        <w:fldChar w:fldCharType="begin"/>
      </w:r>
      <w:r w:rsidRPr="006575B6">
        <w:rPr>
          <w:b w:val="0"/>
          <w:i w:val="0"/>
          <w:u w:val="single"/>
        </w:rPr>
        <w:instrText xml:space="preserve"> SEQ New_Section \* ALPHABETIC </w:instrText>
      </w:r>
      <w:r w:rsidRPr="006575B6">
        <w:rPr>
          <w:b w:val="0"/>
          <w:i w:val="0"/>
          <w:u w:val="single"/>
        </w:rPr>
        <w:fldChar w:fldCharType="separate"/>
      </w:r>
      <w:r w:rsidR="00D24F11">
        <w:rPr>
          <w:b w:val="0"/>
          <w:i w:val="0"/>
          <w:noProof/>
          <w:u w:val="single"/>
        </w:rPr>
        <w:t>M</w:t>
      </w:r>
      <w:r w:rsidRPr="006575B6">
        <w:rPr>
          <w:b w:val="0"/>
          <w:i w:val="0"/>
          <w:u w:val="single"/>
        </w:rPr>
        <w:fldChar w:fldCharType="end"/>
      </w:r>
      <w:r w:rsidRPr="006575B6">
        <w:rPr>
          <w:b w:val="0"/>
          <w:i w:val="0"/>
          <w:u w:val="single"/>
        </w:rPr>
        <w:t xml:space="preserve"> </w:t>
      </w:r>
      <w:r w:rsidR="00677D84" w:rsidRPr="006575B6">
        <w:rPr>
          <w:b w:val="0"/>
          <w:i w:val="0"/>
          <w:u w:val="single"/>
        </w:rPr>
        <w:t xml:space="preserve">– </w:t>
      </w:r>
      <w:r w:rsidR="00677D84" w:rsidRPr="006575B6">
        <w:rPr>
          <w:b w:val="0"/>
          <w:bCs/>
          <w:i w:val="0"/>
          <w:u w:val="single"/>
        </w:rPr>
        <w:t>Witness to give evidence in presence of intermediary</w:t>
      </w:r>
    </w:p>
    <w:p w14:paraId="4FD15450" w14:textId="3BB0C63F" w:rsidR="006575B6" w:rsidRDefault="00677D84" w:rsidP="00677D84">
      <w:pPr>
        <w:rPr>
          <w:lang w:eastAsia="en-AU"/>
        </w:rPr>
      </w:pPr>
      <w:r w:rsidRPr="006575B6">
        <w:rPr>
          <w:lang w:eastAsia="en-AU"/>
        </w:rPr>
        <w:t xml:space="preserve">This section </w:t>
      </w:r>
      <w:r w:rsidR="006575B6" w:rsidRPr="006575B6">
        <w:rPr>
          <w:lang w:eastAsia="en-AU"/>
        </w:rPr>
        <w:t>mandates</w:t>
      </w:r>
      <w:r w:rsidR="006575B6">
        <w:rPr>
          <w:lang w:eastAsia="en-AU"/>
        </w:rPr>
        <w:t xml:space="preserve"> that the witness must give their evidence in the presence of an intermediary if one has been appointed. This section also sets out that the </w:t>
      </w:r>
      <w:r w:rsidR="0080087F">
        <w:rPr>
          <w:lang w:eastAsia="en-AU"/>
        </w:rPr>
        <w:t>C</w:t>
      </w:r>
      <w:r w:rsidR="006575B6">
        <w:rPr>
          <w:lang w:eastAsia="en-AU"/>
        </w:rPr>
        <w:t>ourt, lawyers and any jurors (if there are any) must be able to see and hear the witness giving evidence including any assistance given by the intermediary.</w:t>
      </w:r>
      <w:r w:rsidR="00B0215A">
        <w:rPr>
          <w:lang w:eastAsia="en-AU"/>
        </w:rPr>
        <w:t xml:space="preserve"> The accused will be able to hear and see the accused subject to any other provisions in the Act or any other direction or order of the Court.</w:t>
      </w:r>
      <w:r w:rsidR="006575B6">
        <w:rPr>
          <w:lang w:eastAsia="en-AU"/>
        </w:rPr>
        <w:t xml:space="preserve"> In relation to a court and lawyers, they must also be able to communicate with the intermediary.</w:t>
      </w:r>
    </w:p>
    <w:p w14:paraId="4D5AABB5" w14:textId="18A6125D" w:rsidR="0048484E" w:rsidRDefault="0048484E" w:rsidP="00677D84">
      <w:pPr>
        <w:rPr>
          <w:lang w:eastAsia="en-AU"/>
        </w:rPr>
      </w:pPr>
      <w:r>
        <w:rPr>
          <w:lang w:eastAsia="en-AU"/>
        </w:rPr>
        <w:lastRenderedPageBreak/>
        <w:t xml:space="preserve">Subsection (3) requires the Court to tell the jury that a witness giving evidence in the presence of an intermediary is usual practice and that the jury must not draw any negative inference against the accused person, or give the evidence more or less weight, because the intermediary is present. </w:t>
      </w:r>
    </w:p>
    <w:p w14:paraId="1B67908F" w14:textId="7F2B05BA" w:rsidR="006575B6" w:rsidRPr="00573EFD" w:rsidRDefault="006575B6" w:rsidP="00677D84">
      <w:pPr>
        <w:rPr>
          <w:lang w:eastAsia="en-AU"/>
        </w:rPr>
      </w:pPr>
      <w:r>
        <w:rPr>
          <w:lang w:eastAsia="en-AU"/>
        </w:rPr>
        <w:t>Subsection (</w:t>
      </w:r>
      <w:r w:rsidR="0048484E">
        <w:rPr>
          <w:lang w:eastAsia="en-AU"/>
        </w:rPr>
        <w:t>4</w:t>
      </w:r>
      <w:r>
        <w:rPr>
          <w:lang w:eastAsia="en-AU"/>
        </w:rPr>
        <w:t xml:space="preserve">) </w:t>
      </w:r>
      <w:r w:rsidR="008C3081">
        <w:rPr>
          <w:lang w:eastAsia="en-AU"/>
        </w:rPr>
        <w:t>makes clear</w:t>
      </w:r>
      <w:r>
        <w:rPr>
          <w:lang w:eastAsia="en-AU"/>
        </w:rPr>
        <w:t xml:space="preserve"> that an order that the </w:t>
      </w:r>
      <w:r w:rsidR="0080087F">
        <w:rPr>
          <w:lang w:eastAsia="en-AU"/>
        </w:rPr>
        <w:t>C</w:t>
      </w:r>
      <w:r>
        <w:rPr>
          <w:lang w:eastAsia="en-AU"/>
        </w:rPr>
        <w:t>ourt be closed to the public does not stop an intermediary for a witness being in court while the witness gives evidence.</w:t>
      </w:r>
    </w:p>
    <w:p w14:paraId="097765DE" w14:textId="0E18982E" w:rsidR="000A3860" w:rsidRDefault="000A3860" w:rsidP="003E2EF5">
      <w:pPr>
        <w:pStyle w:val="Heading5"/>
        <w:keepNext/>
        <w:rPr>
          <w:b w:val="0"/>
          <w:lang w:eastAsia="en-AU"/>
        </w:rPr>
      </w:pPr>
      <w:r w:rsidRPr="00573EFD">
        <w:rPr>
          <w:b w:val="0"/>
          <w:i w:val="0"/>
          <w:u w:val="single"/>
        </w:rPr>
        <w:t>New Section 4</w:t>
      </w:r>
      <w:r w:rsidR="00633421">
        <w:rPr>
          <w:b w:val="0"/>
          <w:i w:val="0"/>
          <w:u w:val="single"/>
        </w:rPr>
        <w:t>A</w:t>
      </w:r>
      <w:r w:rsidRPr="00573EFD">
        <w:rPr>
          <w:b w:val="0"/>
          <w:i w:val="0"/>
          <w:u w:val="single"/>
        </w:rPr>
        <w:fldChar w:fldCharType="begin"/>
      </w:r>
      <w:r w:rsidRPr="00573EFD">
        <w:rPr>
          <w:b w:val="0"/>
          <w:i w:val="0"/>
          <w:u w:val="single"/>
        </w:rPr>
        <w:instrText xml:space="preserve"> SEQ New_Section \* ALPHABETIC </w:instrText>
      </w:r>
      <w:r w:rsidRPr="00573EFD">
        <w:rPr>
          <w:b w:val="0"/>
          <w:i w:val="0"/>
          <w:u w:val="single"/>
        </w:rPr>
        <w:fldChar w:fldCharType="separate"/>
      </w:r>
      <w:r w:rsidR="00D24F11">
        <w:rPr>
          <w:b w:val="0"/>
          <w:i w:val="0"/>
          <w:noProof/>
          <w:u w:val="single"/>
        </w:rPr>
        <w:t>N</w:t>
      </w:r>
      <w:r w:rsidRPr="00573EFD">
        <w:rPr>
          <w:b w:val="0"/>
          <w:i w:val="0"/>
          <w:u w:val="single"/>
        </w:rPr>
        <w:fldChar w:fldCharType="end"/>
      </w:r>
      <w:r w:rsidRPr="00573EFD">
        <w:rPr>
          <w:b w:val="0"/>
          <w:i w:val="0"/>
          <w:u w:val="single"/>
        </w:rPr>
        <w:t xml:space="preserve"> </w:t>
      </w:r>
      <w:r>
        <w:rPr>
          <w:b w:val="0"/>
          <w:i w:val="0"/>
          <w:u w:val="single"/>
        </w:rPr>
        <w:t xml:space="preserve">– </w:t>
      </w:r>
      <w:r w:rsidRPr="000A3860">
        <w:rPr>
          <w:b w:val="0"/>
          <w:i w:val="0"/>
          <w:u w:val="single"/>
        </w:rPr>
        <w:t>Relationship to other provisions of this Act</w:t>
      </w:r>
    </w:p>
    <w:p w14:paraId="448BA4DA" w14:textId="6E698190" w:rsidR="000A3860" w:rsidRPr="00573EFD" w:rsidRDefault="000A3860" w:rsidP="000A3860">
      <w:pPr>
        <w:rPr>
          <w:lang w:eastAsia="en-AU"/>
        </w:rPr>
      </w:pPr>
      <w:r>
        <w:rPr>
          <w:lang w:eastAsia="en-AU"/>
        </w:rPr>
        <w:t>This section clarifies that this part does not affect the operation of any other provision in the EMPA.</w:t>
      </w:r>
    </w:p>
    <w:p w14:paraId="03E40A9A" w14:textId="63659BA0" w:rsidR="00DF7319" w:rsidRPr="009428EA" w:rsidRDefault="00DF7319" w:rsidP="00DF7319">
      <w:pPr>
        <w:pStyle w:val="Heading4"/>
        <w:keepNext w:val="0"/>
        <w:rPr>
          <w:lang w:eastAsia="en-AU"/>
        </w:rPr>
      </w:pPr>
      <w:r w:rsidRPr="00C71A66">
        <w:t xml:space="preserve">Clause </w:t>
      </w:r>
      <w:r w:rsidR="00633421">
        <w:t>5</w:t>
      </w:r>
      <w:r w:rsidRPr="00C71A66">
        <w:rPr>
          <w:bCs/>
          <w:lang w:eastAsia="en-AU"/>
        </w:rPr>
        <w:t xml:space="preserve"> </w:t>
      </w:r>
      <w:r w:rsidRPr="009428EA">
        <w:rPr>
          <w:lang w:eastAsia="en-AU"/>
        </w:rPr>
        <w:t xml:space="preserve">– </w:t>
      </w:r>
      <w:r w:rsidR="000A3860" w:rsidRPr="000A3860">
        <w:rPr>
          <w:bCs/>
          <w:lang w:eastAsia="en-AU"/>
        </w:rPr>
        <w:t xml:space="preserve">Meaning of </w:t>
      </w:r>
      <w:r w:rsidR="000A3860" w:rsidRPr="000A3860">
        <w:rPr>
          <w:bCs/>
          <w:i/>
          <w:iCs/>
          <w:lang w:eastAsia="en-AU"/>
        </w:rPr>
        <w:t>proceeding</w:t>
      </w:r>
      <w:r w:rsidR="000A3860" w:rsidRPr="000A3860">
        <w:rPr>
          <w:bCs/>
          <w:lang w:eastAsia="en-AU"/>
        </w:rPr>
        <w:t xml:space="preserve">—pt 4.1 Section 37, definition of </w:t>
      </w:r>
      <w:r w:rsidR="000A3860" w:rsidRPr="000A3860">
        <w:rPr>
          <w:bCs/>
          <w:i/>
          <w:iCs/>
          <w:lang w:eastAsia="en-AU"/>
        </w:rPr>
        <w:t>proceeding</w:t>
      </w:r>
      <w:r w:rsidR="000A3860" w:rsidRPr="000A3860">
        <w:rPr>
          <w:bCs/>
          <w:lang w:eastAsia="en-AU"/>
        </w:rPr>
        <w:t>, paragraph (b)</w:t>
      </w:r>
    </w:p>
    <w:p w14:paraId="5E7777BB" w14:textId="0F036A51" w:rsidR="00DF7319" w:rsidRDefault="000A3860" w:rsidP="000A3860">
      <w:pPr>
        <w:pStyle w:val="BodyText"/>
      </w:pPr>
      <w:r>
        <w:t>This is a consequential amendment that includes ground rules hearings as a ‘proceeding’ under section 37.</w:t>
      </w:r>
    </w:p>
    <w:p w14:paraId="28392D35" w14:textId="0DCB3113" w:rsidR="00DF7319" w:rsidRPr="009428EA" w:rsidRDefault="00DF7319" w:rsidP="00DF7319">
      <w:pPr>
        <w:pStyle w:val="Heading4"/>
        <w:keepNext w:val="0"/>
        <w:rPr>
          <w:lang w:eastAsia="en-AU"/>
        </w:rPr>
      </w:pPr>
      <w:r w:rsidRPr="00C71A66">
        <w:t xml:space="preserve">Clause </w:t>
      </w:r>
      <w:r w:rsidR="00C0334C">
        <w:t>6</w:t>
      </w:r>
      <w:r w:rsidRPr="00C71A66">
        <w:rPr>
          <w:bCs/>
          <w:lang w:eastAsia="en-AU"/>
        </w:rPr>
        <w:t xml:space="preserve"> </w:t>
      </w:r>
      <w:r w:rsidRPr="009428EA">
        <w:rPr>
          <w:lang w:eastAsia="en-AU"/>
        </w:rPr>
        <w:t xml:space="preserve">– </w:t>
      </w:r>
      <w:r w:rsidR="000A3860" w:rsidRPr="000A3860">
        <w:rPr>
          <w:bCs/>
          <w:lang w:eastAsia="en-AU"/>
        </w:rPr>
        <w:t>Special requirements—particular proceedings section 43, new note</w:t>
      </w:r>
    </w:p>
    <w:p w14:paraId="34880FCA" w14:textId="5D7B3097" w:rsidR="00DF7319" w:rsidRDefault="000A3860" w:rsidP="000A3860">
      <w:pPr>
        <w:pStyle w:val="BodyText"/>
      </w:pPr>
      <w:r>
        <w:t>This section inserts a note</w:t>
      </w:r>
      <w:r w:rsidR="00963215">
        <w:t xml:space="preserve"> in section 43 of the EMPA (</w:t>
      </w:r>
      <w:r w:rsidR="003E4419">
        <w:t xml:space="preserve">setting out which types of </w:t>
      </w:r>
      <w:r w:rsidR="00081071">
        <w:t xml:space="preserve">existing </w:t>
      </w:r>
      <w:r w:rsidR="003E4419">
        <w:t xml:space="preserve">special requirements can be made </w:t>
      </w:r>
      <w:r w:rsidR="00081071">
        <w:t>available to which types of vulnerable witnesses</w:t>
      </w:r>
      <w:r w:rsidR="00963215">
        <w:t>)</w:t>
      </w:r>
      <w:r>
        <w:t xml:space="preserve"> to clarify that the </w:t>
      </w:r>
      <w:r w:rsidR="0080087F">
        <w:t>C</w:t>
      </w:r>
      <w:r>
        <w:t>ourt may also appoint an intermediary for a witness under the new provisions.</w:t>
      </w:r>
    </w:p>
    <w:p w14:paraId="62D28170" w14:textId="236E04DD" w:rsidR="00DF7319" w:rsidRPr="009428EA" w:rsidRDefault="00DF7319" w:rsidP="00DF7319">
      <w:pPr>
        <w:pStyle w:val="Heading4"/>
        <w:keepNext w:val="0"/>
        <w:rPr>
          <w:lang w:eastAsia="en-AU"/>
        </w:rPr>
      </w:pPr>
      <w:r w:rsidRPr="00C71A66">
        <w:t xml:space="preserve">Clause </w:t>
      </w:r>
      <w:r w:rsidR="00C0334C">
        <w:t>7</w:t>
      </w:r>
      <w:r w:rsidRPr="00C71A66">
        <w:rPr>
          <w:bCs/>
          <w:lang w:eastAsia="en-AU"/>
        </w:rPr>
        <w:t xml:space="preserve"> </w:t>
      </w:r>
      <w:r w:rsidRPr="009428EA">
        <w:rPr>
          <w:lang w:eastAsia="en-AU"/>
        </w:rPr>
        <w:t xml:space="preserve">– </w:t>
      </w:r>
      <w:r w:rsidR="000A3860" w:rsidRPr="000A3860">
        <w:rPr>
          <w:lang w:eastAsia="en-AU"/>
        </w:rPr>
        <w:t>Dictionary, new definitions</w:t>
      </w:r>
    </w:p>
    <w:p w14:paraId="40BC8359" w14:textId="74459296" w:rsidR="008B40CE" w:rsidRPr="008B40CE" w:rsidRDefault="000A3860" w:rsidP="000A3860">
      <w:pPr>
        <w:pStyle w:val="BodyText"/>
      </w:pPr>
      <w:r>
        <w:t>This section is a consequential amendment</w:t>
      </w:r>
      <w:r w:rsidR="00963215">
        <w:t xml:space="preserve"> of the Dictionary in the EMPA,</w:t>
      </w:r>
      <w:r>
        <w:t xml:space="preserve"> as a result of new Chapter 1A and Chapter 1B.</w:t>
      </w:r>
    </w:p>
    <w:p w14:paraId="75F62B93" w14:textId="506901A5" w:rsidR="00AF0D54" w:rsidRPr="009428EA" w:rsidRDefault="00AF0D54" w:rsidP="00AF0D54">
      <w:pPr>
        <w:pStyle w:val="Heading4"/>
        <w:keepNext w:val="0"/>
        <w:rPr>
          <w:lang w:eastAsia="en-AU"/>
        </w:rPr>
      </w:pPr>
      <w:r w:rsidRPr="00C71A66">
        <w:t xml:space="preserve">Clause </w:t>
      </w:r>
      <w:r w:rsidR="00C0334C">
        <w:t>8</w:t>
      </w:r>
      <w:r w:rsidRPr="00C71A66">
        <w:rPr>
          <w:bCs/>
          <w:lang w:eastAsia="en-AU"/>
        </w:rPr>
        <w:t xml:space="preserve"> </w:t>
      </w:r>
      <w:r w:rsidRPr="009428EA">
        <w:rPr>
          <w:lang w:eastAsia="en-AU"/>
        </w:rPr>
        <w:t xml:space="preserve">– </w:t>
      </w:r>
      <w:r w:rsidR="000A3860" w:rsidRPr="000A3860">
        <w:rPr>
          <w:bCs/>
          <w:lang w:eastAsia="en-AU"/>
        </w:rPr>
        <w:t xml:space="preserve">Dictionary, definition of </w:t>
      </w:r>
      <w:r w:rsidR="000A3860" w:rsidRPr="000A3860">
        <w:rPr>
          <w:bCs/>
          <w:i/>
          <w:iCs/>
          <w:lang w:eastAsia="en-AU"/>
        </w:rPr>
        <w:t>witness</w:t>
      </w:r>
    </w:p>
    <w:p w14:paraId="1D872EBA" w14:textId="0A4CAD6C" w:rsidR="000A3860" w:rsidRPr="008B40CE" w:rsidRDefault="000A3860" w:rsidP="000A3860">
      <w:pPr>
        <w:pStyle w:val="BodyText"/>
      </w:pPr>
      <w:r>
        <w:t>This section is a consequential amendment</w:t>
      </w:r>
      <w:r w:rsidR="00963215">
        <w:t xml:space="preserve"> to a definition in the Dictionary of the EMPA,</w:t>
      </w:r>
      <w:r>
        <w:t xml:space="preserve"> as a result of new Chapter 1A and Chapter 1B.</w:t>
      </w:r>
    </w:p>
    <w:p w14:paraId="7D18B2F1" w14:textId="03F6A0DB" w:rsidR="000A3860" w:rsidRDefault="000A3860" w:rsidP="000A3860">
      <w:pPr>
        <w:pStyle w:val="Heading1"/>
        <w:rPr>
          <w:lang w:eastAsia="en-AU"/>
        </w:rPr>
      </w:pPr>
      <w:bookmarkStart w:id="23" w:name="_Toc18399874"/>
      <w:r>
        <w:rPr>
          <w:lang w:eastAsia="en-AU"/>
        </w:rPr>
        <w:t xml:space="preserve">Part </w:t>
      </w:r>
      <w:r>
        <w:rPr>
          <w:lang w:eastAsia="en-AU"/>
        </w:rPr>
        <w:fldChar w:fldCharType="begin"/>
      </w:r>
      <w:r>
        <w:rPr>
          <w:lang w:eastAsia="en-AU"/>
        </w:rPr>
        <w:instrText xml:space="preserve"> SEQ Part \* ARABIC </w:instrText>
      </w:r>
      <w:r>
        <w:rPr>
          <w:lang w:eastAsia="en-AU"/>
        </w:rPr>
        <w:fldChar w:fldCharType="separate"/>
      </w:r>
      <w:r w:rsidR="00D24F11">
        <w:rPr>
          <w:noProof/>
          <w:lang w:eastAsia="en-AU"/>
        </w:rPr>
        <w:t>3</w:t>
      </w:r>
      <w:r>
        <w:rPr>
          <w:lang w:eastAsia="en-AU"/>
        </w:rPr>
        <w:fldChar w:fldCharType="end"/>
      </w:r>
      <w:r w:rsidRPr="009428EA">
        <w:rPr>
          <w:lang w:eastAsia="en-AU"/>
        </w:rPr>
        <w:t xml:space="preserve"> – </w:t>
      </w:r>
      <w:r w:rsidRPr="000A3860">
        <w:rPr>
          <w:lang w:eastAsia="en-AU"/>
        </w:rPr>
        <w:t>Evidence (Miscellaneous Provisions) Regulation 2009</w:t>
      </w:r>
      <w:bookmarkEnd w:id="23"/>
    </w:p>
    <w:p w14:paraId="3795D40B" w14:textId="3D4E612C" w:rsidR="000A3860" w:rsidRDefault="000A3860" w:rsidP="000A3860">
      <w:pPr>
        <w:rPr>
          <w:lang w:eastAsia="en-AU"/>
        </w:rPr>
      </w:pPr>
      <w:r>
        <w:rPr>
          <w:lang w:eastAsia="en-AU"/>
        </w:rPr>
        <w:t xml:space="preserve">This part makes consequential amendments to the Evidence (Miscellaneous Provisions) </w:t>
      </w:r>
      <w:r w:rsidRPr="008F3966">
        <w:rPr>
          <w:lang w:eastAsia="en-AU"/>
        </w:rPr>
        <w:t xml:space="preserve">Regulation 2009 to </w:t>
      </w:r>
      <w:r w:rsidR="006575B6">
        <w:rPr>
          <w:lang w:eastAsia="en-AU"/>
        </w:rPr>
        <w:t xml:space="preserve">prescribe witnesses </w:t>
      </w:r>
      <w:r w:rsidR="008F3966">
        <w:rPr>
          <w:lang w:eastAsia="en-AU"/>
        </w:rPr>
        <w:t>for whom a court must appoint an intermediary.</w:t>
      </w:r>
    </w:p>
    <w:p w14:paraId="09F473A7" w14:textId="75B798F6" w:rsidR="000A3860" w:rsidRPr="009428EA" w:rsidRDefault="000A3860" w:rsidP="000A3860">
      <w:pPr>
        <w:pStyle w:val="Heading4"/>
        <w:keepNext w:val="0"/>
        <w:rPr>
          <w:lang w:eastAsia="en-AU"/>
        </w:rPr>
      </w:pPr>
      <w:r w:rsidRPr="00C71A66">
        <w:t xml:space="preserve">Clause </w:t>
      </w:r>
      <w:r w:rsidR="00C0334C">
        <w:t>9</w:t>
      </w:r>
      <w:r w:rsidRPr="00C71A66">
        <w:rPr>
          <w:bCs/>
          <w:lang w:eastAsia="en-AU"/>
        </w:rPr>
        <w:t xml:space="preserve"> </w:t>
      </w:r>
      <w:r w:rsidRPr="009428EA">
        <w:rPr>
          <w:lang w:eastAsia="en-AU"/>
        </w:rPr>
        <w:t xml:space="preserve">– </w:t>
      </w:r>
      <w:r w:rsidRPr="000A3860">
        <w:rPr>
          <w:bCs/>
          <w:lang w:eastAsia="en-AU"/>
        </w:rPr>
        <w:t>New part 1 heading</w:t>
      </w:r>
    </w:p>
    <w:p w14:paraId="7FF2A4BA" w14:textId="087DED66" w:rsidR="00AF0D54" w:rsidRDefault="000A3860" w:rsidP="000A3860">
      <w:pPr>
        <w:pStyle w:val="BodyText"/>
      </w:pPr>
      <w:r>
        <w:t xml:space="preserve">This clause inserts a new heading </w:t>
      </w:r>
      <w:r w:rsidR="00B43896">
        <w:t>titled ‘Part 1 Preliminary’.</w:t>
      </w:r>
    </w:p>
    <w:p w14:paraId="70E38F97" w14:textId="6F85470C" w:rsidR="00B43896" w:rsidRPr="009428EA" w:rsidRDefault="00B43896" w:rsidP="00B43896">
      <w:pPr>
        <w:pStyle w:val="Heading4"/>
        <w:keepNext w:val="0"/>
        <w:rPr>
          <w:lang w:eastAsia="en-AU"/>
        </w:rPr>
      </w:pPr>
      <w:r w:rsidRPr="00C71A66">
        <w:t xml:space="preserve">Clause </w:t>
      </w:r>
      <w:r w:rsidR="00C0334C">
        <w:t>10</w:t>
      </w:r>
      <w:r w:rsidRPr="00C71A66">
        <w:rPr>
          <w:bCs/>
          <w:lang w:eastAsia="en-AU"/>
        </w:rPr>
        <w:t xml:space="preserve"> </w:t>
      </w:r>
      <w:r w:rsidRPr="009428EA">
        <w:rPr>
          <w:lang w:eastAsia="en-AU"/>
        </w:rPr>
        <w:t xml:space="preserve">– </w:t>
      </w:r>
      <w:r>
        <w:t>New section 2</w:t>
      </w:r>
    </w:p>
    <w:p w14:paraId="65088692" w14:textId="77777777" w:rsidR="00B43896" w:rsidRDefault="00B43896" w:rsidP="00B43896">
      <w:pPr>
        <w:pStyle w:val="BodyText"/>
      </w:pPr>
      <w:r>
        <w:t>This clause is a technical amendment that to clarify that the dictionary at the end of the regulation is a part of the regulation.</w:t>
      </w:r>
    </w:p>
    <w:p w14:paraId="131F6C7A" w14:textId="6EF22088" w:rsidR="00B43896" w:rsidRPr="009428EA" w:rsidRDefault="00B43896" w:rsidP="00B43896">
      <w:pPr>
        <w:pStyle w:val="Heading4"/>
        <w:keepNext w:val="0"/>
        <w:rPr>
          <w:lang w:eastAsia="en-AU"/>
        </w:rPr>
      </w:pPr>
      <w:r w:rsidRPr="00C71A66">
        <w:lastRenderedPageBreak/>
        <w:t xml:space="preserve">Clause </w:t>
      </w:r>
      <w:r w:rsidR="00C97571">
        <w:fldChar w:fldCharType="begin"/>
      </w:r>
      <w:r w:rsidR="00C97571">
        <w:instrText xml:space="preserve"> SEQ Clause \* ARABIC </w:instrText>
      </w:r>
      <w:r w:rsidR="00C97571">
        <w:fldChar w:fldCharType="separate"/>
      </w:r>
      <w:r w:rsidR="00D24F11">
        <w:rPr>
          <w:noProof/>
        </w:rPr>
        <w:t>5</w:t>
      </w:r>
      <w:r w:rsidR="00C97571">
        <w:rPr>
          <w:noProof/>
        </w:rPr>
        <w:fldChar w:fldCharType="end"/>
      </w:r>
      <w:r w:rsidRPr="00C71A66">
        <w:rPr>
          <w:bCs/>
          <w:lang w:eastAsia="en-AU"/>
        </w:rPr>
        <w:t xml:space="preserve"> </w:t>
      </w:r>
      <w:r w:rsidRPr="009428EA">
        <w:rPr>
          <w:lang w:eastAsia="en-AU"/>
        </w:rPr>
        <w:t xml:space="preserve">– </w:t>
      </w:r>
      <w:r>
        <w:t>New part 2</w:t>
      </w:r>
    </w:p>
    <w:p w14:paraId="37914B34" w14:textId="6F177E2F" w:rsidR="00B43896" w:rsidRDefault="00B43896" w:rsidP="00B43896">
      <w:pPr>
        <w:pStyle w:val="BodyText"/>
      </w:pPr>
      <w:r>
        <w:t>This clause inserts a new Part 2 into the regulation.</w:t>
      </w:r>
    </w:p>
    <w:p w14:paraId="7DBBAB12" w14:textId="33FF2572" w:rsidR="00B43896" w:rsidRPr="00D35A39" w:rsidRDefault="00B43896" w:rsidP="00B43896">
      <w:pPr>
        <w:rPr>
          <w:u w:val="single"/>
          <w:lang w:eastAsia="en-AU"/>
        </w:rPr>
      </w:pPr>
      <w:r>
        <w:rPr>
          <w:b/>
          <w:bCs/>
          <w:u w:val="single"/>
          <w:lang w:eastAsia="en-AU"/>
        </w:rPr>
        <w:t>Part 2</w:t>
      </w:r>
      <w:r w:rsidRPr="00D35A39">
        <w:rPr>
          <w:b/>
          <w:bCs/>
          <w:u w:val="single"/>
          <w:lang w:eastAsia="en-AU"/>
        </w:rPr>
        <w:t xml:space="preserve"> </w:t>
      </w:r>
      <w:r>
        <w:rPr>
          <w:b/>
          <w:bCs/>
          <w:u w:val="single"/>
          <w:lang w:eastAsia="en-AU"/>
        </w:rPr>
        <w:t>Witness intermediaries</w:t>
      </w:r>
      <w:r w:rsidRPr="00D35A39">
        <w:rPr>
          <w:b/>
          <w:bCs/>
          <w:u w:val="single"/>
          <w:lang w:eastAsia="en-AU"/>
        </w:rPr>
        <w:t xml:space="preserve"> </w:t>
      </w:r>
    </w:p>
    <w:p w14:paraId="7350CC54" w14:textId="2E989733" w:rsidR="00B43896" w:rsidRPr="004A26AC" w:rsidRDefault="00B43896" w:rsidP="00B43896">
      <w:pPr>
        <w:pStyle w:val="Caption"/>
        <w:rPr>
          <w:b w:val="0"/>
          <w:bCs w:val="0"/>
          <w:i/>
          <w:sz w:val="24"/>
          <w:szCs w:val="24"/>
          <w:u w:val="single"/>
        </w:rPr>
      </w:pPr>
      <w:r w:rsidRPr="00B43896">
        <w:rPr>
          <w:b w:val="0"/>
          <w:bCs w:val="0"/>
          <w:sz w:val="24"/>
          <w:szCs w:val="24"/>
          <w:u w:val="single"/>
        </w:rPr>
        <w:t xml:space="preserve">New Section </w:t>
      </w:r>
      <w:r>
        <w:rPr>
          <w:b w:val="0"/>
          <w:bCs w:val="0"/>
          <w:sz w:val="24"/>
          <w:szCs w:val="24"/>
          <w:u w:val="single"/>
        </w:rPr>
        <w:t>3</w:t>
      </w:r>
      <w:r w:rsidRPr="00B43896">
        <w:rPr>
          <w:b w:val="0"/>
          <w:bCs w:val="0"/>
          <w:sz w:val="24"/>
          <w:szCs w:val="24"/>
          <w:u w:val="single"/>
        </w:rPr>
        <w:fldChar w:fldCharType="begin"/>
      </w:r>
      <w:r w:rsidRPr="00B43896">
        <w:rPr>
          <w:b w:val="0"/>
          <w:bCs w:val="0"/>
          <w:sz w:val="24"/>
          <w:szCs w:val="24"/>
          <w:u w:val="single"/>
        </w:rPr>
        <w:instrText xml:space="preserve"> SEQ New_Section_[number]_ \* ALPHABETIC </w:instrText>
      </w:r>
      <w:r w:rsidRPr="00B43896">
        <w:rPr>
          <w:b w:val="0"/>
          <w:bCs w:val="0"/>
          <w:sz w:val="24"/>
          <w:szCs w:val="24"/>
          <w:u w:val="single"/>
        </w:rPr>
        <w:fldChar w:fldCharType="separate"/>
      </w:r>
      <w:r w:rsidR="00D24F11">
        <w:rPr>
          <w:b w:val="0"/>
          <w:bCs w:val="0"/>
          <w:noProof/>
          <w:sz w:val="24"/>
          <w:szCs w:val="24"/>
          <w:u w:val="single"/>
        </w:rPr>
        <w:t>A</w:t>
      </w:r>
      <w:r w:rsidRPr="00B43896">
        <w:rPr>
          <w:b w:val="0"/>
          <w:bCs w:val="0"/>
          <w:sz w:val="24"/>
          <w:szCs w:val="24"/>
          <w:u w:val="single"/>
        </w:rPr>
        <w:fldChar w:fldCharType="end"/>
      </w:r>
      <w:r w:rsidR="003A60D5" w:rsidRPr="003A60D5">
        <w:rPr>
          <w:rFonts w:ascii="Arial" w:hAnsi="Arial" w:cs="Arial"/>
          <w:color w:val="000000"/>
          <w:sz w:val="23"/>
          <w:szCs w:val="23"/>
          <w:u w:val="single"/>
          <w:lang w:eastAsia="en-AU"/>
        </w:rPr>
        <w:t xml:space="preserve"> </w:t>
      </w:r>
      <w:r w:rsidR="003A60D5" w:rsidRPr="003A60D5">
        <w:rPr>
          <w:b w:val="0"/>
          <w:bCs w:val="0"/>
          <w:sz w:val="24"/>
          <w:szCs w:val="24"/>
          <w:u w:val="single"/>
        </w:rPr>
        <w:t xml:space="preserve">Intermediaries administrator—Act, </w:t>
      </w:r>
      <w:r w:rsidR="003A60D5" w:rsidRPr="004872DC">
        <w:rPr>
          <w:b w:val="0"/>
          <w:bCs w:val="0"/>
          <w:sz w:val="24"/>
          <w:szCs w:val="24"/>
          <w:u w:val="single"/>
        </w:rPr>
        <w:t>s 4</w:t>
      </w:r>
      <w:r w:rsidR="00C0334C">
        <w:rPr>
          <w:b w:val="0"/>
          <w:bCs w:val="0"/>
          <w:sz w:val="24"/>
          <w:szCs w:val="24"/>
          <w:u w:val="single"/>
        </w:rPr>
        <w:t>A</w:t>
      </w:r>
      <w:r w:rsidR="008F3966" w:rsidRPr="004872DC">
        <w:rPr>
          <w:b w:val="0"/>
          <w:bCs w:val="0"/>
          <w:sz w:val="24"/>
          <w:szCs w:val="24"/>
          <w:u w:val="single"/>
        </w:rPr>
        <w:t>G</w:t>
      </w:r>
      <w:r w:rsidR="004A26AC">
        <w:rPr>
          <w:b w:val="0"/>
          <w:bCs w:val="0"/>
          <w:sz w:val="24"/>
          <w:szCs w:val="24"/>
          <w:u w:val="single"/>
        </w:rPr>
        <w:t xml:space="preserve"> (2), definition of </w:t>
      </w:r>
      <w:r w:rsidR="004A26AC">
        <w:rPr>
          <w:b w:val="0"/>
          <w:bCs w:val="0"/>
          <w:i/>
          <w:sz w:val="24"/>
          <w:szCs w:val="24"/>
          <w:u w:val="single"/>
        </w:rPr>
        <w:t>intermediaries administrator</w:t>
      </w:r>
    </w:p>
    <w:p w14:paraId="5AE25CF8" w14:textId="44EBE2BE" w:rsidR="00B43896" w:rsidRPr="004872DC" w:rsidRDefault="003A60D5" w:rsidP="00B43896">
      <w:pPr>
        <w:pStyle w:val="BodyText"/>
      </w:pPr>
      <w:r w:rsidRPr="004872DC">
        <w:t xml:space="preserve">This section </w:t>
      </w:r>
      <w:r w:rsidR="00A0274B" w:rsidRPr="004872DC">
        <w:t>prescribes the Victims of Crime Commissioner</w:t>
      </w:r>
      <w:r w:rsidR="00963215">
        <w:t xml:space="preserve"> </w:t>
      </w:r>
      <w:r w:rsidR="003E4419">
        <w:t>as</w:t>
      </w:r>
      <w:r w:rsidR="00963215">
        <w:t xml:space="preserve"> the intermediaries administrator</w:t>
      </w:r>
      <w:r w:rsidR="00A0274B" w:rsidRPr="004872DC">
        <w:t>.</w:t>
      </w:r>
    </w:p>
    <w:p w14:paraId="450FEF7D" w14:textId="42BE2BF7" w:rsidR="0075525D" w:rsidRDefault="0075525D" w:rsidP="00201822">
      <w:pPr>
        <w:pStyle w:val="Caption"/>
        <w:keepNext/>
        <w:rPr>
          <w:b w:val="0"/>
          <w:bCs w:val="0"/>
          <w:sz w:val="24"/>
          <w:szCs w:val="24"/>
          <w:u w:val="single"/>
        </w:rPr>
      </w:pPr>
      <w:r w:rsidRPr="004872DC">
        <w:rPr>
          <w:b w:val="0"/>
          <w:bCs w:val="0"/>
          <w:sz w:val="24"/>
          <w:szCs w:val="24"/>
          <w:u w:val="single"/>
        </w:rPr>
        <w:t>New Section 3</w:t>
      </w:r>
      <w:r w:rsidRPr="004872DC">
        <w:rPr>
          <w:b w:val="0"/>
          <w:bCs w:val="0"/>
          <w:sz w:val="24"/>
          <w:szCs w:val="24"/>
          <w:u w:val="single"/>
        </w:rPr>
        <w:fldChar w:fldCharType="begin"/>
      </w:r>
      <w:r w:rsidRPr="004872DC">
        <w:rPr>
          <w:b w:val="0"/>
          <w:bCs w:val="0"/>
          <w:sz w:val="24"/>
          <w:szCs w:val="24"/>
          <w:u w:val="single"/>
        </w:rPr>
        <w:instrText xml:space="preserve"> SEQ New_Section_[number]_ \* ALPHABETIC </w:instrText>
      </w:r>
      <w:r w:rsidRPr="004872DC">
        <w:rPr>
          <w:b w:val="0"/>
          <w:bCs w:val="0"/>
          <w:sz w:val="24"/>
          <w:szCs w:val="24"/>
          <w:u w:val="single"/>
        </w:rPr>
        <w:fldChar w:fldCharType="separate"/>
      </w:r>
      <w:r w:rsidR="00D24F11">
        <w:rPr>
          <w:b w:val="0"/>
          <w:bCs w:val="0"/>
          <w:noProof/>
          <w:sz w:val="24"/>
          <w:szCs w:val="24"/>
          <w:u w:val="single"/>
        </w:rPr>
        <w:t>B</w:t>
      </w:r>
      <w:r w:rsidRPr="004872DC">
        <w:rPr>
          <w:b w:val="0"/>
          <w:bCs w:val="0"/>
          <w:sz w:val="24"/>
          <w:szCs w:val="24"/>
          <w:u w:val="single"/>
        </w:rPr>
        <w:fldChar w:fldCharType="end"/>
      </w:r>
      <w:r w:rsidRPr="004872DC">
        <w:rPr>
          <w:rFonts w:ascii="Arial" w:hAnsi="Arial" w:cs="Arial"/>
          <w:color w:val="000000"/>
          <w:sz w:val="23"/>
          <w:szCs w:val="23"/>
          <w:u w:val="single"/>
          <w:lang w:eastAsia="en-AU"/>
        </w:rPr>
        <w:t xml:space="preserve"> </w:t>
      </w:r>
      <w:r w:rsidRPr="004872DC">
        <w:rPr>
          <w:b w:val="0"/>
          <w:bCs w:val="0"/>
          <w:sz w:val="24"/>
          <w:szCs w:val="24"/>
          <w:u w:val="single"/>
        </w:rPr>
        <w:t>Prescribed witnesses—Act, s 4</w:t>
      </w:r>
      <w:r w:rsidR="00C0334C">
        <w:rPr>
          <w:b w:val="0"/>
          <w:bCs w:val="0"/>
          <w:sz w:val="24"/>
          <w:szCs w:val="24"/>
          <w:u w:val="single"/>
        </w:rPr>
        <w:t>A</w:t>
      </w:r>
      <w:r w:rsidRPr="004872DC">
        <w:rPr>
          <w:b w:val="0"/>
          <w:bCs w:val="0"/>
          <w:sz w:val="24"/>
          <w:szCs w:val="24"/>
          <w:u w:val="single"/>
        </w:rPr>
        <w:t>K (1)</w:t>
      </w:r>
    </w:p>
    <w:p w14:paraId="71076DE5" w14:textId="116A3AD8" w:rsidR="0075525D" w:rsidRPr="00B43896" w:rsidRDefault="0075525D" w:rsidP="00201822">
      <w:pPr>
        <w:pStyle w:val="BodyText"/>
        <w:keepNext/>
      </w:pPr>
      <w:r>
        <w:t xml:space="preserve">This section prescribes witnesses for proceedings </w:t>
      </w:r>
      <w:r w:rsidR="00963215">
        <w:t xml:space="preserve">in </w:t>
      </w:r>
      <w:r>
        <w:t>which a witness intermediary must be used.</w:t>
      </w:r>
    </w:p>
    <w:p w14:paraId="385B98E3" w14:textId="240E8527" w:rsidR="00D676A2" w:rsidRPr="00D676A2" w:rsidRDefault="00D676A2" w:rsidP="00D676A2">
      <w:pPr>
        <w:pStyle w:val="Heading4"/>
        <w:keepNext w:val="0"/>
        <w:rPr>
          <w:lang w:eastAsia="en-AU"/>
        </w:rPr>
      </w:pPr>
      <w:bookmarkStart w:id="24" w:name="_Hlk17895767"/>
      <w:r w:rsidRPr="00D676A2">
        <w:t>Clause</w:t>
      </w:r>
      <w:r w:rsidR="00963215">
        <w:t>s</w:t>
      </w:r>
      <w:r w:rsidRPr="00D676A2">
        <w:t xml:space="preserve"> </w:t>
      </w:r>
      <w:r w:rsidR="00C97571">
        <w:fldChar w:fldCharType="begin"/>
      </w:r>
      <w:r w:rsidR="00C97571">
        <w:instrText xml:space="preserve"> SEQ Clause \* ARABIC </w:instrText>
      </w:r>
      <w:r w:rsidR="00C97571">
        <w:fldChar w:fldCharType="separate"/>
      </w:r>
      <w:r w:rsidR="00D24F11">
        <w:rPr>
          <w:noProof/>
        </w:rPr>
        <w:t>6</w:t>
      </w:r>
      <w:r w:rsidR="00C97571">
        <w:rPr>
          <w:noProof/>
        </w:rPr>
        <w:fldChar w:fldCharType="end"/>
      </w:r>
      <w:r w:rsidRPr="00D676A2">
        <w:t xml:space="preserve">, </w:t>
      </w:r>
      <w:r w:rsidR="00C97571">
        <w:fldChar w:fldCharType="begin"/>
      </w:r>
      <w:r w:rsidR="00C97571">
        <w:instrText xml:space="preserve"> SEQ Clause \* ARABIC </w:instrText>
      </w:r>
      <w:r w:rsidR="00C97571">
        <w:fldChar w:fldCharType="separate"/>
      </w:r>
      <w:r w:rsidR="00D24F11">
        <w:rPr>
          <w:noProof/>
        </w:rPr>
        <w:t>7</w:t>
      </w:r>
      <w:r w:rsidR="00C97571">
        <w:rPr>
          <w:noProof/>
        </w:rPr>
        <w:fldChar w:fldCharType="end"/>
      </w:r>
      <w:r w:rsidRPr="00D676A2">
        <w:t xml:space="preserve">, </w:t>
      </w:r>
      <w:r w:rsidR="00C97571">
        <w:fldChar w:fldCharType="begin"/>
      </w:r>
      <w:r w:rsidR="00C97571">
        <w:instrText xml:space="preserve"> SEQ Clause \* ARABIC </w:instrText>
      </w:r>
      <w:r w:rsidR="00C97571">
        <w:fldChar w:fldCharType="separate"/>
      </w:r>
      <w:r w:rsidR="00D24F11">
        <w:rPr>
          <w:noProof/>
        </w:rPr>
        <w:t>8</w:t>
      </w:r>
      <w:r w:rsidR="00C97571">
        <w:rPr>
          <w:noProof/>
        </w:rPr>
        <w:fldChar w:fldCharType="end"/>
      </w:r>
      <w:r w:rsidRPr="00D676A2">
        <w:rPr>
          <w:bCs/>
          <w:lang w:eastAsia="en-AU"/>
        </w:rPr>
        <w:t xml:space="preserve"> </w:t>
      </w:r>
      <w:r w:rsidRPr="00D676A2">
        <w:rPr>
          <w:lang w:eastAsia="en-AU"/>
        </w:rPr>
        <w:t>– various</w:t>
      </w:r>
    </w:p>
    <w:p w14:paraId="6B8FBA75" w14:textId="251217B9" w:rsidR="00D676A2" w:rsidRPr="00D676A2" w:rsidRDefault="00D676A2" w:rsidP="00D676A2">
      <w:pPr>
        <w:pStyle w:val="BodyText"/>
        <w:rPr>
          <w:highlight w:val="yellow"/>
        </w:rPr>
      </w:pPr>
      <w:r w:rsidRPr="00D676A2">
        <w:t xml:space="preserve">These clauses are </w:t>
      </w:r>
      <w:r>
        <w:t>consequential amendments as a result of new Chapter 1A and Chapter 1B of the EMPA.</w:t>
      </w:r>
    </w:p>
    <w:bookmarkEnd w:id="24"/>
    <w:p w14:paraId="3B070034" w14:textId="77777777" w:rsidR="008B40CE" w:rsidRDefault="008B40CE" w:rsidP="008B40CE">
      <w:pPr>
        <w:rPr>
          <w:lang w:eastAsia="en-AU"/>
        </w:rPr>
      </w:pPr>
    </w:p>
    <w:p w14:paraId="169F9B4B" w14:textId="3A4C227F" w:rsidR="008B40CE" w:rsidRPr="000115BF" w:rsidRDefault="008B40CE" w:rsidP="008B40CE">
      <w:pPr>
        <w:pStyle w:val="Heading1"/>
        <w:rPr>
          <w:lang w:eastAsia="en-AU"/>
        </w:rPr>
      </w:pPr>
      <w:bookmarkStart w:id="25" w:name="_Toc447714847"/>
      <w:bookmarkStart w:id="26" w:name="_Toc18399875"/>
      <w:r w:rsidRPr="000115BF">
        <w:rPr>
          <w:lang w:eastAsia="en-AU"/>
        </w:rPr>
        <w:t xml:space="preserve">Schedule </w:t>
      </w:r>
      <w:r w:rsidR="00326167" w:rsidRPr="000115BF">
        <w:rPr>
          <w:lang w:eastAsia="en-AU"/>
        </w:rPr>
        <w:fldChar w:fldCharType="begin"/>
      </w:r>
      <w:r w:rsidRPr="000115BF">
        <w:rPr>
          <w:lang w:eastAsia="en-AU"/>
        </w:rPr>
        <w:instrText xml:space="preserve"> SEQ Schedule \* ARABIC </w:instrText>
      </w:r>
      <w:r w:rsidR="00326167" w:rsidRPr="000115BF">
        <w:rPr>
          <w:lang w:eastAsia="en-AU"/>
        </w:rPr>
        <w:fldChar w:fldCharType="separate"/>
      </w:r>
      <w:r w:rsidR="00D24F11">
        <w:rPr>
          <w:noProof/>
          <w:lang w:eastAsia="en-AU"/>
        </w:rPr>
        <w:t>1</w:t>
      </w:r>
      <w:r w:rsidR="00326167" w:rsidRPr="000115BF">
        <w:rPr>
          <w:lang w:eastAsia="en-AU"/>
        </w:rPr>
        <w:fldChar w:fldCharType="end"/>
      </w:r>
      <w:r w:rsidRPr="000115BF">
        <w:rPr>
          <w:lang w:eastAsia="en-AU"/>
        </w:rPr>
        <w:t xml:space="preserve"> – </w:t>
      </w:r>
      <w:bookmarkEnd w:id="25"/>
      <w:r w:rsidR="00D676A2">
        <w:rPr>
          <w:lang w:eastAsia="en-AU"/>
        </w:rPr>
        <w:t>Consequential amendments</w:t>
      </w:r>
      <w:bookmarkEnd w:id="26"/>
    </w:p>
    <w:p w14:paraId="04153BE8" w14:textId="7D123666" w:rsidR="008B40CE" w:rsidRDefault="008B40CE" w:rsidP="008B40CE">
      <w:pPr>
        <w:pStyle w:val="Heading3"/>
      </w:pPr>
      <w:bookmarkStart w:id="27" w:name="_Toc447714848"/>
      <w:bookmarkStart w:id="28" w:name="_Toc18399876"/>
      <w:r>
        <w:t xml:space="preserve">Part 1.1 – </w:t>
      </w:r>
      <w:bookmarkEnd w:id="27"/>
      <w:r w:rsidR="00D676A2">
        <w:rPr>
          <w:lang w:eastAsia="en-AU"/>
        </w:rPr>
        <w:t>Criminal Code 2002</w:t>
      </w:r>
      <w:bookmarkEnd w:id="28"/>
    </w:p>
    <w:p w14:paraId="3DA7D47A" w14:textId="71937D05" w:rsidR="008B40CE" w:rsidRPr="000115BF" w:rsidRDefault="008B40CE" w:rsidP="008B40CE">
      <w:pPr>
        <w:pStyle w:val="Heading4"/>
        <w:rPr>
          <w:color w:val="000000"/>
        </w:rPr>
      </w:pPr>
      <w:r w:rsidRPr="000115BF">
        <w:t>[</w:t>
      </w:r>
      <w:r>
        <w:t>1</w:t>
      </w:r>
      <w:r w:rsidRPr="000115BF">
        <w:t>.</w:t>
      </w:r>
      <w:r w:rsidR="00326167" w:rsidRPr="000115BF">
        <w:fldChar w:fldCharType="begin"/>
      </w:r>
      <w:r w:rsidRPr="000115BF">
        <w:instrText xml:space="preserve"> SEQ [2.] \* ARABIC </w:instrText>
      </w:r>
      <w:r w:rsidR="00326167" w:rsidRPr="000115BF">
        <w:fldChar w:fldCharType="separate"/>
      </w:r>
      <w:r w:rsidR="00D24F11">
        <w:rPr>
          <w:noProof/>
        </w:rPr>
        <w:t>1</w:t>
      </w:r>
      <w:r w:rsidR="00326167" w:rsidRPr="000115BF">
        <w:fldChar w:fldCharType="end"/>
      </w:r>
      <w:r w:rsidRPr="000115BF">
        <w:t>]</w:t>
      </w:r>
      <w:r w:rsidR="00D676A2">
        <w:t xml:space="preserve">, </w:t>
      </w:r>
      <w:r w:rsidR="00D676A2" w:rsidRPr="000115BF">
        <w:t>[</w:t>
      </w:r>
      <w:r w:rsidR="00D676A2">
        <w:t>1</w:t>
      </w:r>
      <w:r w:rsidR="00D676A2" w:rsidRPr="000115BF">
        <w:t>.</w:t>
      </w:r>
      <w:r w:rsidR="00C97571">
        <w:fldChar w:fldCharType="begin"/>
      </w:r>
      <w:r w:rsidR="00C97571">
        <w:instrText xml:space="preserve"> SEQ [2.] \* ARABIC </w:instrText>
      </w:r>
      <w:r w:rsidR="00C97571">
        <w:fldChar w:fldCharType="separate"/>
      </w:r>
      <w:r w:rsidR="00D24F11">
        <w:rPr>
          <w:noProof/>
        </w:rPr>
        <w:t>2</w:t>
      </w:r>
      <w:r w:rsidR="00C97571">
        <w:rPr>
          <w:noProof/>
        </w:rPr>
        <w:fldChar w:fldCharType="end"/>
      </w:r>
      <w:r w:rsidR="00D676A2" w:rsidRPr="000115BF">
        <w:t>]</w:t>
      </w:r>
      <w:r w:rsidR="00D676A2">
        <w:t xml:space="preserve">, </w:t>
      </w:r>
      <w:r w:rsidR="00D676A2" w:rsidRPr="000115BF">
        <w:t>[</w:t>
      </w:r>
      <w:r w:rsidR="00D676A2">
        <w:t>1</w:t>
      </w:r>
      <w:r w:rsidR="00D676A2" w:rsidRPr="000115BF">
        <w:t>.</w:t>
      </w:r>
      <w:r w:rsidR="00C97571">
        <w:fldChar w:fldCharType="begin"/>
      </w:r>
      <w:r w:rsidR="00C97571">
        <w:instrText xml:space="preserve"> SEQ [2.] \* ARABIC </w:instrText>
      </w:r>
      <w:r w:rsidR="00C97571">
        <w:fldChar w:fldCharType="separate"/>
      </w:r>
      <w:r w:rsidR="00D24F11">
        <w:rPr>
          <w:noProof/>
        </w:rPr>
        <w:t>3</w:t>
      </w:r>
      <w:r w:rsidR="00C97571">
        <w:rPr>
          <w:noProof/>
        </w:rPr>
        <w:fldChar w:fldCharType="end"/>
      </w:r>
      <w:r w:rsidR="00D676A2" w:rsidRPr="000115BF">
        <w:t>]</w:t>
      </w:r>
      <w:r w:rsidR="00D676A2">
        <w:t xml:space="preserve">, </w:t>
      </w:r>
      <w:r w:rsidR="00D676A2" w:rsidRPr="000115BF">
        <w:t>[</w:t>
      </w:r>
      <w:r w:rsidR="00D676A2">
        <w:t>1</w:t>
      </w:r>
      <w:r w:rsidR="00D676A2" w:rsidRPr="000115BF">
        <w:t>.</w:t>
      </w:r>
      <w:r w:rsidR="00C97571">
        <w:fldChar w:fldCharType="begin"/>
      </w:r>
      <w:r w:rsidR="00C97571">
        <w:instrText xml:space="preserve"> SEQ [2.] \* ARABIC </w:instrText>
      </w:r>
      <w:r w:rsidR="00C97571">
        <w:fldChar w:fldCharType="separate"/>
      </w:r>
      <w:r w:rsidR="00D24F11">
        <w:rPr>
          <w:noProof/>
        </w:rPr>
        <w:t>4</w:t>
      </w:r>
      <w:r w:rsidR="00C97571">
        <w:rPr>
          <w:noProof/>
        </w:rPr>
        <w:fldChar w:fldCharType="end"/>
      </w:r>
      <w:r w:rsidR="00D676A2" w:rsidRPr="000115BF">
        <w:t>]</w:t>
      </w:r>
      <w:r w:rsidR="00D676A2">
        <w:t xml:space="preserve">, </w:t>
      </w:r>
      <w:r w:rsidR="00D676A2" w:rsidRPr="000115BF">
        <w:t>[</w:t>
      </w:r>
      <w:r w:rsidR="00D676A2">
        <w:t>1</w:t>
      </w:r>
      <w:r w:rsidR="00D676A2" w:rsidRPr="000115BF">
        <w:t>.</w:t>
      </w:r>
      <w:r w:rsidR="00C97571">
        <w:fldChar w:fldCharType="begin"/>
      </w:r>
      <w:r w:rsidR="00C97571">
        <w:instrText xml:space="preserve"> SEQ [2.] \* ARABIC </w:instrText>
      </w:r>
      <w:r w:rsidR="00C97571">
        <w:fldChar w:fldCharType="separate"/>
      </w:r>
      <w:r w:rsidR="00D24F11">
        <w:rPr>
          <w:noProof/>
        </w:rPr>
        <w:t>5</w:t>
      </w:r>
      <w:r w:rsidR="00C97571">
        <w:rPr>
          <w:noProof/>
        </w:rPr>
        <w:fldChar w:fldCharType="end"/>
      </w:r>
      <w:r w:rsidR="00D676A2" w:rsidRPr="000115BF">
        <w:t>]</w:t>
      </w:r>
      <w:r w:rsidR="00D676A2">
        <w:t xml:space="preserve">, </w:t>
      </w:r>
      <w:r w:rsidR="00D676A2" w:rsidRPr="000115BF">
        <w:t>[</w:t>
      </w:r>
      <w:r w:rsidR="00D676A2">
        <w:t>1</w:t>
      </w:r>
      <w:r w:rsidR="00D676A2" w:rsidRPr="000115BF">
        <w:t>.</w:t>
      </w:r>
      <w:r w:rsidR="00C97571">
        <w:fldChar w:fldCharType="begin"/>
      </w:r>
      <w:r w:rsidR="00C97571">
        <w:instrText xml:space="preserve"> SEQ [2.] \* ARABIC </w:instrText>
      </w:r>
      <w:r w:rsidR="00C97571">
        <w:fldChar w:fldCharType="separate"/>
      </w:r>
      <w:r w:rsidR="00D24F11">
        <w:rPr>
          <w:noProof/>
        </w:rPr>
        <w:t>6</w:t>
      </w:r>
      <w:r w:rsidR="00C97571">
        <w:rPr>
          <w:noProof/>
        </w:rPr>
        <w:fldChar w:fldCharType="end"/>
      </w:r>
      <w:r w:rsidR="00D676A2" w:rsidRPr="000115BF">
        <w:t>]</w:t>
      </w:r>
      <w:r w:rsidR="00D676A2">
        <w:t xml:space="preserve">, </w:t>
      </w:r>
      <w:r w:rsidR="00D676A2" w:rsidRPr="000115BF">
        <w:t>[</w:t>
      </w:r>
      <w:r w:rsidR="00D676A2">
        <w:t>1</w:t>
      </w:r>
      <w:r w:rsidR="00D676A2" w:rsidRPr="000115BF">
        <w:t>.</w:t>
      </w:r>
      <w:r w:rsidR="00C97571">
        <w:fldChar w:fldCharType="begin"/>
      </w:r>
      <w:r w:rsidR="00C97571">
        <w:instrText xml:space="preserve"> SEQ [2.] \* ARABIC </w:instrText>
      </w:r>
      <w:r w:rsidR="00C97571">
        <w:fldChar w:fldCharType="separate"/>
      </w:r>
      <w:r w:rsidR="00D24F11">
        <w:rPr>
          <w:noProof/>
        </w:rPr>
        <w:t>7</w:t>
      </w:r>
      <w:r w:rsidR="00C97571">
        <w:rPr>
          <w:noProof/>
        </w:rPr>
        <w:fldChar w:fldCharType="end"/>
      </w:r>
      <w:r w:rsidR="00D676A2" w:rsidRPr="000115BF">
        <w:t>]</w:t>
      </w:r>
      <w:r w:rsidR="00D676A2">
        <w:t xml:space="preserve">, </w:t>
      </w:r>
      <w:r w:rsidR="00D676A2" w:rsidRPr="000115BF">
        <w:t>[</w:t>
      </w:r>
      <w:r w:rsidR="00D676A2">
        <w:t>1</w:t>
      </w:r>
      <w:r w:rsidR="00D676A2" w:rsidRPr="000115BF">
        <w:t>.</w:t>
      </w:r>
      <w:r w:rsidR="00C97571">
        <w:fldChar w:fldCharType="begin"/>
      </w:r>
      <w:r w:rsidR="00C97571">
        <w:instrText xml:space="preserve"> SEQ [2.] \* ARABIC </w:instrText>
      </w:r>
      <w:r w:rsidR="00C97571">
        <w:fldChar w:fldCharType="separate"/>
      </w:r>
      <w:r w:rsidR="00D24F11">
        <w:rPr>
          <w:noProof/>
        </w:rPr>
        <w:t>8</w:t>
      </w:r>
      <w:r w:rsidR="00C97571">
        <w:rPr>
          <w:noProof/>
        </w:rPr>
        <w:fldChar w:fldCharType="end"/>
      </w:r>
      <w:r w:rsidR="00D676A2" w:rsidRPr="000115BF">
        <w:t>]</w:t>
      </w:r>
      <w:r w:rsidR="00D676A2">
        <w:t xml:space="preserve">, </w:t>
      </w:r>
      <w:r w:rsidR="00D676A2" w:rsidRPr="000115BF">
        <w:t>[</w:t>
      </w:r>
      <w:r w:rsidR="00D676A2">
        <w:t>1</w:t>
      </w:r>
      <w:r w:rsidR="00D676A2" w:rsidRPr="000115BF">
        <w:t>.</w:t>
      </w:r>
      <w:r w:rsidR="00C97571">
        <w:fldChar w:fldCharType="begin"/>
      </w:r>
      <w:r w:rsidR="00C97571">
        <w:instrText xml:space="preserve"> SEQ [2.] \* ARABIC </w:instrText>
      </w:r>
      <w:r w:rsidR="00C97571">
        <w:fldChar w:fldCharType="separate"/>
      </w:r>
      <w:r w:rsidR="00D24F11">
        <w:rPr>
          <w:noProof/>
        </w:rPr>
        <w:t>9</w:t>
      </w:r>
      <w:r w:rsidR="00C97571">
        <w:rPr>
          <w:noProof/>
        </w:rPr>
        <w:fldChar w:fldCharType="end"/>
      </w:r>
      <w:r w:rsidR="00D676A2" w:rsidRPr="000115BF">
        <w:t>]</w:t>
      </w:r>
      <w:r w:rsidR="00D676A2">
        <w:t xml:space="preserve">, </w:t>
      </w:r>
      <w:r w:rsidR="00D676A2" w:rsidRPr="000115BF">
        <w:t>[</w:t>
      </w:r>
      <w:r w:rsidR="00D676A2">
        <w:t>1</w:t>
      </w:r>
      <w:r w:rsidR="00D676A2" w:rsidRPr="000115BF">
        <w:t>.</w:t>
      </w:r>
      <w:r w:rsidR="00C97571">
        <w:fldChar w:fldCharType="begin"/>
      </w:r>
      <w:r w:rsidR="00C97571">
        <w:instrText xml:space="preserve"> SEQ [2.] \* ARABIC </w:instrText>
      </w:r>
      <w:r w:rsidR="00C97571">
        <w:fldChar w:fldCharType="separate"/>
      </w:r>
      <w:r w:rsidR="00D24F11">
        <w:rPr>
          <w:noProof/>
        </w:rPr>
        <w:t>10</w:t>
      </w:r>
      <w:r w:rsidR="00C97571">
        <w:rPr>
          <w:noProof/>
        </w:rPr>
        <w:fldChar w:fldCharType="end"/>
      </w:r>
      <w:r w:rsidR="00D676A2" w:rsidRPr="000115BF">
        <w:t>]</w:t>
      </w:r>
      <w:r w:rsidR="00D676A2">
        <w:t xml:space="preserve">, </w:t>
      </w:r>
      <w:r w:rsidR="00D676A2" w:rsidRPr="000115BF">
        <w:t>[</w:t>
      </w:r>
      <w:r w:rsidR="00D676A2">
        <w:t>1</w:t>
      </w:r>
      <w:r w:rsidR="00D676A2" w:rsidRPr="000115BF">
        <w:t>.</w:t>
      </w:r>
      <w:r w:rsidR="00C97571">
        <w:fldChar w:fldCharType="begin"/>
      </w:r>
      <w:r w:rsidR="00C97571">
        <w:instrText xml:space="preserve"> SEQ [2.] \* ARABIC </w:instrText>
      </w:r>
      <w:r w:rsidR="00C97571">
        <w:fldChar w:fldCharType="separate"/>
      </w:r>
      <w:r w:rsidR="00D24F11">
        <w:rPr>
          <w:noProof/>
        </w:rPr>
        <w:t>11</w:t>
      </w:r>
      <w:r w:rsidR="00C97571">
        <w:rPr>
          <w:noProof/>
        </w:rPr>
        <w:fldChar w:fldCharType="end"/>
      </w:r>
      <w:r w:rsidR="00D676A2" w:rsidRPr="000115BF">
        <w:t>]</w:t>
      </w:r>
      <w:r w:rsidR="00D676A2">
        <w:t xml:space="preserve">, </w:t>
      </w:r>
      <w:r w:rsidR="00D676A2" w:rsidRPr="000115BF">
        <w:t>[</w:t>
      </w:r>
      <w:r w:rsidR="00D676A2">
        <w:t>1</w:t>
      </w:r>
      <w:r w:rsidR="00D676A2" w:rsidRPr="000115BF">
        <w:t>.</w:t>
      </w:r>
      <w:r w:rsidR="00C97571">
        <w:fldChar w:fldCharType="begin"/>
      </w:r>
      <w:r w:rsidR="00C97571">
        <w:instrText xml:space="preserve"> SEQ [2.] \* ARABIC </w:instrText>
      </w:r>
      <w:r w:rsidR="00C97571">
        <w:fldChar w:fldCharType="separate"/>
      </w:r>
      <w:r w:rsidR="00D24F11">
        <w:rPr>
          <w:noProof/>
        </w:rPr>
        <w:t>12</w:t>
      </w:r>
      <w:r w:rsidR="00C97571">
        <w:rPr>
          <w:noProof/>
        </w:rPr>
        <w:fldChar w:fldCharType="end"/>
      </w:r>
      <w:r w:rsidR="00D676A2" w:rsidRPr="000115BF">
        <w:t>]</w:t>
      </w:r>
      <w:r w:rsidR="00D676A2">
        <w:t xml:space="preserve">, </w:t>
      </w:r>
      <w:r w:rsidR="00D676A2" w:rsidRPr="000115BF">
        <w:t>[</w:t>
      </w:r>
      <w:r w:rsidR="00D676A2">
        <w:t>1</w:t>
      </w:r>
      <w:r w:rsidR="00D676A2" w:rsidRPr="000115BF">
        <w:t>.</w:t>
      </w:r>
      <w:r w:rsidR="00C97571">
        <w:fldChar w:fldCharType="begin"/>
      </w:r>
      <w:r w:rsidR="00C97571">
        <w:instrText xml:space="preserve"> SEQ [2.] \* ARABIC </w:instrText>
      </w:r>
      <w:r w:rsidR="00C97571">
        <w:fldChar w:fldCharType="separate"/>
      </w:r>
      <w:r w:rsidR="00D24F11">
        <w:rPr>
          <w:noProof/>
        </w:rPr>
        <w:t>13</w:t>
      </w:r>
      <w:r w:rsidR="00C97571">
        <w:rPr>
          <w:noProof/>
        </w:rPr>
        <w:fldChar w:fldCharType="end"/>
      </w:r>
      <w:r w:rsidR="00D676A2" w:rsidRPr="000115BF">
        <w:t>]</w:t>
      </w:r>
      <w:r w:rsidR="00D676A2">
        <w:t xml:space="preserve">, </w:t>
      </w:r>
      <w:r w:rsidR="00D676A2" w:rsidRPr="000115BF">
        <w:t>[</w:t>
      </w:r>
      <w:r w:rsidR="00D676A2">
        <w:t>1</w:t>
      </w:r>
      <w:r w:rsidR="00D676A2" w:rsidRPr="000115BF">
        <w:t>.</w:t>
      </w:r>
      <w:r w:rsidR="00C97571">
        <w:fldChar w:fldCharType="begin"/>
      </w:r>
      <w:r w:rsidR="00C97571">
        <w:instrText xml:space="preserve"> SEQ [2.] \* ARABIC </w:instrText>
      </w:r>
      <w:r w:rsidR="00C97571">
        <w:fldChar w:fldCharType="separate"/>
      </w:r>
      <w:r w:rsidR="00D24F11">
        <w:rPr>
          <w:noProof/>
        </w:rPr>
        <w:t>14</w:t>
      </w:r>
      <w:r w:rsidR="00C97571">
        <w:rPr>
          <w:noProof/>
        </w:rPr>
        <w:fldChar w:fldCharType="end"/>
      </w:r>
      <w:r w:rsidR="00D676A2" w:rsidRPr="000115BF">
        <w:t>]</w:t>
      </w:r>
      <w:r w:rsidR="00D676A2">
        <w:t xml:space="preserve">, </w:t>
      </w:r>
      <w:r w:rsidR="00D676A2" w:rsidRPr="000115BF">
        <w:t>[</w:t>
      </w:r>
      <w:r w:rsidR="00D676A2">
        <w:t>1</w:t>
      </w:r>
      <w:r w:rsidR="00D676A2" w:rsidRPr="000115BF">
        <w:t>.</w:t>
      </w:r>
      <w:r w:rsidR="00C97571">
        <w:fldChar w:fldCharType="begin"/>
      </w:r>
      <w:r w:rsidR="00C97571">
        <w:instrText xml:space="preserve"> SEQ [2.] \* ARABIC </w:instrText>
      </w:r>
      <w:r w:rsidR="00C97571">
        <w:fldChar w:fldCharType="separate"/>
      </w:r>
      <w:r w:rsidR="00D24F11">
        <w:rPr>
          <w:noProof/>
        </w:rPr>
        <w:t>15</w:t>
      </w:r>
      <w:r w:rsidR="00C97571">
        <w:rPr>
          <w:noProof/>
        </w:rPr>
        <w:fldChar w:fldCharType="end"/>
      </w:r>
      <w:r w:rsidR="00D676A2" w:rsidRPr="000115BF">
        <w:t>]</w:t>
      </w:r>
      <w:r w:rsidR="00D676A2">
        <w:t xml:space="preserve">, </w:t>
      </w:r>
      <w:r w:rsidR="00D676A2" w:rsidRPr="000115BF">
        <w:t>[</w:t>
      </w:r>
      <w:r w:rsidR="00D676A2">
        <w:t>1</w:t>
      </w:r>
      <w:r w:rsidR="00D676A2" w:rsidRPr="000115BF">
        <w:t>.</w:t>
      </w:r>
      <w:r w:rsidR="00C97571">
        <w:fldChar w:fldCharType="begin"/>
      </w:r>
      <w:r w:rsidR="00C97571">
        <w:instrText xml:space="preserve"> SEQ [2.] \* ARABIC </w:instrText>
      </w:r>
      <w:r w:rsidR="00C97571">
        <w:fldChar w:fldCharType="separate"/>
      </w:r>
      <w:r w:rsidR="00D24F11">
        <w:rPr>
          <w:noProof/>
        </w:rPr>
        <w:t>16</w:t>
      </w:r>
      <w:r w:rsidR="00C97571">
        <w:rPr>
          <w:noProof/>
        </w:rPr>
        <w:fldChar w:fldCharType="end"/>
      </w:r>
      <w:r w:rsidR="00D676A2" w:rsidRPr="000115BF">
        <w:t>]</w:t>
      </w:r>
      <w:r w:rsidR="00D676A2">
        <w:t xml:space="preserve">, </w:t>
      </w:r>
      <w:r w:rsidR="00D676A2" w:rsidRPr="000115BF">
        <w:t>[</w:t>
      </w:r>
      <w:r w:rsidR="00D676A2">
        <w:t>1</w:t>
      </w:r>
      <w:r w:rsidR="00D676A2" w:rsidRPr="000115BF">
        <w:t>.</w:t>
      </w:r>
      <w:r w:rsidR="00C97571">
        <w:fldChar w:fldCharType="begin"/>
      </w:r>
      <w:r w:rsidR="00C97571">
        <w:instrText xml:space="preserve"> SEQ [2.] \* ARABIC </w:instrText>
      </w:r>
      <w:r w:rsidR="00C97571">
        <w:fldChar w:fldCharType="separate"/>
      </w:r>
      <w:r w:rsidR="00D24F11">
        <w:rPr>
          <w:noProof/>
        </w:rPr>
        <w:t>17</w:t>
      </w:r>
      <w:r w:rsidR="00C97571">
        <w:rPr>
          <w:noProof/>
        </w:rPr>
        <w:fldChar w:fldCharType="end"/>
      </w:r>
      <w:r w:rsidR="00D676A2" w:rsidRPr="000115BF">
        <w:t>]</w:t>
      </w:r>
      <w:r w:rsidR="00D676A2">
        <w:t xml:space="preserve"> </w:t>
      </w:r>
      <w:r w:rsidRPr="000115BF">
        <w:rPr>
          <w:color w:val="000000"/>
        </w:rPr>
        <w:t>–</w:t>
      </w:r>
      <w:r>
        <w:rPr>
          <w:color w:val="000000"/>
        </w:rPr>
        <w:t xml:space="preserve"> </w:t>
      </w:r>
      <w:r w:rsidR="00D676A2">
        <w:rPr>
          <w:lang w:eastAsia="en-AU"/>
        </w:rPr>
        <w:t>various</w:t>
      </w:r>
    </w:p>
    <w:p w14:paraId="6A8F11B4" w14:textId="236A279E" w:rsidR="008B40CE" w:rsidRDefault="00D676A2" w:rsidP="00D676A2">
      <w:pPr>
        <w:pStyle w:val="BodyText"/>
      </w:pPr>
      <w:r w:rsidRPr="00D676A2">
        <w:t xml:space="preserve">These clauses are </w:t>
      </w:r>
      <w:r>
        <w:t>consequential amendments as a result of new Chapter 1A and Chapter 1B of the EMPA.</w:t>
      </w:r>
    </w:p>
    <w:p w14:paraId="3A7E9B3C" w14:textId="5D4AE2DE" w:rsidR="00D676A2" w:rsidRPr="00D676A2" w:rsidRDefault="00D676A2" w:rsidP="00D676A2">
      <w:pPr>
        <w:pStyle w:val="BodyText"/>
        <w:rPr>
          <w:highlight w:val="yellow"/>
        </w:rPr>
      </w:pPr>
      <w:r>
        <w:t xml:space="preserve">The amendments relate broadly to ensuring the same rules and protections apply to a witness intermediary as any other type of witness or interpreter. </w:t>
      </w:r>
      <w:r w:rsidR="0090442B">
        <w:t xml:space="preserve">It is important to note that an intermediary is much more than an interpreter and is able to provide a full range of advice about communication needs of a witness. </w:t>
      </w:r>
    </w:p>
    <w:p w14:paraId="57BB1F71" w14:textId="519AD842" w:rsidR="00D676A2" w:rsidRDefault="00D676A2" w:rsidP="00D676A2">
      <w:pPr>
        <w:pStyle w:val="Heading3"/>
        <w:keepNext/>
      </w:pPr>
      <w:bookmarkStart w:id="29" w:name="_Toc18399877"/>
      <w:r>
        <w:t xml:space="preserve">Part 1.2 – </w:t>
      </w:r>
      <w:r>
        <w:rPr>
          <w:lang w:eastAsia="en-AU"/>
        </w:rPr>
        <w:t>Evidence Act 2011</w:t>
      </w:r>
      <w:bookmarkEnd w:id="29"/>
    </w:p>
    <w:p w14:paraId="40B2139C" w14:textId="7D4F8A80" w:rsidR="00D676A2" w:rsidRDefault="00D676A2" w:rsidP="00D676A2">
      <w:pPr>
        <w:pStyle w:val="Heading4"/>
        <w:rPr>
          <w:lang w:eastAsia="en-AU"/>
        </w:rPr>
      </w:pPr>
      <w:r w:rsidRPr="000115BF">
        <w:t>[</w:t>
      </w:r>
      <w:r>
        <w:t>1</w:t>
      </w:r>
      <w:r w:rsidRPr="000115BF">
        <w:t>.</w:t>
      </w:r>
      <w:r w:rsidR="00C97571">
        <w:fldChar w:fldCharType="begin"/>
      </w:r>
      <w:r w:rsidR="00C97571">
        <w:instrText xml:space="preserve"> SEQ [2.] \* ARABIC </w:instrText>
      </w:r>
      <w:r w:rsidR="00C97571">
        <w:fldChar w:fldCharType="separate"/>
      </w:r>
      <w:r w:rsidR="00D24F11">
        <w:rPr>
          <w:noProof/>
        </w:rPr>
        <w:t>18</w:t>
      </w:r>
      <w:r w:rsidR="00C97571">
        <w:rPr>
          <w:noProof/>
        </w:rPr>
        <w:fldChar w:fldCharType="end"/>
      </w:r>
      <w:r w:rsidRPr="000115BF">
        <w:t>]</w:t>
      </w:r>
      <w:r>
        <w:t xml:space="preserve">, </w:t>
      </w:r>
      <w:r w:rsidRPr="000115BF">
        <w:t>[</w:t>
      </w:r>
      <w:r>
        <w:t>1</w:t>
      </w:r>
      <w:r w:rsidRPr="000115BF">
        <w:t>.</w:t>
      </w:r>
      <w:r w:rsidR="00C97571">
        <w:fldChar w:fldCharType="begin"/>
      </w:r>
      <w:r w:rsidR="00C97571">
        <w:instrText xml:space="preserve"> SEQ [2.] \* ARABIC </w:instrText>
      </w:r>
      <w:r w:rsidR="00C97571">
        <w:fldChar w:fldCharType="separate"/>
      </w:r>
      <w:r w:rsidR="00D24F11">
        <w:rPr>
          <w:noProof/>
        </w:rPr>
        <w:t>19</w:t>
      </w:r>
      <w:r w:rsidR="00C97571">
        <w:rPr>
          <w:noProof/>
        </w:rPr>
        <w:fldChar w:fldCharType="end"/>
      </w:r>
      <w:r w:rsidRPr="000115BF">
        <w:t>]</w:t>
      </w:r>
      <w:r>
        <w:t xml:space="preserve">, </w:t>
      </w:r>
      <w:r w:rsidRPr="000115BF">
        <w:t>[</w:t>
      </w:r>
      <w:r>
        <w:t>1</w:t>
      </w:r>
      <w:r w:rsidRPr="000115BF">
        <w:t>.</w:t>
      </w:r>
      <w:r w:rsidR="00C97571">
        <w:fldChar w:fldCharType="begin"/>
      </w:r>
      <w:r w:rsidR="00C97571">
        <w:instrText xml:space="preserve"> SEQ [2.] \* ARABIC </w:instrText>
      </w:r>
      <w:r w:rsidR="00C97571">
        <w:fldChar w:fldCharType="separate"/>
      </w:r>
      <w:r w:rsidR="00D24F11">
        <w:rPr>
          <w:noProof/>
        </w:rPr>
        <w:t>20</w:t>
      </w:r>
      <w:r w:rsidR="00C97571">
        <w:rPr>
          <w:noProof/>
        </w:rPr>
        <w:fldChar w:fldCharType="end"/>
      </w:r>
      <w:r w:rsidRPr="000115BF">
        <w:t>]</w:t>
      </w:r>
      <w:r>
        <w:t xml:space="preserve">, </w:t>
      </w:r>
      <w:r w:rsidRPr="000115BF">
        <w:t>[</w:t>
      </w:r>
      <w:r>
        <w:t>1</w:t>
      </w:r>
      <w:r w:rsidRPr="000115BF">
        <w:t>.</w:t>
      </w:r>
      <w:r w:rsidR="00C97571">
        <w:fldChar w:fldCharType="begin"/>
      </w:r>
      <w:r w:rsidR="00C97571">
        <w:instrText xml:space="preserve"> SEQ [2.] \* ARABIC </w:instrText>
      </w:r>
      <w:r w:rsidR="00C97571">
        <w:fldChar w:fldCharType="separate"/>
      </w:r>
      <w:r w:rsidR="00D24F11">
        <w:rPr>
          <w:noProof/>
        </w:rPr>
        <w:t>21</w:t>
      </w:r>
      <w:r w:rsidR="00C97571">
        <w:rPr>
          <w:noProof/>
        </w:rPr>
        <w:fldChar w:fldCharType="end"/>
      </w:r>
      <w:r w:rsidRPr="000115BF">
        <w:t>]</w:t>
      </w:r>
      <w:r>
        <w:t xml:space="preserve">, </w:t>
      </w:r>
      <w:r w:rsidRPr="000115BF">
        <w:t>[</w:t>
      </w:r>
      <w:r>
        <w:t>1</w:t>
      </w:r>
      <w:r w:rsidRPr="000115BF">
        <w:t>.</w:t>
      </w:r>
      <w:r w:rsidR="00C97571">
        <w:fldChar w:fldCharType="begin"/>
      </w:r>
      <w:r w:rsidR="00C97571">
        <w:instrText xml:space="preserve"> SEQ [2.] \* ARABIC </w:instrText>
      </w:r>
      <w:r w:rsidR="00C97571">
        <w:fldChar w:fldCharType="separate"/>
      </w:r>
      <w:r w:rsidR="00D24F11">
        <w:rPr>
          <w:noProof/>
        </w:rPr>
        <w:t>22</w:t>
      </w:r>
      <w:r w:rsidR="00C97571">
        <w:rPr>
          <w:noProof/>
        </w:rPr>
        <w:fldChar w:fldCharType="end"/>
      </w:r>
      <w:r w:rsidRPr="000115BF">
        <w:t>]</w:t>
      </w:r>
      <w:r>
        <w:t xml:space="preserve">, </w:t>
      </w:r>
      <w:r w:rsidRPr="000115BF">
        <w:t>[</w:t>
      </w:r>
      <w:r>
        <w:t>1</w:t>
      </w:r>
      <w:r w:rsidRPr="000115BF">
        <w:t>.</w:t>
      </w:r>
      <w:r w:rsidR="00C97571">
        <w:fldChar w:fldCharType="begin"/>
      </w:r>
      <w:r w:rsidR="00C97571">
        <w:instrText xml:space="preserve"> SEQ [2.] \* ARABIC </w:instrText>
      </w:r>
      <w:r w:rsidR="00C97571">
        <w:fldChar w:fldCharType="separate"/>
      </w:r>
      <w:r w:rsidR="00D24F11">
        <w:rPr>
          <w:noProof/>
        </w:rPr>
        <w:t>23</w:t>
      </w:r>
      <w:r w:rsidR="00C97571">
        <w:rPr>
          <w:noProof/>
        </w:rPr>
        <w:fldChar w:fldCharType="end"/>
      </w:r>
      <w:r w:rsidRPr="000115BF">
        <w:t>]</w:t>
      </w:r>
      <w:r>
        <w:t xml:space="preserve">, </w:t>
      </w:r>
      <w:r w:rsidRPr="000115BF">
        <w:t>[</w:t>
      </w:r>
      <w:r>
        <w:t>1</w:t>
      </w:r>
      <w:r w:rsidRPr="000115BF">
        <w:t>.</w:t>
      </w:r>
      <w:r w:rsidR="00C97571">
        <w:fldChar w:fldCharType="begin"/>
      </w:r>
      <w:r w:rsidR="00C97571">
        <w:instrText xml:space="preserve"> SEQ [2.] \* ARABIC </w:instrText>
      </w:r>
      <w:r w:rsidR="00C97571">
        <w:fldChar w:fldCharType="separate"/>
      </w:r>
      <w:r w:rsidR="00D24F11">
        <w:rPr>
          <w:noProof/>
        </w:rPr>
        <w:t>24</w:t>
      </w:r>
      <w:r w:rsidR="00C97571">
        <w:rPr>
          <w:noProof/>
        </w:rPr>
        <w:fldChar w:fldCharType="end"/>
      </w:r>
      <w:r w:rsidRPr="000115BF">
        <w:t>]</w:t>
      </w:r>
      <w:r>
        <w:t xml:space="preserve">, </w:t>
      </w:r>
      <w:r w:rsidRPr="000115BF">
        <w:t>[</w:t>
      </w:r>
      <w:r>
        <w:t>1</w:t>
      </w:r>
      <w:r w:rsidRPr="000115BF">
        <w:t>.</w:t>
      </w:r>
      <w:r w:rsidR="00C97571">
        <w:fldChar w:fldCharType="begin"/>
      </w:r>
      <w:r w:rsidR="00C97571">
        <w:instrText xml:space="preserve"> SEQ [2.] \* ARABIC </w:instrText>
      </w:r>
      <w:r w:rsidR="00C97571">
        <w:fldChar w:fldCharType="separate"/>
      </w:r>
      <w:r w:rsidR="00D24F11">
        <w:rPr>
          <w:noProof/>
        </w:rPr>
        <w:t>25</w:t>
      </w:r>
      <w:r w:rsidR="00C97571">
        <w:rPr>
          <w:noProof/>
        </w:rPr>
        <w:fldChar w:fldCharType="end"/>
      </w:r>
      <w:r w:rsidRPr="000115BF">
        <w:t>]</w:t>
      </w:r>
      <w:r>
        <w:t xml:space="preserve">, </w:t>
      </w:r>
      <w:r w:rsidRPr="000115BF">
        <w:t>[</w:t>
      </w:r>
      <w:r>
        <w:t>1</w:t>
      </w:r>
      <w:r w:rsidRPr="000115BF">
        <w:t>.</w:t>
      </w:r>
      <w:r w:rsidR="00C97571">
        <w:fldChar w:fldCharType="begin"/>
      </w:r>
      <w:r w:rsidR="00C97571">
        <w:instrText xml:space="preserve"> SEQ [2.] \* ARABIC </w:instrText>
      </w:r>
      <w:r w:rsidR="00C97571">
        <w:fldChar w:fldCharType="separate"/>
      </w:r>
      <w:r w:rsidR="00D24F11">
        <w:rPr>
          <w:noProof/>
        </w:rPr>
        <w:t>26</w:t>
      </w:r>
      <w:r w:rsidR="00C97571">
        <w:rPr>
          <w:noProof/>
        </w:rPr>
        <w:fldChar w:fldCharType="end"/>
      </w:r>
      <w:r w:rsidRPr="000115BF">
        <w:t>]</w:t>
      </w:r>
      <w:r>
        <w:t xml:space="preserve">, </w:t>
      </w:r>
      <w:r w:rsidRPr="000115BF">
        <w:t>[</w:t>
      </w:r>
      <w:r>
        <w:t>1</w:t>
      </w:r>
      <w:r w:rsidRPr="000115BF">
        <w:t>.</w:t>
      </w:r>
      <w:r w:rsidR="00C97571">
        <w:fldChar w:fldCharType="begin"/>
      </w:r>
      <w:r w:rsidR="00C97571">
        <w:instrText xml:space="preserve"> SEQ [2.] \* ARABIC </w:instrText>
      </w:r>
      <w:r w:rsidR="00C97571">
        <w:fldChar w:fldCharType="separate"/>
      </w:r>
      <w:r w:rsidR="00D24F11">
        <w:rPr>
          <w:noProof/>
        </w:rPr>
        <w:t>27</w:t>
      </w:r>
      <w:r w:rsidR="00C97571">
        <w:rPr>
          <w:noProof/>
        </w:rPr>
        <w:fldChar w:fldCharType="end"/>
      </w:r>
      <w:r w:rsidRPr="000115BF">
        <w:t>]</w:t>
      </w:r>
      <w:r>
        <w:t xml:space="preserve">, </w:t>
      </w:r>
      <w:r w:rsidRPr="000115BF">
        <w:t>[</w:t>
      </w:r>
      <w:r>
        <w:t>1</w:t>
      </w:r>
      <w:r w:rsidRPr="000115BF">
        <w:t>.</w:t>
      </w:r>
      <w:r w:rsidR="00C97571">
        <w:fldChar w:fldCharType="begin"/>
      </w:r>
      <w:r w:rsidR="00C97571">
        <w:instrText xml:space="preserve"> SEQ [2.] \* ARABIC </w:instrText>
      </w:r>
      <w:r w:rsidR="00C97571">
        <w:fldChar w:fldCharType="separate"/>
      </w:r>
      <w:r w:rsidR="00D24F11">
        <w:rPr>
          <w:noProof/>
        </w:rPr>
        <w:t>28</w:t>
      </w:r>
      <w:r w:rsidR="00C97571">
        <w:rPr>
          <w:noProof/>
        </w:rPr>
        <w:fldChar w:fldCharType="end"/>
      </w:r>
      <w:r>
        <w:t xml:space="preserve">] </w:t>
      </w:r>
      <w:r w:rsidRPr="000115BF">
        <w:rPr>
          <w:color w:val="000000"/>
        </w:rPr>
        <w:t>–</w:t>
      </w:r>
      <w:r>
        <w:rPr>
          <w:color w:val="000000"/>
        </w:rPr>
        <w:t xml:space="preserve"> </w:t>
      </w:r>
      <w:r>
        <w:rPr>
          <w:lang w:eastAsia="en-AU"/>
        </w:rPr>
        <w:t>various</w:t>
      </w:r>
    </w:p>
    <w:p w14:paraId="3860CA81" w14:textId="77777777" w:rsidR="00D676A2" w:rsidRDefault="00D676A2" w:rsidP="00D676A2">
      <w:pPr>
        <w:pStyle w:val="BodyText"/>
        <w:keepNext/>
      </w:pPr>
      <w:r w:rsidRPr="00D676A2">
        <w:t xml:space="preserve">These clauses are </w:t>
      </w:r>
      <w:r>
        <w:t>consequential amendments as a result of new Chapter 1A and Chapter 1B of the EMPA.</w:t>
      </w:r>
    </w:p>
    <w:p w14:paraId="20FB2816" w14:textId="3756CE2D" w:rsidR="008B40CE" w:rsidRPr="003E2EF5" w:rsidRDefault="00D676A2" w:rsidP="003E2EF5">
      <w:pPr>
        <w:pStyle w:val="BodyText"/>
        <w:rPr>
          <w:highlight w:val="yellow"/>
        </w:rPr>
      </w:pPr>
      <w:r>
        <w:t xml:space="preserve">The amendments relate broadly to ensuring there is appropriate guidance in the </w:t>
      </w:r>
      <w:r w:rsidRPr="00E55BAF">
        <w:rPr>
          <w:i/>
        </w:rPr>
        <w:t>Evidence Act 2011</w:t>
      </w:r>
      <w:r>
        <w:t xml:space="preserve"> to allow a witness intermediary to swear an oath or </w:t>
      </w:r>
      <w:r w:rsidR="002A0F32">
        <w:t xml:space="preserve">make an </w:t>
      </w:r>
      <w:r>
        <w:t>affirmation.</w:t>
      </w:r>
      <w:bookmarkEnd w:id="0"/>
    </w:p>
    <w:sectPr w:rsidR="008B40CE" w:rsidRPr="003E2EF5" w:rsidSect="00EE32FF">
      <w:footerReference w:type="default" r:id="rId17"/>
      <w:foot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AE4CF" w14:textId="77777777" w:rsidR="00620A60" w:rsidRDefault="00620A60" w:rsidP="00EB113E">
      <w:pPr>
        <w:spacing w:after="0" w:line="240" w:lineRule="auto"/>
      </w:pPr>
      <w:r>
        <w:separator/>
      </w:r>
    </w:p>
  </w:endnote>
  <w:endnote w:type="continuationSeparator" w:id="0">
    <w:p w14:paraId="05A751FD" w14:textId="77777777" w:rsidR="00620A60" w:rsidRDefault="00620A60" w:rsidP="00EB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CA1F" w14:textId="77777777" w:rsidR="00E33337" w:rsidRDefault="00E33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46D8" w14:textId="77777777" w:rsidR="00963215" w:rsidRPr="00C31AB2" w:rsidRDefault="00963215" w:rsidP="00C31AB2">
    <w:pPr>
      <w:pStyle w:val="Header"/>
      <w:jc w:val="center"/>
      <w:rPr>
        <w:rFonts w:ascii="Arial" w:hAnsi="Arial" w:cs="Arial"/>
        <w:b/>
        <w:color w:val="FF0000"/>
      </w:rPr>
    </w:pPr>
    <w:r>
      <w:rPr>
        <w:rFonts w:ascii="Arial" w:hAnsi="Arial" w:cs="Arial"/>
        <w:b/>
        <w:color w:val="FF0000"/>
      </w:rPr>
      <w:t>SENSITIVE: CABINET</w:t>
    </w:r>
  </w:p>
  <w:p w14:paraId="233B9F1E" w14:textId="26DC086D" w:rsidR="00963215" w:rsidRPr="00E33337" w:rsidRDefault="00E33337" w:rsidP="00E33337">
    <w:pPr>
      <w:pStyle w:val="Header"/>
      <w:jc w:val="center"/>
      <w:rPr>
        <w:rFonts w:ascii="Arial" w:hAnsi="Arial" w:cs="Arial"/>
        <w:b/>
        <w:color w:val="FF0000"/>
        <w:sz w:val="14"/>
      </w:rPr>
    </w:pPr>
    <w:r w:rsidRPr="00E33337">
      <w:rPr>
        <w:rFonts w:ascii="Arial" w:hAnsi="Arial" w:cs="Arial"/>
        <w:b/>
        <w:color w:val="FF0000"/>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F580" w14:textId="09B6049F" w:rsidR="00E33337" w:rsidRPr="00E33337" w:rsidRDefault="00E33337" w:rsidP="00E33337">
    <w:pPr>
      <w:pStyle w:val="Footer"/>
      <w:jc w:val="center"/>
      <w:rPr>
        <w:rFonts w:ascii="Arial" w:hAnsi="Arial" w:cs="Arial"/>
        <w:sz w:val="14"/>
      </w:rPr>
    </w:pPr>
    <w:r w:rsidRPr="00E33337">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1D785" w14:textId="77777777" w:rsidR="00963215" w:rsidRDefault="00963215">
    <w:pPr>
      <w:pStyle w:val="Footer"/>
      <w:jc w:val="right"/>
    </w:pPr>
    <w:r>
      <w:fldChar w:fldCharType="begin"/>
    </w:r>
    <w:r>
      <w:instrText xml:space="preserve"> PAGE   \* MERGEFORMAT </w:instrText>
    </w:r>
    <w:r>
      <w:fldChar w:fldCharType="separate"/>
    </w:r>
    <w:r>
      <w:rPr>
        <w:noProof/>
      </w:rPr>
      <w:t>10</w:t>
    </w:r>
    <w:r>
      <w:rPr>
        <w:noProof/>
      </w:rPr>
      <w:fldChar w:fldCharType="end"/>
    </w:r>
  </w:p>
  <w:p w14:paraId="5235C39C" w14:textId="34F4A587" w:rsidR="00963215" w:rsidRPr="00E33337" w:rsidRDefault="00E33337" w:rsidP="00E33337">
    <w:pPr>
      <w:pStyle w:val="Header"/>
      <w:jc w:val="center"/>
      <w:rPr>
        <w:rFonts w:ascii="Arial" w:hAnsi="Arial" w:cs="Arial"/>
        <w:bCs/>
        <w:sz w:val="14"/>
        <w:szCs w:val="14"/>
      </w:rPr>
    </w:pPr>
    <w:r w:rsidRPr="00E33337">
      <w:rPr>
        <w:rFonts w:ascii="Arial" w:hAnsi="Arial" w:cs="Arial"/>
        <w:bCs/>
        <w:sz w:val="14"/>
        <w:szCs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44B50" w14:textId="77777777" w:rsidR="00963215" w:rsidRDefault="00963215">
    <w:pPr>
      <w:pStyle w:val="Footer"/>
      <w:jc w:val="right"/>
    </w:pPr>
    <w:r>
      <w:fldChar w:fldCharType="begin"/>
    </w:r>
    <w:r>
      <w:instrText xml:space="preserve"> PAGE   \* MERGEFORMAT </w:instrText>
    </w:r>
    <w:r>
      <w:fldChar w:fldCharType="separate"/>
    </w:r>
    <w:r>
      <w:rPr>
        <w:noProof/>
      </w:rPr>
      <w:t>1</w:t>
    </w:r>
    <w:r>
      <w:rPr>
        <w:noProof/>
      </w:rPr>
      <w:fldChar w:fldCharType="end"/>
    </w:r>
  </w:p>
  <w:p w14:paraId="382A0604" w14:textId="623C0E12" w:rsidR="00963215" w:rsidRPr="00E33337" w:rsidRDefault="00E33337" w:rsidP="00E33337">
    <w:pPr>
      <w:pStyle w:val="Header"/>
      <w:jc w:val="center"/>
      <w:rPr>
        <w:rFonts w:ascii="Arial" w:hAnsi="Arial" w:cs="Arial"/>
        <w:bCs/>
        <w:sz w:val="14"/>
        <w:szCs w:val="14"/>
      </w:rPr>
    </w:pPr>
    <w:r w:rsidRPr="00E33337">
      <w:rPr>
        <w:rFonts w:ascii="Arial" w:hAnsi="Arial" w:cs="Arial"/>
        <w:bCs/>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16678" w14:textId="77777777" w:rsidR="00620A60" w:rsidRDefault="00620A60" w:rsidP="00EB113E">
      <w:pPr>
        <w:spacing w:after="0" w:line="240" w:lineRule="auto"/>
      </w:pPr>
      <w:r>
        <w:separator/>
      </w:r>
    </w:p>
  </w:footnote>
  <w:footnote w:type="continuationSeparator" w:id="0">
    <w:p w14:paraId="5A8C1690" w14:textId="77777777" w:rsidR="00620A60" w:rsidRDefault="00620A60" w:rsidP="00EB113E">
      <w:pPr>
        <w:spacing w:after="0" w:line="240" w:lineRule="auto"/>
      </w:pPr>
      <w:r>
        <w:continuationSeparator/>
      </w:r>
    </w:p>
  </w:footnote>
  <w:footnote w:id="1">
    <w:p w14:paraId="58A3EEA7" w14:textId="39FBD92D" w:rsidR="00963215" w:rsidRPr="00C260DC" w:rsidRDefault="00963215">
      <w:pPr>
        <w:pStyle w:val="FootnoteText"/>
        <w:rPr>
          <w:rFonts w:ascii="Times New Roman" w:hAnsi="Times New Roman"/>
        </w:rPr>
      </w:pPr>
      <w:r w:rsidRPr="00C260DC">
        <w:rPr>
          <w:rStyle w:val="FootnoteReference"/>
          <w:rFonts w:ascii="Times New Roman" w:hAnsi="Times New Roman"/>
        </w:rPr>
        <w:footnoteRef/>
      </w:r>
      <w:r w:rsidRPr="00C260DC">
        <w:rPr>
          <w:rFonts w:ascii="Times New Roman" w:hAnsi="Times New Roman"/>
        </w:rPr>
        <w:t xml:space="preserve"> </w:t>
      </w:r>
      <w:r w:rsidRPr="00C260DC">
        <w:rPr>
          <w:rFonts w:ascii="Times New Roman" w:hAnsi="Times New Roman"/>
          <w:i/>
        </w:rPr>
        <w:t xml:space="preserve">Commonwealth, Royal Commission into Institutional Responses to Child Sexual Abuse, Criminal Justice Report, </w:t>
      </w:r>
      <w:r w:rsidRPr="00C260DC">
        <w:rPr>
          <w:rFonts w:ascii="Times New Roman" w:hAnsi="Times New Roman"/>
        </w:rPr>
        <w:t xml:space="preserve">Parts VII to X and Appendices, pp. 3-6. </w:t>
      </w:r>
    </w:p>
  </w:footnote>
  <w:footnote w:id="2">
    <w:p w14:paraId="6F596729" w14:textId="4A44E9BD" w:rsidR="00963215" w:rsidRPr="00C260DC" w:rsidRDefault="00963215">
      <w:pPr>
        <w:pStyle w:val="FootnoteText"/>
        <w:rPr>
          <w:rFonts w:ascii="Times New Roman" w:hAnsi="Times New Roman"/>
        </w:rPr>
      </w:pPr>
      <w:r w:rsidRPr="00C260DC">
        <w:rPr>
          <w:rStyle w:val="FootnoteReference"/>
          <w:rFonts w:ascii="Times New Roman" w:hAnsi="Times New Roman"/>
        </w:rPr>
        <w:footnoteRef/>
      </w:r>
      <w:r w:rsidRPr="00C260DC">
        <w:rPr>
          <w:rFonts w:ascii="Times New Roman" w:hAnsi="Times New Roman"/>
        </w:rPr>
        <w:t xml:space="preserve"> Ibid, p. 6.</w:t>
      </w:r>
    </w:p>
  </w:footnote>
  <w:footnote w:id="3">
    <w:p w14:paraId="66866EAB" w14:textId="3448C8BA" w:rsidR="00963215" w:rsidRDefault="00963215">
      <w:pPr>
        <w:pStyle w:val="FootnoteText"/>
      </w:pPr>
      <w:r w:rsidRPr="00C260DC">
        <w:rPr>
          <w:rStyle w:val="FootnoteReference"/>
          <w:rFonts w:ascii="Times New Roman" w:hAnsi="Times New Roman"/>
        </w:rPr>
        <w:footnoteRef/>
      </w:r>
      <w:r w:rsidRPr="00C260DC">
        <w:rPr>
          <w:rFonts w:ascii="Times New Roman" w:hAnsi="Times New Roman"/>
        </w:rPr>
        <w:t xml:space="preserve"> Ibid, p. 3.</w:t>
      </w:r>
    </w:p>
  </w:footnote>
  <w:footnote w:id="4">
    <w:p w14:paraId="74720368" w14:textId="77777777" w:rsidR="00963215" w:rsidRPr="00C260DC" w:rsidRDefault="00963215" w:rsidP="00C260DC">
      <w:pPr>
        <w:pStyle w:val="FootnoteText"/>
        <w:rPr>
          <w:rFonts w:ascii="Times New Roman" w:hAnsi="Times New Roman"/>
        </w:rPr>
      </w:pPr>
      <w:r w:rsidRPr="00C260DC">
        <w:rPr>
          <w:rStyle w:val="FootnoteReference"/>
          <w:rFonts w:ascii="Times New Roman" w:hAnsi="Times New Roman"/>
        </w:rPr>
        <w:footnoteRef/>
      </w:r>
      <w:r w:rsidRPr="00C260DC">
        <w:rPr>
          <w:rFonts w:ascii="Times New Roman" w:hAnsi="Times New Roman"/>
        </w:rPr>
        <w:t xml:space="preserve"> Ibid, p. 5.</w:t>
      </w:r>
    </w:p>
  </w:footnote>
  <w:footnote w:id="5">
    <w:p w14:paraId="43CBFD7E" w14:textId="217CFD95" w:rsidR="00963215" w:rsidRPr="00E55BAF" w:rsidRDefault="00963215" w:rsidP="00A15AB2">
      <w:pPr>
        <w:pStyle w:val="FootnoteText"/>
        <w:rPr>
          <w:rFonts w:ascii="Times New Roman" w:hAnsi="Times New Roman"/>
        </w:rPr>
      </w:pPr>
      <w:r w:rsidRPr="00E55BAF">
        <w:rPr>
          <w:rStyle w:val="FootnoteReference"/>
          <w:rFonts w:ascii="Times New Roman" w:hAnsi="Times New Roman"/>
        </w:rPr>
        <w:footnoteRef/>
      </w:r>
      <w:r w:rsidRPr="00E55BAF">
        <w:rPr>
          <w:rFonts w:ascii="Times New Roman" w:hAnsi="Times New Roman"/>
        </w:rPr>
        <w:t xml:space="preserve"> Judy Cashmore and Rita Shackel (2018), </w:t>
      </w:r>
      <w:r w:rsidRPr="00E55BAF">
        <w:rPr>
          <w:rFonts w:ascii="Times New Roman" w:hAnsi="Times New Roman"/>
          <w:i/>
        </w:rPr>
        <w:t xml:space="preserve">Evaluation of the Child Sexual Offence Evidence Pilot: Final Outcome Evaluation Report, </w:t>
      </w:r>
      <w:r w:rsidRPr="00E55BAF">
        <w:rPr>
          <w:rFonts w:ascii="Times New Roman" w:hAnsi="Times New Roman"/>
        </w:rPr>
        <w:t xml:space="preserve">prepared for Victims Services, NSW Department of Justice, p. </w:t>
      </w:r>
      <w:r>
        <w:rPr>
          <w:rFonts w:ascii="Times New Roman" w:hAnsi="Times New Roman"/>
        </w:rPr>
        <w:t xml:space="preserve">56; Amy Watts (2014), </w:t>
      </w:r>
      <w:r>
        <w:rPr>
          <w:rFonts w:ascii="Times New Roman" w:hAnsi="Times New Roman"/>
          <w:i/>
        </w:rPr>
        <w:t xml:space="preserve">Report to Investigate Models of Intermediaries for Child Victims and Witnesses in the Criminal Justice System in England, Ireland, Austria and Norway, </w:t>
      </w:r>
      <w:r>
        <w:rPr>
          <w:rFonts w:ascii="Times New Roman" w:hAnsi="Times New Roman"/>
        </w:rPr>
        <w:t xml:space="preserve">Report for The Winston Churchill Memorial Trust of Australia, p. 17; </w:t>
      </w:r>
      <w:r w:rsidRPr="00E55BAF">
        <w:rPr>
          <w:rFonts w:ascii="Times New Roman" w:hAnsi="Times New Roman"/>
        </w:rPr>
        <w:t xml:space="preserve">Royal Commission into Institutional Responses to Child Sexual Abuse (2016), </w:t>
      </w:r>
      <w:r w:rsidRPr="00E55BAF">
        <w:rPr>
          <w:rFonts w:ascii="Times New Roman" w:hAnsi="Times New Roman"/>
          <w:i/>
        </w:rPr>
        <w:t>Criminal Justice</w:t>
      </w:r>
      <w:r w:rsidRPr="00E55BAF">
        <w:rPr>
          <w:rFonts w:ascii="Times New Roman" w:hAnsi="Times New Roman"/>
        </w:rPr>
        <w:t>,</w:t>
      </w:r>
      <w:r w:rsidRPr="00E55BAF">
        <w:rPr>
          <w:rFonts w:ascii="Times New Roman" w:hAnsi="Times New Roman"/>
          <w:i/>
        </w:rPr>
        <w:t xml:space="preserve"> </w:t>
      </w:r>
      <w:r w:rsidRPr="00E55BAF">
        <w:rPr>
          <w:rFonts w:ascii="Times New Roman" w:hAnsi="Times New Roman"/>
        </w:rPr>
        <w:t xml:space="preserve">Consultation </w:t>
      </w:r>
      <w:r w:rsidRPr="00E55BAF">
        <w:rPr>
          <w:rFonts w:ascii="Times New Roman" w:hAnsi="Times New Roman"/>
          <w:lang w:val="en-US"/>
        </w:rPr>
        <w:t>Paper, p. 38</w:t>
      </w:r>
      <w:r>
        <w:rPr>
          <w:rFonts w:ascii="Times New Roman" w:hAnsi="Times New Roman"/>
          <w:lang w:val="en-US"/>
        </w:rPr>
        <w:t>2.</w:t>
      </w:r>
    </w:p>
  </w:footnote>
  <w:footnote w:id="6">
    <w:p w14:paraId="30321C90" w14:textId="77777777" w:rsidR="00963215" w:rsidRPr="00C260DC" w:rsidRDefault="00963215" w:rsidP="00026E14">
      <w:pPr>
        <w:pStyle w:val="FootnoteText"/>
        <w:rPr>
          <w:rFonts w:ascii="Times New Roman" w:hAnsi="Times New Roman"/>
        </w:rPr>
      </w:pPr>
      <w:r w:rsidRPr="00C260DC">
        <w:rPr>
          <w:rStyle w:val="FootnoteReference"/>
          <w:rFonts w:ascii="Times New Roman" w:hAnsi="Times New Roman"/>
        </w:rPr>
        <w:footnoteRef/>
      </w:r>
      <w:r w:rsidRPr="00C260DC">
        <w:rPr>
          <w:rFonts w:ascii="Times New Roman" w:hAnsi="Times New Roman"/>
        </w:rPr>
        <w:t xml:space="preserve"> </w:t>
      </w:r>
      <w:r w:rsidRPr="00C260DC">
        <w:rPr>
          <w:rFonts w:ascii="Times New Roman" w:hAnsi="Times New Roman"/>
          <w:i/>
        </w:rPr>
        <w:t xml:space="preserve">Commonwealth, Royal Commission into Institutional Responses to Child Sexual Abuse, Final Report, </w:t>
      </w:r>
      <w:r w:rsidRPr="00C260DC">
        <w:rPr>
          <w:rFonts w:ascii="Times New Roman" w:hAnsi="Times New Roman"/>
        </w:rPr>
        <w:t xml:space="preserve">Volume 3, Impacts, p. 9-11. Available at: </w:t>
      </w:r>
      <w:hyperlink r:id="rId1" w:history="1">
        <w:r w:rsidRPr="00C260DC">
          <w:rPr>
            <w:rStyle w:val="Hyperlink"/>
            <w:rFonts w:ascii="Times New Roman" w:hAnsi="Times New Roman"/>
          </w:rPr>
          <w:t>https://www.childabuseroyalcommission.gov.au/impacts</w:t>
        </w:r>
      </w:hyperlink>
      <w:r w:rsidRPr="00C260DC">
        <w:rPr>
          <w:rFonts w:ascii="Times New Roman" w:hAnsi="Times New Roman"/>
        </w:rPr>
        <w:t xml:space="preserve"> </w:t>
      </w:r>
    </w:p>
  </w:footnote>
  <w:footnote w:id="7">
    <w:p w14:paraId="038E9002" w14:textId="77777777" w:rsidR="00963215" w:rsidRPr="00DD15FF" w:rsidRDefault="00963215" w:rsidP="00D65E31">
      <w:pPr>
        <w:pStyle w:val="FootnoteText"/>
        <w:spacing w:after="120"/>
        <w:rPr>
          <w:rFonts w:ascii="Times New Roman" w:hAnsi="Times New Roman"/>
          <w:sz w:val="18"/>
          <w:szCs w:val="18"/>
        </w:rPr>
      </w:pPr>
      <w:r w:rsidRPr="00C260DC">
        <w:rPr>
          <w:rStyle w:val="FootnoteReference"/>
          <w:rFonts w:ascii="Times New Roman" w:hAnsi="Times New Roman"/>
        </w:rPr>
        <w:footnoteRef/>
      </w:r>
      <w:r w:rsidRPr="00C260DC">
        <w:rPr>
          <w:rFonts w:ascii="Times New Roman" w:hAnsi="Times New Roman"/>
        </w:rPr>
        <w:t xml:space="preserve"> Colvin, M &amp; Cooper, J, 2009 </w:t>
      </w:r>
      <w:r w:rsidRPr="00C260DC">
        <w:rPr>
          <w:rFonts w:ascii="Times New Roman" w:hAnsi="Times New Roman"/>
          <w:i/>
        </w:rPr>
        <w:t>‘Human Rights in the Investigation and Prosecution of Crime’</w:t>
      </w:r>
      <w:r w:rsidRPr="00C260DC">
        <w:rPr>
          <w:rFonts w:ascii="Times New Roman" w:hAnsi="Times New Roman"/>
        </w:rPr>
        <w:t xml:space="preserve"> Oxford University Press, p.425. For more detail on positive obligations, see generally, Akandji-Kombe, J, 2007 ‘</w:t>
      </w:r>
      <w:r w:rsidRPr="00C260DC">
        <w:rPr>
          <w:rFonts w:ascii="Times New Roman" w:hAnsi="Times New Roman"/>
          <w:i/>
        </w:rPr>
        <w:t>Positive obligations under the European Convention on Human Rights’</w:t>
      </w:r>
      <w:r w:rsidRPr="00C260DC">
        <w:rPr>
          <w:rFonts w:ascii="Times New Roman" w:hAnsi="Times New Roman"/>
        </w:rPr>
        <w:t>, Council of Europe.</w:t>
      </w:r>
    </w:p>
  </w:footnote>
  <w:footnote w:id="8">
    <w:p w14:paraId="3D2693CD" w14:textId="0F185873" w:rsidR="004A26AC" w:rsidRPr="009754F0" w:rsidRDefault="004A26AC" w:rsidP="004A26AC">
      <w:pPr>
        <w:pStyle w:val="FootnoteText"/>
        <w:rPr>
          <w:rFonts w:ascii="Times New Roman" w:hAnsi="Times New Roman"/>
        </w:rPr>
      </w:pPr>
      <w:r w:rsidRPr="009754F0">
        <w:rPr>
          <w:rStyle w:val="FootnoteReference"/>
          <w:rFonts w:ascii="Times New Roman" w:hAnsi="Times New Roman"/>
        </w:rPr>
        <w:footnoteRef/>
      </w:r>
      <w:r w:rsidRPr="009754F0">
        <w:rPr>
          <w:rFonts w:ascii="Times New Roman" w:hAnsi="Times New Roman"/>
        </w:rPr>
        <w:t xml:space="preserve"> No. 33218/96, 26 November 2002</w:t>
      </w:r>
      <w:r>
        <w:rPr>
          <w:rFonts w:ascii="Times New Roman" w:hAnsi="Times New Roman"/>
        </w:rPr>
        <w:t>.</w:t>
      </w:r>
    </w:p>
  </w:footnote>
  <w:footnote w:id="9">
    <w:p w14:paraId="58BE47D9" w14:textId="77777777" w:rsidR="00963215" w:rsidRPr="009754F0" w:rsidRDefault="00963215" w:rsidP="009D360B">
      <w:pPr>
        <w:pStyle w:val="FootnoteText"/>
        <w:rPr>
          <w:rFonts w:ascii="Times New Roman" w:hAnsi="Times New Roman"/>
        </w:rPr>
      </w:pPr>
      <w:r w:rsidRPr="009754F0">
        <w:rPr>
          <w:rStyle w:val="FootnoteReference"/>
          <w:rFonts w:ascii="Times New Roman" w:hAnsi="Times New Roman"/>
        </w:rPr>
        <w:footnoteRef/>
      </w:r>
      <w:r w:rsidRPr="009754F0">
        <w:rPr>
          <w:rFonts w:ascii="Times New Roman" w:hAnsi="Times New Roman"/>
        </w:rPr>
        <w:t xml:space="preserve"> </w:t>
      </w:r>
      <w:r w:rsidRPr="009754F0">
        <w:rPr>
          <w:rFonts w:ascii="Times New Roman" w:hAnsi="Times New Roman"/>
          <w:i/>
        </w:rPr>
        <w:t>Ragg v Magistrates’ Court of Victoria and Corcoris</w:t>
      </w:r>
      <w:r w:rsidRPr="009754F0">
        <w:rPr>
          <w:rFonts w:ascii="Times New Roman" w:hAnsi="Times New Roman"/>
        </w:rPr>
        <w:t xml:space="preserve"> [2008] VSC 1 (24 January 2008) (Bell J)</w:t>
      </w:r>
    </w:p>
  </w:footnote>
  <w:footnote w:id="10">
    <w:p w14:paraId="7B041BF6" w14:textId="1A0E1C50" w:rsidR="00963215" w:rsidRPr="009754F0" w:rsidRDefault="00963215">
      <w:pPr>
        <w:pStyle w:val="FootnoteText"/>
        <w:rPr>
          <w:rFonts w:ascii="Times New Roman" w:hAnsi="Times New Roman"/>
        </w:rPr>
      </w:pPr>
      <w:r w:rsidRPr="009754F0">
        <w:rPr>
          <w:rStyle w:val="FootnoteReference"/>
          <w:rFonts w:ascii="Times New Roman" w:hAnsi="Times New Roman"/>
        </w:rPr>
        <w:footnoteRef/>
      </w:r>
      <w:r w:rsidRPr="009754F0">
        <w:rPr>
          <w:rFonts w:ascii="Times New Roman" w:hAnsi="Times New Roman"/>
        </w:rPr>
        <w:t xml:space="preserve"> </w:t>
      </w:r>
      <w:bookmarkStart w:id="11" w:name="_Hlk18403988"/>
      <w:r w:rsidRPr="009754F0">
        <w:rPr>
          <w:rFonts w:ascii="Times New Roman" w:hAnsi="Times New Roman"/>
        </w:rPr>
        <w:t xml:space="preserve">Judy Cashmore and Rita Shackel (2018), </w:t>
      </w:r>
      <w:r w:rsidRPr="009754F0">
        <w:rPr>
          <w:rFonts w:ascii="Times New Roman" w:hAnsi="Times New Roman"/>
          <w:i/>
        </w:rPr>
        <w:t xml:space="preserve">Evaluation of the Child Sexual Offence Evidence Pilot: Final Outcome Evaluation Report, </w:t>
      </w:r>
      <w:r w:rsidRPr="009754F0">
        <w:rPr>
          <w:rFonts w:ascii="Times New Roman" w:hAnsi="Times New Roman"/>
        </w:rPr>
        <w:t>prepared for Victims Services, NSW Department of Justice, p. 63</w:t>
      </w:r>
      <w:bookmarkEnd w:id="11"/>
      <w:r w:rsidRPr="009754F0">
        <w:rPr>
          <w:rFonts w:ascii="Times New Roman" w:hAnsi="Times New Roman"/>
        </w:rPr>
        <w:t xml:space="preserve">; Tasmania Law Reform Institute (2018), </w:t>
      </w:r>
      <w:r w:rsidRPr="009754F0">
        <w:rPr>
          <w:rFonts w:ascii="Times New Roman" w:hAnsi="Times New Roman"/>
          <w:i/>
        </w:rPr>
        <w:t xml:space="preserve">Facilitating Equal Access to Justice: An Intermediary/Communication Assistant Scheme for Tasmania?, </w:t>
      </w:r>
      <w:r w:rsidRPr="009754F0">
        <w:rPr>
          <w:rFonts w:ascii="Times New Roman" w:hAnsi="Times New Roman"/>
        </w:rPr>
        <w:t xml:space="preserve">Final Report No. 23, p. 40; </w:t>
      </w:r>
      <w:r w:rsidRPr="009754F0">
        <w:rPr>
          <w:rFonts w:ascii="Times New Roman" w:hAnsi="Times New Roman"/>
          <w:i/>
        </w:rPr>
        <w:t xml:space="preserve">Commonwealth, Royal Commission into Institutional Responses to Child Sexual Abuse, Criminal Justice Report, </w:t>
      </w:r>
      <w:r w:rsidRPr="009754F0">
        <w:rPr>
          <w:rFonts w:ascii="Times New Roman" w:hAnsi="Times New Roman"/>
        </w:rPr>
        <w:t>Parts VII to X and Appendices, p. 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F1D9A" w14:textId="77777777" w:rsidR="00E33337" w:rsidRDefault="00E33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9495" w14:textId="77777777" w:rsidR="00E33337" w:rsidRDefault="00E333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41FAE" w14:textId="77777777" w:rsidR="00963215" w:rsidRPr="00E10C49" w:rsidRDefault="00963215" w:rsidP="00EE32FF">
    <w:pPr>
      <w:pStyle w:val="Header"/>
      <w:jc w:val="center"/>
      <w:rPr>
        <w:rFonts w:ascii="Arial" w:hAnsi="Arial"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2AE9"/>
    <w:multiLevelType w:val="hybridMultilevel"/>
    <w:tmpl w:val="14A2E506"/>
    <w:lvl w:ilvl="0" w:tplc="171851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D2743C"/>
    <w:multiLevelType w:val="hybridMultilevel"/>
    <w:tmpl w:val="E8F6C836"/>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D75CC"/>
    <w:multiLevelType w:val="hybridMultilevel"/>
    <w:tmpl w:val="DF9E3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B2AC8"/>
    <w:multiLevelType w:val="multilevel"/>
    <w:tmpl w:val="4CEA4642"/>
    <w:lvl w:ilvl="0">
      <w:start w:val="1"/>
      <w:numFmt w:val="bullet"/>
      <w:lvlText w:val=""/>
      <w:lvlJc w:val="left"/>
      <w:pPr>
        <w:tabs>
          <w:tab w:val="num" w:pos="928"/>
        </w:tabs>
        <w:ind w:left="928" w:hanging="360"/>
      </w:pPr>
      <w:rPr>
        <w:rFonts w:ascii="Symbol" w:hAnsi="Symbol" w:hint="default"/>
      </w:rPr>
    </w:lvl>
    <w:lvl w:ilvl="1">
      <w:start w:val="1"/>
      <w:numFmt w:val="bullet"/>
      <w:lvlText w:val=""/>
      <w:lvlJc w:val="left"/>
      <w:pPr>
        <w:tabs>
          <w:tab w:val="num" w:pos="596"/>
        </w:tabs>
        <w:ind w:left="596" w:hanging="360"/>
      </w:pPr>
      <w:rPr>
        <w:rFonts w:ascii="Symbol" w:hAnsi="Symbol" w:hint="default"/>
      </w:rPr>
    </w:lvl>
    <w:lvl w:ilvl="2">
      <w:start w:val="1"/>
      <w:numFmt w:val="lowerRoman"/>
      <w:lvlText w:val="%3)"/>
      <w:lvlJc w:val="left"/>
      <w:pPr>
        <w:tabs>
          <w:tab w:val="num" w:pos="1163"/>
        </w:tabs>
        <w:ind w:left="1163" w:hanging="360"/>
      </w:pPr>
      <w:rPr>
        <w:rFonts w:cs="Times New Roman" w:hint="default"/>
      </w:rPr>
    </w:lvl>
    <w:lvl w:ilvl="3">
      <w:start w:val="1"/>
      <w:numFmt w:val="upperLetter"/>
      <w:lvlText w:val="(%4)"/>
      <w:lvlJc w:val="left"/>
      <w:pPr>
        <w:tabs>
          <w:tab w:val="num" w:pos="2008"/>
        </w:tabs>
        <w:ind w:left="2008" w:hanging="360"/>
      </w:pPr>
      <w:rPr>
        <w:rFonts w:cs="Times New Roman" w:hint="default"/>
      </w:rPr>
    </w:lvl>
    <w:lvl w:ilvl="4">
      <w:start w:val="1"/>
      <w:numFmt w:val="lowerLetter"/>
      <w:lvlText w:val="(%5)"/>
      <w:lvlJc w:val="left"/>
      <w:pPr>
        <w:tabs>
          <w:tab w:val="num" w:pos="738"/>
        </w:tabs>
        <w:ind w:left="738" w:hanging="360"/>
      </w:pPr>
      <w:rPr>
        <w:rFonts w:cs="Times New Roman" w:hint="default"/>
      </w:rPr>
    </w:lvl>
    <w:lvl w:ilvl="5">
      <w:start w:val="1"/>
      <w:numFmt w:val="lowerRoman"/>
      <w:lvlText w:val="(%6)"/>
      <w:lvlJc w:val="left"/>
      <w:pPr>
        <w:tabs>
          <w:tab w:val="num" w:pos="2728"/>
        </w:tabs>
        <w:ind w:left="2728" w:hanging="360"/>
      </w:pPr>
      <w:rPr>
        <w:rFonts w:cs="Times New Roman" w:hint="default"/>
      </w:rPr>
    </w:lvl>
    <w:lvl w:ilvl="6">
      <w:start w:val="1"/>
      <w:numFmt w:val="decimal"/>
      <w:lvlText w:val="%7."/>
      <w:lvlJc w:val="left"/>
      <w:pPr>
        <w:tabs>
          <w:tab w:val="num" w:pos="3088"/>
        </w:tabs>
        <w:ind w:left="3088" w:hanging="360"/>
      </w:pPr>
      <w:rPr>
        <w:rFonts w:cs="Times New Roman" w:hint="default"/>
      </w:rPr>
    </w:lvl>
    <w:lvl w:ilvl="7">
      <w:start w:val="1"/>
      <w:numFmt w:val="lowerLetter"/>
      <w:lvlText w:val="%8."/>
      <w:lvlJc w:val="left"/>
      <w:pPr>
        <w:tabs>
          <w:tab w:val="num" w:pos="3448"/>
        </w:tabs>
        <w:ind w:left="3448" w:hanging="360"/>
      </w:pPr>
      <w:rPr>
        <w:rFonts w:cs="Times New Roman" w:hint="default"/>
      </w:rPr>
    </w:lvl>
    <w:lvl w:ilvl="8">
      <w:start w:val="1"/>
      <w:numFmt w:val="lowerRoman"/>
      <w:lvlText w:val="%9."/>
      <w:lvlJc w:val="left"/>
      <w:pPr>
        <w:tabs>
          <w:tab w:val="num" w:pos="3808"/>
        </w:tabs>
        <w:ind w:left="3808" w:hanging="360"/>
      </w:pPr>
      <w:rPr>
        <w:rFonts w:cs="Times New Roman" w:hint="default"/>
      </w:rPr>
    </w:lvl>
  </w:abstractNum>
  <w:abstractNum w:abstractNumId="4" w15:restartNumberingAfterBreak="0">
    <w:nsid w:val="12CD7314"/>
    <w:multiLevelType w:val="hybridMultilevel"/>
    <w:tmpl w:val="498CF23A"/>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44088F"/>
    <w:multiLevelType w:val="hybridMultilevel"/>
    <w:tmpl w:val="30EACF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F02E02"/>
    <w:multiLevelType w:val="hybridMultilevel"/>
    <w:tmpl w:val="88602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6D6E29"/>
    <w:multiLevelType w:val="hybridMultilevel"/>
    <w:tmpl w:val="AF5CE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886EC1"/>
    <w:multiLevelType w:val="hybridMultilevel"/>
    <w:tmpl w:val="30EACF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2B65CE"/>
    <w:multiLevelType w:val="hybridMultilevel"/>
    <w:tmpl w:val="D0F255F8"/>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DF6290"/>
    <w:multiLevelType w:val="hybridMultilevel"/>
    <w:tmpl w:val="E21E2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5B6E8E"/>
    <w:multiLevelType w:val="multilevel"/>
    <w:tmpl w:val="7F288B68"/>
    <w:lvl w:ilvl="0">
      <w:start w:val="1"/>
      <w:numFmt w:val="decimal"/>
      <w:lvlText w:val="%1)"/>
      <w:lvlJc w:val="left"/>
      <w:pPr>
        <w:tabs>
          <w:tab w:val="num" w:pos="1260"/>
        </w:tabs>
        <w:ind w:left="1260" w:hanging="360"/>
      </w:pPr>
      <w:rPr>
        <w:rFonts w:cs="Times New Roman" w:hint="default"/>
      </w:rPr>
    </w:lvl>
    <w:lvl w:ilvl="1">
      <w:start w:val="1"/>
      <w:numFmt w:val="bullet"/>
      <w:lvlText w:val=""/>
      <w:lvlJc w:val="left"/>
      <w:pPr>
        <w:tabs>
          <w:tab w:val="num" w:pos="928"/>
        </w:tabs>
        <w:ind w:left="928" w:hanging="360"/>
      </w:pPr>
      <w:rPr>
        <w:rFonts w:ascii="Symbol" w:hAnsi="Symbol" w:hint="default"/>
      </w:rPr>
    </w:lvl>
    <w:lvl w:ilvl="2">
      <w:start w:val="1"/>
      <w:numFmt w:val="lowerRoman"/>
      <w:lvlText w:val="%3)"/>
      <w:lvlJc w:val="left"/>
      <w:pPr>
        <w:tabs>
          <w:tab w:val="num" w:pos="1495"/>
        </w:tabs>
        <w:ind w:left="1495"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1070"/>
        </w:tabs>
        <w:ind w:left="107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12" w15:restartNumberingAfterBreak="0">
    <w:nsid w:val="3AEC1D8A"/>
    <w:multiLevelType w:val="hybridMultilevel"/>
    <w:tmpl w:val="DC32F4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DC57AF7"/>
    <w:multiLevelType w:val="hybridMultilevel"/>
    <w:tmpl w:val="4A109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425DD4"/>
    <w:multiLevelType w:val="hybridMultilevel"/>
    <w:tmpl w:val="B7527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0A3705"/>
    <w:multiLevelType w:val="hybridMultilevel"/>
    <w:tmpl w:val="E0D03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CA7A81"/>
    <w:multiLevelType w:val="hybridMultilevel"/>
    <w:tmpl w:val="1166B7CC"/>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540422"/>
    <w:multiLevelType w:val="hybridMultilevel"/>
    <w:tmpl w:val="722A4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62742F"/>
    <w:multiLevelType w:val="hybridMultilevel"/>
    <w:tmpl w:val="1E76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0F6BB7"/>
    <w:multiLevelType w:val="hybridMultilevel"/>
    <w:tmpl w:val="137E5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2417B8"/>
    <w:multiLevelType w:val="hybridMultilevel"/>
    <w:tmpl w:val="2ACC17BA"/>
    <w:lvl w:ilvl="0" w:tplc="9FA05394">
      <w:start w:val="1"/>
      <w:numFmt w:val="bullet"/>
      <w:lvlText w:val=""/>
      <w:lvlJc w:val="left"/>
      <w:pPr>
        <w:tabs>
          <w:tab w:val="num" w:pos="1500"/>
        </w:tabs>
        <w:ind w:left="1478" w:hanging="338"/>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85A3B6C"/>
    <w:multiLevelType w:val="hybridMultilevel"/>
    <w:tmpl w:val="C5062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D95653"/>
    <w:multiLevelType w:val="hybridMultilevel"/>
    <w:tmpl w:val="E58827E0"/>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04652E"/>
    <w:multiLevelType w:val="hybridMultilevel"/>
    <w:tmpl w:val="C9542EC8"/>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1E226E"/>
    <w:multiLevelType w:val="hybridMultilevel"/>
    <w:tmpl w:val="1602A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046F48"/>
    <w:multiLevelType w:val="hybridMultilevel"/>
    <w:tmpl w:val="FF5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D07A71"/>
    <w:multiLevelType w:val="hybridMultilevel"/>
    <w:tmpl w:val="1598D5C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7" w15:restartNumberingAfterBreak="0">
    <w:nsid w:val="67265F81"/>
    <w:multiLevelType w:val="hybridMultilevel"/>
    <w:tmpl w:val="26F4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D9524D"/>
    <w:multiLevelType w:val="hybridMultilevel"/>
    <w:tmpl w:val="3A8A20D6"/>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5"/>
  </w:num>
  <w:num w:numId="3">
    <w:abstractNumId w:val="2"/>
  </w:num>
  <w:num w:numId="4">
    <w:abstractNumId w:val="15"/>
  </w:num>
  <w:num w:numId="5">
    <w:abstractNumId w:val="0"/>
  </w:num>
  <w:num w:numId="6">
    <w:abstractNumId w:val="27"/>
  </w:num>
  <w:num w:numId="7">
    <w:abstractNumId w:val="6"/>
  </w:num>
  <w:num w:numId="8">
    <w:abstractNumId w:val="22"/>
  </w:num>
  <w:num w:numId="9">
    <w:abstractNumId w:val="23"/>
  </w:num>
  <w:num w:numId="10">
    <w:abstractNumId w:val="16"/>
  </w:num>
  <w:num w:numId="11">
    <w:abstractNumId w:val="1"/>
  </w:num>
  <w:num w:numId="12">
    <w:abstractNumId w:val="28"/>
  </w:num>
  <w:num w:numId="13">
    <w:abstractNumId w:val="4"/>
  </w:num>
  <w:num w:numId="14">
    <w:abstractNumId w:val="9"/>
  </w:num>
  <w:num w:numId="15">
    <w:abstractNumId w:val="13"/>
  </w:num>
  <w:num w:numId="16">
    <w:abstractNumId w:val="17"/>
  </w:num>
  <w:num w:numId="17">
    <w:abstractNumId w:val="7"/>
  </w:num>
  <w:num w:numId="18">
    <w:abstractNumId w:val="21"/>
  </w:num>
  <w:num w:numId="19">
    <w:abstractNumId w:val="20"/>
  </w:num>
  <w:num w:numId="20">
    <w:abstractNumId w:val="19"/>
  </w:num>
  <w:num w:numId="21">
    <w:abstractNumId w:val="14"/>
  </w:num>
  <w:num w:numId="22">
    <w:abstractNumId w:val="18"/>
  </w:num>
  <w:num w:numId="23">
    <w:abstractNumId w:val="5"/>
  </w:num>
  <w:num w:numId="24">
    <w:abstractNumId w:val="8"/>
  </w:num>
  <w:num w:numId="25">
    <w:abstractNumId w:val="26"/>
  </w:num>
  <w:num w:numId="26">
    <w:abstractNumId w:val="3"/>
  </w:num>
  <w:num w:numId="27">
    <w:abstractNumId w:val="12"/>
  </w:num>
  <w:num w:numId="28">
    <w:abstractNumId w:val="10"/>
  </w:num>
  <w:num w:numId="29">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appName="MSWord" w:lang="en-A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1F7B94C-818C-4D86-8945-31CC4B87F987}"/>
    <w:docVar w:name="dgnword-eventsink" w:val="623372856"/>
  </w:docVars>
  <w:rsids>
    <w:rsidRoot w:val="0030585F"/>
    <w:rsid w:val="000015A3"/>
    <w:rsid w:val="00003A60"/>
    <w:rsid w:val="00004C31"/>
    <w:rsid w:val="00004C8C"/>
    <w:rsid w:val="00006786"/>
    <w:rsid w:val="00006C49"/>
    <w:rsid w:val="000071C7"/>
    <w:rsid w:val="00007206"/>
    <w:rsid w:val="000101D9"/>
    <w:rsid w:val="000115BF"/>
    <w:rsid w:val="0001228A"/>
    <w:rsid w:val="00012BB3"/>
    <w:rsid w:val="00012D1B"/>
    <w:rsid w:val="00014D20"/>
    <w:rsid w:val="00015C96"/>
    <w:rsid w:val="000169D0"/>
    <w:rsid w:val="00016D42"/>
    <w:rsid w:val="00020890"/>
    <w:rsid w:val="00020FDB"/>
    <w:rsid w:val="000215C2"/>
    <w:rsid w:val="00021BA5"/>
    <w:rsid w:val="00023F7F"/>
    <w:rsid w:val="000263D1"/>
    <w:rsid w:val="00026A03"/>
    <w:rsid w:val="00026E14"/>
    <w:rsid w:val="00031D9F"/>
    <w:rsid w:val="000348B1"/>
    <w:rsid w:val="00037F43"/>
    <w:rsid w:val="000402AF"/>
    <w:rsid w:val="000428AD"/>
    <w:rsid w:val="00042B0B"/>
    <w:rsid w:val="00043790"/>
    <w:rsid w:val="00044FFD"/>
    <w:rsid w:val="00046749"/>
    <w:rsid w:val="00046A4A"/>
    <w:rsid w:val="00046A9E"/>
    <w:rsid w:val="00046F4A"/>
    <w:rsid w:val="00047523"/>
    <w:rsid w:val="000475F2"/>
    <w:rsid w:val="00047B6D"/>
    <w:rsid w:val="00047E5D"/>
    <w:rsid w:val="00052380"/>
    <w:rsid w:val="0005298F"/>
    <w:rsid w:val="00053623"/>
    <w:rsid w:val="00053D52"/>
    <w:rsid w:val="00054020"/>
    <w:rsid w:val="000545DF"/>
    <w:rsid w:val="000559E0"/>
    <w:rsid w:val="00055EB6"/>
    <w:rsid w:val="0005733C"/>
    <w:rsid w:val="00057859"/>
    <w:rsid w:val="00057EFD"/>
    <w:rsid w:val="00060993"/>
    <w:rsid w:val="00061410"/>
    <w:rsid w:val="000625C1"/>
    <w:rsid w:val="00063E3F"/>
    <w:rsid w:val="00063F45"/>
    <w:rsid w:val="00065917"/>
    <w:rsid w:val="000673A5"/>
    <w:rsid w:val="00070620"/>
    <w:rsid w:val="00070EC3"/>
    <w:rsid w:val="00072520"/>
    <w:rsid w:val="000748A0"/>
    <w:rsid w:val="00077560"/>
    <w:rsid w:val="00081071"/>
    <w:rsid w:val="0008299A"/>
    <w:rsid w:val="00085977"/>
    <w:rsid w:val="00086CEF"/>
    <w:rsid w:val="000900EC"/>
    <w:rsid w:val="00090B56"/>
    <w:rsid w:val="00092EE3"/>
    <w:rsid w:val="0009319D"/>
    <w:rsid w:val="00093829"/>
    <w:rsid w:val="00093EE9"/>
    <w:rsid w:val="000974D5"/>
    <w:rsid w:val="000A29DE"/>
    <w:rsid w:val="000A2E19"/>
    <w:rsid w:val="000A3860"/>
    <w:rsid w:val="000A41D2"/>
    <w:rsid w:val="000A4256"/>
    <w:rsid w:val="000A5481"/>
    <w:rsid w:val="000A5922"/>
    <w:rsid w:val="000B086A"/>
    <w:rsid w:val="000B0E83"/>
    <w:rsid w:val="000B119B"/>
    <w:rsid w:val="000B30D8"/>
    <w:rsid w:val="000B3813"/>
    <w:rsid w:val="000B4650"/>
    <w:rsid w:val="000B4844"/>
    <w:rsid w:val="000B5559"/>
    <w:rsid w:val="000B68D6"/>
    <w:rsid w:val="000C08B4"/>
    <w:rsid w:val="000C4A95"/>
    <w:rsid w:val="000C52D8"/>
    <w:rsid w:val="000C5792"/>
    <w:rsid w:val="000C6B65"/>
    <w:rsid w:val="000C6CDD"/>
    <w:rsid w:val="000C6E4A"/>
    <w:rsid w:val="000C757E"/>
    <w:rsid w:val="000D00D3"/>
    <w:rsid w:val="000D08EB"/>
    <w:rsid w:val="000D0DF0"/>
    <w:rsid w:val="000D1672"/>
    <w:rsid w:val="000D3492"/>
    <w:rsid w:val="000D49AD"/>
    <w:rsid w:val="000D4E86"/>
    <w:rsid w:val="000E093A"/>
    <w:rsid w:val="000E0D63"/>
    <w:rsid w:val="000E122F"/>
    <w:rsid w:val="000E12ED"/>
    <w:rsid w:val="000E1760"/>
    <w:rsid w:val="000E3C9D"/>
    <w:rsid w:val="000E4C04"/>
    <w:rsid w:val="000E6C5B"/>
    <w:rsid w:val="000E6DAB"/>
    <w:rsid w:val="000E7048"/>
    <w:rsid w:val="000E7971"/>
    <w:rsid w:val="000E7B1E"/>
    <w:rsid w:val="000F114D"/>
    <w:rsid w:val="000F309C"/>
    <w:rsid w:val="000F4CA8"/>
    <w:rsid w:val="000F58CA"/>
    <w:rsid w:val="000F6CC6"/>
    <w:rsid w:val="0010054B"/>
    <w:rsid w:val="001013C2"/>
    <w:rsid w:val="00102162"/>
    <w:rsid w:val="00103DA7"/>
    <w:rsid w:val="001079CC"/>
    <w:rsid w:val="001129D2"/>
    <w:rsid w:val="0011351A"/>
    <w:rsid w:val="00113D31"/>
    <w:rsid w:val="0011578D"/>
    <w:rsid w:val="001161FE"/>
    <w:rsid w:val="00116CB0"/>
    <w:rsid w:val="00116F01"/>
    <w:rsid w:val="00117275"/>
    <w:rsid w:val="001202A7"/>
    <w:rsid w:val="00121C72"/>
    <w:rsid w:val="0012423D"/>
    <w:rsid w:val="00124DFA"/>
    <w:rsid w:val="00125EC6"/>
    <w:rsid w:val="0012660F"/>
    <w:rsid w:val="00126C7A"/>
    <w:rsid w:val="00126FD0"/>
    <w:rsid w:val="00131012"/>
    <w:rsid w:val="0013475A"/>
    <w:rsid w:val="00135F51"/>
    <w:rsid w:val="001364FE"/>
    <w:rsid w:val="0013726E"/>
    <w:rsid w:val="00137350"/>
    <w:rsid w:val="00137A6F"/>
    <w:rsid w:val="00141ACF"/>
    <w:rsid w:val="00143817"/>
    <w:rsid w:val="00143847"/>
    <w:rsid w:val="00143B3D"/>
    <w:rsid w:val="0014533D"/>
    <w:rsid w:val="00145D38"/>
    <w:rsid w:val="00145DCF"/>
    <w:rsid w:val="00147402"/>
    <w:rsid w:val="00153811"/>
    <w:rsid w:val="00153B5B"/>
    <w:rsid w:val="00153DFB"/>
    <w:rsid w:val="00154118"/>
    <w:rsid w:val="00154351"/>
    <w:rsid w:val="00154679"/>
    <w:rsid w:val="00155920"/>
    <w:rsid w:val="00155A60"/>
    <w:rsid w:val="00155F92"/>
    <w:rsid w:val="00156D10"/>
    <w:rsid w:val="00160863"/>
    <w:rsid w:val="001609A7"/>
    <w:rsid w:val="001609D9"/>
    <w:rsid w:val="00160B72"/>
    <w:rsid w:val="00161403"/>
    <w:rsid w:val="00161598"/>
    <w:rsid w:val="00161E92"/>
    <w:rsid w:val="0016244C"/>
    <w:rsid w:val="001627AD"/>
    <w:rsid w:val="00162893"/>
    <w:rsid w:val="00164C81"/>
    <w:rsid w:val="00165B49"/>
    <w:rsid w:val="00166B2A"/>
    <w:rsid w:val="00167163"/>
    <w:rsid w:val="00167A83"/>
    <w:rsid w:val="00167B13"/>
    <w:rsid w:val="0017301E"/>
    <w:rsid w:val="001735A4"/>
    <w:rsid w:val="001752F7"/>
    <w:rsid w:val="0017781D"/>
    <w:rsid w:val="00177F7F"/>
    <w:rsid w:val="00180946"/>
    <w:rsid w:val="00183148"/>
    <w:rsid w:val="00183CAA"/>
    <w:rsid w:val="00184158"/>
    <w:rsid w:val="00184E95"/>
    <w:rsid w:val="0018628F"/>
    <w:rsid w:val="001863BC"/>
    <w:rsid w:val="001910CD"/>
    <w:rsid w:val="00191C3D"/>
    <w:rsid w:val="00192B65"/>
    <w:rsid w:val="00195933"/>
    <w:rsid w:val="001A1F22"/>
    <w:rsid w:val="001A3795"/>
    <w:rsid w:val="001A3A2E"/>
    <w:rsid w:val="001A42B5"/>
    <w:rsid w:val="001A48F2"/>
    <w:rsid w:val="001A58AC"/>
    <w:rsid w:val="001A64D0"/>
    <w:rsid w:val="001A78FE"/>
    <w:rsid w:val="001B05B6"/>
    <w:rsid w:val="001B1AA2"/>
    <w:rsid w:val="001B30CE"/>
    <w:rsid w:val="001B5F7A"/>
    <w:rsid w:val="001B64EB"/>
    <w:rsid w:val="001B7E69"/>
    <w:rsid w:val="001C1650"/>
    <w:rsid w:val="001C22AE"/>
    <w:rsid w:val="001C2DED"/>
    <w:rsid w:val="001C4091"/>
    <w:rsid w:val="001C5B4D"/>
    <w:rsid w:val="001D0F44"/>
    <w:rsid w:val="001D28FD"/>
    <w:rsid w:val="001D2CF9"/>
    <w:rsid w:val="001D485C"/>
    <w:rsid w:val="001D48C1"/>
    <w:rsid w:val="001D519A"/>
    <w:rsid w:val="001E0822"/>
    <w:rsid w:val="001E0F79"/>
    <w:rsid w:val="001E13ED"/>
    <w:rsid w:val="001E1AC6"/>
    <w:rsid w:val="001E2B11"/>
    <w:rsid w:val="001E2E89"/>
    <w:rsid w:val="001E3654"/>
    <w:rsid w:val="001E4A19"/>
    <w:rsid w:val="001E4C81"/>
    <w:rsid w:val="001E66FB"/>
    <w:rsid w:val="001E6E4E"/>
    <w:rsid w:val="001F00A7"/>
    <w:rsid w:val="001F126B"/>
    <w:rsid w:val="001F26DB"/>
    <w:rsid w:val="001F4E9D"/>
    <w:rsid w:val="001F7F5F"/>
    <w:rsid w:val="00200955"/>
    <w:rsid w:val="0020136C"/>
    <w:rsid w:val="00201822"/>
    <w:rsid w:val="00201AD8"/>
    <w:rsid w:val="00202D8A"/>
    <w:rsid w:val="0020440A"/>
    <w:rsid w:val="0020540B"/>
    <w:rsid w:val="002070A2"/>
    <w:rsid w:val="00207295"/>
    <w:rsid w:val="002072F0"/>
    <w:rsid w:val="00210A29"/>
    <w:rsid w:val="0021141A"/>
    <w:rsid w:val="0021195A"/>
    <w:rsid w:val="002125F4"/>
    <w:rsid w:val="00212C60"/>
    <w:rsid w:val="002139DC"/>
    <w:rsid w:val="002147C8"/>
    <w:rsid w:val="00214A59"/>
    <w:rsid w:val="00214EAF"/>
    <w:rsid w:val="002158D5"/>
    <w:rsid w:val="00216C37"/>
    <w:rsid w:val="00217DAB"/>
    <w:rsid w:val="00220344"/>
    <w:rsid w:val="00220389"/>
    <w:rsid w:val="00220D3A"/>
    <w:rsid w:val="00222001"/>
    <w:rsid w:val="00224D92"/>
    <w:rsid w:val="0022542A"/>
    <w:rsid w:val="00225663"/>
    <w:rsid w:val="00225D75"/>
    <w:rsid w:val="00226A09"/>
    <w:rsid w:val="0022766D"/>
    <w:rsid w:val="002329EA"/>
    <w:rsid w:val="00234132"/>
    <w:rsid w:val="00234D19"/>
    <w:rsid w:val="002352DF"/>
    <w:rsid w:val="002361E0"/>
    <w:rsid w:val="00242605"/>
    <w:rsid w:val="0024673E"/>
    <w:rsid w:val="002469E9"/>
    <w:rsid w:val="00247DE7"/>
    <w:rsid w:val="00253B3C"/>
    <w:rsid w:val="00254067"/>
    <w:rsid w:val="002542E5"/>
    <w:rsid w:val="00254797"/>
    <w:rsid w:val="00254E3E"/>
    <w:rsid w:val="002555AB"/>
    <w:rsid w:val="00255D30"/>
    <w:rsid w:val="00256E81"/>
    <w:rsid w:val="00257029"/>
    <w:rsid w:val="00257A47"/>
    <w:rsid w:val="00260001"/>
    <w:rsid w:val="00263CB4"/>
    <w:rsid w:val="00263FCF"/>
    <w:rsid w:val="002641CC"/>
    <w:rsid w:val="00265966"/>
    <w:rsid w:val="0027025A"/>
    <w:rsid w:val="00270B08"/>
    <w:rsid w:val="00271FB4"/>
    <w:rsid w:val="00273BE9"/>
    <w:rsid w:val="002740B8"/>
    <w:rsid w:val="00276F77"/>
    <w:rsid w:val="00277539"/>
    <w:rsid w:val="00277A4C"/>
    <w:rsid w:val="0028119A"/>
    <w:rsid w:val="00281925"/>
    <w:rsid w:val="00281EB6"/>
    <w:rsid w:val="002838D0"/>
    <w:rsid w:val="00284155"/>
    <w:rsid w:val="00284AE1"/>
    <w:rsid w:val="00287F1A"/>
    <w:rsid w:val="00291CE9"/>
    <w:rsid w:val="00293CBB"/>
    <w:rsid w:val="00294123"/>
    <w:rsid w:val="00294F20"/>
    <w:rsid w:val="00295A55"/>
    <w:rsid w:val="00295CB1"/>
    <w:rsid w:val="00295EA3"/>
    <w:rsid w:val="002963D7"/>
    <w:rsid w:val="00296D06"/>
    <w:rsid w:val="00297D32"/>
    <w:rsid w:val="002A0F32"/>
    <w:rsid w:val="002A1D6E"/>
    <w:rsid w:val="002A3308"/>
    <w:rsid w:val="002A69FB"/>
    <w:rsid w:val="002B0C42"/>
    <w:rsid w:val="002B21EE"/>
    <w:rsid w:val="002B2586"/>
    <w:rsid w:val="002B282C"/>
    <w:rsid w:val="002B545A"/>
    <w:rsid w:val="002B62B2"/>
    <w:rsid w:val="002B69FC"/>
    <w:rsid w:val="002B7BAA"/>
    <w:rsid w:val="002B7E39"/>
    <w:rsid w:val="002C26F0"/>
    <w:rsid w:val="002C3109"/>
    <w:rsid w:val="002C3DA5"/>
    <w:rsid w:val="002C474E"/>
    <w:rsid w:val="002C4DB6"/>
    <w:rsid w:val="002C667E"/>
    <w:rsid w:val="002C6A06"/>
    <w:rsid w:val="002C72FA"/>
    <w:rsid w:val="002C7864"/>
    <w:rsid w:val="002D0602"/>
    <w:rsid w:val="002D0BD8"/>
    <w:rsid w:val="002D3043"/>
    <w:rsid w:val="002D4736"/>
    <w:rsid w:val="002D491A"/>
    <w:rsid w:val="002D5E29"/>
    <w:rsid w:val="002D7EC5"/>
    <w:rsid w:val="002E088B"/>
    <w:rsid w:val="002E1092"/>
    <w:rsid w:val="002E1B08"/>
    <w:rsid w:val="002E1B66"/>
    <w:rsid w:val="002E2A34"/>
    <w:rsid w:val="002E37B4"/>
    <w:rsid w:val="002E3985"/>
    <w:rsid w:val="002E4FBD"/>
    <w:rsid w:val="002E55B5"/>
    <w:rsid w:val="002E59F4"/>
    <w:rsid w:val="002E67C3"/>
    <w:rsid w:val="002E6959"/>
    <w:rsid w:val="002F0FD2"/>
    <w:rsid w:val="002F18B6"/>
    <w:rsid w:val="002F1918"/>
    <w:rsid w:val="002F2784"/>
    <w:rsid w:val="002F437B"/>
    <w:rsid w:val="002F44DD"/>
    <w:rsid w:val="002F4F19"/>
    <w:rsid w:val="002F5D29"/>
    <w:rsid w:val="002F6EE5"/>
    <w:rsid w:val="002F72D7"/>
    <w:rsid w:val="002F781D"/>
    <w:rsid w:val="00300F62"/>
    <w:rsid w:val="003010CA"/>
    <w:rsid w:val="0030200A"/>
    <w:rsid w:val="003032E2"/>
    <w:rsid w:val="00303AE8"/>
    <w:rsid w:val="00303C2E"/>
    <w:rsid w:val="0030406F"/>
    <w:rsid w:val="00304E98"/>
    <w:rsid w:val="003050B5"/>
    <w:rsid w:val="0030517A"/>
    <w:rsid w:val="0030585F"/>
    <w:rsid w:val="00305E0A"/>
    <w:rsid w:val="00306462"/>
    <w:rsid w:val="00311088"/>
    <w:rsid w:val="00311615"/>
    <w:rsid w:val="00312E59"/>
    <w:rsid w:val="00313143"/>
    <w:rsid w:val="0031384F"/>
    <w:rsid w:val="00313859"/>
    <w:rsid w:val="003153CA"/>
    <w:rsid w:val="0031576A"/>
    <w:rsid w:val="00315ACA"/>
    <w:rsid w:val="0031614E"/>
    <w:rsid w:val="003168DF"/>
    <w:rsid w:val="003169F8"/>
    <w:rsid w:val="003172F1"/>
    <w:rsid w:val="00317DD7"/>
    <w:rsid w:val="003217FF"/>
    <w:rsid w:val="00322584"/>
    <w:rsid w:val="00324782"/>
    <w:rsid w:val="003247F7"/>
    <w:rsid w:val="00326167"/>
    <w:rsid w:val="003264D5"/>
    <w:rsid w:val="003270F6"/>
    <w:rsid w:val="00327BD8"/>
    <w:rsid w:val="00330DC5"/>
    <w:rsid w:val="00333AB2"/>
    <w:rsid w:val="00333E5D"/>
    <w:rsid w:val="00334CCE"/>
    <w:rsid w:val="00335E21"/>
    <w:rsid w:val="0033669B"/>
    <w:rsid w:val="00336AAF"/>
    <w:rsid w:val="00337F26"/>
    <w:rsid w:val="00342FB5"/>
    <w:rsid w:val="00343A7F"/>
    <w:rsid w:val="003473E6"/>
    <w:rsid w:val="0035015A"/>
    <w:rsid w:val="00351F41"/>
    <w:rsid w:val="00352BB6"/>
    <w:rsid w:val="003530AF"/>
    <w:rsid w:val="00353230"/>
    <w:rsid w:val="00354214"/>
    <w:rsid w:val="003547B8"/>
    <w:rsid w:val="00354E28"/>
    <w:rsid w:val="00360CFB"/>
    <w:rsid w:val="00361639"/>
    <w:rsid w:val="0036321F"/>
    <w:rsid w:val="003656A8"/>
    <w:rsid w:val="0036591C"/>
    <w:rsid w:val="00366250"/>
    <w:rsid w:val="00366367"/>
    <w:rsid w:val="00367472"/>
    <w:rsid w:val="0037046B"/>
    <w:rsid w:val="003706AB"/>
    <w:rsid w:val="00371ACC"/>
    <w:rsid w:val="003725DD"/>
    <w:rsid w:val="00372E7D"/>
    <w:rsid w:val="00373DC4"/>
    <w:rsid w:val="00373F54"/>
    <w:rsid w:val="0037435E"/>
    <w:rsid w:val="00374F71"/>
    <w:rsid w:val="003762BA"/>
    <w:rsid w:val="0037653A"/>
    <w:rsid w:val="003770C0"/>
    <w:rsid w:val="00380C89"/>
    <w:rsid w:val="003818A5"/>
    <w:rsid w:val="00381A2E"/>
    <w:rsid w:val="00382806"/>
    <w:rsid w:val="00382F43"/>
    <w:rsid w:val="00384187"/>
    <w:rsid w:val="00384B35"/>
    <w:rsid w:val="00384DCD"/>
    <w:rsid w:val="00384FF5"/>
    <w:rsid w:val="003868C8"/>
    <w:rsid w:val="00386B8D"/>
    <w:rsid w:val="003936D9"/>
    <w:rsid w:val="00393C03"/>
    <w:rsid w:val="00395BE9"/>
    <w:rsid w:val="00396F6F"/>
    <w:rsid w:val="003972FD"/>
    <w:rsid w:val="00397994"/>
    <w:rsid w:val="003A1D48"/>
    <w:rsid w:val="003A2779"/>
    <w:rsid w:val="003A35F7"/>
    <w:rsid w:val="003A3638"/>
    <w:rsid w:val="003A4EC1"/>
    <w:rsid w:val="003A5041"/>
    <w:rsid w:val="003A5DF4"/>
    <w:rsid w:val="003A5EB6"/>
    <w:rsid w:val="003A60D5"/>
    <w:rsid w:val="003A6387"/>
    <w:rsid w:val="003A774C"/>
    <w:rsid w:val="003A7C2F"/>
    <w:rsid w:val="003B216E"/>
    <w:rsid w:val="003B459A"/>
    <w:rsid w:val="003B56A8"/>
    <w:rsid w:val="003B6472"/>
    <w:rsid w:val="003C0E16"/>
    <w:rsid w:val="003C10DE"/>
    <w:rsid w:val="003C20D9"/>
    <w:rsid w:val="003C31B5"/>
    <w:rsid w:val="003C37DC"/>
    <w:rsid w:val="003C5473"/>
    <w:rsid w:val="003C5D3A"/>
    <w:rsid w:val="003C7366"/>
    <w:rsid w:val="003C7522"/>
    <w:rsid w:val="003D18B1"/>
    <w:rsid w:val="003D1F94"/>
    <w:rsid w:val="003D28A4"/>
    <w:rsid w:val="003D2C9C"/>
    <w:rsid w:val="003D41B0"/>
    <w:rsid w:val="003D442C"/>
    <w:rsid w:val="003D71CB"/>
    <w:rsid w:val="003E08C3"/>
    <w:rsid w:val="003E0BC4"/>
    <w:rsid w:val="003E1C14"/>
    <w:rsid w:val="003E2EF5"/>
    <w:rsid w:val="003E3C68"/>
    <w:rsid w:val="003E4419"/>
    <w:rsid w:val="003E76DF"/>
    <w:rsid w:val="003E7871"/>
    <w:rsid w:val="003F15A7"/>
    <w:rsid w:val="003F16E9"/>
    <w:rsid w:val="003F29D9"/>
    <w:rsid w:val="003F3401"/>
    <w:rsid w:val="003F5FA5"/>
    <w:rsid w:val="003F7868"/>
    <w:rsid w:val="004009A6"/>
    <w:rsid w:val="00402073"/>
    <w:rsid w:val="004024F4"/>
    <w:rsid w:val="0040357C"/>
    <w:rsid w:val="0040397B"/>
    <w:rsid w:val="00406118"/>
    <w:rsid w:val="00406C67"/>
    <w:rsid w:val="00410BAB"/>
    <w:rsid w:val="00410F37"/>
    <w:rsid w:val="004125AC"/>
    <w:rsid w:val="0041276E"/>
    <w:rsid w:val="0041364F"/>
    <w:rsid w:val="00413858"/>
    <w:rsid w:val="00414089"/>
    <w:rsid w:val="00414202"/>
    <w:rsid w:val="00414310"/>
    <w:rsid w:val="004146D1"/>
    <w:rsid w:val="00416AC0"/>
    <w:rsid w:val="00416CA7"/>
    <w:rsid w:val="00420763"/>
    <w:rsid w:val="00421493"/>
    <w:rsid w:val="00421680"/>
    <w:rsid w:val="004226C6"/>
    <w:rsid w:val="0042333D"/>
    <w:rsid w:val="00424D52"/>
    <w:rsid w:val="00433C14"/>
    <w:rsid w:val="00433EE9"/>
    <w:rsid w:val="00433F4F"/>
    <w:rsid w:val="004342B4"/>
    <w:rsid w:val="00435300"/>
    <w:rsid w:val="00435F00"/>
    <w:rsid w:val="00441793"/>
    <w:rsid w:val="00442BD2"/>
    <w:rsid w:val="00443149"/>
    <w:rsid w:val="004452AF"/>
    <w:rsid w:val="00446142"/>
    <w:rsid w:val="00450AC6"/>
    <w:rsid w:val="004522F1"/>
    <w:rsid w:val="00452A3A"/>
    <w:rsid w:val="00452E62"/>
    <w:rsid w:val="0045411B"/>
    <w:rsid w:val="004546B5"/>
    <w:rsid w:val="00454D4D"/>
    <w:rsid w:val="0045558A"/>
    <w:rsid w:val="00456B77"/>
    <w:rsid w:val="00457B87"/>
    <w:rsid w:val="004618BD"/>
    <w:rsid w:val="00461D6D"/>
    <w:rsid w:val="0046693F"/>
    <w:rsid w:val="004669AB"/>
    <w:rsid w:val="00467034"/>
    <w:rsid w:val="00471C1C"/>
    <w:rsid w:val="00472984"/>
    <w:rsid w:val="004729F7"/>
    <w:rsid w:val="00472F58"/>
    <w:rsid w:val="004730BF"/>
    <w:rsid w:val="004737B0"/>
    <w:rsid w:val="00474218"/>
    <w:rsid w:val="00474D3F"/>
    <w:rsid w:val="00475B71"/>
    <w:rsid w:val="0047619D"/>
    <w:rsid w:val="0047694A"/>
    <w:rsid w:val="00476DB7"/>
    <w:rsid w:val="004802AD"/>
    <w:rsid w:val="00480887"/>
    <w:rsid w:val="00480CA5"/>
    <w:rsid w:val="004828C0"/>
    <w:rsid w:val="0048484E"/>
    <w:rsid w:val="004872DC"/>
    <w:rsid w:val="004913EC"/>
    <w:rsid w:val="004923B7"/>
    <w:rsid w:val="0049496B"/>
    <w:rsid w:val="00496901"/>
    <w:rsid w:val="00497DBF"/>
    <w:rsid w:val="004A1DC3"/>
    <w:rsid w:val="004A26AC"/>
    <w:rsid w:val="004A42CD"/>
    <w:rsid w:val="004A5A29"/>
    <w:rsid w:val="004B20A4"/>
    <w:rsid w:val="004B24FA"/>
    <w:rsid w:val="004B2688"/>
    <w:rsid w:val="004B40C0"/>
    <w:rsid w:val="004B49A4"/>
    <w:rsid w:val="004B558A"/>
    <w:rsid w:val="004B5D89"/>
    <w:rsid w:val="004B7DBC"/>
    <w:rsid w:val="004C0DA3"/>
    <w:rsid w:val="004C13B1"/>
    <w:rsid w:val="004C1EB9"/>
    <w:rsid w:val="004C3091"/>
    <w:rsid w:val="004C398D"/>
    <w:rsid w:val="004C5624"/>
    <w:rsid w:val="004C5872"/>
    <w:rsid w:val="004D1803"/>
    <w:rsid w:val="004D1968"/>
    <w:rsid w:val="004D1D08"/>
    <w:rsid w:val="004D20D0"/>
    <w:rsid w:val="004D22B3"/>
    <w:rsid w:val="004D330B"/>
    <w:rsid w:val="004D33B2"/>
    <w:rsid w:val="004D385B"/>
    <w:rsid w:val="004D5CEA"/>
    <w:rsid w:val="004D5E9F"/>
    <w:rsid w:val="004D7CC9"/>
    <w:rsid w:val="004D7D86"/>
    <w:rsid w:val="004E22D9"/>
    <w:rsid w:val="004E2C29"/>
    <w:rsid w:val="004E347F"/>
    <w:rsid w:val="004E4E5D"/>
    <w:rsid w:val="004E67C2"/>
    <w:rsid w:val="004E6F66"/>
    <w:rsid w:val="004E75D7"/>
    <w:rsid w:val="004F2015"/>
    <w:rsid w:val="004F221C"/>
    <w:rsid w:val="004F7FF1"/>
    <w:rsid w:val="00500191"/>
    <w:rsid w:val="0050047C"/>
    <w:rsid w:val="0050115C"/>
    <w:rsid w:val="00501993"/>
    <w:rsid w:val="00503EB1"/>
    <w:rsid w:val="005041CC"/>
    <w:rsid w:val="00505B45"/>
    <w:rsid w:val="005079E0"/>
    <w:rsid w:val="00510B1F"/>
    <w:rsid w:val="00510F55"/>
    <w:rsid w:val="00511F86"/>
    <w:rsid w:val="00512A76"/>
    <w:rsid w:val="005223E7"/>
    <w:rsid w:val="005228F6"/>
    <w:rsid w:val="00522E75"/>
    <w:rsid w:val="005237AC"/>
    <w:rsid w:val="00523C3F"/>
    <w:rsid w:val="00523E15"/>
    <w:rsid w:val="00524342"/>
    <w:rsid w:val="00526BF6"/>
    <w:rsid w:val="005303ED"/>
    <w:rsid w:val="0053121C"/>
    <w:rsid w:val="00532BF5"/>
    <w:rsid w:val="00532FB2"/>
    <w:rsid w:val="005333B5"/>
    <w:rsid w:val="00535B11"/>
    <w:rsid w:val="005371D0"/>
    <w:rsid w:val="00541268"/>
    <w:rsid w:val="005415A4"/>
    <w:rsid w:val="00541C3D"/>
    <w:rsid w:val="005420B2"/>
    <w:rsid w:val="00542B8E"/>
    <w:rsid w:val="00543B97"/>
    <w:rsid w:val="0054444E"/>
    <w:rsid w:val="0055109E"/>
    <w:rsid w:val="005525BB"/>
    <w:rsid w:val="0055488D"/>
    <w:rsid w:val="00557FB4"/>
    <w:rsid w:val="00561847"/>
    <w:rsid w:val="005623F5"/>
    <w:rsid w:val="00562540"/>
    <w:rsid w:val="005642C4"/>
    <w:rsid w:val="005645B5"/>
    <w:rsid w:val="00565A77"/>
    <w:rsid w:val="00565B40"/>
    <w:rsid w:val="00565C4E"/>
    <w:rsid w:val="00565E7C"/>
    <w:rsid w:val="00567E42"/>
    <w:rsid w:val="00570EE8"/>
    <w:rsid w:val="005716E4"/>
    <w:rsid w:val="0057191A"/>
    <w:rsid w:val="0057236C"/>
    <w:rsid w:val="00573EFD"/>
    <w:rsid w:val="0057512A"/>
    <w:rsid w:val="00577677"/>
    <w:rsid w:val="0058031A"/>
    <w:rsid w:val="00580653"/>
    <w:rsid w:val="0058213D"/>
    <w:rsid w:val="00582FA7"/>
    <w:rsid w:val="0058416C"/>
    <w:rsid w:val="0058488F"/>
    <w:rsid w:val="00584C66"/>
    <w:rsid w:val="00584C87"/>
    <w:rsid w:val="0058529A"/>
    <w:rsid w:val="00585645"/>
    <w:rsid w:val="00585C14"/>
    <w:rsid w:val="0058617D"/>
    <w:rsid w:val="0058703F"/>
    <w:rsid w:val="0058712F"/>
    <w:rsid w:val="00587356"/>
    <w:rsid w:val="00592375"/>
    <w:rsid w:val="00592F8A"/>
    <w:rsid w:val="005940D3"/>
    <w:rsid w:val="00595DDB"/>
    <w:rsid w:val="0059706E"/>
    <w:rsid w:val="005975F2"/>
    <w:rsid w:val="005A0C00"/>
    <w:rsid w:val="005A1C6A"/>
    <w:rsid w:val="005A3E1C"/>
    <w:rsid w:val="005A7405"/>
    <w:rsid w:val="005B35F6"/>
    <w:rsid w:val="005B382E"/>
    <w:rsid w:val="005B4E1C"/>
    <w:rsid w:val="005B5065"/>
    <w:rsid w:val="005B5BAB"/>
    <w:rsid w:val="005B6F23"/>
    <w:rsid w:val="005C0274"/>
    <w:rsid w:val="005C350F"/>
    <w:rsid w:val="005C3B60"/>
    <w:rsid w:val="005C44DC"/>
    <w:rsid w:val="005C4AE1"/>
    <w:rsid w:val="005C4B2F"/>
    <w:rsid w:val="005C5465"/>
    <w:rsid w:val="005C6533"/>
    <w:rsid w:val="005D0412"/>
    <w:rsid w:val="005D116B"/>
    <w:rsid w:val="005D19BD"/>
    <w:rsid w:val="005D6E7F"/>
    <w:rsid w:val="005D7632"/>
    <w:rsid w:val="005D7F7B"/>
    <w:rsid w:val="005D7F96"/>
    <w:rsid w:val="005E0AD3"/>
    <w:rsid w:val="005E1665"/>
    <w:rsid w:val="005E1A4E"/>
    <w:rsid w:val="005E445C"/>
    <w:rsid w:val="005E4F8E"/>
    <w:rsid w:val="005E58BB"/>
    <w:rsid w:val="005E7D03"/>
    <w:rsid w:val="005E7E24"/>
    <w:rsid w:val="005F01A2"/>
    <w:rsid w:val="005F09A8"/>
    <w:rsid w:val="005F117C"/>
    <w:rsid w:val="005F1272"/>
    <w:rsid w:val="005F1863"/>
    <w:rsid w:val="005F1A7D"/>
    <w:rsid w:val="005F2206"/>
    <w:rsid w:val="005F3D88"/>
    <w:rsid w:val="005F4169"/>
    <w:rsid w:val="005F4764"/>
    <w:rsid w:val="005F7A40"/>
    <w:rsid w:val="0060454E"/>
    <w:rsid w:val="00607E51"/>
    <w:rsid w:val="00610AC3"/>
    <w:rsid w:val="00611680"/>
    <w:rsid w:val="00614F8B"/>
    <w:rsid w:val="006156DF"/>
    <w:rsid w:val="00615F21"/>
    <w:rsid w:val="00617C31"/>
    <w:rsid w:val="00617C78"/>
    <w:rsid w:val="00620A60"/>
    <w:rsid w:val="006216D4"/>
    <w:rsid w:val="006218BC"/>
    <w:rsid w:val="0062284C"/>
    <w:rsid w:val="006233BD"/>
    <w:rsid w:val="00624063"/>
    <w:rsid w:val="00625E7F"/>
    <w:rsid w:val="00626A82"/>
    <w:rsid w:val="00627361"/>
    <w:rsid w:val="00627417"/>
    <w:rsid w:val="00627AFA"/>
    <w:rsid w:val="006300C2"/>
    <w:rsid w:val="00630249"/>
    <w:rsid w:val="00633348"/>
    <w:rsid w:val="00633421"/>
    <w:rsid w:val="0063421F"/>
    <w:rsid w:val="0063491A"/>
    <w:rsid w:val="00634DFE"/>
    <w:rsid w:val="006357F8"/>
    <w:rsid w:val="0063620B"/>
    <w:rsid w:val="0064272F"/>
    <w:rsid w:val="00642B18"/>
    <w:rsid w:val="006431CF"/>
    <w:rsid w:val="00643D4D"/>
    <w:rsid w:val="006449DF"/>
    <w:rsid w:val="0064504A"/>
    <w:rsid w:val="00645242"/>
    <w:rsid w:val="00645373"/>
    <w:rsid w:val="0064554D"/>
    <w:rsid w:val="0064588B"/>
    <w:rsid w:val="0064631E"/>
    <w:rsid w:val="00655772"/>
    <w:rsid w:val="006575B6"/>
    <w:rsid w:val="006610CB"/>
    <w:rsid w:val="00661521"/>
    <w:rsid w:val="00662392"/>
    <w:rsid w:val="0066340C"/>
    <w:rsid w:val="006677FA"/>
    <w:rsid w:val="00667D5C"/>
    <w:rsid w:val="00670567"/>
    <w:rsid w:val="0067110D"/>
    <w:rsid w:val="006711D6"/>
    <w:rsid w:val="00672509"/>
    <w:rsid w:val="00672DDA"/>
    <w:rsid w:val="00673453"/>
    <w:rsid w:val="00674CEA"/>
    <w:rsid w:val="0067567C"/>
    <w:rsid w:val="00676721"/>
    <w:rsid w:val="00676E04"/>
    <w:rsid w:val="006773AA"/>
    <w:rsid w:val="00677D84"/>
    <w:rsid w:val="006801D6"/>
    <w:rsid w:val="006832AB"/>
    <w:rsid w:val="006856B5"/>
    <w:rsid w:val="00685DA1"/>
    <w:rsid w:val="006862E3"/>
    <w:rsid w:val="00686730"/>
    <w:rsid w:val="00687B3D"/>
    <w:rsid w:val="00690286"/>
    <w:rsid w:val="006903CB"/>
    <w:rsid w:val="006911F5"/>
    <w:rsid w:val="00693B2C"/>
    <w:rsid w:val="00697145"/>
    <w:rsid w:val="00697ED1"/>
    <w:rsid w:val="006A0CF2"/>
    <w:rsid w:val="006A123D"/>
    <w:rsid w:val="006A1B5D"/>
    <w:rsid w:val="006A2475"/>
    <w:rsid w:val="006A4D5B"/>
    <w:rsid w:val="006A5C42"/>
    <w:rsid w:val="006A72F5"/>
    <w:rsid w:val="006A7426"/>
    <w:rsid w:val="006A7DEE"/>
    <w:rsid w:val="006B28D6"/>
    <w:rsid w:val="006B36F7"/>
    <w:rsid w:val="006B43B2"/>
    <w:rsid w:val="006B7503"/>
    <w:rsid w:val="006C0141"/>
    <w:rsid w:val="006C0689"/>
    <w:rsid w:val="006C0E11"/>
    <w:rsid w:val="006C11E2"/>
    <w:rsid w:val="006C1254"/>
    <w:rsid w:val="006C1E0A"/>
    <w:rsid w:val="006C47A5"/>
    <w:rsid w:val="006C510B"/>
    <w:rsid w:val="006C7501"/>
    <w:rsid w:val="006D230D"/>
    <w:rsid w:val="006D2508"/>
    <w:rsid w:val="006D2643"/>
    <w:rsid w:val="006D27EF"/>
    <w:rsid w:val="006D3366"/>
    <w:rsid w:val="006D3B49"/>
    <w:rsid w:val="006D3C94"/>
    <w:rsid w:val="006D40BB"/>
    <w:rsid w:val="006D470D"/>
    <w:rsid w:val="006D64A6"/>
    <w:rsid w:val="006D6D6F"/>
    <w:rsid w:val="006D7AC3"/>
    <w:rsid w:val="006E0B6A"/>
    <w:rsid w:val="006E0D59"/>
    <w:rsid w:val="006E1111"/>
    <w:rsid w:val="006E1B19"/>
    <w:rsid w:val="006E1E0E"/>
    <w:rsid w:val="006E30F4"/>
    <w:rsid w:val="006E5770"/>
    <w:rsid w:val="006F03C5"/>
    <w:rsid w:val="006F0664"/>
    <w:rsid w:val="006F1135"/>
    <w:rsid w:val="006F13EF"/>
    <w:rsid w:val="006F1F72"/>
    <w:rsid w:val="006F2AF9"/>
    <w:rsid w:val="006F4751"/>
    <w:rsid w:val="00700AD5"/>
    <w:rsid w:val="00700F5E"/>
    <w:rsid w:val="00702566"/>
    <w:rsid w:val="0070370A"/>
    <w:rsid w:val="00706447"/>
    <w:rsid w:val="007103EE"/>
    <w:rsid w:val="00711414"/>
    <w:rsid w:val="0071273F"/>
    <w:rsid w:val="00713935"/>
    <w:rsid w:val="00714439"/>
    <w:rsid w:val="00715E82"/>
    <w:rsid w:val="0071638A"/>
    <w:rsid w:val="00716D98"/>
    <w:rsid w:val="00717A86"/>
    <w:rsid w:val="00720057"/>
    <w:rsid w:val="0072058C"/>
    <w:rsid w:val="00720A78"/>
    <w:rsid w:val="00721BB3"/>
    <w:rsid w:val="0072245A"/>
    <w:rsid w:val="00722E63"/>
    <w:rsid w:val="00724CCE"/>
    <w:rsid w:val="00725170"/>
    <w:rsid w:val="007265CF"/>
    <w:rsid w:val="0072747B"/>
    <w:rsid w:val="00727F92"/>
    <w:rsid w:val="00731BDB"/>
    <w:rsid w:val="00731CDA"/>
    <w:rsid w:val="007320C1"/>
    <w:rsid w:val="007326EC"/>
    <w:rsid w:val="00732AC7"/>
    <w:rsid w:val="00733815"/>
    <w:rsid w:val="007344B5"/>
    <w:rsid w:val="00734B4C"/>
    <w:rsid w:val="007352BC"/>
    <w:rsid w:val="007355E1"/>
    <w:rsid w:val="00736912"/>
    <w:rsid w:val="007375CF"/>
    <w:rsid w:val="007377C5"/>
    <w:rsid w:val="00741541"/>
    <w:rsid w:val="00742137"/>
    <w:rsid w:val="00744661"/>
    <w:rsid w:val="00744770"/>
    <w:rsid w:val="007447B2"/>
    <w:rsid w:val="00744F69"/>
    <w:rsid w:val="0074585F"/>
    <w:rsid w:val="007463B6"/>
    <w:rsid w:val="007476EB"/>
    <w:rsid w:val="00747F0D"/>
    <w:rsid w:val="00750620"/>
    <w:rsid w:val="0075123F"/>
    <w:rsid w:val="00751DCE"/>
    <w:rsid w:val="00754707"/>
    <w:rsid w:val="00754B75"/>
    <w:rsid w:val="00754D4C"/>
    <w:rsid w:val="0075525D"/>
    <w:rsid w:val="00755AAA"/>
    <w:rsid w:val="00755D42"/>
    <w:rsid w:val="00756FD5"/>
    <w:rsid w:val="00757750"/>
    <w:rsid w:val="00757C90"/>
    <w:rsid w:val="00762B14"/>
    <w:rsid w:val="007637E7"/>
    <w:rsid w:val="007646F6"/>
    <w:rsid w:val="00765CE9"/>
    <w:rsid w:val="00767749"/>
    <w:rsid w:val="007710D0"/>
    <w:rsid w:val="007730A7"/>
    <w:rsid w:val="00773148"/>
    <w:rsid w:val="007753CC"/>
    <w:rsid w:val="00775740"/>
    <w:rsid w:val="0077742F"/>
    <w:rsid w:val="007802F3"/>
    <w:rsid w:val="00783664"/>
    <w:rsid w:val="0078392D"/>
    <w:rsid w:val="00785A3B"/>
    <w:rsid w:val="00786631"/>
    <w:rsid w:val="00786A47"/>
    <w:rsid w:val="007906DB"/>
    <w:rsid w:val="007925C8"/>
    <w:rsid w:val="007948B8"/>
    <w:rsid w:val="00794D06"/>
    <w:rsid w:val="00795604"/>
    <w:rsid w:val="00796204"/>
    <w:rsid w:val="00796B5A"/>
    <w:rsid w:val="00797A23"/>
    <w:rsid w:val="007A0061"/>
    <w:rsid w:val="007A108D"/>
    <w:rsid w:val="007A20D5"/>
    <w:rsid w:val="007A4A0E"/>
    <w:rsid w:val="007A5391"/>
    <w:rsid w:val="007A589E"/>
    <w:rsid w:val="007A63B3"/>
    <w:rsid w:val="007A6CC0"/>
    <w:rsid w:val="007B095F"/>
    <w:rsid w:val="007B0C55"/>
    <w:rsid w:val="007B172E"/>
    <w:rsid w:val="007B1843"/>
    <w:rsid w:val="007B2295"/>
    <w:rsid w:val="007B2587"/>
    <w:rsid w:val="007B333F"/>
    <w:rsid w:val="007B6124"/>
    <w:rsid w:val="007B78C2"/>
    <w:rsid w:val="007B7934"/>
    <w:rsid w:val="007C041B"/>
    <w:rsid w:val="007C24A5"/>
    <w:rsid w:val="007C30B5"/>
    <w:rsid w:val="007C53DE"/>
    <w:rsid w:val="007C6519"/>
    <w:rsid w:val="007C692F"/>
    <w:rsid w:val="007D35FE"/>
    <w:rsid w:val="007D3E2D"/>
    <w:rsid w:val="007D5041"/>
    <w:rsid w:val="007D687A"/>
    <w:rsid w:val="007D742C"/>
    <w:rsid w:val="007D79C7"/>
    <w:rsid w:val="007E122F"/>
    <w:rsid w:val="007E1F20"/>
    <w:rsid w:val="007E26DC"/>
    <w:rsid w:val="007E3BA2"/>
    <w:rsid w:val="007E4791"/>
    <w:rsid w:val="007E4E58"/>
    <w:rsid w:val="007E51AF"/>
    <w:rsid w:val="007E5A78"/>
    <w:rsid w:val="007E67AF"/>
    <w:rsid w:val="007E74CF"/>
    <w:rsid w:val="007F018C"/>
    <w:rsid w:val="007F5457"/>
    <w:rsid w:val="007F5AB1"/>
    <w:rsid w:val="007F5FF7"/>
    <w:rsid w:val="00800047"/>
    <w:rsid w:val="008003D9"/>
    <w:rsid w:val="00800514"/>
    <w:rsid w:val="0080087F"/>
    <w:rsid w:val="008030BC"/>
    <w:rsid w:val="008065B7"/>
    <w:rsid w:val="008068E2"/>
    <w:rsid w:val="00807087"/>
    <w:rsid w:val="0080767B"/>
    <w:rsid w:val="008078EB"/>
    <w:rsid w:val="00810811"/>
    <w:rsid w:val="00810A11"/>
    <w:rsid w:val="00810CE4"/>
    <w:rsid w:val="00811F38"/>
    <w:rsid w:val="00812AA7"/>
    <w:rsid w:val="0081326C"/>
    <w:rsid w:val="008147D7"/>
    <w:rsid w:val="00814B01"/>
    <w:rsid w:val="008165C6"/>
    <w:rsid w:val="00817DA9"/>
    <w:rsid w:val="00820D48"/>
    <w:rsid w:val="00820DDF"/>
    <w:rsid w:val="0082551A"/>
    <w:rsid w:val="00825A0F"/>
    <w:rsid w:val="008323C6"/>
    <w:rsid w:val="008326A2"/>
    <w:rsid w:val="0083310F"/>
    <w:rsid w:val="00833F1E"/>
    <w:rsid w:val="008342D9"/>
    <w:rsid w:val="00834F92"/>
    <w:rsid w:val="00836EF9"/>
    <w:rsid w:val="00836FDE"/>
    <w:rsid w:val="00842131"/>
    <w:rsid w:val="00843E0F"/>
    <w:rsid w:val="008444AE"/>
    <w:rsid w:val="00852B37"/>
    <w:rsid w:val="00852E04"/>
    <w:rsid w:val="0085314F"/>
    <w:rsid w:val="00854B92"/>
    <w:rsid w:val="00854DB6"/>
    <w:rsid w:val="00855923"/>
    <w:rsid w:val="00856AED"/>
    <w:rsid w:val="00857627"/>
    <w:rsid w:val="008601BD"/>
    <w:rsid w:val="00860E19"/>
    <w:rsid w:val="00861428"/>
    <w:rsid w:val="00861D4B"/>
    <w:rsid w:val="008624D2"/>
    <w:rsid w:val="008625D2"/>
    <w:rsid w:val="0086764C"/>
    <w:rsid w:val="00871C56"/>
    <w:rsid w:val="00872100"/>
    <w:rsid w:val="00872880"/>
    <w:rsid w:val="008773BC"/>
    <w:rsid w:val="00877593"/>
    <w:rsid w:val="00877BAE"/>
    <w:rsid w:val="00882DD3"/>
    <w:rsid w:val="00883315"/>
    <w:rsid w:val="00883813"/>
    <w:rsid w:val="00884E88"/>
    <w:rsid w:val="00885065"/>
    <w:rsid w:val="0088781C"/>
    <w:rsid w:val="00887D73"/>
    <w:rsid w:val="00890850"/>
    <w:rsid w:val="008908B7"/>
    <w:rsid w:val="00891348"/>
    <w:rsid w:val="00891F94"/>
    <w:rsid w:val="0089287B"/>
    <w:rsid w:val="0089333D"/>
    <w:rsid w:val="008935D6"/>
    <w:rsid w:val="008947FF"/>
    <w:rsid w:val="00897F60"/>
    <w:rsid w:val="008A089F"/>
    <w:rsid w:val="008A3385"/>
    <w:rsid w:val="008A3D49"/>
    <w:rsid w:val="008A6F2A"/>
    <w:rsid w:val="008A71BE"/>
    <w:rsid w:val="008A75F0"/>
    <w:rsid w:val="008B164A"/>
    <w:rsid w:val="008B1D8C"/>
    <w:rsid w:val="008B40CE"/>
    <w:rsid w:val="008B4D9C"/>
    <w:rsid w:val="008B5F8E"/>
    <w:rsid w:val="008B6447"/>
    <w:rsid w:val="008B6DE3"/>
    <w:rsid w:val="008C00F3"/>
    <w:rsid w:val="008C0FFF"/>
    <w:rsid w:val="008C1D42"/>
    <w:rsid w:val="008C1E9E"/>
    <w:rsid w:val="008C3081"/>
    <w:rsid w:val="008C381F"/>
    <w:rsid w:val="008C3E3E"/>
    <w:rsid w:val="008C3F4A"/>
    <w:rsid w:val="008C5899"/>
    <w:rsid w:val="008C58A9"/>
    <w:rsid w:val="008C69EE"/>
    <w:rsid w:val="008C7AF9"/>
    <w:rsid w:val="008D2D26"/>
    <w:rsid w:val="008D324E"/>
    <w:rsid w:val="008D5121"/>
    <w:rsid w:val="008D709F"/>
    <w:rsid w:val="008D7B7C"/>
    <w:rsid w:val="008E0832"/>
    <w:rsid w:val="008E0B34"/>
    <w:rsid w:val="008E0F2F"/>
    <w:rsid w:val="008E1F17"/>
    <w:rsid w:val="008E300B"/>
    <w:rsid w:val="008E43C2"/>
    <w:rsid w:val="008E45E7"/>
    <w:rsid w:val="008E4EB8"/>
    <w:rsid w:val="008E5AE2"/>
    <w:rsid w:val="008F0B8B"/>
    <w:rsid w:val="008F309C"/>
    <w:rsid w:val="008F3966"/>
    <w:rsid w:val="008F3A9B"/>
    <w:rsid w:val="008F5854"/>
    <w:rsid w:val="008F61A8"/>
    <w:rsid w:val="008F6E3E"/>
    <w:rsid w:val="008F7A5A"/>
    <w:rsid w:val="00900B1C"/>
    <w:rsid w:val="009015BE"/>
    <w:rsid w:val="00901EC5"/>
    <w:rsid w:val="00902553"/>
    <w:rsid w:val="009042F6"/>
    <w:rsid w:val="0090442B"/>
    <w:rsid w:val="00905399"/>
    <w:rsid w:val="00907203"/>
    <w:rsid w:val="009072E7"/>
    <w:rsid w:val="00910146"/>
    <w:rsid w:val="00910499"/>
    <w:rsid w:val="00911721"/>
    <w:rsid w:val="00911D9C"/>
    <w:rsid w:val="009133EE"/>
    <w:rsid w:val="00913C15"/>
    <w:rsid w:val="00913F03"/>
    <w:rsid w:val="009161BE"/>
    <w:rsid w:val="009175D9"/>
    <w:rsid w:val="0092193B"/>
    <w:rsid w:val="0092403F"/>
    <w:rsid w:val="00925838"/>
    <w:rsid w:val="00926165"/>
    <w:rsid w:val="0092782F"/>
    <w:rsid w:val="00931D07"/>
    <w:rsid w:val="00932845"/>
    <w:rsid w:val="0093399E"/>
    <w:rsid w:val="00934550"/>
    <w:rsid w:val="00935699"/>
    <w:rsid w:val="00936B62"/>
    <w:rsid w:val="009405F6"/>
    <w:rsid w:val="00940B11"/>
    <w:rsid w:val="00942334"/>
    <w:rsid w:val="009426B8"/>
    <w:rsid w:val="009428EA"/>
    <w:rsid w:val="00942E72"/>
    <w:rsid w:val="00944567"/>
    <w:rsid w:val="009452E3"/>
    <w:rsid w:val="00945C13"/>
    <w:rsid w:val="009460D0"/>
    <w:rsid w:val="00951D1D"/>
    <w:rsid w:val="00951EB0"/>
    <w:rsid w:val="00952B76"/>
    <w:rsid w:val="00953DEA"/>
    <w:rsid w:val="00954C6E"/>
    <w:rsid w:val="009557C7"/>
    <w:rsid w:val="009578DC"/>
    <w:rsid w:val="009608C0"/>
    <w:rsid w:val="00960EF7"/>
    <w:rsid w:val="00960F9C"/>
    <w:rsid w:val="0096108C"/>
    <w:rsid w:val="00962EF2"/>
    <w:rsid w:val="00963215"/>
    <w:rsid w:val="00963EBF"/>
    <w:rsid w:val="009644FC"/>
    <w:rsid w:val="00966493"/>
    <w:rsid w:val="00971F5C"/>
    <w:rsid w:val="00973EA7"/>
    <w:rsid w:val="00974E97"/>
    <w:rsid w:val="00975399"/>
    <w:rsid w:val="009754F0"/>
    <w:rsid w:val="0097683D"/>
    <w:rsid w:val="00980591"/>
    <w:rsid w:val="00981948"/>
    <w:rsid w:val="00981EEF"/>
    <w:rsid w:val="00981F19"/>
    <w:rsid w:val="00982C6A"/>
    <w:rsid w:val="00982E1F"/>
    <w:rsid w:val="0098478E"/>
    <w:rsid w:val="009862DA"/>
    <w:rsid w:val="00986771"/>
    <w:rsid w:val="009878A5"/>
    <w:rsid w:val="009904C4"/>
    <w:rsid w:val="00991F8E"/>
    <w:rsid w:val="009921AD"/>
    <w:rsid w:val="00993A3F"/>
    <w:rsid w:val="009950D9"/>
    <w:rsid w:val="009964C7"/>
    <w:rsid w:val="009A082B"/>
    <w:rsid w:val="009A10F0"/>
    <w:rsid w:val="009A478E"/>
    <w:rsid w:val="009A5043"/>
    <w:rsid w:val="009A5515"/>
    <w:rsid w:val="009A6578"/>
    <w:rsid w:val="009A6E9D"/>
    <w:rsid w:val="009B01D5"/>
    <w:rsid w:val="009B0C02"/>
    <w:rsid w:val="009B58DF"/>
    <w:rsid w:val="009B5D70"/>
    <w:rsid w:val="009B7097"/>
    <w:rsid w:val="009B75C7"/>
    <w:rsid w:val="009B7B1A"/>
    <w:rsid w:val="009C1100"/>
    <w:rsid w:val="009C1AF7"/>
    <w:rsid w:val="009C25B6"/>
    <w:rsid w:val="009C3785"/>
    <w:rsid w:val="009C3821"/>
    <w:rsid w:val="009C424A"/>
    <w:rsid w:val="009C4A95"/>
    <w:rsid w:val="009C4CE5"/>
    <w:rsid w:val="009C6664"/>
    <w:rsid w:val="009C6841"/>
    <w:rsid w:val="009C7044"/>
    <w:rsid w:val="009D117D"/>
    <w:rsid w:val="009D28AF"/>
    <w:rsid w:val="009D290E"/>
    <w:rsid w:val="009D2CC6"/>
    <w:rsid w:val="009D2F47"/>
    <w:rsid w:val="009D360B"/>
    <w:rsid w:val="009D3A40"/>
    <w:rsid w:val="009D3E04"/>
    <w:rsid w:val="009D4A30"/>
    <w:rsid w:val="009D59CF"/>
    <w:rsid w:val="009D74A6"/>
    <w:rsid w:val="009D7A85"/>
    <w:rsid w:val="009E15B4"/>
    <w:rsid w:val="009E18A4"/>
    <w:rsid w:val="009E235F"/>
    <w:rsid w:val="009E3971"/>
    <w:rsid w:val="009E6F43"/>
    <w:rsid w:val="009E7F86"/>
    <w:rsid w:val="009F058D"/>
    <w:rsid w:val="009F1D59"/>
    <w:rsid w:val="009F1DCB"/>
    <w:rsid w:val="009F30E6"/>
    <w:rsid w:val="009F37D8"/>
    <w:rsid w:val="009F59A3"/>
    <w:rsid w:val="00A00277"/>
    <w:rsid w:val="00A02021"/>
    <w:rsid w:val="00A0274B"/>
    <w:rsid w:val="00A03D31"/>
    <w:rsid w:val="00A0598B"/>
    <w:rsid w:val="00A06A53"/>
    <w:rsid w:val="00A11295"/>
    <w:rsid w:val="00A1191C"/>
    <w:rsid w:val="00A11978"/>
    <w:rsid w:val="00A11DD2"/>
    <w:rsid w:val="00A12828"/>
    <w:rsid w:val="00A15AB2"/>
    <w:rsid w:val="00A15E34"/>
    <w:rsid w:val="00A16144"/>
    <w:rsid w:val="00A171C6"/>
    <w:rsid w:val="00A17A6A"/>
    <w:rsid w:val="00A17C39"/>
    <w:rsid w:val="00A17E8F"/>
    <w:rsid w:val="00A230ED"/>
    <w:rsid w:val="00A23F6E"/>
    <w:rsid w:val="00A24526"/>
    <w:rsid w:val="00A2590C"/>
    <w:rsid w:val="00A26427"/>
    <w:rsid w:val="00A264A8"/>
    <w:rsid w:val="00A27334"/>
    <w:rsid w:val="00A31001"/>
    <w:rsid w:val="00A315B4"/>
    <w:rsid w:val="00A31B34"/>
    <w:rsid w:val="00A33070"/>
    <w:rsid w:val="00A33208"/>
    <w:rsid w:val="00A341B6"/>
    <w:rsid w:val="00A34733"/>
    <w:rsid w:val="00A363CB"/>
    <w:rsid w:val="00A36AD9"/>
    <w:rsid w:val="00A37534"/>
    <w:rsid w:val="00A403C7"/>
    <w:rsid w:val="00A40D04"/>
    <w:rsid w:val="00A41603"/>
    <w:rsid w:val="00A433EB"/>
    <w:rsid w:val="00A44C24"/>
    <w:rsid w:val="00A45D35"/>
    <w:rsid w:val="00A46649"/>
    <w:rsid w:val="00A4706C"/>
    <w:rsid w:val="00A470C7"/>
    <w:rsid w:val="00A501FD"/>
    <w:rsid w:val="00A5134C"/>
    <w:rsid w:val="00A51605"/>
    <w:rsid w:val="00A51B50"/>
    <w:rsid w:val="00A54768"/>
    <w:rsid w:val="00A55009"/>
    <w:rsid w:val="00A57913"/>
    <w:rsid w:val="00A61E7A"/>
    <w:rsid w:val="00A6253C"/>
    <w:rsid w:val="00A62DE2"/>
    <w:rsid w:val="00A6429F"/>
    <w:rsid w:val="00A66160"/>
    <w:rsid w:val="00A669DE"/>
    <w:rsid w:val="00A66E97"/>
    <w:rsid w:val="00A71039"/>
    <w:rsid w:val="00A710D5"/>
    <w:rsid w:val="00A72820"/>
    <w:rsid w:val="00A72AE8"/>
    <w:rsid w:val="00A7390C"/>
    <w:rsid w:val="00A73D93"/>
    <w:rsid w:val="00A74C9B"/>
    <w:rsid w:val="00A75FF9"/>
    <w:rsid w:val="00A777BD"/>
    <w:rsid w:val="00A80044"/>
    <w:rsid w:val="00A8111D"/>
    <w:rsid w:val="00A824E1"/>
    <w:rsid w:val="00A82D1A"/>
    <w:rsid w:val="00A85944"/>
    <w:rsid w:val="00A862E2"/>
    <w:rsid w:val="00A86887"/>
    <w:rsid w:val="00A878AD"/>
    <w:rsid w:val="00A87C9C"/>
    <w:rsid w:val="00A92EEF"/>
    <w:rsid w:val="00A9371B"/>
    <w:rsid w:val="00A955E4"/>
    <w:rsid w:val="00A9758B"/>
    <w:rsid w:val="00AA0304"/>
    <w:rsid w:val="00AA15FA"/>
    <w:rsid w:val="00AA1D70"/>
    <w:rsid w:val="00AA1FE3"/>
    <w:rsid w:val="00AA444B"/>
    <w:rsid w:val="00AA5465"/>
    <w:rsid w:val="00AA54E0"/>
    <w:rsid w:val="00AA59F9"/>
    <w:rsid w:val="00AA741B"/>
    <w:rsid w:val="00AB39DE"/>
    <w:rsid w:val="00AB52B8"/>
    <w:rsid w:val="00AB60EE"/>
    <w:rsid w:val="00AB77BA"/>
    <w:rsid w:val="00AC00BD"/>
    <w:rsid w:val="00AC08CF"/>
    <w:rsid w:val="00AC0BA2"/>
    <w:rsid w:val="00AC5B87"/>
    <w:rsid w:val="00AC6296"/>
    <w:rsid w:val="00AD0617"/>
    <w:rsid w:val="00AD25BC"/>
    <w:rsid w:val="00AD3876"/>
    <w:rsid w:val="00AD4B4A"/>
    <w:rsid w:val="00AD73A1"/>
    <w:rsid w:val="00AD7FA8"/>
    <w:rsid w:val="00AE0AE9"/>
    <w:rsid w:val="00AE1194"/>
    <w:rsid w:val="00AE1619"/>
    <w:rsid w:val="00AE2DE3"/>
    <w:rsid w:val="00AE32D8"/>
    <w:rsid w:val="00AE3B1B"/>
    <w:rsid w:val="00AE57FD"/>
    <w:rsid w:val="00AE5879"/>
    <w:rsid w:val="00AE5CCD"/>
    <w:rsid w:val="00AE6112"/>
    <w:rsid w:val="00AF0D54"/>
    <w:rsid w:val="00AF282A"/>
    <w:rsid w:val="00AF339C"/>
    <w:rsid w:val="00AF4BC7"/>
    <w:rsid w:val="00AF4FA1"/>
    <w:rsid w:val="00AF5623"/>
    <w:rsid w:val="00AF6A3A"/>
    <w:rsid w:val="00AF6C12"/>
    <w:rsid w:val="00AF7338"/>
    <w:rsid w:val="00B002CD"/>
    <w:rsid w:val="00B01A99"/>
    <w:rsid w:val="00B01F5A"/>
    <w:rsid w:val="00B0215A"/>
    <w:rsid w:val="00B021F5"/>
    <w:rsid w:val="00B03290"/>
    <w:rsid w:val="00B04182"/>
    <w:rsid w:val="00B047F2"/>
    <w:rsid w:val="00B0534B"/>
    <w:rsid w:val="00B06B26"/>
    <w:rsid w:val="00B073B0"/>
    <w:rsid w:val="00B0799C"/>
    <w:rsid w:val="00B1560B"/>
    <w:rsid w:val="00B1743D"/>
    <w:rsid w:val="00B201EE"/>
    <w:rsid w:val="00B20C63"/>
    <w:rsid w:val="00B22907"/>
    <w:rsid w:val="00B24B15"/>
    <w:rsid w:val="00B24F99"/>
    <w:rsid w:val="00B251D7"/>
    <w:rsid w:val="00B27766"/>
    <w:rsid w:val="00B33073"/>
    <w:rsid w:val="00B332D1"/>
    <w:rsid w:val="00B33559"/>
    <w:rsid w:val="00B3446D"/>
    <w:rsid w:val="00B3549E"/>
    <w:rsid w:val="00B354BE"/>
    <w:rsid w:val="00B40BF6"/>
    <w:rsid w:val="00B40F66"/>
    <w:rsid w:val="00B41A0E"/>
    <w:rsid w:val="00B42250"/>
    <w:rsid w:val="00B42ECA"/>
    <w:rsid w:val="00B43896"/>
    <w:rsid w:val="00B44D09"/>
    <w:rsid w:val="00B4527E"/>
    <w:rsid w:val="00B465FC"/>
    <w:rsid w:val="00B46E31"/>
    <w:rsid w:val="00B515B5"/>
    <w:rsid w:val="00B54F14"/>
    <w:rsid w:val="00B55A54"/>
    <w:rsid w:val="00B56424"/>
    <w:rsid w:val="00B56A46"/>
    <w:rsid w:val="00B56BA8"/>
    <w:rsid w:val="00B575C4"/>
    <w:rsid w:val="00B61611"/>
    <w:rsid w:val="00B640AC"/>
    <w:rsid w:val="00B6430D"/>
    <w:rsid w:val="00B64D68"/>
    <w:rsid w:val="00B6542C"/>
    <w:rsid w:val="00B66398"/>
    <w:rsid w:val="00B6668B"/>
    <w:rsid w:val="00B66D6C"/>
    <w:rsid w:val="00B67D2B"/>
    <w:rsid w:val="00B728EF"/>
    <w:rsid w:val="00B7297E"/>
    <w:rsid w:val="00B72E03"/>
    <w:rsid w:val="00B73AF6"/>
    <w:rsid w:val="00B744BC"/>
    <w:rsid w:val="00B76F48"/>
    <w:rsid w:val="00B7760A"/>
    <w:rsid w:val="00B832CB"/>
    <w:rsid w:val="00B83F68"/>
    <w:rsid w:val="00B87091"/>
    <w:rsid w:val="00B903D1"/>
    <w:rsid w:val="00B92390"/>
    <w:rsid w:val="00B93BBD"/>
    <w:rsid w:val="00B9437C"/>
    <w:rsid w:val="00B96166"/>
    <w:rsid w:val="00B966F0"/>
    <w:rsid w:val="00B96EF7"/>
    <w:rsid w:val="00B96FD2"/>
    <w:rsid w:val="00B97729"/>
    <w:rsid w:val="00B97BD1"/>
    <w:rsid w:val="00BA3753"/>
    <w:rsid w:val="00BA5B30"/>
    <w:rsid w:val="00BA5E68"/>
    <w:rsid w:val="00BA6409"/>
    <w:rsid w:val="00BA7738"/>
    <w:rsid w:val="00BB0E60"/>
    <w:rsid w:val="00BB1526"/>
    <w:rsid w:val="00BB2CF9"/>
    <w:rsid w:val="00BB5D4F"/>
    <w:rsid w:val="00BB5EED"/>
    <w:rsid w:val="00BB60AE"/>
    <w:rsid w:val="00BB6A23"/>
    <w:rsid w:val="00BC08DB"/>
    <w:rsid w:val="00BC3DF5"/>
    <w:rsid w:val="00BC6308"/>
    <w:rsid w:val="00BC7866"/>
    <w:rsid w:val="00BD0650"/>
    <w:rsid w:val="00BD2B17"/>
    <w:rsid w:val="00BD3507"/>
    <w:rsid w:val="00BD354E"/>
    <w:rsid w:val="00BD38D8"/>
    <w:rsid w:val="00BD56A7"/>
    <w:rsid w:val="00BD64C7"/>
    <w:rsid w:val="00BD7737"/>
    <w:rsid w:val="00BE0733"/>
    <w:rsid w:val="00BE0EB0"/>
    <w:rsid w:val="00BE239A"/>
    <w:rsid w:val="00BE2515"/>
    <w:rsid w:val="00BE2B9D"/>
    <w:rsid w:val="00BE3466"/>
    <w:rsid w:val="00BE3970"/>
    <w:rsid w:val="00BE4528"/>
    <w:rsid w:val="00BE4A25"/>
    <w:rsid w:val="00BE544E"/>
    <w:rsid w:val="00BE56FA"/>
    <w:rsid w:val="00BE5AAD"/>
    <w:rsid w:val="00BE6510"/>
    <w:rsid w:val="00BE6AAE"/>
    <w:rsid w:val="00BE728E"/>
    <w:rsid w:val="00BF064C"/>
    <w:rsid w:val="00BF0E36"/>
    <w:rsid w:val="00BF1627"/>
    <w:rsid w:val="00BF21B6"/>
    <w:rsid w:val="00BF22C9"/>
    <w:rsid w:val="00BF248C"/>
    <w:rsid w:val="00BF3AE7"/>
    <w:rsid w:val="00BF4DB7"/>
    <w:rsid w:val="00BF5320"/>
    <w:rsid w:val="00BF5335"/>
    <w:rsid w:val="00BF6346"/>
    <w:rsid w:val="00BF6D20"/>
    <w:rsid w:val="00C00AA4"/>
    <w:rsid w:val="00C01EF6"/>
    <w:rsid w:val="00C02085"/>
    <w:rsid w:val="00C0334C"/>
    <w:rsid w:val="00C04910"/>
    <w:rsid w:val="00C060EF"/>
    <w:rsid w:val="00C0690F"/>
    <w:rsid w:val="00C076C0"/>
    <w:rsid w:val="00C07ACC"/>
    <w:rsid w:val="00C07F8C"/>
    <w:rsid w:val="00C10AAF"/>
    <w:rsid w:val="00C11F1E"/>
    <w:rsid w:val="00C12EF7"/>
    <w:rsid w:val="00C13CE7"/>
    <w:rsid w:val="00C148B4"/>
    <w:rsid w:val="00C1716D"/>
    <w:rsid w:val="00C17699"/>
    <w:rsid w:val="00C178A7"/>
    <w:rsid w:val="00C21EEC"/>
    <w:rsid w:val="00C2350E"/>
    <w:rsid w:val="00C23574"/>
    <w:rsid w:val="00C2432A"/>
    <w:rsid w:val="00C24CC9"/>
    <w:rsid w:val="00C25667"/>
    <w:rsid w:val="00C260DA"/>
    <w:rsid w:val="00C260DC"/>
    <w:rsid w:val="00C27075"/>
    <w:rsid w:val="00C315EE"/>
    <w:rsid w:val="00C31AB2"/>
    <w:rsid w:val="00C32440"/>
    <w:rsid w:val="00C33C3A"/>
    <w:rsid w:val="00C34D13"/>
    <w:rsid w:val="00C35F1C"/>
    <w:rsid w:val="00C42C04"/>
    <w:rsid w:val="00C437BA"/>
    <w:rsid w:val="00C44219"/>
    <w:rsid w:val="00C445C8"/>
    <w:rsid w:val="00C44760"/>
    <w:rsid w:val="00C46862"/>
    <w:rsid w:val="00C50273"/>
    <w:rsid w:val="00C5135E"/>
    <w:rsid w:val="00C53070"/>
    <w:rsid w:val="00C5370E"/>
    <w:rsid w:val="00C543D9"/>
    <w:rsid w:val="00C54ADC"/>
    <w:rsid w:val="00C54E8B"/>
    <w:rsid w:val="00C55BB7"/>
    <w:rsid w:val="00C668F3"/>
    <w:rsid w:val="00C70B60"/>
    <w:rsid w:val="00C71797"/>
    <w:rsid w:val="00C71A66"/>
    <w:rsid w:val="00C72072"/>
    <w:rsid w:val="00C72FA8"/>
    <w:rsid w:val="00C731F3"/>
    <w:rsid w:val="00C7369B"/>
    <w:rsid w:val="00C73EB0"/>
    <w:rsid w:val="00C74015"/>
    <w:rsid w:val="00C74872"/>
    <w:rsid w:val="00C74A4C"/>
    <w:rsid w:val="00C75B96"/>
    <w:rsid w:val="00C7752E"/>
    <w:rsid w:val="00C80079"/>
    <w:rsid w:val="00C81685"/>
    <w:rsid w:val="00C81FD0"/>
    <w:rsid w:val="00C82B95"/>
    <w:rsid w:val="00C82DC5"/>
    <w:rsid w:val="00C83EDD"/>
    <w:rsid w:val="00C840E9"/>
    <w:rsid w:val="00C84368"/>
    <w:rsid w:val="00C866FF"/>
    <w:rsid w:val="00C87A47"/>
    <w:rsid w:val="00C87B10"/>
    <w:rsid w:val="00C87E6B"/>
    <w:rsid w:val="00C903A1"/>
    <w:rsid w:val="00C913F4"/>
    <w:rsid w:val="00C9172D"/>
    <w:rsid w:val="00C964D7"/>
    <w:rsid w:val="00C97571"/>
    <w:rsid w:val="00CA0682"/>
    <w:rsid w:val="00CA089A"/>
    <w:rsid w:val="00CA22E3"/>
    <w:rsid w:val="00CA29EB"/>
    <w:rsid w:val="00CA2F1C"/>
    <w:rsid w:val="00CA3EA6"/>
    <w:rsid w:val="00CA4335"/>
    <w:rsid w:val="00CA4ADB"/>
    <w:rsid w:val="00CA66B5"/>
    <w:rsid w:val="00CA6B9E"/>
    <w:rsid w:val="00CA6FF0"/>
    <w:rsid w:val="00CB059F"/>
    <w:rsid w:val="00CB0B19"/>
    <w:rsid w:val="00CB0C2A"/>
    <w:rsid w:val="00CB49B0"/>
    <w:rsid w:val="00CB5056"/>
    <w:rsid w:val="00CB555B"/>
    <w:rsid w:val="00CB678B"/>
    <w:rsid w:val="00CC052D"/>
    <w:rsid w:val="00CC5906"/>
    <w:rsid w:val="00CC6514"/>
    <w:rsid w:val="00CC7052"/>
    <w:rsid w:val="00CD129E"/>
    <w:rsid w:val="00CD1C53"/>
    <w:rsid w:val="00CD1CC9"/>
    <w:rsid w:val="00CD47C3"/>
    <w:rsid w:val="00CD4EDE"/>
    <w:rsid w:val="00CD5427"/>
    <w:rsid w:val="00CD5AA4"/>
    <w:rsid w:val="00CD7CEF"/>
    <w:rsid w:val="00CE0987"/>
    <w:rsid w:val="00CE0EC9"/>
    <w:rsid w:val="00CE1BDF"/>
    <w:rsid w:val="00CE1C03"/>
    <w:rsid w:val="00CE4B24"/>
    <w:rsid w:val="00CF0FB9"/>
    <w:rsid w:val="00CF108B"/>
    <w:rsid w:val="00CF129B"/>
    <w:rsid w:val="00CF156C"/>
    <w:rsid w:val="00CF1581"/>
    <w:rsid w:val="00CF59BA"/>
    <w:rsid w:val="00CF6D3B"/>
    <w:rsid w:val="00CF7733"/>
    <w:rsid w:val="00CF7896"/>
    <w:rsid w:val="00CF7D76"/>
    <w:rsid w:val="00D02AA6"/>
    <w:rsid w:val="00D02D10"/>
    <w:rsid w:val="00D045A2"/>
    <w:rsid w:val="00D046F4"/>
    <w:rsid w:val="00D05841"/>
    <w:rsid w:val="00D07F31"/>
    <w:rsid w:val="00D121EF"/>
    <w:rsid w:val="00D129E5"/>
    <w:rsid w:val="00D13ED1"/>
    <w:rsid w:val="00D147D7"/>
    <w:rsid w:val="00D15208"/>
    <w:rsid w:val="00D15B82"/>
    <w:rsid w:val="00D16BDB"/>
    <w:rsid w:val="00D204D9"/>
    <w:rsid w:val="00D208C8"/>
    <w:rsid w:val="00D21269"/>
    <w:rsid w:val="00D216E4"/>
    <w:rsid w:val="00D21B72"/>
    <w:rsid w:val="00D220A2"/>
    <w:rsid w:val="00D22785"/>
    <w:rsid w:val="00D23069"/>
    <w:rsid w:val="00D23394"/>
    <w:rsid w:val="00D23A96"/>
    <w:rsid w:val="00D24F11"/>
    <w:rsid w:val="00D25611"/>
    <w:rsid w:val="00D30621"/>
    <w:rsid w:val="00D308EB"/>
    <w:rsid w:val="00D30B89"/>
    <w:rsid w:val="00D3234A"/>
    <w:rsid w:val="00D32B9E"/>
    <w:rsid w:val="00D32CF5"/>
    <w:rsid w:val="00D333FC"/>
    <w:rsid w:val="00D3435A"/>
    <w:rsid w:val="00D35397"/>
    <w:rsid w:val="00D35A39"/>
    <w:rsid w:val="00D35D77"/>
    <w:rsid w:val="00D40BFD"/>
    <w:rsid w:val="00D421FC"/>
    <w:rsid w:val="00D440D2"/>
    <w:rsid w:val="00D4587C"/>
    <w:rsid w:val="00D45A51"/>
    <w:rsid w:val="00D45C70"/>
    <w:rsid w:val="00D50109"/>
    <w:rsid w:val="00D509A5"/>
    <w:rsid w:val="00D523A1"/>
    <w:rsid w:val="00D53476"/>
    <w:rsid w:val="00D54C56"/>
    <w:rsid w:val="00D56B26"/>
    <w:rsid w:val="00D576CE"/>
    <w:rsid w:val="00D57774"/>
    <w:rsid w:val="00D577CD"/>
    <w:rsid w:val="00D60347"/>
    <w:rsid w:val="00D60455"/>
    <w:rsid w:val="00D60E27"/>
    <w:rsid w:val="00D61966"/>
    <w:rsid w:val="00D61999"/>
    <w:rsid w:val="00D61F02"/>
    <w:rsid w:val="00D621C2"/>
    <w:rsid w:val="00D628B3"/>
    <w:rsid w:val="00D63174"/>
    <w:rsid w:val="00D63F7D"/>
    <w:rsid w:val="00D651B8"/>
    <w:rsid w:val="00D65E31"/>
    <w:rsid w:val="00D67259"/>
    <w:rsid w:val="00D676A2"/>
    <w:rsid w:val="00D67A2D"/>
    <w:rsid w:val="00D67B08"/>
    <w:rsid w:val="00D70339"/>
    <w:rsid w:val="00D70986"/>
    <w:rsid w:val="00D70A43"/>
    <w:rsid w:val="00D70FAD"/>
    <w:rsid w:val="00D71105"/>
    <w:rsid w:val="00D723DE"/>
    <w:rsid w:val="00D73012"/>
    <w:rsid w:val="00D74648"/>
    <w:rsid w:val="00D750AD"/>
    <w:rsid w:val="00D7518A"/>
    <w:rsid w:val="00D76723"/>
    <w:rsid w:val="00D76DE5"/>
    <w:rsid w:val="00D77145"/>
    <w:rsid w:val="00D77DA5"/>
    <w:rsid w:val="00D77E70"/>
    <w:rsid w:val="00D77ECE"/>
    <w:rsid w:val="00D804FD"/>
    <w:rsid w:val="00D81C89"/>
    <w:rsid w:val="00D8388E"/>
    <w:rsid w:val="00D83B3D"/>
    <w:rsid w:val="00D86C70"/>
    <w:rsid w:val="00D86CF2"/>
    <w:rsid w:val="00D8759A"/>
    <w:rsid w:val="00D9063B"/>
    <w:rsid w:val="00D94B8F"/>
    <w:rsid w:val="00D960DF"/>
    <w:rsid w:val="00D96618"/>
    <w:rsid w:val="00D97544"/>
    <w:rsid w:val="00D9761A"/>
    <w:rsid w:val="00D9768F"/>
    <w:rsid w:val="00DA000F"/>
    <w:rsid w:val="00DA227D"/>
    <w:rsid w:val="00DA2B87"/>
    <w:rsid w:val="00DA2CAD"/>
    <w:rsid w:val="00DA3475"/>
    <w:rsid w:val="00DA3F5D"/>
    <w:rsid w:val="00DB0B8B"/>
    <w:rsid w:val="00DB402C"/>
    <w:rsid w:val="00DB553E"/>
    <w:rsid w:val="00DB5A82"/>
    <w:rsid w:val="00DB61B8"/>
    <w:rsid w:val="00DC1707"/>
    <w:rsid w:val="00DC1D32"/>
    <w:rsid w:val="00DC2E74"/>
    <w:rsid w:val="00DC3776"/>
    <w:rsid w:val="00DC3A41"/>
    <w:rsid w:val="00DC44CD"/>
    <w:rsid w:val="00DC48B4"/>
    <w:rsid w:val="00DC6F45"/>
    <w:rsid w:val="00DC71D8"/>
    <w:rsid w:val="00DC7D31"/>
    <w:rsid w:val="00DD029D"/>
    <w:rsid w:val="00DD11C3"/>
    <w:rsid w:val="00DD15FF"/>
    <w:rsid w:val="00DD179D"/>
    <w:rsid w:val="00DD2D2C"/>
    <w:rsid w:val="00DD4116"/>
    <w:rsid w:val="00DD7951"/>
    <w:rsid w:val="00DD7FD9"/>
    <w:rsid w:val="00DE0513"/>
    <w:rsid w:val="00DE0D1D"/>
    <w:rsid w:val="00DE402B"/>
    <w:rsid w:val="00DE40E5"/>
    <w:rsid w:val="00DE50B5"/>
    <w:rsid w:val="00DE58E9"/>
    <w:rsid w:val="00DE7BA8"/>
    <w:rsid w:val="00DF00CF"/>
    <w:rsid w:val="00DF0391"/>
    <w:rsid w:val="00DF1571"/>
    <w:rsid w:val="00DF25F8"/>
    <w:rsid w:val="00DF5911"/>
    <w:rsid w:val="00DF6347"/>
    <w:rsid w:val="00DF7319"/>
    <w:rsid w:val="00DF761D"/>
    <w:rsid w:val="00E00508"/>
    <w:rsid w:val="00E02ABC"/>
    <w:rsid w:val="00E03057"/>
    <w:rsid w:val="00E04AC9"/>
    <w:rsid w:val="00E061F8"/>
    <w:rsid w:val="00E07047"/>
    <w:rsid w:val="00E07265"/>
    <w:rsid w:val="00E100F7"/>
    <w:rsid w:val="00E109E9"/>
    <w:rsid w:val="00E10B0B"/>
    <w:rsid w:val="00E10C49"/>
    <w:rsid w:val="00E13AD7"/>
    <w:rsid w:val="00E14280"/>
    <w:rsid w:val="00E15671"/>
    <w:rsid w:val="00E162F8"/>
    <w:rsid w:val="00E16AF6"/>
    <w:rsid w:val="00E21115"/>
    <w:rsid w:val="00E21D6D"/>
    <w:rsid w:val="00E23AEC"/>
    <w:rsid w:val="00E245D0"/>
    <w:rsid w:val="00E26870"/>
    <w:rsid w:val="00E26BAF"/>
    <w:rsid w:val="00E26CCA"/>
    <w:rsid w:val="00E30F86"/>
    <w:rsid w:val="00E3244C"/>
    <w:rsid w:val="00E33337"/>
    <w:rsid w:val="00E3390F"/>
    <w:rsid w:val="00E33B81"/>
    <w:rsid w:val="00E341CB"/>
    <w:rsid w:val="00E35DDE"/>
    <w:rsid w:val="00E35F53"/>
    <w:rsid w:val="00E42D54"/>
    <w:rsid w:val="00E438DD"/>
    <w:rsid w:val="00E4487F"/>
    <w:rsid w:val="00E4533A"/>
    <w:rsid w:val="00E45947"/>
    <w:rsid w:val="00E459EA"/>
    <w:rsid w:val="00E47F00"/>
    <w:rsid w:val="00E50EE0"/>
    <w:rsid w:val="00E51AC9"/>
    <w:rsid w:val="00E51C3A"/>
    <w:rsid w:val="00E54A08"/>
    <w:rsid w:val="00E54A63"/>
    <w:rsid w:val="00E55BAF"/>
    <w:rsid w:val="00E56979"/>
    <w:rsid w:val="00E56D23"/>
    <w:rsid w:val="00E575FC"/>
    <w:rsid w:val="00E60BC8"/>
    <w:rsid w:val="00E63242"/>
    <w:rsid w:val="00E64B00"/>
    <w:rsid w:val="00E65E5A"/>
    <w:rsid w:val="00E702C8"/>
    <w:rsid w:val="00E73DB5"/>
    <w:rsid w:val="00E77722"/>
    <w:rsid w:val="00E80456"/>
    <w:rsid w:val="00E80AD1"/>
    <w:rsid w:val="00E8344B"/>
    <w:rsid w:val="00E8409B"/>
    <w:rsid w:val="00E840A7"/>
    <w:rsid w:val="00E87C51"/>
    <w:rsid w:val="00E90E42"/>
    <w:rsid w:val="00E92180"/>
    <w:rsid w:val="00E925ED"/>
    <w:rsid w:val="00E92B5E"/>
    <w:rsid w:val="00E93D53"/>
    <w:rsid w:val="00E95364"/>
    <w:rsid w:val="00E95EB4"/>
    <w:rsid w:val="00E96FF8"/>
    <w:rsid w:val="00EA0CB2"/>
    <w:rsid w:val="00EA1389"/>
    <w:rsid w:val="00EA16F0"/>
    <w:rsid w:val="00EA1F47"/>
    <w:rsid w:val="00EA225A"/>
    <w:rsid w:val="00EA2BAA"/>
    <w:rsid w:val="00EA37F1"/>
    <w:rsid w:val="00EA388E"/>
    <w:rsid w:val="00EA3CDD"/>
    <w:rsid w:val="00EA5A5F"/>
    <w:rsid w:val="00EA73F5"/>
    <w:rsid w:val="00EB113E"/>
    <w:rsid w:val="00EB1247"/>
    <w:rsid w:val="00EB2B49"/>
    <w:rsid w:val="00EB38ED"/>
    <w:rsid w:val="00EB7C1E"/>
    <w:rsid w:val="00EC091C"/>
    <w:rsid w:val="00EC2031"/>
    <w:rsid w:val="00EC3C42"/>
    <w:rsid w:val="00EC4177"/>
    <w:rsid w:val="00EC5E6F"/>
    <w:rsid w:val="00EC7B7C"/>
    <w:rsid w:val="00ED0629"/>
    <w:rsid w:val="00ED1115"/>
    <w:rsid w:val="00ED12EC"/>
    <w:rsid w:val="00ED191E"/>
    <w:rsid w:val="00ED1E65"/>
    <w:rsid w:val="00ED246C"/>
    <w:rsid w:val="00ED325F"/>
    <w:rsid w:val="00ED3913"/>
    <w:rsid w:val="00ED67E8"/>
    <w:rsid w:val="00ED70C0"/>
    <w:rsid w:val="00EE0CFE"/>
    <w:rsid w:val="00EE0D4C"/>
    <w:rsid w:val="00EE275B"/>
    <w:rsid w:val="00EE32FF"/>
    <w:rsid w:val="00EE6053"/>
    <w:rsid w:val="00EE6C16"/>
    <w:rsid w:val="00EE757A"/>
    <w:rsid w:val="00EF1BF2"/>
    <w:rsid w:val="00EF2032"/>
    <w:rsid w:val="00EF2453"/>
    <w:rsid w:val="00EF3FD8"/>
    <w:rsid w:val="00EF44E6"/>
    <w:rsid w:val="00EF7955"/>
    <w:rsid w:val="00F007E8"/>
    <w:rsid w:val="00F017A0"/>
    <w:rsid w:val="00F0430C"/>
    <w:rsid w:val="00F05FCA"/>
    <w:rsid w:val="00F06BFC"/>
    <w:rsid w:val="00F07EBA"/>
    <w:rsid w:val="00F10752"/>
    <w:rsid w:val="00F11E51"/>
    <w:rsid w:val="00F1261E"/>
    <w:rsid w:val="00F12789"/>
    <w:rsid w:val="00F131BC"/>
    <w:rsid w:val="00F13F3E"/>
    <w:rsid w:val="00F14389"/>
    <w:rsid w:val="00F14805"/>
    <w:rsid w:val="00F14A3A"/>
    <w:rsid w:val="00F1518C"/>
    <w:rsid w:val="00F151B2"/>
    <w:rsid w:val="00F158B5"/>
    <w:rsid w:val="00F159B2"/>
    <w:rsid w:val="00F16DB4"/>
    <w:rsid w:val="00F17D69"/>
    <w:rsid w:val="00F2107B"/>
    <w:rsid w:val="00F21D89"/>
    <w:rsid w:val="00F21E36"/>
    <w:rsid w:val="00F2209A"/>
    <w:rsid w:val="00F23315"/>
    <w:rsid w:val="00F23519"/>
    <w:rsid w:val="00F245EE"/>
    <w:rsid w:val="00F24948"/>
    <w:rsid w:val="00F26809"/>
    <w:rsid w:val="00F278A3"/>
    <w:rsid w:val="00F2797D"/>
    <w:rsid w:val="00F30C4D"/>
    <w:rsid w:val="00F31B3F"/>
    <w:rsid w:val="00F324A9"/>
    <w:rsid w:val="00F33EE8"/>
    <w:rsid w:val="00F34570"/>
    <w:rsid w:val="00F34B2B"/>
    <w:rsid w:val="00F354B9"/>
    <w:rsid w:val="00F36010"/>
    <w:rsid w:val="00F36797"/>
    <w:rsid w:val="00F36AEF"/>
    <w:rsid w:val="00F4030B"/>
    <w:rsid w:val="00F40C83"/>
    <w:rsid w:val="00F41CD0"/>
    <w:rsid w:val="00F42CF7"/>
    <w:rsid w:val="00F43669"/>
    <w:rsid w:val="00F44474"/>
    <w:rsid w:val="00F44AF9"/>
    <w:rsid w:val="00F44DCF"/>
    <w:rsid w:val="00F451F4"/>
    <w:rsid w:val="00F45966"/>
    <w:rsid w:val="00F46035"/>
    <w:rsid w:val="00F478A2"/>
    <w:rsid w:val="00F47CD2"/>
    <w:rsid w:val="00F50670"/>
    <w:rsid w:val="00F52E81"/>
    <w:rsid w:val="00F56CF6"/>
    <w:rsid w:val="00F5707E"/>
    <w:rsid w:val="00F57C5B"/>
    <w:rsid w:val="00F60311"/>
    <w:rsid w:val="00F62B72"/>
    <w:rsid w:val="00F62E9F"/>
    <w:rsid w:val="00F63F6D"/>
    <w:rsid w:val="00F648BA"/>
    <w:rsid w:val="00F64F72"/>
    <w:rsid w:val="00F664D4"/>
    <w:rsid w:val="00F66BDD"/>
    <w:rsid w:val="00F66F9B"/>
    <w:rsid w:val="00F67F00"/>
    <w:rsid w:val="00F71562"/>
    <w:rsid w:val="00F71863"/>
    <w:rsid w:val="00F73071"/>
    <w:rsid w:val="00F7323D"/>
    <w:rsid w:val="00F73A1D"/>
    <w:rsid w:val="00F7631A"/>
    <w:rsid w:val="00F76898"/>
    <w:rsid w:val="00F769C2"/>
    <w:rsid w:val="00F77FF0"/>
    <w:rsid w:val="00F8118B"/>
    <w:rsid w:val="00F828A4"/>
    <w:rsid w:val="00F82E93"/>
    <w:rsid w:val="00F867D7"/>
    <w:rsid w:val="00F86F44"/>
    <w:rsid w:val="00F87613"/>
    <w:rsid w:val="00F927D0"/>
    <w:rsid w:val="00F92819"/>
    <w:rsid w:val="00F93F43"/>
    <w:rsid w:val="00F94B63"/>
    <w:rsid w:val="00F95631"/>
    <w:rsid w:val="00F96079"/>
    <w:rsid w:val="00F96506"/>
    <w:rsid w:val="00FA23D3"/>
    <w:rsid w:val="00FA2CF8"/>
    <w:rsid w:val="00FA3384"/>
    <w:rsid w:val="00FA46BB"/>
    <w:rsid w:val="00FA6407"/>
    <w:rsid w:val="00FA6AEB"/>
    <w:rsid w:val="00FB0508"/>
    <w:rsid w:val="00FB062B"/>
    <w:rsid w:val="00FB0962"/>
    <w:rsid w:val="00FB0D4F"/>
    <w:rsid w:val="00FB28EC"/>
    <w:rsid w:val="00FB3211"/>
    <w:rsid w:val="00FB338F"/>
    <w:rsid w:val="00FB3BBB"/>
    <w:rsid w:val="00FB6246"/>
    <w:rsid w:val="00FB64C6"/>
    <w:rsid w:val="00FB6AFF"/>
    <w:rsid w:val="00FB76E5"/>
    <w:rsid w:val="00FC06B0"/>
    <w:rsid w:val="00FC07A4"/>
    <w:rsid w:val="00FC0F9F"/>
    <w:rsid w:val="00FC10EF"/>
    <w:rsid w:val="00FC1D42"/>
    <w:rsid w:val="00FC2496"/>
    <w:rsid w:val="00FC290D"/>
    <w:rsid w:val="00FC39BD"/>
    <w:rsid w:val="00FC60F6"/>
    <w:rsid w:val="00FC7014"/>
    <w:rsid w:val="00FD06A2"/>
    <w:rsid w:val="00FD22FD"/>
    <w:rsid w:val="00FD3E48"/>
    <w:rsid w:val="00FD54E9"/>
    <w:rsid w:val="00FD65D6"/>
    <w:rsid w:val="00FD6E6B"/>
    <w:rsid w:val="00FD6FE4"/>
    <w:rsid w:val="00FD7C5E"/>
    <w:rsid w:val="00FE0FBF"/>
    <w:rsid w:val="00FE1D8A"/>
    <w:rsid w:val="00FE2EEA"/>
    <w:rsid w:val="00FF252C"/>
    <w:rsid w:val="00FF34F9"/>
    <w:rsid w:val="00FF6EBE"/>
    <w:rsid w:val="00FF7C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1CE69D"/>
  <w15:docId w15:val="{3E0B4A2C-A261-4928-919D-BB2910C7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F68"/>
    <w:pPr>
      <w:spacing w:after="200" w:line="276" w:lineRule="auto"/>
    </w:pPr>
    <w:rPr>
      <w:rFonts w:ascii="Times New Roman" w:hAnsi="Times New Roman"/>
      <w:sz w:val="24"/>
      <w:szCs w:val="22"/>
      <w:lang w:eastAsia="en-US"/>
    </w:rPr>
  </w:style>
  <w:style w:type="paragraph" w:styleId="Heading1">
    <w:name w:val="heading 1"/>
    <w:aliases w:val="'Part' Heading"/>
    <w:basedOn w:val="Normal"/>
    <w:next w:val="Normal"/>
    <w:link w:val="Heading1Char"/>
    <w:uiPriority w:val="9"/>
    <w:qFormat/>
    <w:rsid w:val="00501993"/>
    <w:pPr>
      <w:keepNext/>
      <w:spacing w:before="240" w:after="12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431CF"/>
    <w:pPr>
      <w:keepNext/>
      <w:spacing w:before="240" w:after="60"/>
      <w:outlineLvl w:val="1"/>
    </w:pPr>
    <w:rPr>
      <w:rFonts w:eastAsia="Times New Roman"/>
      <w:b/>
      <w:bCs/>
      <w:iCs/>
      <w:szCs w:val="28"/>
      <w:u w:val="single"/>
    </w:rPr>
  </w:style>
  <w:style w:type="paragraph" w:styleId="Heading3">
    <w:name w:val="heading 3"/>
    <w:aliases w:val="'Division' heading,Division heading"/>
    <w:basedOn w:val="Normal"/>
    <w:next w:val="Normal"/>
    <w:link w:val="Heading3Char"/>
    <w:uiPriority w:val="9"/>
    <w:unhideWhenUsed/>
    <w:qFormat/>
    <w:rsid w:val="00480CA5"/>
    <w:pPr>
      <w:spacing w:before="240" w:after="120"/>
      <w:outlineLvl w:val="2"/>
    </w:pPr>
    <w:rPr>
      <w:b/>
      <w:sz w:val="26"/>
      <w:szCs w:val="26"/>
    </w:rPr>
  </w:style>
  <w:style w:type="paragraph" w:styleId="Heading4">
    <w:name w:val="heading 4"/>
    <w:aliases w:val="'Clause' heading"/>
    <w:basedOn w:val="Normal"/>
    <w:next w:val="Normal"/>
    <w:link w:val="Heading4Char"/>
    <w:uiPriority w:val="9"/>
    <w:unhideWhenUsed/>
    <w:qFormat/>
    <w:rsid w:val="0092403F"/>
    <w:pPr>
      <w:keepNext/>
      <w:spacing w:before="240" w:after="120"/>
      <w:outlineLvl w:val="3"/>
    </w:pPr>
    <w:rPr>
      <w:b/>
      <w:szCs w:val="24"/>
    </w:rPr>
  </w:style>
  <w:style w:type="paragraph" w:styleId="Heading5">
    <w:name w:val="heading 5"/>
    <w:aliases w:val="New Section heading"/>
    <w:basedOn w:val="Heading4"/>
    <w:next w:val="Normal"/>
    <w:link w:val="Heading5Char"/>
    <w:uiPriority w:val="9"/>
    <w:unhideWhenUsed/>
    <w:qFormat/>
    <w:rsid w:val="008D709F"/>
    <w:pPr>
      <w:keepNext w:val="0"/>
      <w:outlineLvl w:val="4"/>
    </w:pPr>
    <w:rPr>
      <w:i/>
    </w:rPr>
  </w:style>
  <w:style w:type="paragraph" w:styleId="Heading6">
    <w:name w:val="heading 6"/>
    <w:basedOn w:val="Normal"/>
    <w:next w:val="Normal"/>
    <w:link w:val="Heading6Char"/>
    <w:uiPriority w:val="9"/>
    <w:unhideWhenUsed/>
    <w:qFormat/>
    <w:rsid w:val="00D35A3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1611"/>
    <w:rPr>
      <w:sz w:val="16"/>
      <w:szCs w:val="16"/>
    </w:rPr>
  </w:style>
  <w:style w:type="paragraph" w:styleId="CommentText">
    <w:name w:val="annotation text"/>
    <w:basedOn w:val="Normal"/>
    <w:link w:val="CommentTextChar"/>
    <w:uiPriority w:val="99"/>
    <w:semiHidden/>
    <w:unhideWhenUsed/>
    <w:rsid w:val="00B61611"/>
    <w:rPr>
      <w:sz w:val="20"/>
      <w:szCs w:val="20"/>
    </w:rPr>
  </w:style>
  <w:style w:type="character" w:customStyle="1" w:styleId="CommentTextChar">
    <w:name w:val="Comment Text Char"/>
    <w:basedOn w:val="DefaultParagraphFont"/>
    <w:link w:val="CommentText"/>
    <w:uiPriority w:val="99"/>
    <w:semiHidden/>
    <w:rsid w:val="00B61611"/>
    <w:rPr>
      <w:lang w:eastAsia="en-US"/>
    </w:rPr>
  </w:style>
  <w:style w:type="paragraph" w:styleId="CommentSubject">
    <w:name w:val="annotation subject"/>
    <w:basedOn w:val="CommentText"/>
    <w:next w:val="CommentText"/>
    <w:link w:val="CommentSubjectChar"/>
    <w:uiPriority w:val="99"/>
    <w:semiHidden/>
    <w:unhideWhenUsed/>
    <w:rsid w:val="00B61611"/>
    <w:rPr>
      <w:b/>
      <w:bCs/>
    </w:rPr>
  </w:style>
  <w:style w:type="character" w:customStyle="1" w:styleId="CommentSubjectChar">
    <w:name w:val="Comment Subject Char"/>
    <w:basedOn w:val="CommentTextChar"/>
    <w:link w:val="CommentSubject"/>
    <w:uiPriority w:val="99"/>
    <w:semiHidden/>
    <w:rsid w:val="00B61611"/>
    <w:rPr>
      <w:b/>
      <w:bCs/>
      <w:lang w:eastAsia="en-US"/>
    </w:rPr>
  </w:style>
  <w:style w:type="paragraph" w:styleId="BalloonText">
    <w:name w:val="Balloon Text"/>
    <w:basedOn w:val="Normal"/>
    <w:link w:val="BalloonTextChar"/>
    <w:uiPriority w:val="99"/>
    <w:semiHidden/>
    <w:unhideWhenUsed/>
    <w:rsid w:val="00B61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611"/>
    <w:rPr>
      <w:rFonts w:ascii="Tahoma" w:hAnsi="Tahoma" w:cs="Tahoma"/>
      <w:sz w:val="16"/>
      <w:szCs w:val="16"/>
      <w:lang w:eastAsia="en-US"/>
    </w:rPr>
  </w:style>
  <w:style w:type="character" w:customStyle="1" w:styleId="ListParagraphChar">
    <w:name w:val="List Paragraph Char"/>
    <w:aliases w:val="List Paragraph1 Char,Recommendation Char,List Paragraph11 Char,1 Recommendation Char"/>
    <w:basedOn w:val="DefaultParagraphFont"/>
    <w:link w:val="ListParagraph"/>
    <w:uiPriority w:val="34"/>
    <w:locked/>
    <w:rsid w:val="00BE4528"/>
  </w:style>
  <w:style w:type="paragraph" w:styleId="ListParagraph">
    <w:name w:val="List Paragraph"/>
    <w:aliases w:val="List Paragraph1,Recommendation,List Paragraph11,1 Recommendation"/>
    <w:basedOn w:val="Normal"/>
    <w:link w:val="ListParagraphChar"/>
    <w:uiPriority w:val="34"/>
    <w:qFormat/>
    <w:rsid w:val="00BE4528"/>
    <w:pPr>
      <w:ind w:left="720"/>
    </w:pPr>
    <w:rPr>
      <w:sz w:val="20"/>
      <w:szCs w:val="20"/>
      <w:lang w:eastAsia="en-AU"/>
    </w:rPr>
  </w:style>
  <w:style w:type="paragraph" w:styleId="Header">
    <w:name w:val="header"/>
    <w:basedOn w:val="Normal"/>
    <w:link w:val="HeaderChar"/>
    <w:uiPriority w:val="99"/>
    <w:rsid w:val="00BE4528"/>
    <w:pPr>
      <w:widowControl w:val="0"/>
      <w:tabs>
        <w:tab w:val="center" w:pos="4320"/>
        <w:tab w:val="right" w:pos="8640"/>
      </w:tabs>
      <w:spacing w:after="0" w:line="240" w:lineRule="auto"/>
    </w:pPr>
    <w:rPr>
      <w:rFonts w:eastAsia="Times New Roman"/>
      <w:szCs w:val="20"/>
      <w:lang w:val="en-GB"/>
    </w:rPr>
  </w:style>
  <w:style w:type="character" w:customStyle="1" w:styleId="HeaderChar">
    <w:name w:val="Header Char"/>
    <w:basedOn w:val="DefaultParagraphFont"/>
    <w:link w:val="Header"/>
    <w:uiPriority w:val="99"/>
    <w:rsid w:val="00BE4528"/>
    <w:rPr>
      <w:rFonts w:ascii="Times New Roman" w:eastAsia="Times New Roman" w:hAnsi="Times New Roman"/>
      <w:sz w:val="24"/>
      <w:lang w:val="en-GB" w:eastAsia="en-US"/>
    </w:rPr>
  </w:style>
  <w:style w:type="paragraph" w:styleId="Footer">
    <w:name w:val="footer"/>
    <w:basedOn w:val="Normal"/>
    <w:link w:val="FooterChar"/>
    <w:uiPriority w:val="99"/>
    <w:unhideWhenUsed/>
    <w:rsid w:val="00EB113E"/>
    <w:pPr>
      <w:tabs>
        <w:tab w:val="center" w:pos="4513"/>
        <w:tab w:val="right" w:pos="9026"/>
      </w:tabs>
    </w:pPr>
  </w:style>
  <w:style w:type="character" w:customStyle="1" w:styleId="FooterChar">
    <w:name w:val="Footer Char"/>
    <w:basedOn w:val="DefaultParagraphFont"/>
    <w:link w:val="Footer"/>
    <w:uiPriority w:val="99"/>
    <w:rsid w:val="00EB113E"/>
    <w:rPr>
      <w:sz w:val="22"/>
      <w:szCs w:val="22"/>
      <w:lang w:eastAsia="en-US"/>
    </w:rPr>
  </w:style>
  <w:style w:type="paragraph" w:customStyle="1" w:styleId="Default">
    <w:name w:val="Default"/>
    <w:rsid w:val="006D2508"/>
    <w:pPr>
      <w:autoSpaceDE w:val="0"/>
      <w:autoSpaceDN w:val="0"/>
      <w:adjustRightInd w:val="0"/>
    </w:pPr>
    <w:rPr>
      <w:rFonts w:ascii="Arial" w:hAnsi="Arial" w:cs="Arial"/>
      <w:color w:val="000000"/>
      <w:sz w:val="24"/>
      <w:szCs w:val="24"/>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uiPriority w:val="99"/>
    <w:rsid w:val="006D2508"/>
    <w:pPr>
      <w:spacing w:after="0" w:line="240" w:lineRule="auto"/>
    </w:pPr>
    <w:rPr>
      <w:rFonts w:ascii="Arial" w:hAnsi="Arial"/>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6D2508"/>
    <w:rPr>
      <w:rFonts w:ascii="Arial" w:hAnsi="Arial"/>
      <w:lang w:eastAsia="en-US"/>
    </w:rPr>
  </w:style>
  <w:style w:type="character" w:styleId="FootnoteReference">
    <w:name w:val="footnote reference"/>
    <w:aliases w:val="Footnote number,Footnotes refss"/>
    <w:basedOn w:val="DefaultParagraphFont"/>
    <w:uiPriority w:val="99"/>
    <w:rsid w:val="006D2508"/>
    <w:rPr>
      <w:rFonts w:cs="Times New Roman"/>
      <w:vertAlign w:val="superscript"/>
    </w:rPr>
  </w:style>
  <w:style w:type="character" w:customStyle="1" w:styleId="field-content">
    <w:name w:val="field-content"/>
    <w:basedOn w:val="DefaultParagraphFont"/>
    <w:rsid w:val="006D2508"/>
  </w:style>
  <w:style w:type="paragraph" w:styleId="NoSpacing">
    <w:name w:val="No Spacing"/>
    <w:link w:val="NoSpacingChar"/>
    <w:uiPriority w:val="1"/>
    <w:qFormat/>
    <w:rsid w:val="006D2508"/>
    <w:rPr>
      <w:rFonts w:ascii="Times New Roman" w:hAnsi="Times New Roman"/>
      <w:sz w:val="24"/>
      <w:szCs w:val="22"/>
      <w:lang w:eastAsia="en-US"/>
    </w:rPr>
  </w:style>
  <w:style w:type="paragraph" w:styleId="EndnoteText">
    <w:name w:val="endnote text"/>
    <w:basedOn w:val="Normal"/>
    <w:link w:val="EndnoteTextChar"/>
    <w:uiPriority w:val="99"/>
    <w:semiHidden/>
    <w:unhideWhenUsed/>
    <w:rsid w:val="002E67C3"/>
    <w:rPr>
      <w:sz w:val="20"/>
      <w:szCs w:val="20"/>
    </w:rPr>
  </w:style>
  <w:style w:type="character" w:customStyle="1" w:styleId="EndnoteTextChar">
    <w:name w:val="Endnote Text Char"/>
    <w:basedOn w:val="DefaultParagraphFont"/>
    <w:link w:val="EndnoteText"/>
    <w:uiPriority w:val="99"/>
    <w:semiHidden/>
    <w:rsid w:val="002E67C3"/>
    <w:rPr>
      <w:lang w:eastAsia="en-US"/>
    </w:rPr>
  </w:style>
  <w:style w:type="character" w:styleId="EndnoteReference">
    <w:name w:val="endnote reference"/>
    <w:basedOn w:val="DefaultParagraphFont"/>
    <w:uiPriority w:val="99"/>
    <w:semiHidden/>
    <w:unhideWhenUsed/>
    <w:rsid w:val="002E67C3"/>
    <w:rPr>
      <w:vertAlign w:val="superscript"/>
    </w:rPr>
  </w:style>
  <w:style w:type="character" w:styleId="Hyperlink">
    <w:name w:val="Hyperlink"/>
    <w:basedOn w:val="DefaultParagraphFont"/>
    <w:uiPriority w:val="99"/>
    <w:unhideWhenUsed/>
    <w:rsid w:val="00B33559"/>
    <w:rPr>
      <w:color w:val="0000FF"/>
      <w:u w:val="single"/>
    </w:rPr>
  </w:style>
  <w:style w:type="paragraph" w:styleId="NormalWeb">
    <w:name w:val="Normal (Web)"/>
    <w:basedOn w:val="Normal"/>
    <w:uiPriority w:val="99"/>
    <w:semiHidden/>
    <w:unhideWhenUsed/>
    <w:rsid w:val="00B33559"/>
    <w:pPr>
      <w:spacing w:before="100" w:beforeAutospacing="1" w:after="100" w:afterAutospacing="1" w:line="240" w:lineRule="auto"/>
    </w:pPr>
    <w:rPr>
      <w:rFonts w:eastAsia="Times New Roman"/>
      <w:szCs w:val="24"/>
      <w:lang w:eastAsia="en-AU"/>
    </w:rPr>
  </w:style>
  <w:style w:type="character" w:styleId="Emphasis">
    <w:name w:val="Emphasis"/>
    <w:basedOn w:val="DefaultParagraphFont"/>
    <w:uiPriority w:val="20"/>
    <w:qFormat/>
    <w:rsid w:val="00B33559"/>
    <w:rPr>
      <w:i/>
      <w:iCs/>
    </w:rPr>
  </w:style>
  <w:style w:type="paragraph" w:customStyle="1" w:styleId="s30eec3f8">
    <w:name w:val="s30eec3f8"/>
    <w:basedOn w:val="Normal"/>
    <w:rsid w:val="005716E4"/>
    <w:pPr>
      <w:spacing w:before="100" w:beforeAutospacing="1" w:after="100" w:afterAutospacing="1" w:line="240" w:lineRule="auto"/>
    </w:pPr>
    <w:rPr>
      <w:rFonts w:eastAsia="Times New Roman"/>
      <w:szCs w:val="24"/>
      <w:lang w:eastAsia="en-AU"/>
    </w:rPr>
  </w:style>
  <w:style w:type="character" w:customStyle="1" w:styleId="sb8d990e2">
    <w:name w:val="sb8d990e2"/>
    <w:basedOn w:val="DefaultParagraphFont"/>
    <w:rsid w:val="005716E4"/>
  </w:style>
  <w:style w:type="character" w:customStyle="1" w:styleId="s6b621b36">
    <w:name w:val="s6b621b36"/>
    <w:basedOn w:val="DefaultParagraphFont"/>
    <w:rsid w:val="005716E4"/>
  </w:style>
  <w:style w:type="character" w:styleId="FollowedHyperlink">
    <w:name w:val="FollowedHyperlink"/>
    <w:basedOn w:val="DefaultParagraphFont"/>
    <w:uiPriority w:val="99"/>
    <w:semiHidden/>
    <w:unhideWhenUsed/>
    <w:rsid w:val="00627361"/>
    <w:rPr>
      <w:color w:val="800080"/>
      <w:u w:val="single"/>
    </w:rPr>
  </w:style>
  <w:style w:type="character" w:customStyle="1" w:styleId="Heading1Char">
    <w:name w:val="Heading 1 Char"/>
    <w:aliases w:val="'Part' Heading Char"/>
    <w:basedOn w:val="DefaultParagraphFont"/>
    <w:link w:val="Heading1"/>
    <w:uiPriority w:val="9"/>
    <w:rsid w:val="00501993"/>
    <w:rPr>
      <w:rFonts w:ascii="Times New Roman" w:eastAsia="Times New Roman" w:hAnsi="Times New Roman" w:cs="Times New Roman"/>
      <w:b/>
      <w:bCs/>
      <w:kern w:val="32"/>
      <w:sz w:val="28"/>
      <w:szCs w:val="32"/>
      <w:lang w:eastAsia="en-US"/>
    </w:rPr>
  </w:style>
  <w:style w:type="paragraph" w:styleId="TOC1">
    <w:name w:val="toc 1"/>
    <w:basedOn w:val="Normal"/>
    <w:next w:val="Normal"/>
    <w:autoRedefine/>
    <w:uiPriority w:val="39"/>
    <w:unhideWhenUsed/>
    <w:rsid w:val="00501993"/>
  </w:style>
  <w:style w:type="paragraph" w:styleId="Title">
    <w:name w:val="Title"/>
    <w:basedOn w:val="Normal"/>
    <w:next w:val="Normal"/>
    <w:link w:val="TitleChar"/>
    <w:uiPriority w:val="10"/>
    <w:qFormat/>
    <w:rsid w:val="00B83F68"/>
    <w:pPr>
      <w:spacing w:before="360" w:after="240"/>
      <w:jc w:val="center"/>
      <w:outlineLvl w:val="0"/>
    </w:pPr>
    <w:rPr>
      <w:rFonts w:eastAsia="Times New Roman"/>
      <w:b/>
      <w:bCs/>
      <w:kern w:val="28"/>
      <w:sz w:val="28"/>
      <w:szCs w:val="32"/>
    </w:rPr>
  </w:style>
  <w:style w:type="character" w:customStyle="1" w:styleId="TitleChar">
    <w:name w:val="Title Char"/>
    <w:basedOn w:val="DefaultParagraphFont"/>
    <w:link w:val="Title"/>
    <w:uiPriority w:val="10"/>
    <w:rsid w:val="00B83F68"/>
    <w:rPr>
      <w:rFonts w:ascii="Times New Roman" w:eastAsia="Times New Roman" w:hAnsi="Times New Roman" w:cs="Times New Roman"/>
      <w:b/>
      <w:bCs/>
      <w:kern w:val="28"/>
      <w:sz w:val="28"/>
      <w:szCs w:val="32"/>
      <w:lang w:eastAsia="en-US"/>
    </w:rPr>
  </w:style>
  <w:style w:type="character" w:customStyle="1" w:styleId="Heading2Char">
    <w:name w:val="Heading 2 Char"/>
    <w:basedOn w:val="DefaultParagraphFont"/>
    <w:link w:val="Heading2"/>
    <w:uiPriority w:val="9"/>
    <w:rsid w:val="006431CF"/>
    <w:rPr>
      <w:rFonts w:ascii="Times New Roman" w:eastAsia="Times New Roman" w:hAnsi="Times New Roman" w:cs="Times New Roman"/>
      <w:b/>
      <w:bCs/>
      <w:iCs/>
      <w:sz w:val="24"/>
      <w:szCs w:val="28"/>
      <w:u w:val="single"/>
      <w:lang w:eastAsia="en-US"/>
    </w:rPr>
  </w:style>
  <w:style w:type="paragraph" w:styleId="TOC2">
    <w:name w:val="toc 2"/>
    <w:basedOn w:val="Normal"/>
    <w:next w:val="Normal"/>
    <w:autoRedefine/>
    <w:uiPriority w:val="39"/>
    <w:unhideWhenUsed/>
    <w:rsid w:val="006431CF"/>
    <w:pPr>
      <w:ind w:left="240"/>
    </w:pPr>
  </w:style>
  <w:style w:type="paragraph" w:styleId="Caption">
    <w:name w:val="caption"/>
    <w:basedOn w:val="Normal"/>
    <w:next w:val="Normal"/>
    <w:uiPriority w:val="35"/>
    <w:unhideWhenUsed/>
    <w:qFormat/>
    <w:rsid w:val="00C71A66"/>
    <w:rPr>
      <w:b/>
      <w:bCs/>
      <w:sz w:val="20"/>
      <w:szCs w:val="20"/>
    </w:rPr>
  </w:style>
  <w:style w:type="character" w:customStyle="1" w:styleId="Heading3Char">
    <w:name w:val="Heading 3 Char"/>
    <w:aliases w:val="'Division' heading Char,Division heading Char"/>
    <w:basedOn w:val="DefaultParagraphFont"/>
    <w:link w:val="Heading3"/>
    <w:uiPriority w:val="9"/>
    <w:rsid w:val="00480CA5"/>
    <w:rPr>
      <w:rFonts w:ascii="Times New Roman" w:hAnsi="Times New Roman"/>
      <w:b/>
      <w:sz w:val="26"/>
      <w:szCs w:val="26"/>
      <w:lang w:eastAsia="en-US"/>
    </w:rPr>
  </w:style>
  <w:style w:type="paragraph" w:styleId="TOC3">
    <w:name w:val="toc 3"/>
    <w:basedOn w:val="Normal"/>
    <w:next w:val="Normal"/>
    <w:autoRedefine/>
    <w:uiPriority w:val="39"/>
    <w:unhideWhenUsed/>
    <w:rsid w:val="00E51C3A"/>
    <w:pPr>
      <w:spacing w:after="100"/>
      <w:ind w:left="480"/>
    </w:pPr>
  </w:style>
  <w:style w:type="paragraph" w:styleId="DocumentMap">
    <w:name w:val="Document Map"/>
    <w:basedOn w:val="Normal"/>
    <w:link w:val="DocumentMapChar"/>
    <w:uiPriority w:val="99"/>
    <w:semiHidden/>
    <w:unhideWhenUsed/>
    <w:rsid w:val="00125EC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25EC6"/>
    <w:rPr>
      <w:rFonts w:ascii="Tahoma" w:hAnsi="Tahoma" w:cs="Tahoma"/>
      <w:sz w:val="16"/>
      <w:szCs w:val="16"/>
      <w:lang w:eastAsia="en-US"/>
    </w:rPr>
  </w:style>
  <w:style w:type="paragraph" w:styleId="BodyText">
    <w:name w:val="Body Text"/>
    <w:basedOn w:val="Normal"/>
    <w:link w:val="BodyTextChar"/>
    <w:uiPriority w:val="1"/>
    <w:qFormat/>
    <w:rsid w:val="00CD129E"/>
    <w:pPr>
      <w:spacing w:before="240" w:after="120"/>
    </w:pPr>
    <w:rPr>
      <w:szCs w:val="24"/>
      <w:lang w:eastAsia="en-AU"/>
    </w:rPr>
  </w:style>
  <w:style w:type="character" w:customStyle="1" w:styleId="BodyTextChar">
    <w:name w:val="Body Text Char"/>
    <w:basedOn w:val="DefaultParagraphFont"/>
    <w:link w:val="BodyText"/>
    <w:uiPriority w:val="1"/>
    <w:rsid w:val="00CD129E"/>
    <w:rPr>
      <w:rFonts w:ascii="Times New Roman" w:hAnsi="Times New Roman"/>
      <w:sz w:val="24"/>
      <w:szCs w:val="24"/>
    </w:rPr>
  </w:style>
  <w:style w:type="table" w:styleId="TableGrid">
    <w:name w:val="Table Grid"/>
    <w:basedOn w:val="TableNormal"/>
    <w:uiPriority w:val="59"/>
    <w:rsid w:val="00852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52E04"/>
    <w:rPr>
      <w:rFonts w:ascii="Times New Roman" w:hAnsi="Times New Roman"/>
      <w:sz w:val="24"/>
      <w:szCs w:val="22"/>
      <w:lang w:eastAsia="en-US"/>
    </w:rPr>
  </w:style>
  <w:style w:type="character" w:customStyle="1" w:styleId="Heading4Char">
    <w:name w:val="Heading 4 Char"/>
    <w:aliases w:val="'Clause' heading Char"/>
    <w:basedOn w:val="DefaultParagraphFont"/>
    <w:link w:val="Heading4"/>
    <w:uiPriority w:val="9"/>
    <w:rsid w:val="0092403F"/>
    <w:rPr>
      <w:rFonts w:ascii="Times New Roman" w:hAnsi="Times New Roman"/>
      <w:b/>
      <w:sz w:val="24"/>
      <w:szCs w:val="24"/>
      <w:lang w:eastAsia="en-US"/>
    </w:rPr>
  </w:style>
  <w:style w:type="character" w:styleId="PlaceholderText">
    <w:name w:val="Placeholder Text"/>
    <w:basedOn w:val="DefaultParagraphFont"/>
    <w:uiPriority w:val="99"/>
    <w:semiHidden/>
    <w:rsid w:val="00A5134C"/>
    <w:rPr>
      <w:color w:val="808080"/>
    </w:rPr>
  </w:style>
  <w:style w:type="character" w:customStyle="1" w:styleId="Heading5Char">
    <w:name w:val="Heading 5 Char"/>
    <w:aliases w:val="New Section heading Char"/>
    <w:basedOn w:val="DefaultParagraphFont"/>
    <w:link w:val="Heading5"/>
    <w:uiPriority w:val="9"/>
    <w:rsid w:val="008D709F"/>
    <w:rPr>
      <w:rFonts w:ascii="Times New Roman" w:hAnsi="Times New Roman"/>
      <w:b/>
      <w:i/>
      <w:sz w:val="24"/>
      <w:szCs w:val="24"/>
      <w:lang w:eastAsia="en-US"/>
    </w:rPr>
  </w:style>
  <w:style w:type="character" w:styleId="UnresolvedMention">
    <w:name w:val="Unresolved Mention"/>
    <w:basedOn w:val="DefaultParagraphFont"/>
    <w:uiPriority w:val="99"/>
    <w:semiHidden/>
    <w:unhideWhenUsed/>
    <w:rsid w:val="009754F0"/>
    <w:rPr>
      <w:color w:val="605E5C"/>
      <w:shd w:val="clear" w:color="auto" w:fill="E1DFDD"/>
    </w:rPr>
  </w:style>
  <w:style w:type="character" w:customStyle="1" w:styleId="Heading6Char">
    <w:name w:val="Heading 6 Char"/>
    <w:basedOn w:val="DefaultParagraphFont"/>
    <w:link w:val="Heading6"/>
    <w:uiPriority w:val="9"/>
    <w:rsid w:val="00D35A39"/>
    <w:rPr>
      <w:rFonts w:asciiTheme="majorHAnsi" w:eastAsiaTheme="majorEastAsia" w:hAnsiTheme="majorHAnsi" w:cstheme="majorBidi"/>
      <w:color w:val="243F60" w:themeColor="accent1" w:themeShade="7F"/>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1649">
      <w:bodyDiv w:val="1"/>
      <w:marLeft w:val="0"/>
      <w:marRight w:val="0"/>
      <w:marTop w:val="0"/>
      <w:marBottom w:val="0"/>
      <w:divBdr>
        <w:top w:val="none" w:sz="0" w:space="0" w:color="auto"/>
        <w:left w:val="none" w:sz="0" w:space="0" w:color="auto"/>
        <w:bottom w:val="none" w:sz="0" w:space="0" w:color="auto"/>
        <w:right w:val="none" w:sz="0" w:space="0" w:color="auto"/>
      </w:divBdr>
    </w:div>
    <w:div w:id="219705663">
      <w:bodyDiv w:val="1"/>
      <w:marLeft w:val="0"/>
      <w:marRight w:val="0"/>
      <w:marTop w:val="0"/>
      <w:marBottom w:val="0"/>
      <w:divBdr>
        <w:top w:val="none" w:sz="0" w:space="0" w:color="auto"/>
        <w:left w:val="none" w:sz="0" w:space="0" w:color="auto"/>
        <w:bottom w:val="none" w:sz="0" w:space="0" w:color="auto"/>
        <w:right w:val="none" w:sz="0" w:space="0" w:color="auto"/>
      </w:divBdr>
    </w:div>
    <w:div w:id="323557251">
      <w:bodyDiv w:val="1"/>
      <w:marLeft w:val="0"/>
      <w:marRight w:val="0"/>
      <w:marTop w:val="0"/>
      <w:marBottom w:val="0"/>
      <w:divBdr>
        <w:top w:val="none" w:sz="0" w:space="0" w:color="auto"/>
        <w:left w:val="none" w:sz="0" w:space="0" w:color="auto"/>
        <w:bottom w:val="none" w:sz="0" w:space="0" w:color="auto"/>
        <w:right w:val="none" w:sz="0" w:space="0" w:color="auto"/>
      </w:divBdr>
      <w:divsChild>
        <w:div w:id="1148281209">
          <w:marLeft w:val="0"/>
          <w:marRight w:val="0"/>
          <w:marTop w:val="0"/>
          <w:marBottom w:val="0"/>
          <w:divBdr>
            <w:top w:val="none" w:sz="0" w:space="0" w:color="auto"/>
            <w:left w:val="none" w:sz="0" w:space="0" w:color="auto"/>
            <w:bottom w:val="none" w:sz="0" w:space="0" w:color="auto"/>
            <w:right w:val="none" w:sz="0" w:space="0" w:color="auto"/>
          </w:divBdr>
          <w:divsChild>
            <w:div w:id="617302029">
              <w:marLeft w:val="-164"/>
              <w:marRight w:val="-164"/>
              <w:marTop w:val="0"/>
              <w:marBottom w:val="0"/>
              <w:divBdr>
                <w:top w:val="none" w:sz="0" w:space="0" w:color="auto"/>
                <w:left w:val="none" w:sz="0" w:space="0" w:color="auto"/>
                <w:bottom w:val="none" w:sz="0" w:space="0" w:color="auto"/>
                <w:right w:val="none" w:sz="0" w:space="0" w:color="auto"/>
              </w:divBdr>
              <w:divsChild>
                <w:div w:id="1885603898">
                  <w:marLeft w:val="0"/>
                  <w:marRight w:val="0"/>
                  <w:marTop w:val="0"/>
                  <w:marBottom w:val="0"/>
                  <w:divBdr>
                    <w:top w:val="none" w:sz="0" w:space="0" w:color="auto"/>
                    <w:left w:val="none" w:sz="0" w:space="0" w:color="auto"/>
                    <w:bottom w:val="none" w:sz="0" w:space="0" w:color="auto"/>
                    <w:right w:val="none" w:sz="0" w:space="0" w:color="auto"/>
                  </w:divBdr>
                  <w:divsChild>
                    <w:div w:id="1355422121">
                      <w:marLeft w:val="0"/>
                      <w:marRight w:val="0"/>
                      <w:marTop w:val="0"/>
                      <w:marBottom w:val="0"/>
                      <w:divBdr>
                        <w:top w:val="none" w:sz="0" w:space="0" w:color="auto"/>
                        <w:left w:val="none" w:sz="0" w:space="0" w:color="auto"/>
                        <w:bottom w:val="none" w:sz="0" w:space="0" w:color="auto"/>
                        <w:right w:val="none" w:sz="0" w:space="0" w:color="auto"/>
                      </w:divBdr>
                      <w:divsChild>
                        <w:div w:id="1415586170">
                          <w:marLeft w:val="0"/>
                          <w:marRight w:val="0"/>
                          <w:marTop w:val="0"/>
                          <w:marBottom w:val="0"/>
                          <w:divBdr>
                            <w:top w:val="none" w:sz="0" w:space="0" w:color="auto"/>
                            <w:left w:val="none" w:sz="0" w:space="0" w:color="auto"/>
                            <w:bottom w:val="none" w:sz="0" w:space="0" w:color="auto"/>
                            <w:right w:val="none" w:sz="0" w:space="0" w:color="auto"/>
                          </w:divBdr>
                          <w:divsChild>
                            <w:div w:id="2037728410">
                              <w:marLeft w:val="0"/>
                              <w:marRight w:val="0"/>
                              <w:marTop w:val="0"/>
                              <w:marBottom w:val="0"/>
                              <w:divBdr>
                                <w:top w:val="none" w:sz="0" w:space="0" w:color="auto"/>
                                <w:left w:val="none" w:sz="0" w:space="0" w:color="auto"/>
                                <w:bottom w:val="none" w:sz="0" w:space="0" w:color="auto"/>
                                <w:right w:val="none" w:sz="0" w:space="0" w:color="auto"/>
                              </w:divBdr>
                              <w:divsChild>
                                <w:div w:id="1951161510">
                                  <w:marLeft w:val="0"/>
                                  <w:marRight w:val="0"/>
                                  <w:marTop w:val="0"/>
                                  <w:marBottom w:val="0"/>
                                  <w:divBdr>
                                    <w:top w:val="none" w:sz="0" w:space="0" w:color="auto"/>
                                    <w:left w:val="none" w:sz="0" w:space="0" w:color="auto"/>
                                    <w:bottom w:val="none" w:sz="0" w:space="0" w:color="auto"/>
                                    <w:right w:val="none" w:sz="0" w:space="0" w:color="auto"/>
                                  </w:divBdr>
                                  <w:divsChild>
                                    <w:div w:id="912852358">
                                      <w:marLeft w:val="0"/>
                                      <w:marRight w:val="0"/>
                                      <w:marTop w:val="0"/>
                                      <w:marBottom w:val="0"/>
                                      <w:divBdr>
                                        <w:top w:val="none" w:sz="0" w:space="0" w:color="auto"/>
                                        <w:left w:val="none" w:sz="0" w:space="0" w:color="auto"/>
                                        <w:bottom w:val="none" w:sz="0" w:space="0" w:color="auto"/>
                                        <w:right w:val="none" w:sz="0" w:space="0" w:color="auto"/>
                                      </w:divBdr>
                                      <w:divsChild>
                                        <w:div w:id="1500929372">
                                          <w:marLeft w:val="0"/>
                                          <w:marRight w:val="0"/>
                                          <w:marTop w:val="0"/>
                                          <w:marBottom w:val="0"/>
                                          <w:divBdr>
                                            <w:top w:val="none" w:sz="0" w:space="0" w:color="auto"/>
                                            <w:left w:val="none" w:sz="0" w:space="0" w:color="auto"/>
                                            <w:bottom w:val="none" w:sz="0" w:space="0" w:color="auto"/>
                                            <w:right w:val="none" w:sz="0" w:space="0" w:color="auto"/>
                                          </w:divBdr>
                                          <w:divsChild>
                                            <w:div w:id="963267218">
                                              <w:marLeft w:val="0"/>
                                              <w:marRight w:val="0"/>
                                              <w:marTop w:val="0"/>
                                              <w:marBottom w:val="0"/>
                                              <w:divBdr>
                                                <w:top w:val="none" w:sz="0" w:space="0" w:color="auto"/>
                                                <w:left w:val="none" w:sz="0" w:space="0" w:color="auto"/>
                                                <w:bottom w:val="none" w:sz="0" w:space="0" w:color="auto"/>
                                                <w:right w:val="none" w:sz="0" w:space="0" w:color="auto"/>
                                              </w:divBdr>
                                              <w:divsChild>
                                                <w:div w:id="381445502">
                                                  <w:marLeft w:val="0"/>
                                                  <w:marRight w:val="0"/>
                                                  <w:marTop w:val="0"/>
                                                  <w:marBottom w:val="0"/>
                                                  <w:divBdr>
                                                    <w:top w:val="none" w:sz="0" w:space="0" w:color="auto"/>
                                                    <w:left w:val="none" w:sz="0" w:space="0" w:color="auto"/>
                                                    <w:bottom w:val="none" w:sz="0" w:space="0" w:color="auto"/>
                                                    <w:right w:val="none" w:sz="0" w:space="0" w:color="auto"/>
                                                  </w:divBdr>
                                                  <w:divsChild>
                                                    <w:div w:id="485631529">
                                                      <w:marLeft w:val="0"/>
                                                      <w:marRight w:val="0"/>
                                                      <w:marTop w:val="0"/>
                                                      <w:marBottom w:val="0"/>
                                                      <w:divBdr>
                                                        <w:top w:val="none" w:sz="0" w:space="0" w:color="auto"/>
                                                        <w:left w:val="none" w:sz="0" w:space="0" w:color="auto"/>
                                                        <w:bottom w:val="none" w:sz="0" w:space="0" w:color="auto"/>
                                                        <w:right w:val="none" w:sz="0" w:space="0" w:color="auto"/>
                                                      </w:divBdr>
                                                      <w:divsChild>
                                                        <w:div w:id="2435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0821447">
      <w:bodyDiv w:val="1"/>
      <w:marLeft w:val="0"/>
      <w:marRight w:val="0"/>
      <w:marTop w:val="0"/>
      <w:marBottom w:val="0"/>
      <w:divBdr>
        <w:top w:val="none" w:sz="0" w:space="0" w:color="auto"/>
        <w:left w:val="none" w:sz="0" w:space="0" w:color="auto"/>
        <w:bottom w:val="none" w:sz="0" w:space="0" w:color="auto"/>
        <w:right w:val="none" w:sz="0" w:space="0" w:color="auto"/>
      </w:divBdr>
    </w:div>
    <w:div w:id="733813222">
      <w:bodyDiv w:val="1"/>
      <w:marLeft w:val="0"/>
      <w:marRight w:val="0"/>
      <w:marTop w:val="0"/>
      <w:marBottom w:val="0"/>
      <w:divBdr>
        <w:top w:val="none" w:sz="0" w:space="0" w:color="auto"/>
        <w:left w:val="none" w:sz="0" w:space="0" w:color="auto"/>
        <w:bottom w:val="none" w:sz="0" w:space="0" w:color="auto"/>
        <w:right w:val="none" w:sz="0" w:space="0" w:color="auto"/>
      </w:divBdr>
      <w:divsChild>
        <w:div w:id="449973940">
          <w:marLeft w:val="0"/>
          <w:marRight w:val="0"/>
          <w:marTop w:val="0"/>
          <w:marBottom w:val="0"/>
          <w:divBdr>
            <w:top w:val="none" w:sz="0" w:space="0" w:color="auto"/>
            <w:left w:val="none" w:sz="0" w:space="0" w:color="auto"/>
            <w:bottom w:val="none" w:sz="0" w:space="0" w:color="auto"/>
            <w:right w:val="none" w:sz="0" w:space="0" w:color="auto"/>
          </w:divBdr>
          <w:divsChild>
            <w:div w:id="879517677">
              <w:marLeft w:val="0"/>
              <w:marRight w:val="0"/>
              <w:marTop w:val="0"/>
              <w:marBottom w:val="0"/>
              <w:divBdr>
                <w:top w:val="none" w:sz="0" w:space="0" w:color="auto"/>
                <w:left w:val="none" w:sz="0" w:space="0" w:color="auto"/>
                <w:bottom w:val="none" w:sz="0" w:space="0" w:color="auto"/>
                <w:right w:val="none" w:sz="0" w:space="0" w:color="auto"/>
              </w:divBdr>
              <w:divsChild>
                <w:div w:id="408188674">
                  <w:marLeft w:val="0"/>
                  <w:marRight w:val="0"/>
                  <w:marTop w:val="0"/>
                  <w:marBottom w:val="0"/>
                  <w:divBdr>
                    <w:top w:val="none" w:sz="0" w:space="0" w:color="auto"/>
                    <w:left w:val="none" w:sz="0" w:space="0" w:color="auto"/>
                    <w:bottom w:val="none" w:sz="0" w:space="0" w:color="auto"/>
                    <w:right w:val="none" w:sz="0" w:space="0" w:color="auto"/>
                  </w:divBdr>
                  <w:divsChild>
                    <w:div w:id="1899121273">
                      <w:marLeft w:val="0"/>
                      <w:marRight w:val="0"/>
                      <w:marTop w:val="0"/>
                      <w:marBottom w:val="0"/>
                      <w:divBdr>
                        <w:top w:val="none" w:sz="0" w:space="0" w:color="auto"/>
                        <w:left w:val="none" w:sz="0" w:space="0" w:color="auto"/>
                        <w:bottom w:val="none" w:sz="0" w:space="0" w:color="auto"/>
                        <w:right w:val="none" w:sz="0" w:space="0" w:color="auto"/>
                      </w:divBdr>
                      <w:divsChild>
                        <w:div w:id="906843345">
                          <w:marLeft w:val="0"/>
                          <w:marRight w:val="0"/>
                          <w:marTop w:val="0"/>
                          <w:marBottom w:val="0"/>
                          <w:divBdr>
                            <w:top w:val="none" w:sz="0" w:space="0" w:color="auto"/>
                            <w:left w:val="none" w:sz="0" w:space="0" w:color="auto"/>
                            <w:bottom w:val="none" w:sz="0" w:space="0" w:color="auto"/>
                            <w:right w:val="none" w:sz="0" w:space="0" w:color="auto"/>
                          </w:divBdr>
                          <w:divsChild>
                            <w:div w:id="5778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625222">
      <w:bodyDiv w:val="1"/>
      <w:marLeft w:val="0"/>
      <w:marRight w:val="0"/>
      <w:marTop w:val="0"/>
      <w:marBottom w:val="0"/>
      <w:divBdr>
        <w:top w:val="none" w:sz="0" w:space="0" w:color="auto"/>
        <w:left w:val="none" w:sz="0" w:space="0" w:color="auto"/>
        <w:bottom w:val="none" w:sz="0" w:space="0" w:color="auto"/>
        <w:right w:val="none" w:sz="0" w:space="0" w:color="auto"/>
      </w:divBdr>
    </w:div>
    <w:div w:id="776220620">
      <w:bodyDiv w:val="1"/>
      <w:marLeft w:val="0"/>
      <w:marRight w:val="0"/>
      <w:marTop w:val="0"/>
      <w:marBottom w:val="0"/>
      <w:divBdr>
        <w:top w:val="none" w:sz="0" w:space="0" w:color="auto"/>
        <w:left w:val="none" w:sz="0" w:space="0" w:color="auto"/>
        <w:bottom w:val="none" w:sz="0" w:space="0" w:color="auto"/>
        <w:right w:val="none" w:sz="0" w:space="0" w:color="auto"/>
      </w:divBdr>
    </w:div>
    <w:div w:id="822280540">
      <w:bodyDiv w:val="1"/>
      <w:marLeft w:val="0"/>
      <w:marRight w:val="0"/>
      <w:marTop w:val="0"/>
      <w:marBottom w:val="0"/>
      <w:divBdr>
        <w:top w:val="none" w:sz="0" w:space="0" w:color="auto"/>
        <w:left w:val="none" w:sz="0" w:space="0" w:color="auto"/>
        <w:bottom w:val="none" w:sz="0" w:space="0" w:color="auto"/>
        <w:right w:val="none" w:sz="0" w:space="0" w:color="auto"/>
      </w:divBdr>
    </w:div>
    <w:div w:id="1210994216">
      <w:bodyDiv w:val="1"/>
      <w:marLeft w:val="0"/>
      <w:marRight w:val="0"/>
      <w:marTop w:val="0"/>
      <w:marBottom w:val="0"/>
      <w:divBdr>
        <w:top w:val="none" w:sz="0" w:space="0" w:color="auto"/>
        <w:left w:val="none" w:sz="0" w:space="0" w:color="auto"/>
        <w:bottom w:val="none" w:sz="0" w:space="0" w:color="auto"/>
        <w:right w:val="none" w:sz="0" w:space="0" w:color="auto"/>
      </w:divBdr>
    </w:div>
    <w:div w:id="1586913814">
      <w:bodyDiv w:val="1"/>
      <w:marLeft w:val="0"/>
      <w:marRight w:val="0"/>
      <w:marTop w:val="0"/>
      <w:marBottom w:val="0"/>
      <w:divBdr>
        <w:top w:val="none" w:sz="0" w:space="0" w:color="auto"/>
        <w:left w:val="none" w:sz="0" w:space="0" w:color="auto"/>
        <w:bottom w:val="none" w:sz="0" w:space="0" w:color="auto"/>
        <w:right w:val="none" w:sz="0" w:space="0" w:color="auto"/>
      </w:divBdr>
    </w:div>
    <w:div w:id="194028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hildabuseroyalcommission.gov.au/impac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4"/>
        <w:category>
          <w:name w:val="General"/>
          <w:gallery w:val="placeholder"/>
        </w:category>
        <w:types>
          <w:type w:val="bbPlcHdr"/>
        </w:types>
        <w:behaviors>
          <w:behavior w:val="content"/>
        </w:behaviors>
        <w:guid w:val="{0B20E34A-50AE-43E0-8B79-2BC708E578BE}"/>
      </w:docPartPr>
      <w:docPartBody>
        <w:p w:rsidR="00B159E0" w:rsidRDefault="00B159E0">
          <w:r w:rsidRPr="004A13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159E0"/>
    <w:rsid w:val="00186F13"/>
    <w:rsid w:val="001902F5"/>
    <w:rsid w:val="001B192E"/>
    <w:rsid w:val="00273A43"/>
    <w:rsid w:val="003468A4"/>
    <w:rsid w:val="003F6AA4"/>
    <w:rsid w:val="00532BB7"/>
    <w:rsid w:val="005448B5"/>
    <w:rsid w:val="00555E87"/>
    <w:rsid w:val="0058060F"/>
    <w:rsid w:val="005F091D"/>
    <w:rsid w:val="00665F99"/>
    <w:rsid w:val="007072BA"/>
    <w:rsid w:val="00713F21"/>
    <w:rsid w:val="00772D2C"/>
    <w:rsid w:val="007A6694"/>
    <w:rsid w:val="00890214"/>
    <w:rsid w:val="00934A87"/>
    <w:rsid w:val="0099223A"/>
    <w:rsid w:val="00AD3B04"/>
    <w:rsid w:val="00B159E0"/>
    <w:rsid w:val="00B4711F"/>
    <w:rsid w:val="00BA43FB"/>
    <w:rsid w:val="00BE31C3"/>
    <w:rsid w:val="00C23C94"/>
    <w:rsid w:val="00C556D4"/>
    <w:rsid w:val="00C76F5F"/>
    <w:rsid w:val="00CA198C"/>
    <w:rsid w:val="00D92FD6"/>
    <w:rsid w:val="00E35048"/>
    <w:rsid w:val="00F74783"/>
    <w:rsid w:val="00FF76F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9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327BD5A065AE43B889ADD91434348F" ma:contentTypeVersion="0" ma:contentTypeDescription="Create a new document." ma:contentTypeScope="" ma:versionID="1b729b710d99da1aa5203af201e02f8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FAD76-D01C-4B08-A63D-FDA0EC7AA4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D33A2F-2F21-42E2-9EAF-10142248EBFD}">
  <ds:schemaRefs>
    <ds:schemaRef ds:uri="http://schemas.microsoft.com/sharepoint/v3/contenttype/forms"/>
  </ds:schemaRefs>
</ds:datastoreItem>
</file>

<file path=customXml/itemProps3.xml><?xml version="1.0" encoding="utf-8"?>
<ds:datastoreItem xmlns:ds="http://schemas.openxmlformats.org/officeDocument/2006/customXml" ds:itemID="{025955D2-9B74-4EDF-BFCF-05D39078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00C75B-173B-41B5-BEFA-58AAF250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5428</Words>
  <Characters>28922</Characters>
  <Application>Microsoft Office Word</Application>
  <DocSecurity>0</DocSecurity>
  <Lines>503</Lines>
  <Paragraphs>175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34275</CharactersWithSpaces>
  <SharedDoc>false</SharedDoc>
  <HLinks>
    <vt:vector size="78" baseType="variant">
      <vt:variant>
        <vt:i4>2097203</vt:i4>
      </vt:variant>
      <vt:variant>
        <vt:i4>36</vt:i4>
      </vt:variant>
      <vt:variant>
        <vt:i4>0</vt:i4>
      </vt:variant>
      <vt:variant>
        <vt:i4>5</vt:i4>
      </vt:variant>
      <vt:variant>
        <vt:lpwstr>http://www.legislation.act.gov.au/es/db_5400/20030626-6617/pdf/db_5400.pdf</vt:lpwstr>
      </vt:variant>
      <vt:variant>
        <vt:lpwstr/>
      </vt:variant>
      <vt:variant>
        <vt:i4>4915212</vt:i4>
      </vt:variant>
      <vt:variant>
        <vt:i4>33</vt:i4>
      </vt:variant>
      <vt:variant>
        <vt:i4>0</vt:i4>
      </vt:variant>
      <vt:variant>
        <vt:i4>5</vt:i4>
      </vt:variant>
      <vt:variant>
        <vt:lpwstr>http://www.legislation.act.gov.au/es/db_33009/20080807-37363/pdf/db_33009.pdf</vt:lpwstr>
      </vt:variant>
      <vt:variant>
        <vt:lpwstr/>
      </vt:variant>
      <vt:variant>
        <vt:i4>4915212</vt:i4>
      </vt:variant>
      <vt:variant>
        <vt:i4>30</vt:i4>
      </vt:variant>
      <vt:variant>
        <vt:i4>0</vt:i4>
      </vt:variant>
      <vt:variant>
        <vt:i4>5</vt:i4>
      </vt:variant>
      <vt:variant>
        <vt:lpwstr>http://www.legislation.act.gov.au/es/db_33009/20080807-37363/pdf/db_33009.pdf</vt:lpwstr>
      </vt:variant>
      <vt:variant>
        <vt:lpwstr/>
      </vt:variant>
      <vt:variant>
        <vt:i4>4915212</vt:i4>
      </vt:variant>
      <vt:variant>
        <vt:i4>27</vt:i4>
      </vt:variant>
      <vt:variant>
        <vt:i4>0</vt:i4>
      </vt:variant>
      <vt:variant>
        <vt:i4>5</vt:i4>
      </vt:variant>
      <vt:variant>
        <vt:lpwstr>http://www.legislation.act.gov.au/es/db_33009/20080807-37363/pdf/db_33009.pdf</vt:lpwstr>
      </vt:variant>
      <vt:variant>
        <vt:lpwstr/>
      </vt:variant>
      <vt:variant>
        <vt:i4>4915212</vt:i4>
      </vt:variant>
      <vt:variant>
        <vt:i4>24</vt:i4>
      </vt:variant>
      <vt:variant>
        <vt:i4>0</vt:i4>
      </vt:variant>
      <vt:variant>
        <vt:i4>5</vt:i4>
      </vt:variant>
      <vt:variant>
        <vt:lpwstr>http://www.legislation.act.gov.au/es/db_33009/20080807-37363/pdf/db_33009.pdf</vt:lpwstr>
      </vt:variant>
      <vt:variant>
        <vt:lpwstr/>
      </vt:variant>
      <vt:variant>
        <vt:i4>4915212</vt:i4>
      </vt:variant>
      <vt:variant>
        <vt:i4>21</vt:i4>
      </vt:variant>
      <vt:variant>
        <vt:i4>0</vt:i4>
      </vt:variant>
      <vt:variant>
        <vt:i4>5</vt:i4>
      </vt:variant>
      <vt:variant>
        <vt:lpwstr>http://www.legislation.act.gov.au/es/db_33009/20080807-37363/pdf/db_33009.pdf</vt:lpwstr>
      </vt:variant>
      <vt:variant>
        <vt:lpwstr/>
      </vt:variant>
      <vt:variant>
        <vt:i4>4915212</vt:i4>
      </vt:variant>
      <vt:variant>
        <vt:i4>18</vt:i4>
      </vt:variant>
      <vt:variant>
        <vt:i4>0</vt:i4>
      </vt:variant>
      <vt:variant>
        <vt:i4>5</vt:i4>
      </vt:variant>
      <vt:variant>
        <vt:lpwstr>http://www.legislation.act.gov.au/es/db_33009/20080807-37363/pdf/db_33009.pdf</vt:lpwstr>
      </vt:variant>
      <vt:variant>
        <vt:lpwstr/>
      </vt:variant>
      <vt:variant>
        <vt:i4>6815803</vt:i4>
      </vt:variant>
      <vt:variant>
        <vt:i4>15</vt:i4>
      </vt:variant>
      <vt:variant>
        <vt:i4>0</vt:i4>
      </vt:variant>
      <vt:variant>
        <vt:i4>5</vt:i4>
      </vt:variant>
      <vt:variant>
        <vt:lpwstr>http://www.endvawnow.org/en/articles/834-felony-strangulation-and-other-provisions.html</vt:lpwstr>
      </vt:variant>
      <vt:variant>
        <vt:lpwstr/>
      </vt:variant>
      <vt:variant>
        <vt:i4>983109</vt:i4>
      </vt:variant>
      <vt:variant>
        <vt:i4>12</vt:i4>
      </vt:variant>
      <vt:variant>
        <vt:i4>0</vt:i4>
      </vt:variant>
      <vt:variant>
        <vt:i4>5</vt:i4>
      </vt:variant>
      <vt:variant>
        <vt:lpwstr>http://ac.els-cdn.com/S0736467901003997/1-s2.0-S0736467901003997-main.pdf?_tid=2f14ea5e-e8b8-11e4-b3b2-00000aab0f6c&amp;acdnat=1429684029_bfc9d4253a1ec8ad3aad599e62016423</vt:lpwstr>
      </vt:variant>
      <vt:variant>
        <vt:lpwstr/>
      </vt:variant>
      <vt:variant>
        <vt:i4>6094872</vt:i4>
      </vt:variant>
      <vt:variant>
        <vt:i4>9</vt:i4>
      </vt:variant>
      <vt:variant>
        <vt:i4>0</vt:i4>
      </vt:variant>
      <vt:variant>
        <vt:i4>5</vt:i4>
      </vt:variant>
      <vt:variant>
        <vt:lpwstr>http://ac.els-cdn.com/S0736467907004143/1-s2.0-S0736467907004143-main.pdf?_tid=afad1c9c-e8b6-11e4-9bdc-00000aacb35d&amp;acdnat=1429683385_587fff12f3131aaccf70f8dcbc054ba1</vt:lpwstr>
      </vt:variant>
      <vt:variant>
        <vt:lpwstr/>
      </vt:variant>
      <vt:variant>
        <vt:i4>4718667</vt:i4>
      </vt:variant>
      <vt:variant>
        <vt:i4>6</vt:i4>
      </vt:variant>
      <vt:variant>
        <vt:i4>0</vt:i4>
      </vt:variant>
      <vt:variant>
        <vt:i4>5</vt:i4>
      </vt:variant>
      <vt:variant>
        <vt:lpwstr>http://www.anrows.org.au/</vt:lpwstr>
      </vt:variant>
      <vt:variant>
        <vt:lpwstr/>
      </vt:variant>
      <vt:variant>
        <vt:i4>3604533</vt:i4>
      </vt:variant>
      <vt:variant>
        <vt:i4>3</vt:i4>
      </vt:variant>
      <vt:variant>
        <vt:i4>0</vt:i4>
      </vt:variant>
      <vt:variant>
        <vt:i4>5</vt:i4>
      </vt:variant>
      <vt:variant>
        <vt:lpwstr>http://www.unhchr.ch/tbs/doc.nsf/(Symbol)/6f97648603f69bcdc12563ed004c3881?Opendocument</vt:lpwstr>
      </vt:variant>
      <vt:variant>
        <vt:lpwstr/>
      </vt:variant>
      <vt:variant>
        <vt:i4>2752573</vt:i4>
      </vt:variant>
      <vt:variant>
        <vt:i4>0</vt:i4>
      </vt:variant>
      <vt:variant>
        <vt:i4>0</vt:i4>
      </vt:variant>
      <vt:variant>
        <vt:i4>5</vt:i4>
      </vt:variant>
      <vt:variant>
        <vt:lpwstr>http://www.anrows.org.au/publications/fast-facts/key-statistics-violence-against-women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2019-09-10T06:34:00Z</cp:lastPrinted>
  <dcterms:created xsi:type="dcterms:W3CDTF">2019-09-23T05:41:00Z</dcterms:created>
  <dcterms:modified xsi:type="dcterms:W3CDTF">2019-09-23T05:41:00Z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0x010100EF327BD5A065AE43B889ADD91434348F</vt:lpwstr>
  </property>
  <property fmtid="{D5CDD505-2E9C-101B-9397-08002B2CF9AE}" pid="3" name="DMSID">
    <vt:lpwstr>1096806</vt:lpwstr>
  </property>
  <property fmtid="{D5CDD505-2E9C-101B-9397-08002B2CF9AE}" pid="4" name="CHECKEDOUTFROMJMS">
    <vt:lpwstr/>
  </property>
  <property fmtid="{D5CDD505-2E9C-101B-9397-08002B2CF9AE}" pid="5" name="JMSREQUIREDCHECKIN">
    <vt:lpwstr/>
  </property>
</Properties>
</file>