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7FE08" w14:textId="0F927515" w:rsidR="001F0F85" w:rsidRPr="00914EE8" w:rsidRDefault="001F0F85" w:rsidP="00DC34B0">
      <w:pPr>
        <w:spacing w:after="0"/>
        <w:jc w:val="center"/>
        <w:rPr>
          <w:rFonts w:ascii="Arial" w:hAnsi="Arial" w:cs="Arial"/>
          <w:b/>
          <w:bCs/>
          <w:sz w:val="24"/>
          <w:szCs w:val="24"/>
        </w:rPr>
      </w:pPr>
      <w:bookmarkStart w:id="0" w:name="_GoBack"/>
      <w:bookmarkEnd w:id="0"/>
      <w:r w:rsidRPr="00914EE8">
        <w:rPr>
          <w:rFonts w:ascii="Arial" w:hAnsi="Arial" w:cs="Arial"/>
          <w:b/>
          <w:bCs/>
          <w:sz w:val="24"/>
          <w:szCs w:val="24"/>
        </w:rPr>
        <w:t>201</w:t>
      </w:r>
      <w:r w:rsidR="0030533C">
        <w:rPr>
          <w:rFonts w:ascii="Arial" w:hAnsi="Arial" w:cs="Arial"/>
          <w:b/>
          <w:bCs/>
          <w:sz w:val="24"/>
          <w:szCs w:val="24"/>
        </w:rPr>
        <w:t>9</w:t>
      </w:r>
    </w:p>
    <w:p w14:paraId="17E96029" w14:textId="77777777" w:rsidR="001F0F85" w:rsidRPr="00914EE8" w:rsidRDefault="001F0F85" w:rsidP="001F0F85">
      <w:pPr>
        <w:spacing w:after="0"/>
        <w:jc w:val="center"/>
        <w:rPr>
          <w:rFonts w:ascii="Arial" w:hAnsi="Arial" w:cs="Arial"/>
          <w:b/>
          <w:sz w:val="24"/>
          <w:szCs w:val="24"/>
        </w:rPr>
      </w:pPr>
    </w:p>
    <w:p w14:paraId="6F1AC3E8" w14:textId="77777777" w:rsidR="001F0F85" w:rsidRPr="00914EE8" w:rsidRDefault="001F0F85" w:rsidP="001F0F85">
      <w:pPr>
        <w:spacing w:after="0"/>
        <w:jc w:val="center"/>
        <w:rPr>
          <w:rFonts w:ascii="Arial" w:hAnsi="Arial" w:cs="Arial"/>
          <w:b/>
          <w:sz w:val="24"/>
          <w:szCs w:val="24"/>
        </w:rPr>
      </w:pPr>
    </w:p>
    <w:p w14:paraId="70DA9244" w14:textId="77777777" w:rsidR="001F0F85" w:rsidRPr="00914EE8" w:rsidRDefault="001F0F85" w:rsidP="001F0F85">
      <w:pPr>
        <w:spacing w:after="0"/>
        <w:jc w:val="center"/>
        <w:rPr>
          <w:rFonts w:ascii="Arial" w:hAnsi="Arial" w:cs="Arial"/>
          <w:b/>
          <w:sz w:val="24"/>
          <w:szCs w:val="24"/>
        </w:rPr>
      </w:pPr>
    </w:p>
    <w:p w14:paraId="0C2A25A1" w14:textId="77777777" w:rsidR="001F0F85" w:rsidRPr="00914EE8" w:rsidRDefault="001F0F85" w:rsidP="001F0F85">
      <w:pPr>
        <w:spacing w:after="0"/>
        <w:jc w:val="center"/>
        <w:rPr>
          <w:rFonts w:ascii="Arial" w:hAnsi="Arial" w:cs="Arial"/>
          <w:b/>
          <w:sz w:val="24"/>
          <w:szCs w:val="24"/>
        </w:rPr>
      </w:pPr>
    </w:p>
    <w:p w14:paraId="47F24CC2" w14:textId="77777777" w:rsidR="001F0F85" w:rsidRPr="00914EE8" w:rsidRDefault="001F0F85" w:rsidP="001F0F85">
      <w:pPr>
        <w:spacing w:after="0"/>
        <w:jc w:val="center"/>
        <w:rPr>
          <w:rFonts w:ascii="Arial" w:hAnsi="Arial" w:cs="Arial"/>
          <w:b/>
          <w:bCs/>
          <w:sz w:val="24"/>
          <w:szCs w:val="24"/>
        </w:rPr>
      </w:pPr>
    </w:p>
    <w:p w14:paraId="35777BF4" w14:textId="77777777" w:rsidR="001F0F85" w:rsidRPr="00914EE8" w:rsidRDefault="001F0F85" w:rsidP="001F0F85">
      <w:pPr>
        <w:spacing w:after="0"/>
        <w:jc w:val="center"/>
        <w:rPr>
          <w:rFonts w:ascii="Arial" w:hAnsi="Arial" w:cs="Arial"/>
          <w:b/>
          <w:bCs/>
          <w:sz w:val="24"/>
          <w:szCs w:val="24"/>
        </w:rPr>
      </w:pPr>
    </w:p>
    <w:p w14:paraId="43DB1270" w14:textId="77777777" w:rsidR="001F0F85" w:rsidRPr="00914EE8" w:rsidRDefault="001F0F85" w:rsidP="001F0F85">
      <w:pPr>
        <w:spacing w:after="0"/>
        <w:jc w:val="center"/>
        <w:rPr>
          <w:rFonts w:ascii="Arial" w:hAnsi="Arial" w:cs="Arial"/>
          <w:b/>
          <w:bCs/>
          <w:sz w:val="24"/>
          <w:szCs w:val="24"/>
        </w:rPr>
      </w:pPr>
      <w:r w:rsidRPr="00914EE8">
        <w:rPr>
          <w:rFonts w:ascii="Arial" w:hAnsi="Arial" w:cs="Arial"/>
          <w:b/>
          <w:bCs/>
          <w:sz w:val="24"/>
          <w:szCs w:val="24"/>
        </w:rPr>
        <w:t>THE LEGISLATIVE ASSEMBLY FOR THE</w:t>
      </w:r>
    </w:p>
    <w:p w14:paraId="465F2183" w14:textId="77777777" w:rsidR="001F0F85" w:rsidRPr="00914EE8" w:rsidRDefault="001F0F85" w:rsidP="001F0F85">
      <w:pPr>
        <w:spacing w:after="0"/>
        <w:jc w:val="center"/>
        <w:rPr>
          <w:rFonts w:ascii="Arial" w:hAnsi="Arial" w:cs="Arial"/>
          <w:b/>
          <w:sz w:val="24"/>
          <w:szCs w:val="24"/>
        </w:rPr>
      </w:pPr>
      <w:r w:rsidRPr="00914EE8">
        <w:rPr>
          <w:rFonts w:ascii="Arial" w:hAnsi="Arial" w:cs="Arial"/>
          <w:b/>
          <w:bCs/>
          <w:sz w:val="24"/>
          <w:szCs w:val="24"/>
        </w:rPr>
        <w:t>AUSTRALIAN CAPITAL TERRITORY</w:t>
      </w:r>
    </w:p>
    <w:p w14:paraId="4A957BBA" w14:textId="77777777" w:rsidR="001F0F85" w:rsidRPr="00914EE8" w:rsidRDefault="001F0F85" w:rsidP="001F0F85">
      <w:pPr>
        <w:spacing w:after="0"/>
        <w:jc w:val="center"/>
        <w:rPr>
          <w:rFonts w:ascii="Arial" w:hAnsi="Arial" w:cs="Arial"/>
          <w:b/>
          <w:sz w:val="24"/>
          <w:szCs w:val="24"/>
        </w:rPr>
      </w:pPr>
    </w:p>
    <w:p w14:paraId="63B85FF1" w14:textId="77777777" w:rsidR="001F0F85" w:rsidRPr="00914EE8" w:rsidRDefault="001F0F85" w:rsidP="001F0F85">
      <w:pPr>
        <w:spacing w:after="0"/>
        <w:jc w:val="center"/>
        <w:rPr>
          <w:rFonts w:ascii="Arial" w:hAnsi="Arial" w:cs="Arial"/>
          <w:b/>
          <w:sz w:val="24"/>
          <w:szCs w:val="24"/>
        </w:rPr>
      </w:pPr>
    </w:p>
    <w:p w14:paraId="3345846E" w14:textId="77777777" w:rsidR="001F0F85" w:rsidRPr="00914EE8" w:rsidRDefault="001F0F85" w:rsidP="001F0F85">
      <w:pPr>
        <w:spacing w:after="0"/>
        <w:jc w:val="center"/>
        <w:rPr>
          <w:rFonts w:ascii="Arial" w:hAnsi="Arial" w:cs="Arial"/>
          <w:b/>
          <w:sz w:val="24"/>
          <w:szCs w:val="24"/>
        </w:rPr>
      </w:pPr>
    </w:p>
    <w:p w14:paraId="0CF64EAC" w14:textId="77777777" w:rsidR="001F0F85" w:rsidRPr="00914EE8" w:rsidRDefault="001F0F85" w:rsidP="001F0F85">
      <w:pPr>
        <w:spacing w:after="0"/>
        <w:jc w:val="center"/>
        <w:rPr>
          <w:rFonts w:ascii="Arial" w:hAnsi="Arial" w:cs="Arial"/>
          <w:b/>
          <w:sz w:val="24"/>
          <w:szCs w:val="24"/>
        </w:rPr>
      </w:pPr>
    </w:p>
    <w:p w14:paraId="6034E6BD" w14:textId="77777777" w:rsidR="001F0F85" w:rsidRPr="00914EE8" w:rsidRDefault="001F0F85" w:rsidP="001F0F85">
      <w:pPr>
        <w:spacing w:after="0"/>
        <w:rPr>
          <w:rFonts w:ascii="Arial" w:hAnsi="Arial" w:cs="Arial"/>
          <w:b/>
          <w:sz w:val="24"/>
          <w:szCs w:val="24"/>
        </w:rPr>
      </w:pPr>
    </w:p>
    <w:p w14:paraId="6884BAB9" w14:textId="77777777" w:rsidR="001F0F85" w:rsidRPr="00914EE8" w:rsidRDefault="001F0F85" w:rsidP="001F0F85">
      <w:pPr>
        <w:spacing w:after="0"/>
        <w:jc w:val="center"/>
        <w:rPr>
          <w:rFonts w:ascii="Arial" w:hAnsi="Arial" w:cs="Arial"/>
          <w:b/>
          <w:sz w:val="24"/>
          <w:szCs w:val="24"/>
        </w:rPr>
      </w:pPr>
    </w:p>
    <w:p w14:paraId="46FC31C9" w14:textId="3455F7A9" w:rsidR="001F0F85" w:rsidRDefault="001F0F85" w:rsidP="001F0F85">
      <w:pPr>
        <w:spacing w:after="0"/>
        <w:jc w:val="center"/>
        <w:rPr>
          <w:rFonts w:ascii="Arial" w:hAnsi="Arial" w:cs="Arial"/>
          <w:b/>
          <w:sz w:val="24"/>
          <w:szCs w:val="24"/>
        </w:rPr>
      </w:pPr>
    </w:p>
    <w:p w14:paraId="610AE4EF" w14:textId="79FD9D28" w:rsidR="004F4E19" w:rsidRDefault="004F4E19" w:rsidP="001F0F85">
      <w:pPr>
        <w:spacing w:after="0"/>
        <w:jc w:val="center"/>
        <w:rPr>
          <w:rFonts w:ascii="Arial" w:hAnsi="Arial" w:cs="Arial"/>
          <w:b/>
          <w:sz w:val="24"/>
          <w:szCs w:val="24"/>
        </w:rPr>
      </w:pPr>
    </w:p>
    <w:p w14:paraId="1182FCCC" w14:textId="6928DBEC" w:rsidR="004F4E19" w:rsidRDefault="004F4E19" w:rsidP="001F0F85">
      <w:pPr>
        <w:spacing w:after="0"/>
        <w:jc w:val="center"/>
        <w:rPr>
          <w:rFonts w:ascii="Arial" w:hAnsi="Arial" w:cs="Arial"/>
          <w:b/>
          <w:sz w:val="24"/>
          <w:szCs w:val="24"/>
        </w:rPr>
      </w:pPr>
    </w:p>
    <w:p w14:paraId="5F89E751" w14:textId="77777777" w:rsidR="004F4E19" w:rsidRPr="00914EE8" w:rsidRDefault="004F4E19" w:rsidP="001F0F85">
      <w:pPr>
        <w:spacing w:after="0"/>
        <w:jc w:val="center"/>
        <w:rPr>
          <w:rFonts w:ascii="Arial" w:hAnsi="Arial" w:cs="Arial"/>
          <w:b/>
          <w:sz w:val="24"/>
          <w:szCs w:val="24"/>
        </w:rPr>
      </w:pPr>
    </w:p>
    <w:p w14:paraId="540EB90B" w14:textId="77777777" w:rsidR="001F0F85" w:rsidRPr="00914EE8" w:rsidRDefault="001F0F85" w:rsidP="001F0F85">
      <w:pPr>
        <w:spacing w:after="0"/>
        <w:jc w:val="center"/>
        <w:rPr>
          <w:rFonts w:ascii="Arial" w:hAnsi="Arial" w:cs="Arial"/>
          <w:b/>
          <w:sz w:val="24"/>
          <w:szCs w:val="24"/>
        </w:rPr>
      </w:pPr>
    </w:p>
    <w:p w14:paraId="53DDD0B5" w14:textId="77777777" w:rsidR="001F0F85" w:rsidRPr="00914EE8" w:rsidRDefault="001F0F85" w:rsidP="001F0F85">
      <w:pPr>
        <w:spacing w:after="0"/>
        <w:jc w:val="center"/>
        <w:rPr>
          <w:rFonts w:ascii="Arial" w:hAnsi="Arial" w:cs="Arial"/>
          <w:b/>
          <w:sz w:val="24"/>
          <w:szCs w:val="24"/>
        </w:rPr>
      </w:pPr>
    </w:p>
    <w:p w14:paraId="7F9C974D" w14:textId="77777777" w:rsidR="001F0F85" w:rsidRPr="00914EE8" w:rsidRDefault="001F0F85" w:rsidP="001F0F85">
      <w:pPr>
        <w:spacing w:after="0"/>
        <w:jc w:val="center"/>
        <w:rPr>
          <w:rFonts w:ascii="Arial" w:hAnsi="Arial" w:cs="Arial"/>
          <w:b/>
          <w:sz w:val="24"/>
          <w:szCs w:val="24"/>
        </w:rPr>
      </w:pPr>
    </w:p>
    <w:p w14:paraId="3565663A" w14:textId="77777777" w:rsidR="001F0F85" w:rsidRPr="00914EE8" w:rsidRDefault="001F0F85" w:rsidP="001F0F85">
      <w:pPr>
        <w:spacing w:after="0"/>
        <w:jc w:val="center"/>
        <w:rPr>
          <w:rFonts w:ascii="Arial" w:hAnsi="Arial" w:cs="Arial"/>
          <w:b/>
          <w:sz w:val="24"/>
          <w:szCs w:val="24"/>
        </w:rPr>
      </w:pPr>
    </w:p>
    <w:p w14:paraId="0E0F7F4A" w14:textId="0A57732B" w:rsidR="001F0F85" w:rsidRPr="00914EE8" w:rsidRDefault="00F4775A" w:rsidP="001F0F85">
      <w:pPr>
        <w:spacing w:after="0"/>
        <w:jc w:val="center"/>
        <w:rPr>
          <w:rFonts w:ascii="Arial" w:hAnsi="Arial" w:cs="Arial"/>
          <w:b/>
          <w:bCs/>
          <w:sz w:val="24"/>
          <w:szCs w:val="24"/>
        </w:rPr>
      </w:pPr>
      <w:r>
        <w:rPr>
          <w:rFonts w:ascii="Arial" w:hAnsi="Arial" w:cs="Arial"/>
          <w:b/>
          <w:bCs/>
          <w:sz w:val="24"/>
          <w:szCs w:val="24"/>
        </w:rPr>
        <w:t>RESIDENTIAL TENANCIES</w:t>
      </w:r>
      <w:r w:rsidR="0030533C">
        <w:rPr>
          <w:rFonts w:ascii="Arial" w:hAnsi="Arial" w:cs="Arial"/>
          <w:b/>
          <w:bCs/>
          <w:sz w:val="24"/>
          <w:szCs w:val="24"/>
        </w:rPr>
        <w:t xml:space="preserve"> AMENDMENT BILL 2019</w:t>
      </w:r>
    </w:p>
    <w:p w14:paraId="0392E08D" w14:textId="77777777" w:rsidR="001F0F85" w:rsidRPr="00914EE8" w:rsidRDefault="001F0F85" w:rsidP="001F0F85">
      <w:pPr>
        <w:spacing w:after="0"/>
        <w:rPr>
          <w:rFonts w:ascii="Arial" w:hAnsi="Arial" w:cs="Arial"/>
          <w:b/>
          <w:bCs/>
          <w:sz w:val="24"/>
          <w:szCs w:val="24"/>
        </w:rPr>
      </w:pPr>
    </w:p>
    <w:p w14:paraId="34BD2A36" w14:textId="77777777" w:rsidR="001F0F85" w:rsidRPr="00914EE8" w:rsidRDefault="001F0F85" w:rsidP="001F0F85">
      <w:pPr>
        <w:spacing w:after="0"/>
        <w:jc w:val="center"/>
        <w:rPr>
          <w:rFonts w:ascii="Arial" w:hAnsi="Arial" w:cs="Arial"/>
          <w:b/>
          <w:sz w:val="24"/>
          <w:szCs w:val="24"/>
        </w:rPr>
      </w:pPr>
    </w:p>
    <w:p w14:paraId="58091ACE" w14:textId="77777777" w:rsidR="001F0F85" w:rsidRPr="00914EE8" w:rsidRDefault="001F0F85" w:rsidP="001F0F85">
      <w:pPr>
        <w:spacing w:after="0"/>
        <w:jc w:val="center"/>
        <w:rPr>
          <w:rFonts w:ascii="Arial" w:hAnsi="Arial" w:cs="Arial"/>
          <w:b/>
          <w:bCs/>
          <w:sz w:val="24"/>
          <w:szCs w:val="24"/>
        </w:rPr>
      </w:pPr>
    </w:p>
    <w:p w14:paraId="70562BB9" w14:textId="77777777" w:rsidR="001F0F85" w:rsidRPr="00914EE8" w:rsidRDefault="001F0F85" w:rsidP="001F0F85">
      <w:pPr>
        <w:spacing w:after="0"/>
        <w:jc w:val="center"/>
        <w:rPr>
          <w:rFonts w:ascii="Arial" w:hAnsi="Arial" w:cs="Arial"/>
          <w:b/>
          <w:sz w:val="24"/>
          <w:szCs w:val="24"/>
        </w:rPr>
      </w:pPr>
      <w:r w:rsidRPr="00914EE8">
        <w:rPr>
          <w:rFonts w:ascii="Arial" w:hAnsi="Arial" w:cs="Arial"/>
          <w:b/>
          <w:bCs/>
          <w:sz w:val="24"/>
          <w:szCs w:val="24"/>
        </w:rPr>
        <w:t>EXPLANATORY STATEMENT</w:t>
      </w:r>
    </w:p>
    <w:p w14:paraId="34D83EB6" w14:textId="36A30003" w:rsidR="001F0F85" w:rsidRDefault="001F0F85" w:rsidP="001F0F85">
      <w:pPr>
        <w:spacing w:after="0"/>
        <w:jc w:val="center"/>
        <w:rPr>
          <w:rFonts w:ascii="Arial" w:hAnsi="Arial" w:cs="Arial"/>
          <w:b/>
          <w:sz w:val="24"/>
          <w:szCs w:val="24"/>
        </w:rPr>
      </w:pPr>
    </w:p>
    <w:p w14:paraId="26444357" w14:textId="23D828B0" w:rsidR="009E3E8D" w:rsidRDefault="009E3E8D" w:rsidP="001F0F85">
      <w:pPr>
        <w:spacing w:after="0"/>
        <w:jc w:val="center"/>
        <w:rPr>
          <w:rFonts w:ascii="Arial" w:hAnsi="Arial" w:cs="Arial"/>
          <w:b/>
          <w:sz w:val="24"/>
          <w:szCs w:val="24"/>
        </w:rPr>
      </w:pPr>
    </w:p>
    <w:p w14:paraId="369DB7BD" w14:textId="77777777" w:rsidR="009E3E8D" w:rsidRPr="00914EE8" w:rsidRDefault="009E3E8D" w:rsidP="001F0F85">
      <w:pPr>
        <w:spacing w:after="0"/>
        <w:jc w:val="center"/>
        <w:rPr>
          <w:rFonts w:ascii="Arial" w:hAnsi="Arial" w:cs="Arial"/>
          <w:b/>
          <w:sz w:val="24"/>
          <w:szCs w:val="24"/>
        </w:rPr>
      </w:pPr>
    </w:p>
    <w:p w14:paraId="66EA922C" w14:textId="77777777" w:rsidR="001F0F85" w:rsidRPr="00914EE8" w:rsidRDefault="001F0F85" w:rsidP="001F0F85">
      <w:pPr>
        <w:spacing w:after="0"/>
        <w:jc w:val="center"/>
        <w:rPr>
          <w:rFonts w:ascii="Arial" w:hAnsi="Arial" w:cs="Arial"/>
          <w:b/>
          <w:sz w:val="24"/>
          <w:szCs w:val="24"/>
        </w:rPr>
      </w:pPr>
    </w:p>
    <w:p w14:paraId="4FF69BD1" w14:textId="77777777" w:rsidR="001F0F85" w:rsidRPr="00914EE8" w:rsidRDefault="001F0F85" w:rsidP="001F0F85">
      <w:pPr>
        <w:spacing w:after="0"/>
        <w:jc w:val="center"/>
        <w:rPr>
          <w:rFonts w:ascii="Arial" w:hAnsi="Arial" w:cs="Arial"/>
          <w:b/>
          <w:sz w:val="24"/>
          <w:szCs w:val="24"/>
        </w:rPr>
      </w:pPr>
    </w:p>
    <w:p w14:paraId="42C4881A" w14:textId="77777777" w:rsidR="001F0F85" w:rsidRPr="00914EE8" w:rsidRDefault="001F0F85" w:rsidP="001F0F85">
      <w:pPr>
        <w:spacing w:after="0"/>
        <w:jc w:val="center"/>
        <w:rPr>
          <w:rFonts w:ascii="Arial" w:hAnsi="Arial" w:cs="Arial"/>
          <w:b/>
          <w:sz w:val="24"/>
          <w:szCs w:val="24"/>
        </w:rPr>
      </w:pPr>
    </w:p>
    <w:p w14:paraId="4E888585" w14:textId="77777777" w:rsidR="001F0F85" w:rsidRPr="00914EE8" w:rsidRDefault="001F0F85" w:rsidP="004F4E19">
      <w:pPr>
        <w:spacing w:after="0"/>
        <w:rPr>
          <w:rFonts w:ascii="Arial" w:hAnsi="Arial" w:cs="Arial"/>
          <w:b/>
          <w:sz w:val="24"/>
          <w:szCs w:val="24"/>
        </w:rPr>
      </w:pPr>
    </w:p>
    <w:p w14:paraId="03BC11CF" w14:textId="77777777" w:rsidR="001F0F85" w:rsidRPr="00914EE8" w:rsidRDefault="001F0F85" w:rsidP="001F0F85">
      <w:pPr>
        <w:pStyle w:val="Heading8"/>
        <w:jc w:val="left"/>
        <w:rPr>
          <w:rFonts w:ascii="Arial" w:hAnsi="Arial" w:cs="Arial"/>
          <w:bCs/>
          <w:lang w:val="en-AU"/>
        </w:rPr>
      </w:pPr>
    </w:p>
    <w:p w14:paraId="6103E0E1" w14:textId="77777777" w:rsidR="001F0F85" w:rsidRPr="00914EE8" w:rsidRDefault="001F0F85" w:rsidP="001F0F85">
      <w:pPr>
        <w:pStyle w:val="Heading8"/>
        <w:rPr>
          <w:rFonts w:ascii="Arial" w:hAnsi="Arial" w:cs="Arial"/>
          <w:bCs/>
          <w:lang w:val="en-AU"/>
        </w:rPr>
      </w:pPr>
    </w:p>
    <w:p w14:paraId="6CD6F7CB" w14:textId="77777777" w:rsidR="001F0F85" w:rsidRPr="00914EE8" w:rsidRDefault="001F0F85" w:rsidP="001F0F85">
      <w:pPr>
        <w:pStyle w:val="Heading8"/>
        <w:rPr>
          <w:rFonts w:ascii="Arial" w:hAnsi="Arial" w:cs="Arial"/>
          <w:bCs/>
          <w:lang w:val="en-AU"/>
        </w:rPr>
      </w:pPr>
    </w:p>
    <w:p w14:paraId="0DED21B5" w14:textId="77777777" w:rsidR="001F0F85" w:rsidRPr="00914EE8" w:rsidRDefault="001F0F85" w:rsidP="001F0F85">
      <w:pPr>
        <w:pStyle w:val="Heading8"/>
        <w:rPr>
          <w:rFonts w:ascii="Arial" w:hAnsi="Arial" w:cs="Arial"/>
          <w:bCs/>
          <w:lang w:val="en-AU"/>
        </w:rPr>
      </w:pPr>
    </w:p>
    <w:p w14:paraId="5D32D313" w14:textId="77777777" w:rsidR="001F0F85" w:rsidRPr="00914EE8" w:rsidRDefault="001F0F85" w:rsidP="001F0F85">
      <w:pPr>
        <w:pStyle w:val="Heading8"/>
        <w:jc w:val="left"/>
        <w:rPr>
          <w:rFonts w:ascii="Arial" w:hAnsi="Arial" w:cs="Arial"/>
          <w:bCs/>
          <w:lang w:val="en-AU"/>
        </w:rPr>
      </w:pPr>
    </w:p>
    <w:p w14:paraId="01D87432" w14:textId="77777777" w:rsidR="001F0F85" w:rsidRPr="00914EE8" w:rsidRDefault="001F0F85" w:rsidP="001F0F85">
      <w:pPr>
        <w:pStyle w:val="Heading8"/>
        <w:rPr>
          <w:rFonts w:ascii="Arial" w:hAnsi="Arial" w:cs="Arial"/>
          <w:bCs/>
          <w:lang w:val="en-AU"/>
        </w:rPr>
      </w:pPr>
    </w:p>
    <w:p w14:paraId="67EE520B" w14:textId="77777777" w:rsidR="001F0F85" w:rsidRPr="00914EE8" w:rsidRDefault="001F0F85" w:rsidP="001F0F85">
      <w:pPr>
        <w:pStyle w:val="Heading8"/>
        <w:rPr>
          <w:rFonts w:ascii="Arial" w:hAnsi="Arial" w:cs="Arial"/>
          <w:bCs/>
          <w:lang w:val="en-AU"/>
        </w:rPr>
      </w:pPr>
    </w:p>
    <w:p w14:paraId="3CCE4C76" w14:textId="77777777" w:rsidR="001F0F85" w:rsidRPr="00914EE8" w:rsidRDefault="001F0F85" w:rsidP="001F0F85">
      <w:pPr>
        <w:pStyle w:val="Heading8"/>
        <w:rPr>
          <w:rFonts w:ascii="Arial" w:hAnsi="Arial" w:cs="Arial"/>
          <w:bCs/>
          <w:lang w:val="en-AU"/>
        </w:rPr>
      </w:pPr>
      <w:r w:rsidRPr="00914EE8">
        <w:rPr>
          <w:rFonts w:ascii="Arial" w:hAnsi="Arial" w:cs="Arial"/>
          <w:bCs/>
          <w:lang w:val="en-AU"/>
        </w:rPr>
        <w:t>Presented by</w:t>
      </w:r>
    </w:p>
    <w:p w14:paraId="51581AE4" w14:textId="10542418" w:rsidR="001F0F85" w:rsidRPr="00914EE8" w:rsidRDefault="00F4775A" w:rsidP="001F0F85">
      <w:pPr>
        <w:spacing w:after="0"/>
        <w:jc w:val="right"/>
        <w:rPr>
          <w:rFonts w:ascii="Arial" w:hAnsi="Arial" w:cs="Arial"/>
          <w:b/>
          <w:bCs/>
          <w:sz w:val="24"/>
          <w:szCs w:val="24"/>
        </w:rPr>
      </w:pPr>
      <w:r>
        <w:rPr>
          <w:rFonts w:ascii="Arial" w:hAnsi="Arial" w:cs="Arial"/>
          <w:b/>
          <w:bCs/>
          <w:sz w:val="24"/>
          <w:szCs w:val="24"/>
        </w:rPr>
        <w:t>Gordon Ramsay</w:t>
      </w:r>
      <w:r w:rsidR="001F0F85" w:rsidRPr="00914EE8">
        <w:rPr>
          <w:rFonts w:ascii="Arial" w:hAnsi="Arial" w:cs="Arial"/>
          <w:b/>
          <w:bCs/>
          <w:sz w:val="24"/>
          <w:szCs w:val="24"/>
        </w:rPr>
        <w:t xml:space="preserve"> MLA</w:t>
      </w:r>
    </w:p>
    <w:p w14:paraId="3C0C765E" w14:textId="66383F5A" w:rsidR="001F0F85" w:rsidRPr="00914EE8" w:rsidRDefault="00C82B29" w:rsidP="001F0F85">
      <w:pPr>
        <w:spacing w:after="0"/>
        <w:jc w:val="right"/>
        <w:rPr>
          <w:rFonts w:ascii="Arial" w:hAnsi="Arial" w:cs="Arial"/>
          <w:b/>
          <w:bCs/>
          <w:sz w:val="24"/>
          <w:szCs w:val="24"/>
        </w:rPr>
      </w:pPr>
      <w:r>
        <w:rPr>
          <w:rFonts w:ascii="Arial" w:hAnsi="Arial" w:cs="Arial"/>
          <w:b/>
          <w:bCs/>
          <w:sz w:val="24"/>
          <w:szCs w:val="24"/>
        </w:rPr>
        <w:t>Attorney-General</w:t>
      </w:r>
    </w:p>
    <w:p w14:paraId="4525D04F" w14:textId="77777777" w:rsidR="001F0F85" w:rsidRDefault="001F0F85" w:rsidP="001F0F85">
      <w:pPr>
        <w:spacing w:after="0"/>
        <w:jc w:val="center"/>
        <w:rPr>
          <w:rFonts w:ascii="Arial" w:hAnsi="Arial" w:cs="Arial"/>
          <w:b/>
          <w:bCs/>
          <w:sz w:val="24"/>
          <w:szCs w:val="24"/>
        </w:rPr>
      </w:pPr>
      <w:r w:rsidRPr="00914EE8">
        <w:rPr>
          <w:rFonts w:ascii="Arial" w:hAnsi="Arial" w:cs="Arial"/>
          <w:b/>
          <w:bCs/>
          <w:sz w:val="24"/>
          <w:szCs w:val="24"/>
        </w:rPr>
        <w:lastRenderedPageBreak/>
        <w:br w:type="page"/>
      </w:r>
    </w:p>
    <w:p w14:paraId="56B55092" w14:textId="77777777" w:rsidR="001F0F85" w:rsidRDefault="001F0F85" w:rsidP="001F0F85">
      <w:pPr>
        <w:spacing w:after="240" w:line="240" w:lineRule="auto"/>
        <w:contextualSpacing/>
        <w:rPr>
          <w:rFonts w:ascii="Arial" w:hAnsi="Arial" w:cs="Arial"/>
          <w:b/>
          <w:bCs/>
          <w:sz w:val="24"/>
          <w:szCs w:val="24"/>
        </w:rPr>
      </w:pPr>
    </w:p>
    <w:p w14:paraId="04E0E422" w14:textId="789379C8" w:rsidR="001F0F85" w:rsidRPr="00914EE8" w:rsidRDefault="00F4775A" w:rsidP="001F0F85">
      <w:pPr>
        <w:spacing w:after="240" w:line="240" w:lineRule="auto"/>
        <w:contextualSpacing/>
        <w:rPr>
          <w:rFonts w:ascii="Arial" w:hAnsi="Arial" w:cs="Arial"/>
          <w:b/>
          <w:bCs/>
          <w:sz w:val="24"/>
          <w:szCs w:val="24"/>
        </w:rPr>
      </w:pPr>
      <w:bookmarkStart w:id="1" w:name="_Hlk18590776"/>
      <w:r>
        <w:rPr>
          <w:rFonts w:ascii="Arial" w:hAnsi="Arial" w:cs="Arial"/>
          <w:b/>
          <w:bCs/>
          <w:sz w:val="24"/>
          <w:szCs w:val="24"/>
        </w:rPr>
        <w:t>RESIDENTIAL TENANCIES</w:t>
      </w:r>
      <w:r w:rsidR="00EA4736">
        <w:rPr>
          <w:rFonts w:ascii="Arial" w:hAnsi="Arial" w:cs="Arial"/>
          <w:b/>
          <w:bCs/>
          <w:sz w:val="24"/>
          <w:szCs w:val="24"/>
        </w:rPr>
        <w:t xml:space="preserve"> AMENDMENT BILL 2019</w:t>
      </w:r>
    </w:p>
    <w:p w14:paraId="429C9FD4" w14:textId="77777777" w:rsidR="001F0F85" w:rsidRPr="00914EE8" w:rsidRDefault="001F0F85" w:rsidP="001F0F85">
      <w:pPr>
        <w:spacing w:after="240" w:line="240" w:lineRule="auto"/>
        <w:contextualSpacing/>
        <w:rPr>
          <w:rFonts w:ascii="Arial" w:hAnsi="Arial" w:cs="Arial"/>
          <w:b/>
          <w:sz w:val="24"/>
          <w:szCs w:val="24"/>
        </w:rPr>
      </w:pPr>
    </w:p>
    <w:p w14:paraId="0DAC59B1" w14:textId="1156E4F8" w:rsidR="001F0F85" w:rsidRPr="00914EE8" w:rsidRDefault="001F0F85" w:rsidP="001F0F85">
      <w:pPr>
        <w:autoSpaceDE w:val="0"/>
        <w:autoSpaceDN w:val="0"/>
        <w:adjustRightInd w:val="0"/>
        <w:spacing w:after="240" w:line="240" w:lineRule="auto"/>
        <w:rPr>
          <w:rFonts w:ascii="Arial" w:hAnsi="Arial" w:cs="Arial"/>
          <w:sz w:val="24"/>
          <w:szCs w:val="24"/>
          <w:lang w:eastAsia="en-AU"/>
        </w:rPr>
      </w:pPr>
      <w:r w:rsidRPr="00914EE8">
        <w:rPr>
          <w:rFonts w:ascii="Arial" w:hAnsi="Arial" w:cs="Arial"/>
          <w:sz w:val="24"/>
          <w:szCs w:val="24"/>
          <w:lang w:eastAsia="en-AU"/>
        </w:rPr>
        <w:t>This expla</w:t>
      </w:r>
      <w:r>
        <w:rPr>
          <w:rFonts w:ascii="Arial" w:hAnsi="Arial" w:cs="Arial"/>
          <w:sz w:val="24"/>
          <w:szCs w:val="24"/>
          <w:lang w:eastAsia="en-AU"/>
        </w:rPr>
        <w:t>natory statem</w:t>
      </w:r>
      <w:r w:rsidR="00A91795">
        <w:rPr>
          <w:rFonts w:ascii="Arial" w:hAnsi="Arial" w:cs="Arial"/>
          <w:sz w:val="24"/>
          <w:szCs w:val="24"/>
          <w:lang w:eastAsia="en-AU"/>
        </w:rPr>
        <w:t xml:space="preserve">ent relates to the </w:t>
      </w:r>
      <w:r w:rsidR="00F4775A">
        <w:rPr>
          <w:rFonts w:ascii="Arial" w:hAnsi="Arial" w:cs="Arial"/>
          <w:sz w:val="24"/>
          <w:szCs w:val="24"/>
          <w:lang w:eastAsia="en-AU"/>
        </w:rPr>
        <w:t>Residential Tenancies</w:t>
      </w:r>
      <w:r w:rsidR="00EA4736">
        <w:rPr>
          <w:rFonts w:ascii="Arial" w:hAnsi="Arial" w:cs="Arial"/>
          <w:sz w:val="24"/>
          <w:szCs w:val="24"/>
          <w:lang w:eastAsia="en-AU"/>
        </w:rPr>
        <w:t xml:space="preserve"> Amendment Bill 2019 </w:t>
      </w:r>
      <w:r w:rsidRPr="00914EE8">
        <w:rPr>
          <w:rFonts w:ascii="Arial" w:hAnsi="Arial" w:cs="Arial"/>
          <w:sz w:val="24"/>
          <w:szCs w:val="24"/>
          <w:lang w:eastAsia="en-AU"/>
        </w:rPr>
        <w:t>as presented to the Legislative Assembly. It has been prepared in order to assist the reader of the Bill and to inform debate on it. It does not form part of the Bill and has not been endorsed by the Assembly.</w:t>
      </w:r>
    </w:p>
    <w:p w14:paraId="27F98E54" w14:textId="77777777" w:rsidR="001F0F85" w:rsidRDefault="001F0F85" w:rsidP="001F0F85">
      <w:pPr>
        <w:autoSpaceDE w:val="0"/>
        <w:autoSpaceDN w:val="0"/>
        <w:adjustRightInd w:val="0"/>
        <w:spacing w:after="240" w:line="240" w:lineRule="auto"/>
        <w:rPr>
          <w:rFonts w:ascii="Arial" w:hAnsi="Arial" w:cs="Arial"/>
          <w:sz w:val="24"/>
          <w:szCs w:val="24"/>
          <w:lang w:eastAsia="en-AU"/>
        </w:rPr>
      </w:pPr>
      <w:r w:rsidRPr="00914EE8">
        <w:rPr>
          <w:rFonts w:ascii="Arial" w:hAnsi="Arial" w:cs="Arial"/>
          <w:sz w:val="24"/>
          <w:szCs w:val="24"/>
          <w:lang w:eastAsia="en-AU"/>
        </w:rPr>
        <w:t xml:space="preserve">The statement is to be read in conjunction with the Bill. It is not, and is not meant to be, a comprehensive description of the Bill. </w:t>
      </w:r>
    </w:p>
    <w:p w14:paraId="4B0116C7" w14:textId="77777777" w:rsidR="001F0F85" w:rsidRDefault="001F0F85" w:rsidP="00967319">
      <w:pPr>
        <w:spacing w:after="240" w:line="240" w:lineRule="auto"/>
        <w:contextualSpacing/>
        <w:jc w:val="center"/>
        <w:rPr>
          <w:rFonts w:ascii="Arial" w:hAnsi="Arial" w:cs="Arial"/>
          <w:b/>
          <w:sz w:val="28"/>
          <w:szCs w:val="28"/>
        </w:rPr>
      </w:pPr>
      <w:r w:rsidRPr="00914EE8">
        <w:rPr>
          <w:rFonts w:ascii="Arial" w:hAnsi="Arial" w:cs="Arial"/>
          <w:b/>
          <w:sz w:val="28"/>
          <w:szCs w:val="28"/>
        </w:rPr>
        <w:t>Overview</w:t>
      </w:r>
    </w:p>
    <w:p w14:paraId="03D39C46" w14:textId="77777777" w:rsidR="001F0F85" w:rsidRPr="00914EE8" w:rsidRDefault="001F0F85" w:rsidP="001F0F85">
      <w:pPr>
        <w:spacing w:after="240" w:line="240" w:lineRule="auto"/>
        <w:contextualSpacing/>
        <w:jc w:val="center"/>
        <w:rPr>
          <w:rFonts w:ascii="Arial" w:hAnsi="Arial" w:cs="Arial"/>
          <w:b/>
          <w:sz w:val="28"/>
          <w:szCs w:val="28"/>
        </w:rPr>
      </w:pPr>
    </w:p>
    <w:p w14:paraId="681EE3F2" w14:textId="77777777" w:rsidR="001F0F85" w:rsidRPr="00914EE8" w:rsidRDefault="001F0F85" w:rsidP="001F0F85">
      <w:pPr>
        <w:spacing w:after="240" w:line="240" w:lineRule="auto"/>
        <w:contextualSpacing/>
        <w:jc w:val="center"/>
        <w:rPr>
          <w:rFonts w:ascii="Arial" w:hAnsi="Arial" w:cs="Arial"/>
          <w:b/>
          <w:sz w:val="24"/>
          <w:szCs w:val="24"/>
          <w:u w:val="single"/>
        </w:rPr>
      </w:pPr>
      <w:r w:rsidRPr="00914EE8">
        <w:rPr>
          <w:rFonts w:ascii="Arial" w:hAnsi="Arial" w:cs="Arial"/>
          <w:b/>
          <w:sz w:val="24"/>
          <w:szCs w:val="24"/>
          <w:u w:val="single"/>
        </w:rPr>
        <w:t>Purpose of the Bill</w:t>
      </w:r>
    </w:p>
    <w:p w14:paraId="27059C57" w14:textId="33C328AF" w:rsidR="00795F8A" w:rsidRDefault="001F0F85" w:rsidP="001F0F85">
      <w:pPr>
        <w:pStyle w:val="NoSpacing"/>
        <w:spacing w:after="240"/>
        <w:rPr>
          <w:rFonts w:ascii="Arial" w:hAnsi="Arial" w:cs="Arial"/>
          <w:sz w:val="24"/>
          <w:szCs w:val="24"/>
        </w:rPr>
      </w:pPr>
      <w:r w:rsidRPr="00957A37">
        <w:rPr>
          <w:rFonts w:ascii="Arial" w:hAnsi="Arial" w:cs="Arial"/>
          <w:sz w:val="24"/>
          <w:szCs w:val="24"/>
        </w:rPr>
        <w:t xml:space="preserve">The Bill will amend </w:t>
      </w:r>
      <w:r w:rsidR="00795F8A">
        <w:rPr>
          <w:rFonts w:ascii="Arial" w:hAnsi="Arial" w:cs="Arial"/>
          <w:sz w:val="24"/>
          <w:szCs w:val="24"/>
        </w:rPr>
        <w:t>the</w:t>
      </w:r>
      <w:r w:rsidR="00EA4736">
        <w:rPr>
          <w:rFonts w:ascii="Arial" w:hAnsi="Arial" w:cs="Arial"/>
          <w:sz w:val="24"/>
          <w:szCs w:val="24"/>
        </w:rPr>
        <w:t xml:space="preserve"> </w:t>
      </w:r>
      <w:r w:rsidR="002D35B4">
        <w:rPr>
          <w:rFonts w:ascii="Arial" w:hAnsi="Arial" w:cs="Arial"/>
          <w:i/>
          <w:sz w:val="24"/>
          <w:szCs w:val="24"/>
        </w:rPr>
        <w:t>Residential Tenancies Act 1997</w:t>
      </w:r>
      <w:bookmarkStart w:id="2" w:name="_Hlk12955579"/>
      <w:r w:rsidR="00AF6735">
        <w:rPr>
          <w:rFonts w:ascii="Arial" w:hAnsi="Arial" w:cs="Arial"/>
          <w:i/>
          <w:sz w:val="24"/>
          <w:szCs w:val="24"/>
        </w:rPr>
        <w:t xml:space="preserve"> </w:t>
      </w:r>
      <w:r w:rsidR="00AF6735">
        <w:rPr>
          <w:rFonts w:ascii="Arial" w:hAnsi="Arial" w:cs="Arial"/>
          <w:sz w:val="24"/>
          <w:szCs w:val="24"/>
        </w:rPr>
        <w:t xml:space="preserve">(the </w:t>
      </w:r>
      <w:r w:rsidR="004074D8">
        <w:rPr>
          <w:rFonts w:ascii="Arial" w:hAnsi="Arial" w:cs="Arial"/>
          <w:sz w:val="24"/>
          <w:szCs w:val="24"/>
        </w:rPr>
        <w:t>RTA</w:t>
      </w:r>
      <w:r w:rsidR="00AF6735">
        <w:rPr>
          <w:rFonts w:ascii="Arial" w:hAnsi="Arial" w:cs="Arial"/>
          <w:sz w:val="24"/>
          <w:szCs w:val="24"/>
        </w:rPr>
        <w:t>)</w:t>
      </w:r>
      <w:r w:rsidR="006502CF">
        <w:rPr>
          <w:rFonts w:ascii="Arial" w:hAnsi="Arial" w:cs="Arial"/>
          <w:sz w:val="24"/>
          <w:szCs w:val="24"/>
        </w:rPr>
        <w:t xml:space="preserve">. </w:t>
      </w:r>
      <w:bookmarkEnd w:id="2"/>
      <w:r w:rsidR="007E15AF">
        <w:rPr>
          <w:rFonts w:ascii="Arial" w:hAnsi="Arial" w:cs="Arial"/>
          <w:sz w:val="24"/>
          <w:szCs w:val="24"/>
        </w:rPr>
        <w:t>The purpose of these amendments is to give effect to legislative recommendations from the 201</w:t>
      </w:r>
      <w:r w:rsidR="002D35B4">
        <w:rPr>
          <w:rFonts w:ascii="Arial" w:hAnsi="Arial" w:cs="Arial"/>
          <w:sz w:val="24"/>
          <w:szCs w:val="24"/>
        </w:rPr>
        <w:t>6</w:t>
      </w:r>
      <w:r w:rsidR="007E15AF">
        <w:rPr>
          <w:rFonts w:ascii="Arial" w:hAnsi="Arial" w:cs="Arial"/>
          <w:sz w:val="24"/>
          <w:szCs w:val="24"/>
        </w:rPr>
        <w:t xml:space="preserve"> </w:t>
      </w:r>
      <w:r w:rsidR="00CF4CC7">
        <w:rPr>
          <w:rFonts w:ascii="Arial" w:hAnsi="Arial" w:cs="Arial"/>
          <w:sz w:val="24"/>
          <w:szCs w:val="24"/>
        </w:rPr>
        <w:t>r</w:t>
      </w:r>
      <w:r w:rsidR="006C6E4B">
        <w:rPr>
          <w:rFonts w:ascii="Arial" w:hAnsi="Arial" w:cs="Arial"/>
          <w:sz w:val="24"/>
          <w:szCs w:val="24"/>
        </w:rPr>
        <w:t xml:space="preserve">eview of the </w:t>
      </w:r>
      <w:r w:rsidR="004074D8">
        <w:rPr>
          <w:rFonts w:ascii="Arial" w:hAnsi="Arial" w:cs="Arial"/>
          <w:sz w:val="24"/>
          <w:szCs w:val="24"/>
        </w:rPr>
        <w:t>RTA</w:t>
      </w:r>
      <w:r w:rsidR="006C6E4B">
        <w:rPr>
          <w:rFonts w:ascii="Arial" w:hAnsi="Arial" w:cs="Arial"/>
          <w:sz w:val="24"/>
          <w:szCs w:val="24"/>
        </w:rPr>
        <w:t>.</w:t>
      </w:r>
      <w:r w:rsidR="00581B98">
        <w:rPr>
          <w:rFonts w:ascii="Arial" w:hAnsi="Arial" w:cs="Arial"/>
          <w:sz w:val="24"/>
          <w:szCs w:val="24"/>
        </w:rPr>
        <w:t xml:space="preserve"> </w:t>
      </w:r>
      <w:r w:rsidR="007B1049">
        <w:rPr>
          <w:rFonts w:ascii="Arial" w:hAnsi="Arial" w:cs="Arial"/>
          <w:sz w:val="24"/>
          <w:szCs w:val="24"/>
        </w:rPr>
        <w:t xml:space="preserve">The Bill </w:t>
      </w:r>
      <w:r w:rsidR="006C6E4B">
        <w:rPr>
          <w:rFonts w:ascii="Arial" w:hAnsi="Arial" w:cs="Arial"/>
          <w:sz w:val="24"/>
          <w:szCs w:val="24"/>
        </w:rPr>
        <w:t>proposes</w:t>
      </w:r>
      <w:r w:rsidR="00ED2E4D">
        <w:rPr>
          <w:rFonts w:ascii="Arial" w:hAnsi="Arial" w:cs="Arial"/>
          <w:sz w:val="24"/>
          <w:szCs w:val="24"/>
        </w:rPr>
        <w:t xml:space="preserve"> to</w:t>
      </w:r>
      <w:r w:rsidR="000614C8">
        <w:rPr>
          <w:rFonts w:ascii="Arial" w:hAnsi="Arial" w:cs="Arial"/>
          <w:sz w:val="24"/>
          <w:szCs w:val="24"/>
        </w:rPr>
        <w:t xml:space="preserve">:  </w:t>
      </w:r>
    </w:p>
    <w:p w14:paraId="0DD7C7C0" w14:textId="77777777" w:rsidR="00AF6735" w:rsidRPr="00AF6735" w:rsidRDefault="00AF6735" w:rsidP="00AF6735">
      <w:pPr>
        <w:pStyle w:val="NoSpacing"/>
        <w:numPr>
          <w:ilvl w:val="0"/>
          <w:numId w:val="34"/>
        </w:numPr>
        <w:spacing w:after="240"/>
        <w:rPr>
          <w:rFonts w:ascii="Arial" w:hAnsi="Arial" w:cs="Arial"/>
          <w:sz w:val="24"/>
          <w:szCs w:val="24"/>
        </w:rPr>
      </w:pPr>
      <w:r w:rsidRPr="00AF6735">
        <w:rPr>
          <w:rFonts w:ascii="Arial" w:hAnsi="Arial" w:cs="Arial"/>
          <w:sz w:val="24"/>
          <w:szCs w:val="24"/>
        </w:rPr>
        <w:t xml:space="preserve">increase the notice period required for landlords to terminate a periodic lease where the landlord or a person close to them wishes to move into the premises from 4 weeks to 8 weeks; </w:t>
      </w:r>
    </w:p>
    <w:p w14:paraId="2A16BAC9" w14:textId="16790C1D" w:rsidR="00AF6735" w:rsidRPr="00AF6735" w:rsidRDefault="00AF6735" w:rsidP="00AF6735">
      <w:pPr>
        <w:pStyle w:val="NoSpacing"/>
        <w:numPr>
          <w:ilvl w:val="0"/>
          <w:numId w:val="34"/>
        </w:numPr>
        <w:spacing w:after="240"/>
        <w:rPr>
          <w:rFonts w:ascii="Arial" w:hAnsi="Arial" w:cs="Arial"/>
          <w:sz w:val="24"/>
          <w:szCs w:val="24"/>
        </w:rPr>
      </w:pPr>
      <w:r w:rsidRPr="00AF6735">
        <w:rPr>
          <w:rFonts w:ascii="Arial" w:hAnsi="Arial" w:cs="Arial"/>
          <w:sz w:val="24"/>
          <w:szCs w:val="24"/>
        </w:rPr>
        <w:t>create a head of power for the introduction of minimum standards for existing and new rental properties;</w:t>
      </w:r>
    </w:p>
    <w:p w14:paraId="462C84E5" w14:textId="77777777" w:rsidR="00AF6735" w:rsidRPr="00AF6735" w:rsidRDefault="00AF6735" w:rsidP="00AF6735">
      <w:pPr>
        <w:pStyle w:val="NoSpacing"/>
        <w:numPr>
          <w:ilvl w:val="0"/>
          <w:numId w:val="34"/>
        </w:numPr>
        <w:spacing w:after="240"/>
        <w:rPr>
          <w:rFonts w:ascii="Arial" w:hAnsi="Arial" w:cs="Arial"/>
          <w:sz w:val="24"/>
          <w:szCs w:val="24"/>
        </w:rPr>
      </w:pPr>
      <w:r w:rsidRPr="00AF6735">
        <w:rPr>
          <w:rFonts w:ascii="Arial" w:hAnsi="Arial" w:cs="Arial"/>
          <w:sz w:val="24"/>
          <w:szCs w:val="24"/>
        </w:rPr>
        <w:t>create a right for a tenant to terminate a fixed term lease early in order to move into social housing or an aged care facility;</w:t>
      </w:r>
    </w:p>
    <w:p w14:paraId="34F31750" w14:textId="77777777" w:rsidR="00AF6735" w:rsidRPr="00AF6735" w:rsidRDefault="00AF6735" w:rsidP="00AF6735">
      <w:pPr>
        <w:pStyle w:val="NoSpacing"/>
        <w:numPr>
          <w:ilvl w:val="0"/>
          <w:numId w:val="34"/>
        </w:numPr>
        <w:spacing w:after="240"/>
        <w:rPr>
          <w:rFonts w:ascii="Arial" w:hAnsi="Arial" w:cs="Arial"/>
          <w:sz w:val="24"/>
          <w:szCs w:val="24"/>
        </w:rPr>
      </w:pPr>
      <w:r w:rsidRPr="00AF6735">
        <w:rPr>
          <w:rFonts w:ascii="Arial" w:hAnsi="Arial" w:cs="Arial"/>
          <w:sz w:val="24"/>
          <w:szCs w:val="24"/>
        </w:rPr>
        <w:t>reduce the burden of the sale of a rental property on its tenants by:</w:t>
      </w:r>
    </w:p>
    <w:p w14:paraId="6CD234E5" w14:textId="77777777" w:rsidR="00AF6735" w:rsidRPr="00AF6735" w:rsidRDefault="00AF6735" w:rsidP="00AF6735">
      <w:pPr>
        <w:pStyle w:val="NoSpacing"/>
        <w:numPr>
          <w:ilvl w:val="1"/>
          <w:numId w:val="34"/>
        </w:numPr>
        <w:spacing w:after="240"/>
        <w:rPr>
          <w:rFonts w:ascii="Arial" w:hAnsi="Arial" w:cs="Arial"/>
          <w:sz w:val="24"/>
          <w:szCs w:val="24"/>
        </w:rPr>
      </w:pPr>
      <w:r w:rsidRPr="00AF6735">
        <w:rPr>
          <w:rFonts w:ascii="Arial" w:hAnsi="Arial" w:cs="Arial"/>
          <w:sz w:val="24"/>
          <w:szCs w:val="24"/>
        </w:rPr>
        <w:t>imposing reasonable limits on the right of access of the landlord to the property for inspections by prospective buyers; and</w:t>
      </w:r>
    </w:p>
    <w:p w14:paraId="5744376A" w14:textId="77777777" w:rsidR="00AF6735" w:rsidRPr="00AF6735" w:rsidRDefault="00AF6735" w:rsidP="00AF6735">
      <w:pPr>
        <w:pStyle w:val="NoSpacing"/>
        <w:numPr>
          <w:ilvl w:val="1"/>
          <w:numId w:val="34"/>
        </w:numPr>
        <w:spacing w:after="240"/>
        <w:rPr>
          <w:rFonts w:ascii="Arial" w:hAnsi="Arial" w:cs="Arial"/>
          <w:sz w:val="24"/>
          <w:szCs w:val="24"/>
        </w:rPr>
      </w:pPr>
      <w:r w:rsidRPr="00AF6735">
        <w:rPr>
          <w:rFonts w:ascii="Arial" w:hAnsi="Arial" w:cs="Arial"/>
          <w:sz w:val="24"/>
          <w:szCs w:val="24"/>
        </w:rPr>
        <w:t>creating a right for tenants to terminate a fixed term tenancy if a sale process takes too long or should have been disclosed prior to the entry into the lease;</w:t>
      </w:r>
    </w:p>
    <w:p w14:paraId="6F0ED205" w14:textId="77777777" w:rsidR="00AF6735" w:rsidRPr="00AF6735" w:rsidRDefault="00AF6735" w:rsidP="00AF6735">
      <w:pPr>
        <w:pStyle w:val="NoSpacing"/>
        <w:numPr>
          <w:ilvl w:val="0"/>
          <w:numId w:val="34"/>
        </w:numPr>
        <w:spacing w:after="240"/>
        <w:rPr>
          <w:rFonts w:ascii="Arial" w:hAnsi="Arial" w:cs="Arial"/>
          <w:sz w:val="24"/>
          <w:szCs w:val="24"/>
        </w:rPr>
      </w:pPr>
      <w:r w:rsidRPr="00AF6735">
        <w:rPr>
          <w:rFonts w:ascii="Arial" w:hAnsi="Arial" w:cs="Arial"/>
          <w:sz w:val="24"/>
          <w:szCs w:val="24"/>
        </w:rPr>
        <w:t>remove the requirement for landlords to demonstrate detriment to their interest when terminating a lease for breach by the tenant if the tenant has used the premises (or permits them to be used) for an illegal purpose;</w:t>
      </w:r>
    </w:p>
    <w:p w14:paraId="269BF4F7" w14:textId="77777777" w:rsidR="00AF6735" w:rsidRPr="00AF6735" w:rsidRDefault="00AF6735" w:rsidP="00AF6735">
      <w:pPr>
        <w:pStyle w:val="NoSpacing"/>
        <w:numPr>
          <w:ilvl w:val="0"/>
          <w:numId w:val="34"/>
        </w:numPr>
        <w:spacing w:after="240"/>
        <w:rPr>
          <w:rFonts w:ascii="Arial" w:hAnsi="Arial" w:cs="Arial"/>
          <w:sz w:val="24"/>
          <w:szCs w:val="24"/>
        </w:rPr>
      </w:pPr>
      <w:r w:rsidRPr="00AF6735">
        <w:rPr>
          <w:rFonts w:ascii="Arial" w:hAnsi="Arial" w:cs="Arial"/>
          <w:sz w:val="24"/>
          <w:szCs w:val="24"/>
        </w:rPr>
        <w:t>reduce the maximum rent payable in advance to two weeks;</w:t>
      </w:r>
    </w:p>
    <w:p w14:paraId="481177FA" w14:textId="2B22B519" w:rsidR="00AF6735" w:rsidRPr="00AF6735" w:rsidRDefault="00AF6735" w:rsidP="00AF6735">
      <w:pPr>
        <w:pStyle w:val="NoSpacing"/>
        <w:numPr>
          <w:ilvl w:val="0"/>
          <w:numId w:val="34"/>
        </w:numPr>
        <w:spacing w:after="240"/>
        <w:rPr>
          <w:rFonts w:ascii="Arial" w:hAnsi="Arial" w:cs="Arial"/>
          <w:sz w:val="24"/>
          <w:szCs w:val="24"/>
        </w:rPr>
      </w:pPr>
      <w:r w:rsidRPr="00AF6735">
        <w:rPr>
          <w:rFonts w:ascii="Arial" w:hAnsi="Arial" w:cs="Arial"/>
          <w:sz w:val="24"/>
          <w:szCs w:val="24"/>
        </w:rPr>
        <w:t xml:space="preserve">include </w:t>
      </w:r>
      <w:r w:rsidR="00BF7EF2">
        <w:rPr>
          <w:rFonts w:ascii="Arial" w:hAnsi="Arial" w:cs="Arial"/>
          <w:sz w:val="24"/>
          <w:szCs w:val="24"/>
        </w:rPr>
        <w:t>cooling</w:t>
      </w:r>
      <w:r w:rsidRPr="00AF6735">
        <w:rPr>
          <w:rFonts w:ascii="Arial" w:hAnsi="Arial" w:cs="Arial"/>
          <w:sz w:val="24"/>
          <w:szCs w:val="24"/>
        </w:rPr>
        <w:t xml:space="preserve"> in the list of urgent repairs;</w:t>
      </w:r>
    </w:p>
    <w:p w14:paraId="6134A043" w14:textId="77777777" w:rsidR="00AF6735" w:rsidRPr="00AF6735" w:rsidRDefault="00AF6735" w:rsidP="00AF6735">
      <w:pPr>
        <w:pStyle w:val="NoSpacing"/>
        <w:numPr>
          <w:ilvl w:val="0"/>
          <w:numId w:val="34"/>
        </w:numPr>
        <w:spacing w:after="240"/>
        <w:rPr>
          <w:rFonts w:ascii="Arial" w:hAnsi="Arial" w:cs="Arial"/>
          <w:sz w:val="24"/>
          <w:szCs w:val="24"/>
        </w:rPr>
      </w:pPr>
      <w:r w:rsidRPr="00AF6735">
        <w:rPr>
          <w:rFonts w:ascii="Arial" w:hAnsi="Arial" w:cs="Arial"/>
          <w:sz w:val="24"/>
          <w:szCs w:val="24"/>
        </w:rPr>
        <w:t>ensure that periodic tenancies adopt the Standard Terms as amended from time to time;</w:t>
      </w:r>
    </w:p>
    <w:p w14:paraId="3AF52081" w14:textId="64833C6B" w:rsidR="00AF6735" w:rsidRPr="00AF6735" w:rsidRDefault="00AF6735" w:rsidP="00AF6735">
      <w:pPr>
        <w:pStyle w:val="NoSpacing"/>
        <w:numPr>
          <w:ilvl w:val="0"/>
          <w:numId w:val="34"/>
        </w:numPr>
        <w:spacing w:after="240"/>
        <w:rPr>
          <w:rFonts w:ascii="Arial" w:hAnsi="Arial" w:cs="Arial"/>
          <w:sz w:val="24"/>
          <w:szCs w:val="24"/>
        </w:rPr>
      </w:pPr>
      <w:r w:rsidRPr="00AF6735">
        <w:rPr>
          <w:rFonts w:ascii="Arial" w:hAnsi="Arial" w:cs="Arial"/>
          <w:sz w:val="24"/>
          <w:szCs w:val="24"/>
        </w:rPr>
        <w:t>clarify and strengthen the</w:t>
      </w:r>
      <w:r w:rsidR="00FE1A3F">
        <w:rPr>
          <w:rFonts w:ascii="Arial" w:hAnsi="Arial" w:cs="Arial"/>
          <w:sz w:val="24"/>
          <w:szCs w:val="24"/>
        </w:rPr>
        <w:t xml:space="preserve"> ACT Civil and Administrative</w:t>
      </w:r>
      <w:r w:rsidRPr="00AF6735">
        <w:rPr>
          <w:rFonts w:ascii="Arial" w:hAnsi="Arial" w:cs="Arial"/>
          <w:sz w:val="24"/>
          <w:szCs w:val="24"/>
        </w:rPr>
        <w:t xml:space="preserve"> Tribunal’s </w:t>
      </w:r>
      <w:r w:rsidR="00FE1A3F">
        <w:rPr>
          <w:rFonts w:ascii="Arial" w:hAnsi="Arial" w:cs="Arial"/>
          <w:sz w:val="24"/>
          <w:szCs w:val="24"/>
        </w:rPr>
        <w:t xml:space="preserve">(the Tribunal) </w:t>
      </w:r>
      <w:r w:rsidRPr="00AF6735">
        <w:rPr>
          <w:rFonts w:ascii="Arial" w:hAnsi="Arial" w:cs="Arial"/>
          <w:sz w:val="24"/>
          <w:szCs w:val="24"/>
        </w:rPr>
        <w:t>powers to resolve residential tenancy disputes by:</w:t>
      </w:r>
    </w:p>
    <w:p w14:paraId="68ECB97F" w14:textId="77777777" w:rsidR="00AF6735" w:rsidRPr="00AF6735" w:rsidRDefault="00AF6735" w:rsidP="00AF6735">
      <w:pPr>
        <w:pStyle w:val="NoSpacing"/>
        <w:numPr>
          <w:ilvl w:val="1"/>
          <w:numId w:val="34"/>
        </w:numPr>
        <w:spacing w:after="240"/>
        <w:rPr>
          <w:rFonts w:ascii="Arial" w:hAnsi="Arial" w:cs="Arial"/>
          <w:sz w:val="24"/>
          <w:szCs w:val="24"/>
        </w:rPr>
      </w:pPr>
      <w:r w:rsidRPr="00AF6735">
        <w:rPr>
          <w:rFonts w:ascii="Arial" w:hAnsi="Arial" w:cs="Arial"/>
          <w:sz w:val="24"/>
          <w:szCs w:val="24"/>
        </w:rPr>
        <w:lastRenderedPageBreak/>
        <w:t>specifying that referrals of bond disputes from the Office of Rental Bonds constitute an application to the Tribunal;</w:t>
      </w:r>
    </w:p>
    <w:p w14:paraId="5C9525A9" w14:textId="77777777" w:rsidR="00AF6735" w:rsidRPr="00AF6735" w:rsidRDefault="00AF6735" w:rsidP="00AF6735">
      <w:pPr>
        <w:pStyle w:val="NoSpacing"/>
        <w:numPr>
          <w:ilvl w:val="1"/>
          <w:numId w:val="34"/>
        </w:numPr>
        <w:spacing w:after="240"/>
        <w:rPr>
          <w:rFonts w:ascii="Arial" w:hAnsi="Arial" w:cs="Arial"/>
          <w:sz w:val="24"/>
          <w:szCs w:val="24"/>
        </w:rPr>
      </w:pPr>
      <w:r w:rsidRPr="00AF6735">
        <w:rPr>
          <w:rFonts w:ascii="Arial" w:hAnsi="Arial" w:cs="Arial"/>
          <w:sz w:val="24"/>
          <w:szCs w:val="24"/>
        </w:rPr>
        <w:t>restoring the full range of orders that the Tribunal can make to resolve tenancy disputes;</w:t>
      </w:r>
    </w:p>
    <w:p w14:paraId="60D2AD25" w14:textId="77777777" w:rsidR="00AF6735" w:rsidRPr="00AF6735" w:rsidRDefault="00AF6735" w:rsidP="00AF6735">
      <w:pPr>
        <w:pStyle w:val="NoSpacing"/>
        <w:numPr>
          <w:ilvl w:val="1"/>
          <w:numId w:val="34"/>
        </w:numPr>
        <w:spacing w:after="240"/>
        <w:rPr>
          <w:rFonts w:ascii="Arial" w:hAnsi="Arial" w:cs="Arial"/>
          <w:sz w:val="24"/>
          <w:szCs w:val="24"/>
        </w:rPr>
      </w:pPr>
      <w:r w:rsidRPr="00AF6735">
        <w:rPr>
          <w:rFonts w:ascii="Arial" w:hAnsi="Arial" w:cs="Arial"/>
          <w:sz w:val="24"/>
          <w:szCs w:val="24"/>
        </w:rPr>
        <w:t>allowing the Tribunal to suspend the operation of its orders altering tenancy arrangements in family violence situations for up to three weeks;</w:t>
      </w:r>
    </w:p>
    <w:p w14:paraId="0D493BBC" w14:textId="6EE56084" w:rsidR="00AF6735" w:rsidRPr="00AF6735" w:rsidRDefault="00AF6735" w:rsidP="00AF6735">
      <w:pPr>
        <w:pStyle w:val="NoSpacing"/>
        <w:numPr>
          <w:ilvl w:val="1"/>
          <w:numId w:val="34"/>
        </w:numPr>
        <w:spacing w:after="240"/>
        <w:rPr>
          <w:rFonts w:ascii="Arial" w:hAnsi="Arial" w:cs="Arial"/>
          <w:sz w:val="24"/>
          <w:szCs w:val="24"/>
        </w:rPr>
      </w:pPr>
      <w:r w:rsidRPr="00AF6735">
        <w:rPr>
          <w:rFonts w:ascii="Arial" w:hAnsi="Arial" w:cs="Arial"/>
          <w:sz w:val="24"/>
          <w:szCs w:val="24"/>
        </w:rPr>
        <w:t xml:space="preserve">clarifying that, in making orders altering tenancy arrangements in family violence situations, the Tribunal may take into account the interests of the respondent to </w:t>
      </w:r>
      <w:r w:rsidR="00E44ECB">
        <w:rPr>
          <w:rFonts w:ascii="Arial" w:hAnsi="Arial" w:cs="Arial"/>
          <w:sz w:val="24"/>
          <w:szCs w:val="24"/>
        </w:rPr>
        <w:t>a</w:t>
      </w:r>
      <w:r w:rsidRPr="00AF6735">
        <w:rPr>
          <w:rFonts w:ascii="Arial" w:hAnsi="Arial" w:cs="Arial"/>
          <w:sz w:val="24"/>
          <w:szCs w:val="24"/>
        </w:rPr>
        <w:t xml:space="preserve"> protection order and any children who may be affected by the orders;</w:t>
      </w:r>
    </w:p>
    <w:p w14:paraId="4D85663A" w14:textId="77777777" w:rsidR="00AF6735" w:rsidRPr="00AF6735" w:rsidRDefault="00AF6735" w:rsidP="00AF6735">
      <w:pPr>
        <w:pStyle w:val="NoSpacing"/>
        <w:numPr>
          <w:ilvl w:val="1"/>
          <w:numId w:val="34"/>
        </w:numPr>
        <w:spacing w:after="240"/>
        <w:rPr>
          <w:rFonts w:ascii="Arial" w:hAnsi="Arial" w:cs="Arial"/>
          <w:sz w:val="24"/>
          <w:szCs w:val="24"/>
        </w:rPr>
      </w:pPr>
      <w:r w:rsidRPr="00AF6735">
        <w:rPr>
          <w:rFonts w:ascii="Arial" w:hAnsi="Arial" w:cs="Arial"/>
          <w:sz w:val="24"/>
          <w:szCs w:val="24"/>
        </w:rPr>
        <w:t>allowing the Tribunal to make payment orders to require the payment of future rent even when there are no outstanding arrears; and</w:t>
      </w:r>
    </w:p>
    <w:p w14:paraId="7871BFD1" w14:textId="11AF8B20" w:rsidR="00AF6735" w:rsidRDefault="00AF6735" w:rsidP="00AF6735">
      <w:pPr>
        <w:pStyle w:val="NoSpacing"/>
        <w:numPr>
          <w:ilvl w:val="1"/>
          <w:numId w:val="34"/>
        </w:numPr>
        <w:spacing w:after="240"/>
        <w:rPr>
          <w:rFonts w:ascii="Arial" w:hAnsi="Arial" w:cs="Arial"/>
          <w:sz w:val="24"/>
          <w:szCs w:val="24"/>
        </w:rPr>
      </w:pPr>
      <w:r w:rsidRPr="00AF6735">
        <w:rPr>
          <w:rFonts w:ascii="Arial" w:hAnsi="Arial" w:cs="Arial"/>
          <w:sz w:val="24"/>
          <w:szCs w:val="24"/>
        </w:rPr>
        <w:t>ensuring the Tribunal’s power to correct defective notices does not apply if the correction would disadvantage the party receiving a notice.</w:t>
      </w:r>
    </w:p>
    <w:p w14:paraId="4CFC52A6" w14:textId="0EE0EB7D" w:rsidR="00C77E80" w:rsidRPr="007A656E" w:rsidRDefault="001F0F85" w:rsidP="00AE1C7D">
      <w:pPr>
        <w:pStyle w:val="NoSpacing"/>
        <w:spacing w:after="240"/>
        <w:jc w:val="center"/>
        <w:rPr>
          <w:rFonts w:ascii="Arial" w:hAnsi="Arial" w:cs="Arial"/>
          <w:sz w:val="24"/>
          <w:szCs w:val="24"/>
        </w:rPr>
      </w:pPr>
      <w:r w:rsidRPr="00E023EB">
        <w:rPr>
          <w:rFonts w:ascii="Arial" w:hAnsi="Arial" w:cs="Arial"/>
          <w:b/>
          <w:sz w:val="24"/>
          <w:szCs w:val="24"/>
          <w:u w:val="single"/>
        </w:rPr>
        <w:t>Human rights implications</w:t>
      </w:r>
      <w:r w:rsidRPr="00E023EB">
        <w:rPr>
          <w:rFonts w:ascii="Arial" w:hAnsi="Arial" w:cs="Arial"/>
          <w:b/>
          <w:sz w:val="24"/>
          <w:szCs w:val="24"/>
        </w:rPr>
        <w:t xml:space="preserve"> </w:t>
      </w:r>
    </w:p>
    <w:p w14:paraId="12241EF6" w14:textId="16E34513" w:rsidR="004219B7" w:rsidRPr="004219B7" w:rsidRDefault="004219B7" w:rsidP="004219B7">
      <w:pPr>
        <w:pStyle w:val="NoSpacing"/>
        <w:spacing w:after="240"/>
        <w:rPr>
          <w:rFonts w:ascii="Arial" w:hAnsi="Arial" w:cs="Arial"/>
          <w:sz w:val="24"/>
          <w:szCs w:val="24"/>
        </w:rPr>
      </w:pPr>
      <w:r w:rsidRPr="004219B7">
        <w:rPr>
          <w:rFonts w:ascii="Arial" w:hAnsi="Arial" w:cs="Arial"/>
          <w:sz w:val="24"/>
          <w:szCs w:val="24"/>
        </w:rPr>
        <w:t>The proposed amendments will engage the following human rights</w:t>
      </w:r>
      <w:r w:rsidR="00605DD8">
        <w:rPr>
          <w:rFonts w:ascii="Arial" w:hAnsi="Arial" w:cs="Arial"/>
          <w:sz w:val="24"/>
          <w:szCs w:val="24"/>
        </w:rPr>
        <w:t xml:space="preserve"> under the </w:t>
      </w:r>
      <w:r w:rsidR="00605DD8" w:rsidRPr="00605DD8">
        <w:rPr>
          <w:rFonts w:ascii="Arial" w:hAnsi="Arial" w:cs="Arial"/>
          <w:i/>
          <w:sz w:val="24"/>
          <w:szCs w:val="24"/>
        </w:rPr>
        <w:t>Human Rights Act</w:t>
      </w:r>
      <w:r w:rsidR="00605DD8">
        <w:rPr>
          <w:rFonts w:ascii="Arial" w:hAnsi="Arial" w:cs="Arial"/>
          <w:i/>
          <w:sz w:val="24"/>
          <w:szCs w:val="24"/>
        </w:rPr>
        <w:t xml:space="preserve"> 2004 </w:t>
      </w:r>
      <w:r w:rsidR="00605DD8" w:rsidRPr="00605DD8">
        <w:rPr>
          <w:rFonts w:ascii="Arial" w:hAnsi="Arial" w:cs="Arial"/>
          <w:sz w:val="24"/>
          <w:szCs w:val="24"/>
        </w:rPr>
        <w:t>(HRA)</w:t>
      </w:r>
      <w:r w:rsidRPr="00605DD8">
        <w:rPr>
          <w:rFonts w:ascii="Arial" w:hAnsi="Arial" w:cs="Arial"/>
          <w:sz w:val="24"/>
          <w:szCs w:val="24"/>
        </w:rPr>
        <w:t>:</w:t>
      </w:r>
    </w:p>
    <w:p w14:paraId="30AB164D" w14:textId="0E4F600A" w:rsidR="00FE1D06" w:rsidRPr="004219B7" w:rsidRDefault="00FE1D06" w:rsidP="00FE1D06">
      <w:pPr>
        <w:pStyle w:val="NoSpacing"/>
        <w:numPr>
          <w:ilvl w:val="1"/>
          <w:numId w:val="42"/>
        </w:numPr>
        <w:spacing w:after="240"/>
        <w:rPr>
          <w:rFonts w:ascii="Arial" w:hAnsi="Arial" w:cs="Arial"/>
          <w:sz w:val="24"/>
          <w:szCs w:val="24"/>
        </w:rPr>
      </w:pPr>
      <w:r w:rsidRPr="004219B7">
        <w:rPr>
          <w:rFonts w:ascii="Arial" w:hAnsi="Arial" w:cs="Arial"/>
          <w:sz w:val="24"/>
          <w:szCs w:val="24"/>
        </w:rPr>
        <w:t xml:space="preserve">the right </w:t>
      </w:r>
      <w:r>
        <w:rPr>
          <w:rFonts w:ascii="Arial" w:hAnsi="Arial" w:cs="Arial"/>
          <w:sz w:val="24"/>
          <w:szCs w:val="24"/>
        </w:rPr>
        <w:t>to equality and non-discrimination (</w:t>
      </w:r>
      <w:r w:rsidRPr="004219B7">
        <w:rPr>
          <w:rFonts w:ascii="Arial" w:hAnsi="Arial" w:cs="Arial"/>
          <w:sz w:val="24"/>
          <w:szCs w:val="24"/>
        </w:rPr>
        <w:t>s</w:t>
      </w:r>
      <w:r>
        <w:rPr>
          <w:rFonts w:ascii="Arial" w:hAnsi="Arial" w:cs="Arial"/>
          <w:sz w:val="24"/>
          <w:szCs w:val="24"/>
        </w:rPr>
        <w:t>ections</w:t>
      </w:r>
      <w:r w:rsidRPr="004219B7">
        <w:rPr>
          <w:rFonts w:ascii="Arial" w:hAnsi="Arial" w:cs="Arial"/>
          <w:sz w:val="24"/>
          <w:szCs w:val="24"/>
        </w:rPr>
        <w:t xml:space="preserve"> 8</w:t>
      </w:r>
      <w:r>
        <w:rPr>
          <w:rFonts w:ascii="Arial" w:hAnsi="Arial" w:cs="Arial"/>
          <w:sz w:val="24"/>
          <w:szCs w:val="24"/>
        </w:rPr>
        <w:t>(2)-</w:t>
      </w:r>
      <w:r w:rsidRPr="004219B7">
        <w:rPr>
          <w:rFonts w:ascii="Arial" w:hAnsi="Arial" w:cs="Arial"/>
          <w:sz w:val="24"/>
          <w:szCs w:val="24"/>
        </w:rPr>
        <w:t>(3), HRA</w:t>
      </w:r>
      <w:r>
        <w:rPr>
          <w:rFonts w:ascii="Arial" w:hAnsi="Arial" w:cs="Arial"/>
          <w:sz w:val="24"/>
          <w:szCs w:val="24"/>
        </w:rPr>
        <w:t>)</w:t>
      </w:r>
      <w:r w:rsidRPr="004219B7">
        <w:rPr>
          <w:rFonts w:ascii="Arial" w:hAnsi="Arial" w:cs="Arial"/>
          <w:sz w:val="24"/>
          <w:szCs w:val="24"/>
        </w:rPr>
        <w:t>;</w:t>
      </w:r>
    </w:p>
    <w:p w14:paraId="2E835048" w14:textId="1C60741F" w:rsidR="00FE1D06" w:rsidRPr="004219B7" w:rsidRDefault="00FE1D06" w:rsidP="00FE1D06">
      <w:pPr>
        <w:pStyle w:val="NoSpacing"/>
        <w:numPr>
          <w:ilvl w:val="1"/>
          <w:numId w:val="42"/>
        </w:numPr>
        <w:spacing w:after="240"/>
        <w:rPr>
          <w:rFonts w:ascii="Arial" w:hAnsi="Arial" w:cs="Arial"/>
          <w:sz w:val="24"/>
          <w:szCs w:val="24"/>
        </w:rPr>
      </w:pPr>
      <w:r w:rsidRPr="004219B7">
        <w:rPr>
          <w:rFonts w:ascii="Arial" w:hAnsi="Arial" w:cs="Arial"/>
          <w:sz w:val="24"/>
          <w:szCs w:val="24"/>
        </w:rPr>
        <w:t xml:space="preserve">the right not to have one’s privacy, family, home or correspondence interfered with unlawfully or arbitrarily </w:t>
      </w:r>
      <w:r>
        <w:rPr>
          <w:rFonts w:ascii="Arial" w:hAnsi="Arial" w:cs="Arial"/>
          <w:sz w:val="24"/>
          <w:szCs w:val="24"/>
        </w:rPr>
        <w:t xml:space="preserve">(section </w:t>
      </w:r>
      <w:r w:rsidRPr="004219B7">
        <w:rPr>
          <w:rFonts w:ascii="Arial" w:hAnsi="Arial" w:cs="Arial"/>
          <w:sz w:val="24"/>
          <w:szCs w:val="24"/>
        </w:rPr>
        <w:t>12(a), HRA</w:t>
      </w:r>
      <w:r>
        <w:rPr>
          <w:rFonts w:ascii="Arial" w:hAnsi="Arial" w:cs="Arial"/>
          <w:sz w:val="24"/>
          <w:szCs w:val="24"/>
        </w:rPr>
        <w:t>)</w:t>
      </w:r>
      <w:r w:rsidRPr="004219B7">
        <w:rPr>
          <w:rFonts w:ascii="Arial" w:hAnsi="Arial" w:cs="Arial"/>
          <w:sz w:val="24"/>
          <w:szCs w:val="24"/>
        </w:rPr>
        <w:t>;</w:t>
      </w:r>
    </w:p>
    <w:p w14:paraId="7EAB987E" w14:textId="107ED83A" w:rsidR="00FE1D06" w:rsidRPr="004219B7" w:rsidRDefault="00FE1D06" w:rsidP="00FE1D06">
      <w:pPr>
        <w:pStyle w:val="NoSpacing"/>
        <w:numPr>
          <w:ilvl w:val="1"/>
          <w:numId w:val="42"/>
        </w:numPr>
        <w:spacing w:after="240"/>
        <w:rPr>
          <w:rFonts w:ascii="Arial" w:hAnsi="Arial" w:cs="Arial"/>
          <w:sz w:val="24"/>
          <w:szCs w:val="24"/>
        </w:rPr>
      </w:pPr>
      <w:r w:rsidRPr="004219B7">
        <w:rPr>
          <w:rFonts w:ascii="Arial" w:hAnsi="Arial" w:cs="Arial"/>
          <w:sz w:val="24"/>
          <w:szCs w:val="24"/>
        </w:rPr>
        <w:t>the right of a family to be protected by society</w:t>
      </w:r>
      <w:r>
        <w:rPr>
          <w:rFonts w:ascii="Arial" w:hAnsi="Arial" w:cs="Arial"/>
          <w:sz w:val="24"/>
          <w:szCs w:val="24"/>
        </w:rPr>
        <w:t xml:space="preserve"> (section </w:t>
      </w:r>
      <w:r w:rsidRPr="004219B7">
        <w:rPr>
          <w:rFonts w:ascii="Arial" w:hAnsi="Arial" w:cs="Arial"/>
          <w:sz w:val="24"/>
          <w:szCs w:val="24"/>
        </w:rPr>
        <w:t>11(1)</w:t>
      </w:r>
      <w:r>
        <w:rPr>
          <w:rFonts w:ascii="Arial" w:hAnsi="Arial" w:cs="Arial"/>
          <w:sz w:val="24"/>
          <w:szCs w:val="24"/>
        </w:rPr>
        <w:t>)</w:t>
      </w:r>
      <w:r w:rsidRPr="004219B7">
        <w:rPr>
          <w:rFonts w:ascii="Arial" w:hAnsi="Arial" w:cs="Arial"/>
          <w:sz w:val="24"/>
          <w:szCs w:val="24"/>
        </w:rPr>
        <w:t>, HRA</w:t>
      </w:r>
      <w:r>
        <w:rPr>
          <w:rFonts w:ascii="Arial" w:hAnsi="Arial" w:cs="Arial"/>
          <w:sz w:val="24"/>
          <w:szCs w:val="24"/>
        </w:rPr>
        <w:t>)</w:t>
      </w:r>
      <w:r w:rsidRPr="004219B7">
        <w:rPr>
          <w:rFonts w:ascii="Arial" w:hAnsi="Arial" w:cs="Arial"/>
          <w:sz w:val="24"/>
          <w:szCs w:val="24"/>
        </w:rPr>
        <w:t>;</w:t>
      </w:r>
      <w:r>
        <w:rPr>
          <w:rFonts w:ascii="Arial" w:hAnsi="Arial" w:cs="Arial"/>
          <w:sz w:val="24"/>
          <w:szCs w:val="24"/>
        </w:rPr>
        <w:t xml:space="preserve"> and</w:t>
      </w:r>
    </w:p>
    <w:p w14:paraId="0985419F" w14:textId="0198E8E5" w:rsidR="00FE1D06" w:rsidRDefault="00FE1D06" w:rsidP="00FE1D06">
      <w:pPr>
        <w:pStyle w:val="NoSpacing"/>
        <w:numPr>
          <w:ilvl w:val="1"/>
          <w:numId w:val="42"/>
        </w:numPr>
        <w:spacing w:after="240"/>
        <w:rPr>
          <w:rFonts w:ascii="Arial" w:hAnsi="Arial" w:cs="Arial"/>
          <w:sz w:val="24"/>
          <w:szCs w:val="24"/>
        </w:rPr>
      </w:pPr>
      <w:r>
        <w:rPr>
          <w:rFonts w:ascii="Arial" w:hAnsi="Arial" w:cs="Arial"/>
          <w:sz w:val="24"/>
          <w:szCs w:val="24"/>
        </w:rPr>
        <w:t>t</w:t>
      </w:r>
      <w:r w:rsidRPr="004219B7">
        <w:rPr>
          <w:rFonts w:ascii="Arial" w:hAnsi="Arial" w:cs="Arial"/>
          <w:sz w:val="24"/>
          <w:szCs w:val="24"/>
        </w:rPr>
        <w:t xml:space="preserve">he right of a child to the protection needed by the child because of being a child </w:t>
      </w:r>
      <w:r>
        <w:rPr>
          <w:rFonts w:ascii="Arial" w:hAnsi="Arial" w:cs="Arial"/>
          <w:sz w:val="24"/>
          <w:szCs w:val="24"/>
        </w:rPr>
        <w:t>(</w:t>
      </w:r>
      <w:r w:rsidRPr="004219B7">
        <w:rPr>
          <w:rFonts w:ascii="Arial" w:hAnsi="Arial" w:cs="Arial"/>
          <w:sz w:val="24"/>
          <w:szCs w:val="24"/>
        </w:rPr>
        <w:t>s</w:t>
      </w:r>
      <w:r>
        <w:rPr>
          <w:rFonts w:ascii="Arial" w:hAnsi="Arial" w:cs="Arial"/>
          <w:sz w:val="24"/>
          <w:szCs w:val="24"/>
        </w:rPr>
        <w:t>ection</w:t>
      </w:r>
      <w:r w:rsidRPr="004219B7">
        <w:rPr>
          <w:rFonts w:ascii="Arial" w:hAnsi="Arial" w:cs="Arial"/>
          <w:sz w:val="24"/>
          <w:szCs w:val="24"/>
        </w:rPr>
        <w:t xml:space="preserve"> 11(2), HRA</w:t>
      </w:r>
      <w:r>
        <w:rPr>
          <w:rFonts w:ascii="Arial" w:hAnsi="Arial" w:cs="Arial"/>
          <w:sz w:val="24"/>
          <w:szCs w:val="24"/>
        </w:rPr>
        <w:t>).</w:t>
      </w:r>
    </w:p>
    <w:p w14:paraId="41478A87" w14:textId="77777777" w:rsidR="00FE1D06" w:rsidRPr="002C3225" w:rsidRDefault="00FE1D06" w:rsidP="00FE1D06">
      <w:pPr>
        <w:pStyle w:val="NoSpacing"/>
        <w:spacing w:after="240"/>
        <w:rPr>
          <w:rFonts w:ascii="Arial" w:hAnsi="Arial" w:cs="Arial"/>
          <w:i/>
          <w:sz w:val="24"/>
          <w:szCs w:val="24"/>
        </w:rPr>
      </w:pPr>
      <w:r w:rsidRPr="002C3225">
        <w:rPr>
          <w:rFonts w:ascii="Arial" w:hAnsi="Arial" w:cs="Arial"/>
          <w:i/>
          <w:sz w:val="24"/>
          <w:szCs w:val="24"/>
        </w:rPr>
        <w:t xml:space="preserve">Equality and non-discrimination </w:t>
      </w:r>
    </w:p>
    <w:p w14:paraId="3439F600" w14:textId="6FA462A4" w:rsidR="00FE1D06" w:rsidRDefault="00FE1D06" w:rsidP="002C3225">
      <w:pPr>
        <w:autoSpaceDE w:val="0"/>
        <w:autoSpaceDN w:val="0"/>
        <w:adjustRightInd w:val="0"/>
        <w:spacing w:after="240" w:line="240" w:lineRule="auto"/>
        <w:rPr>
          <w:rFonts w:ascii="Arial" w:hAnsi="Arial" w:cs="Arial"/>
          <w:sz w:val="24"/>
          <w:szCs w:val="24"/>
        </w:rPr>
      </w:pPr>
      <w:r w:rsidRPr="00FE1D06">
        <w:rPr>
          <w:rFonts w:ascii="Arial" w:hAnsi="Arial" w:cs="Arial"/>
          <w:sz w:val="24"/>
          <w:szCs w:val="24"/>
        </w:rPr>
        <w:t>The right to equality and non-discrimination is protected by s</w:t>
      </w:r>
      <w:r>
        <w:rPr>
          <w:rFonts w:ascii="Arial" w:hAnsi="Arial" w:cs="Arial"/>
          <w:sz w:val="24"/>
          <w:szCs w:val="24"/>
        </w:rPr>
        <w:t>ection</w:t>
      </w:r>
      <w:r w:rsidRPr="00FE1D06">
        <w:rPr>
          <w:rFonts w:ascii="Arial" w:hAnsi="Arial" w:cs="Arial"/>
          <w:sz w:val="24"/>
          <w:szCs w:val="24"/>
        </w:rPr>
        <w:t>s 8(2)-(3) of the HRA. The HRA provides that everyone is entitled to enjoy their rights without discrimination of any kind, and that everyone is equal before the law and entitled to the equal protection of the law without discrimination. 'Discrimination' under the HRA encompasses a distinction based on particular grounds (for example, race, colour or sex), which has either the purpose ('direct' discrimination), or the effect ('indirect' discrimination), of adversely affecting human rights</w:t>
      </w:r>
      <w:r w:rsidR="00191D5A">
        <w:rPr>
          <w:rFonts w:ascii="Arial" w:hAnsi="Arial" w:cs="Arial"/>
          <w:sz w:val="24"/>
          <w:szCs w:val="24"/>
        </w:rPr>
        <w:t>.</w:t>
      </w:r>
      <w:r w:rsidR="00191D5A">
        <w:rPr>
          <w:rStyle w:val="FootnoteReference"/>
          <w:rFonts w:ascii="Arial" w:hAnsi="Arial"/>
          <w:sz w:val="24"/>
          <w:szCs w:val="24"/>
        </w:rPr>
        <w:footnoteReference w:id="1"/>
      </w:r>
      <w:r>
        <w:rPr>
          <w:rFonts w:ascii="Arial" w:hAnsi="Arial" w:cs="Arial"/>
          <w:sz w:val="24"/>
          <w:szCs w:val="24"/>
        </w:rPr>
        <w:t xml:space="preserve"> </w:t>
      </w:r>
      <w:r w:rsidRPr="00FE1D06">
        <w:rPr>
          <w:rFonts w:ascii="Arial" w:hAnsi="Arial" w:cs="Arial"/>
          <w:sz w:val="24"/>
          <w:szCs w:val="24"/>
        </w:rPr>
        <w:t>That is, not every differential treatment will amount to discrimination as it must be linked to a prohibited ground of discrimination</w:t>
      </w:r>
      <w:r w:rsidR="00191D5A">
        <w:rPr>
          <w:rFonts w:ascii="Arial" w:hAnsi="Arial" w:cs="Arial"/>
          <w:sz w:val="24"/>
          <w:szCs w:val="24"/>
        </w:rPr>
        <w:t>.</w:t>
      </w:r>
      <w:r w:rsidR="00191D5A">
        <w:rPr>
          <w:rStyle w:val="FootnoteReference"/>
          <w:rFonts w:ascii="Arial" w:hAnsi="Arial"/>
          <w:sz w:val="24"/>
          <w:szCs w:val="24"/>
        </w:rPr>
        <w:footnoteReference w:id="2"/>
      </w:r>
    </w:p>
    <w:p w14:paraId="5AC6D92E" w14:textId="392D6968" w:rsidR="00E44ECB" w:rsidRDefault="00FE1D06" w:rsidP="002C3225">
      <w:pPr>
        <w:autoSpaceDE w:val="0"/>
        <w:autoSpaceDN w:val="0"/>
        <w:adjustRightInd w:val="0"/>
        <w:spacing w:after="240" w:line="240" w:lineRule="auto"/>
        <w:rPr>
          <w:rFonts w:ascii="Arial" w:hAnsi="Arial" w:cs="Arial"/>
          <w:sz w:val="24"/>
          <w:szCs w:val="24"/>
        </w:rPr>
      </w:pPr>
      <w:r w:rsidRPr="00FE1D06">
        <w:rPr>
          <w:rFonts w:ascii="Arial" w:hAnsi="Arial" w:cs="Arial"/>
          <w:sz w:val="24"/>
          <w:szCs w:val="24"/>
        </w:rPr>
        <w:lastRenderedPageBreak/>
        <w:t>The amendments will permit tenants who are transitioning into aged care or social housing to terminate their fixed term lease with 14 days</w:t>
      </w:r>
      <w:r w:rsidR="00D42CDC">
        <w:rPr>
          <w:rFonts w:ascii="Arial" w:hAnsi="Arial" w:cs="Arial"/>
          <w:sz w:val="24"/>
          <w:szCs w:val="24"/>
        </w:rPr>
        <w:t>’</w:t>
      </w:r>
      <w:r w:rsidRPr="00FE1D06">
        <w:rPr>
          <w:rFonts w:ascii="Arial" w:hAnsi="Arial" w:cs="Arial"/>
          <w:sz w:val="24"/>
          <w:szCs w:val="24"/>
        </w:rPr>
        <w:t xml:space="preserve"> notice without being liable to pay compensation</w:t>
      </w:r>
      <w:r w:rsidR="00005BEA">
        <w:rPr>
          <w:rFonts w:ascii="Arial" w:hAnsi="Arial" w:cs="Arial"/>
          <w:sz w:val="24"/>
          <w:szCs w:val="24"/>
        </w:rPr>
        <w:t>.</w:t>
      </w:r>
      <w:r w:rsidR="00A50E9D">
        <w:rPr>
          <w:rStyle w:val="FootnoteReference"/>
          <w:rFonts w:ascii="Arial" w:hAnsi="Arial"/>
          <w:sz w:val="24"/>
          <w:szCs w:val="24"/>
        </w:rPr>
        <w:footnoteReference w:id="3"/>
      </w:r>
      <w:r w:rsidRPr="00FE1D06">
        <w:rPr>
          <w:rFonts w:ascii="Arial" w:hAnsi="Arial" w:cs="Arial"/>
          <w:sz w:val="24"/>
          <w:szCs w:val="24"/>
        </w:rPr>
        <w:t xml:space="preserve"> The fact that tenants, for example, who otherwise face severe hardship, financially or otherwise, will not benefit from this proposed amendment does not amount to discrimination. This is because any such differential treatment is not clearly based </w:t>
      </w:r>
      <w:r w:rsidR="00E44ECB">
        <w:rPr>
          <w:rFonts w:ascii="Arial" w:hAnsi="Arial" w:cs="Arial"/>
          <w:sz w:val="24"/>
          <w:szCs w:val="24"/>
        </w:rPr>
        <w:t xml:space="preserve">on </w:t>
      </w:r>
      <w:r w:rsidRPr="00FE1D06">
        <w:rPr>
          <w:rFonts w:ascii="Arial" w:hAnsi="Arial" w:cs="Arial"/>
          <w:sz w:val="24"/>
          <w:szCs w:val="24"/>
        </w:rPr>
        <w:t xml:space="preserve">a prohibited ground of discrimination. </w:t>
      </w:r>
    </w:p>
    <w:p w14:paraId="1FD56423" w14:textId="77295AE2" w:rsidR="00E44ECB" w:rsidRDefault="00FE1D06" w:rsidP="002C3225">
      <w:pPr>
        <w:autoSpaceDE w:val="0"/>
        <w:autoSpaceDN w:val="0"/>
        <w:adjustRightInd w:val="0"/>
        <w:spacing w:after="240" w:line="240" w:lineRule="auto"/>
        <w:rPr>
          <w:rFonts w:ascii="Arial" w:hAnsi="Arial" w:cs="Arial"/>
          <w:sz w:val="24"/>
          <w:szCs w:val="24"/>
        </w:rPr>
      </w:pPr>
      <w:r w:rsidRPr="00FE1D06">
        <w:rPr>
          <w:rFonts w:ascii="Arial" w:hAnsi="Arial" w:cs="Arial"/>
          <w:sz w:val="24"/>
          <w:szCs w:val="24"/>
        </w:rPr>
        <w:t>Further, even if this treatment were categorised as being linked to a ground of discrimination such as ‘other status’, the treatment is compatible with the right to equality and non-discrimination. In</w:t>
      </w:r>
      <w:r w:rsidR="002C3225">
        <w:rPr>
          <w:rFonts w:ascii="Arial" w:hAnsi="Arial" w:cs="Arial"/>
          <w:sz w:val="24"/>
          <w:szCs w:val="24"/>
        </w:rPr>
        <w:t> </w:t>
      </w:r>
      <w:r w:rsidRPr="00FE1D06">
        <w:rPr>
          <w:rFonts w:ascii="Arial" w:hAnsi="Arial" w:cs="Arial"/>
          <w:sz w:val="24"/>
          <w:szCs w:val="24"/>
        </w:rPr>
        <w:t xml:space="preserve">particular, </w:t>
      </w:r>
      <w:r w:rsidR="002C3225">
        <w:rPr>
          <w:rFonts w:ascii="Arial" w:hAnsi="Arial" w:cs="Arial"/>
          <w:sz w:val="24"/>
          <w:szCs w:val="24"/>
        </w:rPr>
        <w:t>s</w:t>
      </w:r>
      <w:r w:rsidRPr="00FE1D06">
        <w:rPr>
          <w:rFonts w:ascii="Arial" w:hAnsi="Arial" w:cs="Arial"/>
          <w:sz w:val="24"/>
          <w:szCs w:val="24"/>
        </w:rPr>
        <w:t>ection 28 of the HRA, sets out the criteria for when human rights including the right to equality and non-discrimination may be reasonably limited such</w:t>
      </w:r>
      <w:r w:rsidR="00037701">
        <w:rPr>
          <w:rFonts w:ascii="Arial" w:hAnsi="Arial" w:cs="Arial"/>
          <w:sz w:val="24"/>
          <w:szCs w:val="24"/>
        </w:rPr>
        <w:t xml:space="preserve"> that</w:t>
      </w:r>
      <w:r w:rsidRPr="00FE1D06">
        <w:rPr>
          <w:rFonts w:ascii="Arial" w:hAnsi="Arial" w:cs="Arial"/>
          <w:sz w:val="24"/>
          <w:szCs w:val="24"/>
        </w:rPr>
        <w:t xml:space="preserve"> they are compatible with the HRA. Applying the criteria, the purpose of the measure is to support individuals moving into aged care and public housing</w:t>
      </w:r>
      <w:r w:rsidR="002C3225">
        <w:rPr>
          <w:rFonts w:ascii="Arial" w:hAnsi="Arial" w:cs="Arial"/>
          <w:sz w:val="24"/>
          <w:szCs w:val="24"/>
        </w:rPr>
        <w:t>,</w:t>
      </w:r>
      <w:r w:rsidRPr="00FE1D06">
        <w:rPr>
          <w:rFonts w:ascii="Arial" w:hAnsi="Arial" w:cs="Arial"/>
          <w:sz w:val="24"/>
          <w:szCs w:val="24"/>
        </w:rPr>
        <w:t xml:space="preserve"> noting the benefits both to the individual and to society more generally that such accommodation provides. The measure is of importance as, without this measure, vulnerable individuals may experience hardship in terminating their existing tenancy in order to accept an aged care or social housing place. Enabling tenants to terminate a tenancy in these circumstances, with notice but without the requirement to</w:t>
      </w:r>
      <w:r w:rsidR="002C3225">
        <w:rPr>
          <w:rFonts w:ascii="Arial" w:hAnsi="Arial" w:cs="Arial"/>
          <w:sz w:val="24"/>
          <w:szCs w:val="24"/>
        </w:rPr>
        <w:t xml:space="preserve"> seek an order of the Tribunal or to</w:t>
      </w:r>
      <w:r w:rsidRPr="00FE1D06">
        <w:rPr>
          <w:rFonts w:ascii="Arial" w:hAnsi="Arial" w:cs="Arial"/>
          <w:sz w:val="24"/>
          <w:szCs w:val="24"/>
        </w:rPr>
        <w:t xml:space="preserve"> pay additional compensation, is likely to be effective to achieve the</w:t>
      </w:r>
      <w:r w:rsidR="00191D5A">
        <w:rPr>
          <w:rFonts w:ascii="Arial" w:hAnsi="Arial" w:cs="Arial"/>
          <w:sz w:val="24"/>
          <w:szCs w:val="24"/>
        </w:rPr>
        <w:t xml:space="preserve"> stated </w:t>
      </w:r>
      <w:r w:rsidRPr="00FE1D06">
        <w:rPr>
          <w:rFonts w:ascii="Arial" w:hAnsi="Arial" w:cs="Arial"/>
          <w:sz w:val="24"/>
          <w:szCs w:val="24"/>
        </w:rPr>
        <w:t xml:space="preserve">purpose of </w:t>
      </w:r>
      <w:r w:rsidR="00191D5A">
        <w:rPr>
          <w:rFonts w:ascii="Arial" w:hAnsi="Arial" w:cs="Arial"/>
          <w:sz w:val="24"/>
          <w:szCs w:val="24"/>
        </w:rPr>
        <w:t>the measure</w:t>
      </w:r>
      <w:r w:rsidRPr="00FE1D06">
        <w:rPr>
          <w:rFonts w:ascii="Arial" w:hAnsi="Arial" w:cs="Arial"/>
          <w:sz w:val="24"/>
          <w:szCs w:val="24"/>
        </w:rPr>
        <w:t>.</w:t>
      </w:r>
    </w:p>
    <w:p w14:paraId="00FEB12A" w14:textId="586F5FAA" w:rsidR="00FE1D06" w:rsidRPr="00FE1D06" w:rsidRDefault="00FE1D06" w:rsidP="002C3225">
      <w:pPr>
        <w:autoSpaceDE w:val="0"/>
        <w:autoSpaceDN w:val="0"/>
        <w:adjustRightInd w:val="0"/>
        <w:spacing w:after="240" w:line="240" w:lineRule="auto"/>
        <w:rPr>
          <w:rFonts w:ascii="Arial" w:hAnsi="Arial" w:cs="Arial"/>
          <w:sz w:val="24"/>
          <w:szCs w:val="24"/>
        </w:rPr>
      </w:pPr>
      <w:r w:rsidRPr="00FE1D06">
        <w:rPr>
          <w:rFonts w:ascii="Arial" w:hAnsi="Arial" w:cs="Arial"/>
          <w:sz w:val="24"/>
          <w:szCs w:val="24"/>
        </w:rPr>
        <w:t>As tenants have signed leases assuming legal obligations for the property for a fixed term, it is only in exceptional cases that tenants should be permitted to break their lease early without payment of compensation and without any order from the Tribunal. That is, any differential treatment will be based on reasonable and objective criteria. In terms of the proportionality of the measure, tenants who otherwise face severe hardship will remain eligible to seek Tribunal approval to break their lease early, pursuant to section 44 of the RTA.</w:t>
      </w:r>
    </w:p>
    <w:p w14:paraId="6691B9D5" w14:textId="77777777" w:rsidR="002C3225" w:rsidRPr="002C3225" w:rsidRDefault="002C3225" w:rsidP="002C3225">
      <w:pPr>
        <w:pStyle w:val="NoSpacing"/>
        <w:spacing w:after="240"/>
        <w:rPr>
          <w:rFonts w:ascii="Arial" w:hAnsi="Arial" w:cs="Arial"/>
          <w:i/>
          <w:sz w:val="24"/>
          <w:szCs w:val="24"/>
        </w:rPr>
      </w:pPr>
      <w:r w:rsidRPr="002C3225">
        <w:rPr>
          <w:rFonts w:ascii="Arial" w:hAnsi="Arial" w:cs="Arial"/>
          <w:i/>
          <w:sz w:val="24"/>
          <w:szCs w:val="24"/>
        </w:rPr>
        <w:t>Right to privacy, family and home</w:t>
      </w:r>
    </w:p>
    <w:p w14:paraId="2724A4F4" w14:textId="4074B3EB" w:rsidR="004A1A35" w:rsidRPr="002C3225" w:rsidRDefault="002C3225" w:rsidP="004179AD">
      <w:pPr>
        <w:autoSpaceDE w:val="0"/>
        <w:autoSpaceDN w:val="0"/>
        <w:adjustRightInd w:val="0"/>
        <w:spacing w:after="240" w:line="240" w:lineRule="auto"/>
        <w:rPr>
          <w:rFonts w:ascii="Arial" w:hAnsi="Arial" w:cs="Arial"/>
          <w:sz w:val="24"/>
          <w:szCs w:val="24"/>
        </w:rPr>
      </w:pPr>
      <w:r w:rsidRPr="002C3225">
        <w:rPr>
          <w:rFonts w:ascii="Arial" w:hAnsi="Arial" w:cs="Arial"/>
          <w:sz w:val="24"/>
          <w:szCs w:val="24"/>
        </w:rPr>
        <w:t>Section 12 of the HRA protects the right to privacy, family, home or correspondence. Almost all of the proposed amendments, whether taken together or in isolation, promote the right not to have one’s privacy, family, home or correspondence interfered with unlawfully or arbitrarily. For example, the amendment to increase notice requirements for inspections</w:t>
      </w:r>
      <w:r w:rsidR="00BA592E">
        <w:rPr>
          <w:rFonts w:ascii="Arial" w:hAnsi="Arial" w:cs="Arial"/>
          <w:sz w:val="24"/>
          <w:szCs w:val="24"/>
        </w:rPr>
        <w:t xml:space="preserve"> for prospective purchasers</w:t>
      </w:r>
      <w:r w:rsidRPr="002C3225">
        <w:rPr>
          <w:rFonts w:ascii="Arial" w:hAnsi="Arial" w:cs="Arial"/>
          <w:sz w:val="24"/>
          <w:szCs w:val="24"/>
        </w:rPr>
        <w:t xml:space="preserve"> and set a maximum number of weekly inspections</w:t>
      </w:r>
      <w:r w:rsidR="00A50E9D">
        <w:rPr>
          <w:rStyle w:val="FootnoteReference"/>
          <w:rFonts w:ascii="Arial" w:hAnsi="Arial"/>
          <w:sz w:val="24"/>
          <w:szCs w:val="24"/>
        </w:rPr>
        <w:footnoteReference w:id="4"/>
      </w:r>
      <w:r w:rsidR="00FC07A6">
        <w:rPr>
          <w:rFonts w:ascii="Arial" w:hAnsi="Arial" w:cs="Arial"/>
          <w:sz w:val="24"/>
          <w:szCs w:val="24"/>
        </w:rPr>
        <w:t xml:space="preserve"> </w:t>
      </w:r>
      <w:r w:rsidRPr="002C3225">
        <w:rPr>
          <w:rFonts w:ascii="Arial" w:hAnsi="Arial" w:cs="Arial"/>
          <w:sz w:val="24"/>
          <w:szCs w:val="24"/>
        </w:rPr>
        <w:t>promotes a tenant’s right to privacy and home</w:t>
      </w:r>
      <w:r w:rsidR="00BA592E">
        <w:rPr>
          <w:rFonts w:ascii="Arial" w:hAnsi="Arial" w:cs="Arial"/>
          <w:sz w:val="24"/>
          <w:szCs w:val="24"/>
        </w:rPr>
        <w:t xml:space="preserve"> by restricting the requirement for the tenant to give strangers access to their home</w:t>
      </w:r>
      <w:r w:rsidRPr="002C3225">
        <w:rPr>
          <w:rFonts w:ascii="Arial" w:hAnsi="Arial" w:cs="Arial"/>
          <w:sz w:val="24"/>
          <w:szCs w:val="24"/>
        </w:rPr>
        <w:t>.</w:t>
      </w:r>
      <w:r w:rsidR="00BA592E">
        <w:rPr>
          <w:rFonts w:ascii="Arial" w:hAnsi="Arial" w:cs="Arial"/>
          <w:sz w:val="24"/>
          <w:szCs w:val="24"/>
        </w:rPr>
        <w:t xml:space="preserve"> Increasing the notice period</w:t>
      </w:r>
      <w:r w:rsidR="00005BEA">
        <w:rPr>
          <w:rFonts w:ascii="Arial" w:hAnsi="Arial" w:cs="Arial"/>
          <w:sz w:val="24"/>
          <w:szCs w:val="24"/>
        </w:rPr>
        <w:t>,</w:t>
      </w:r>
      <w:r w:rsidR="00BA592E">
        <w:rPr>
          <w:rFonts w:ascii="Arial" w:hAnsi="Arial" w:cs="Arial"/>
          <w:sz w:val="24"/>
          <w:szCs w:val="24"/>
        </w:rPr>
        <w:t xml:space="preserve"> a landlord must give when terminating a tenancy in order to move into the property</w:t>
      </w:r>
      <w:r w:rsidR="00005BEA">
        <w:rPr>
          <w:rFonts w:ascii="Arial" w:hAnsi="Arial" w:cs="Arial"/>
          <w:sz w:val="24"/>
          <w:szCs w:val="24"/>
        </w:rPr>
        <w:t>,</w:t>
      </w:r>
      <w:r w:rsidR="00A50E9D">
        <w:rPr>
          <w:rStyle w:val="FootnoteReference"/>
          <w:rFonts w:ascii="Arial" w:hAnsi="Arial"/>
          <w:sz w:val="24"/>
          <w:szCs w:val="24"/>
        </w:rPr>
        <w:footnoteReference w:id="5"/>
      </w:r>
      <w:r w:rsidR="00BA592E">
        <w:rPr>
          <w:rFonts w:ascii="Arial" w:hAnsi="Arial" w:cs="Arial"/>
          <w:sz w:val="24"/>
          <w:szCs w:val="24"/>
        </w:rPr>
        <w:t xml:space="preserve"> </w:t>
      </w:r>
      <w:r w:rsidR="00005BEA">
        <w:rPr>
          <w:rFonts w:ascii="Arial" w:hAnsi="Arial" w:cs="Arial"/>
          <w:sz w:val="24"/>
          <w:szCs w:val="24"/>
        </w:rPr>
        <w:t xml:space="preserve">also </w:t>
      </w:r>
      <w:r w:rsidR="00BA592E">
        <w:rPr>
          <w:rFonts w:ascii="Arial" w:hAnsi="Arial" w:cs="Arial"/>
          <w:sz w:val="24"/>
          <w:szCs w:val="24"/>
        </w:rPr>
        <w:t>promotes a tenant’s right to privacy and home by increasing the security that a tenant has in their tenancy when they are not in breach of the tenancy agreement.</w:t>
      </w:r>
      <w:r w:rsidR="00005BEA">
        <w:rPr>
          <w:rFonts w:ascii="Arial" w:hAnsi="Arial" w:cs="Arial"/>
          <w:sz w:val="24"/>
          <w:szCs w:val="24"/>
        </w:rPr>
        <w:t xml:space="preserve"> </w:t>
      </w:r>
      <w:r w:rsidRPr="002C3225">
        <w:rPr>
          <w:rFonts w:ascii="Arial" w:hAnsi="Arial" w:cs="Arial"/>
          <w:sz w:val="24"/>
          <w:szCs w:val="24"/>
        </w:rPr>
        <w:t>Having a stable and relatively permanent place of residence provides a space for individual tenants to develop their identity</w:t>
      </w:r>
      <w:r w:rsidR="004179AD">
        <w:rPr>
          <w:rFonts w:ascii="Arial" w:hAnsi="Arial" w:cs="Arial"/>
          <w:sz w:val="24"/>
          <w:szCs w:val="24"/>
        </w:rPr>
        <w:t xml:space="preserve"> and</w:t>
      </w:r>
      <w:r w:rsidRPr="002C3225">
        <w:rPr>
          <w:rFonts w:ascii="Arial" w:hAnsi="Arial" w:cs="Arial"/>
          <w:sz w:val="24"/>
          <w:szCs w:val="24"/>
        </w:rPr>
        <w:t xml:space="preserve"> to have personal security and mental stability. Where the tenants of a residential </w:t>
      </w:r>
      <w:r w:rsidRPr="002C3225">
        <w:rPr>
          <w:rFonts w:ascii="Arial" w:hAnsi="Arial" w:cs="Arial"/>
          <w:sz w:val="24"/>
          <w:szCs w:val="24"/>
        </w:rPr>
        <w:lastRenderedPageBreak/>
        <w:t>premises comprise a family, the proposed amendments also promote protections afforded to families in the ACT under s</w:t>
      </w:r>
      <w:r w:rsidR="004179AD">
        <w:rPr>
          <w:rFonts w:ascii="Arial" w:hAnsi="Arial" w:cs="Arial"/>
          <w:sz w:val="24"/>
          <w:szCs w:val="24"/>
        </w:rPr>
        <w:t>ection</w:t>
      </w:r>
      <w:r w:rsidRPr="002C3225">
        <w:rPr>
          <w:rFonts w:ascii="Arial" w:hAnsi="Arial" w:cs="Arial"/>
          <w:sz w:val="24"/>
          <w:szCs w:val="24"/>
        </w:rPr>
        <w:t xml:space="preserve"> 11(1) of the HRA.</w:t>
      </w:r>
    </w:p>
    <w:p w14:paraId="480F90F4" w14:textId="6D34F42B" w:rsidR="00CE5C83" w:rsidRDefault="002C3225" w:rsidP="00152347">
      <w:pPr>
        <w:autoSpaceDE w:val="0"/>
        <w:autoSpaceDN w:val="0"/>
        <w:adjustRightInd w:val="0"/>
        <w:spacing w:after="240" w:line="240" w:lineRule="auto"/>
        <w:rPr>
          <w:rFonts w:ascii="Arial" w:hAnsi="Arial" w:cs="Arial"/>
          <w:sz w:val="24"/>
          <w:szCs w:val="24"/>
        </w:rPr>
      </w:pPr>
      <w:r w:rsidRPr="002C3225">
        <w:rPr>
          <w:rFonts w:ascii="Arial" w:hAnsi="Arial" w:cs="Arial"/>
          <w:sz w:val="24"/>
          <w:szCs w:val="24"/>
        </w:rPr>
        <w:t xml:space="preserve">While most of the amendments promote the right to privacy and home, </w:t>
      </w:r>
      <w:r w:rsidR="004179AD">
        <w:rPr>
          <w:rFonts w:ascii="Arial" w:hAnsi="Arial" w:cs="Arial"/>
          <w:sz w:val="24"/>
          <w:szCs w:val="24"/>
        </w:rPr>
        <w:t>clauses 9</w:t>
      </w:r>
      <w:r w:rsidR="00A50E9D">
        <w:rPr>
          <w:rFonts w:ascii="Arial" w:hAnsi="Arial" w:cs="Arial"/>
          <w:sz w:val="24"/>
          <w:szCs w:val="24"/>
        </w:rPr>
        <w:t xml:space="preserve"> </w:t>
      </w:r>
      <w:r w:rsidR="004179AD">
        <w:rPr>
          <w:rFonts w:ascii="Arial" w:hAnsi="Arial" w:cs="Arial"/>
          <w:sz w:val="24"/>
          <w:szCs w:val="24"/>
        </w:rPr>
        <w:t>and 2</w:t>
      </w:r>
      <w:r w:rsidR="00A50E9D">
        <w:rPr>
          <w:rFonts w:ascii="Arial" w:hAnsi="Arial" w:cs="Arial"/>
          <w:sz w:val="24"/>
          <w:szCs w:val="24"/>
        </w:rPr>
        <w:t>2 of the Bil</w:t>
      </w:r>
      <w:r w:rsidR="00CE10D0">
        <w:rPr>
          <w:rFonts w:ascii="Arial" w:hAnsi="Arial" w:cs="Arial"/>
          <w:sz w:val="24"/>
          <w:szCs w:val="24"/>
        </w:rPr>
        <w:t xml:space="preserve">l, </w:t>
      </w:r>
      <w:r w:rsidRPr="002C3225">
        <w:rPr>
          <w:rFonts w:ascii="Arial" w:hAnsi="Arial" w:cs="Arial"/>
          <w:sz w:val="24"/>
          <w:szCs w:val="24"/>
        </w:rPr>
        <w:t xml:space="preserve">which </w:t>
      </w:r>
      <w:r w:rsidR="004179AD">
        <w:rPr>
          <w:rFonts w:ascii="Arial" w:hAnsi="Arial" w:cs="Arial"/>
          <w:sz w:val="24"/>
          <w:szCs w:val="24"/>
        </w:rPr>
        <w:t>modify the landlord’s right to</w:t>
      </w:r>
      <w:r w:rsidRPr="002C3225">
        <w:rPr>
          <w:rFonts w:ascii="Arial" w:hAnsi="Arial" w:cs="Arial"/>
          <w:sz w:val="24"/>
          <w:szCs w:val="24"/>
        </w:rPr>
        <w:t xml:space="preserve"> </w:t>
      </w:r>
      <w:r w:rsidR="004179AD">
        <w:rPr>
          <w:rFonts w:ascii="Arial" w:hAnsi="Arial" w:cs="Arial"/>
          <w:sz w:val="24"/>
          <w:szCs w:val="24"/>
        </w:rPr>
        <w:t xml:space="preserve">seek an order to </w:t>
      </w:r>
      <w:r w:rsidRPr="002C3225">
        <w:rPr>
          <w:rFonts w:ascii="Arial" w:hAnsi="Arial" w:cs="Arial"/>
          <w:sz w:val="24"/>
          <w:szCs w:val="24"/>
        </w:rPr>
        <w:t>terminat</w:t>
      </w:r>
      <w:r w:rsidR="004179AD">
        <w:rPr>
          <w:rFonts w:ascii="Arial" w:hAnsi="Arial" w:cs="Arial"/>
          <w:sz w:val="24"/>
          <w:szCs w:val="24"/>
        </w:rPr>
        <w:t>e</w:t>
      </w:r>
      <w:r w:rsidRPr="002C3225">
        <w:rPr>
          <w:rFonts w:ascii="Arial" w:hAnsi="Arial" w:cs="Arial"/>
          <w:sz w:val="24"/>
          <w:szCs w:val="24"/>
        </w:rPr>
        <w:t xml:space="preserve"> a </w:t>
      </w:r>
      <w:r w:rsidR="004179AD">
        <w:rPr>
          <w:rFonts w:ascii="Arial" w:hAnsi="Arial" w:cs="Arial"/>
          <w:sz w:val="24"/>
          <w:szCs w:val="24"/>
        </w:rPr>
        <w:t xml:space="preserve">tenancy agreement </w:t>
      </w:r>
      <w:r w:rsidRPr="002C3225">
        <w:rPr>
          <w:rFonts w:ascii="Arial" w:hAnsi="Arial" w:cs="Arial"/>
          <w:sz w:val="24"/>
          <w:szCs w:val="24"/>
        </w:rPr>
        <w:t>on the basis that the property has been used for an illegal purpose, engages and limits this right. This is because the measure may result in a person’s tenancy being terminated and as such will interfere with that person’s and their family’s home. However, this right may be subject to reasonable limitations under s</w:t>
      </w:r>
      <w:r w:rsidR="004179AD">
        <w:rPr>
          <w:rFonts w:ascii="Arial" w:hAnsi="Arial" w:cs="Arial"/>
          <w:sz w:val="24"/>
          <w:szCs w:val="24"/>
        </w:rPr>
        <w:t>ection</w:t>
      </w:r>
      <w:r w:rsidRPr="002C3225">
        <w:rPr>
          <w:rFonts w:ascii="Arial" w:hAnsi="Arial" w:cs="Arial"/>
          <w:sz w:val="24"/>
          <w:szCs w:val="24"/>
        </w:rPr>
        <w:t xml:space="preserve"> 28 of the HRA. Applying th</w:t>
      </w:r>
      <w:r w:rsidR="00005BEA">
        <w:rPr>
          <w:rFonts w:ascii="Arial" w:hAnsi="Arial" w:cs="Arial"/>
          <w:sz w:val="24"/>
          <w:szCs w:val="24"/>
        </w:rPr>
        <w:t>e</w:t>
      </w:r>
      <w:r w:rsidRPr="002C3225">
        <w:rPr>
          <w:rFonts w:ascii="Arial" w:hAnsi="Arial" w:cs="Arial"/>
          <w:sz w:val="24"/>
          <w:szCs w:val="24"/>
        </w:rPr>
        <w:t xml:space="preserve"> criteria</w:t>
      </w:r>
      <w:r w:rsidR="00005BEA">
        <w:rPr>
          <w:rFonts w:ascii="Arial" w:hAnsi="Arial" w:cs="Arial"/>
          <w:sz w:val="24"/>
          <w:szCs w:val="24"/>
        </w:rPr>
        <w:t xml:space="preserve"> under section 28</w:t>
      </w:r>
      <w:r w:rsidRPr="002C3225">
        <w:rPr>
          <w:rFonts w:ascii="Arial" w:hAnsi="Arial" w:cs="Arial"/>
          <w:sz w:val="24"/>
          <w:szCs w:val="24"/>
        </w:rPr>
        <w:t>, the overarching purpose of the measure is to protect the legitimate interests of landlords in a property in circumstances where it is being used for an illegal purpose. As outlined in the 2016 review, the concern is that certain forms of illegal use of rental properties may adversely impact the interests of landlords in a property, such as, for example, by creating difficulties for landlords in re-le</w:t>
      </w:r>
      <w:r w:rsidR="00CF68B4">
        <w:rPr>
          <w:rFonts w:ascii="Arial" w:hAnsi="Arial" w:cs="Arial"/>
          <w:sz w:val="24"/>
          <w:szCs w:val="24"/>
        </w:rPr>
        <w:t>tt</w:t>
      </w:r>
      <w:r w:rsidRPr="002C3225">
        <w:rPr>
          <w:rFonts w:ascii="Arial" w:hAnsi="Arial" w:cs="Arial"/>
          <w:sz w:val="24"/>
          <w:szCs w:val="24"/>
        </w:rPr>
        <w:t xml:space="preserve">ing the property. The measure, by </w:t>
      </w:r>
      <w:r w:rsidR="00CF68B4">
        <w:rPr>
          <w:rFonts w:ascii="Arial" w:hAnsi="Arial" w:cs="Arial"/>
          <w:sz w:val="24"/>
          <w:szCs w:val="24"/>
        </w:rPr>
        <w:t>clarifying how</w:t>
      </w:r>
      <w:r w:rsidRPr="002C3225">
        <w:rPr>
          <w:rFonts w:ascii="Arial" w:hAnsi="Arial" w:cs="Arial"/>
          <w:sz w:val="24"/>
          <w:szCs w:val="24"/>
        </w:rPr>
        <w:t xml:space="preserve"> a tenancy </w:t>
      </w:r>
      <w:r w:rsidR="00CF68B4">
        <w:rPr>
          <w:rFonts w:ascii="Arial" w:hAnsi="Arial" w:cs="Arial"/>
          <w:sz w:val="24"/>
          <w:szCs w:val="24"/>
        </w:rPr>
        <w:t>may</w:t>
      </w:r>
      <w:r w:rsidRPr="002C3225">
        <w:rPr>
          <w:rFonts w:ascii="Arial" w:hAnsi="Arial" w:cs="Arial"/>
          <w:sz w:val="24"/>
          <w:szCs w:val="24"/>
        </w:rPr>
        <w:t xml:space="preserve"> be terminated for ‘illegal use’, is likely to be effective to achieve the purpose of protecting the interests of landlords. It is acknowledged that the termination of a tenancy is a serious matter noting that it will result in an eviction of a </w:t>
      </w:r>
      <w:r w:rsidR="0061109C">
        <w:rPr>
          <w:rFonts w:ascii="Arial" w:hAnsi="Arial" w:cs="Arial"/>
          <w:sz w:val="24"/>
          <w:szCs w:val="24"/>
        </w:rPr>
        <w:t>tenant</w:t>
      </w:r>
      <w:r w:rsidRPr="002C3225">
        <w:rPr>
          <w:rFonts w:ascii="Arial" w:hAnsi="Arial" w:cs="Arial"/>
          <w:sz w:val="24"/>
          <w:szCs w:val="24"/>
        </w:rPr>
        <w:t xml:space="preserve"> and their family from their home. </w:t>
      </w:r>
    </w:p>
    <w:p w14:paraId="7B1FDFD6" w14:textId="672BDFF0" w:rsidR="00CE5C83" w:rsidRDefault="002C3225" w:rsidP="00152347">
      <w:pPr>
        <w:autoSpaceDE w:val="0"/>
        <w:autoSpaceDN w:val="0"/>
        <w:adjustRightInd w:val="0"/>
        <w:spacing w:after="240" w:line="240" w:lineRule="auto"/>
        <w:rPr>
          <w:rFonts w:ascii="Arial" w:hAnsi="Arial" w:cs="Arial"/>
          <w:sz w:val="24"/>
          <w:szCs w:val="24"/>
        </w:rPr>
      </w:pPr>
      <w:r w:rsidRPr="002C3225">
        <w:rPr>
          <w:rFonts w:ascii="Arial" w:hAnsi="Arial" w:cs="Arial"/>
          <w:sz w:val="24"/>
          <w:szCs w:val="24"/>
        </w:rPr>
        <w:t xml:space="preserve">However, there are a number of significant safeguards to ensure that the provision operates in a way that is the least rights restrictive approach to achieving its purpose. </w:t>
      </w:r>
      <w:r w:rsidR="005F5105">
        <w:rPr>
          <w:rFonts w:ascii="Arial" w:hAnsi="Arial" w:cs="Arial"/>
          <w:sz w:val="24"/>
          <w:szCs w:val="24"/>
        </w:rPr>
        <w:t>Under the RTA</w:t>
      </w:r>
      <w:r w:rsidR="00AA3E31">
        <w:rPr>
          <w:rFonts w:ascii="Arial" w:hAnsi="Arial" w:cs="Arial"/>
          <w:sz w:val="24"/>
          <w:szCs w:val="24"/>
        </w:rPr>
        <w:t>, a</w:t>
      </w:r>
      <w:r w:rsidRPr="002C3225">
        <w:rPr>
          <w:rFonts w:ascii="Arial" w:hAnsi="Arial" w:cs="Arial"/>
          <w:sz w:val="24"/>
          <w:szCs w:val="24"/>
        </w:rPr>
        <w:t xml:space="preserve"> key safeguard is </w:t>
      </w:r>
      <w:r w:rsidR="00CF68B4">
        <w:rPr>
          <w:rFonts w:ascii="Arial" w:hAnsi="Arial" w:cs="Arial"/>
          <w:sz w:val="24"/>
          <w:szCs w:val="24"/>
        </w:rPr>
        <w:t>that</w:t>
      </w:r>
      <w:r w:rsidR="0061109C">
        <w:rPr>
          <w:rFonts w:ascii="Arial" w:hAnsi="Arial" w:cs="Arial"/>
          <w:sz w:val="24"/>
          <w:szCs w:val="24"/>
        </w:rPr>
        <w:t xml:space="preserve"> there is a structured process that</w:t>
      </w:r>
      <w:r w:rsidR="00CE10D0">
        <w:rPr>
          <w:rFonts w:ascii="Arial" w:hAnsi="Arial" w:cs="Arial"/>
          <w:sz w:val="24"/>
          <w:szCs w:val="24"/>
        </w:rPr>
        <w:t xml:space="preserve"> sets out when, and in what circumstances,</w:t>
      </w:r>
      <w:r w:rsidR="0061109C">
        <w:rPr>
          <w:rFonts w:ascii="Arial" w:hAnsi="Arial" w:cs="Arial"/>
          <w:sz w:val="24"/>
          <w:szCs w:val="24"/>
        </w:rPr>
        <w:t xml:space="preserve"> the landlord </w:t>
      </w:r>
      <w:r w:rsidR="00CE10D0">
        <w:rPr>
          <w:rFonts w:ascii="Arial" w:hAnsi="Arial" w:cs="Arial"/>
          <w:sz w:val="24"/>
          <w:szCs w:val="24"/>
        </w:rPr>
        <w:t>may</w:t>
      </w:r>
      <w:r w:rsidR="0061109C">
        <w:rPr>
          <w:rFonts w:ascii="Arial" w:hAnsi="Arial" w:cs="Arial"/>
          <w:sz w:val="24"/>
          <w:szCs w:val="24"/>
        </w:rPr>
        <w:t xml:space="preserve"> terminate for illegal use of a property</w:t>
      </w:r>
      <w:r w:rsidRPr="002C3225">
        <w:rPr>
          <w:rFonts w:ascii="Arial" w:hAnsi="Arial" w:cs="Arial"/>
          <w:sz w:val="24"/>
          <w:szCs w:val="24"/>
        </w:rPr>
        <w:t xml:space="preserve">. </w:t>
      </w:r>
      <w:r w:rsidR="00460FE8">
        <w:rPr>
          <w:rFonts w:ascii="Arial" w:hAnsi="Arial" w:cs="Arial"/>
          <w:sz w:val="24"/>
          <w:szCs w:val="24"/>
        </w:rPr>
        <w:t xml:space="preserve">In relation a tenant’s </w:t>
      </w:r>
      <w:r w:rsidR="0061109C">
        <w:rPr>
          <w:rFonts w:ascii="Arial" w:hAnsi="Arial" w:cs="Arial"/>
          <w:sz w:val="24"/>
          <w:szCs w:val="24"/>
        </w:rPr>
        <w:t>breach</w:t>
      </w:r>
      <w:r w:rsidR="00460FE8">
        <w:rPr>
          <w:rFonts w:ascii="Arial" w:hAnsi="Arial" w:cs="Arial"/>
          <w:sz w:val="24"/>
          <w:szCs w:val="24"/>
        </w:rPr>
        <w:t xml:space="preserve"> of</w:t>
      </w:r>
      <w:r w:rsidR="0061109C">
        <w:rPr>
          <w:rFonts w:ascii="Arial" w:hAnsi="Arial" w:cs="Arial"/>
          <w:sz w:val="24"/>
          <w:szCs w:val="24"/>
        </w:rPr>
        <w:t xml:space="preserve"> the illegal use clause of the Standard Terms, </w:t>
      </w:r>
      <w:r w:rsidR="00460FE8">
        <w:rPr>
          <w:rFonts w:ascii="Arial" w:hAnsi="Arial" w:cs="Arial"/>
          <w:sz w:val="24"/>
          <w:szCs w:val="24"/>
        </w:rPr>
        <w:t>th</w:t>
      </w:r>
      <w:r w:rsidR="003A3A50">
        <w:rPr>
          <w:rFonts w:ascii="Arial" w:hAnsi="Arial" w:cs="Arial"/>
          <w:sz w:val="24"/>
          <w:szCs w:val="24"/>
        </w:rPr>
        <w:t xml:space="preserve">e </w:t>
      </w:r>
      <w:r w:rsidR="00460FE8">
        <w:rPr>
          <w:rFonts w:ascii="Arial" w:hAnsi="Arial" w:cs="Arial"/>
          <w:sz w:val="24"/>
          <w:szCs w:val="24"/>
        </w:rPr>
        <w:t xml:space="preserve">process is for the landlord </w:t>
      </w:r>
      <w:r w:rsidR="0061109C">
        <w:rPr>
          <w:rFonts w:ascii="Arial" w:hAnsi="Arial" w:cs="Arial"/>
          <w:sz w:val="24"/>
          <w:szCs w:val="24"/>
        </w:rPr>
        <w:t xml:space="preserve">to serve a written notice requiring the tenant to remedy the breach within two weeks if it is capable of remedy (clause 93(a) of the Standard Terms). If the breach is not remedied after two weeks, the landlord </w:t>
      </w:r>
      <w:r w:rsidR="00460FE8">
        <w:rPr>
          <w:rFonts w:ascii="Arial" w:hAnsi="Arial" w:cs="Arial"/>
          <w:sz w:val="24"/>
          <w:szCs w:val="24"/>
        </w:rPr>
        <w:t xml:space="preserve">can </w:t>
      </w:r>
      <w:r w:rsidR="0061109C">
        <w:rPr>
          <w:rFonts w:ascii="Arial" w:hAnsi="Arial" w:cs="Arial"/>
          <w:sz w:val="24"/>
          <w:szCs w:val="24"/>
        </w:rPr>
        <w:t>give a notice to vac</w:t>
      </w:r>
      <w:r w:rsidR="00F647A9">
        <w:rPr>
          <w:rFonts w:ascii="Arial" w:hAnsi="Arial" w:cs="Arial"/>
          <w:sz w:val="24"/>
          <w:szCs w:val="24"/>
        </w:rPr>
        <w:t>ate stating that the tenant has two weeks in which to vacate the property</w:t>
      </w:r>
      <w:r w:rsidR="00A82EED">
        <w:rPr>
          <w:rFonts w:ascii="Arial" w:hAnsi="Arial" w:cs="Arial"/>
          <w:sz w:val="24"/>
          <w:szCs w:val="24"/>
        </w:rPr>
        <w:t xml:space="preserve"> (clause 93(b) of the Standard Terms)</w:t>
      </w:r>
      <w:r w:rsidR="00F647A9">
        <w:rPr>
          <w:rFonts w:ascii="Arial" w:hAnsi="Arial" w:cs="Arial"/>
          <w:sz w:val="24"/>
          <w:szCs w:val="24"/>
        </w:rPr>
        <w:t>. The tenant may refuse to comply with the notice to vacate if they think the notice was unlawful or unreasonable. If the tenant refuse</w:t>
      </w:r>
      <w:r w:rsidR="0057380D">
        <w:rPr>
          <w:rFonts w:ascii="Arial" w:hAnsi="Arial" w:cs="Arial"/>
          <w:sz w:val="24"/>
          <w:szCs w:val="24"/>
        </w:rPr>
        <w:t>s</w:t>
      </w:r>
      <w:r w:rsidR="00F647A9">
        <w:rPr>
          <w:rFonts w:ascii="Arial" w:hAnsi="Arial" w:cs="Arial"/>
          <w:sz w:val="24"/>
          <w:szCs w:val="24"/>
        </w:rPr>
        <w:t xml:space="preserve"> to comply</w:t>
      </w:r>
      <w:r w:rsidR="0057380D">
        <w:rPr>
          <w:rFonts w:ascii="Arial" w:hAnsi="Arial" w:cs="Arial"/>
          <w:sz w:val="24"/>
          <w:szCs w:val="24"/>
        </w:rPr>
        <w:t xml:space="preserve"> with the notice</w:t>
      </w:r>
      <w:r w:rsidR="00F647A9">
        <w:rPr>
          <w:rFonts w:ascii="Arial" w:hAnsi="Arial" w:cs="Arial"/>
          <w:sz w:val="24"/>
          <w:szCs w:val="24"/>
        </w:rPr>
        <w:t xml:space="preserve">, the landlord </w:t>
      </w:r>
      <w:r w:rsidR="003A3A50">
        <w:rPr>
          <w:rFonts w:ascii="Arial" w:hAnsi="Arial" w:cs="Arial"/>
          <w:sz w:val="24"/>
          <w:szCs w:val="24"/>
        </w:rPr>
        <w:t>can</w:t>
      </w:r>
      <w:r w:rsidR="00F647A9">
        <w:rPr>
          <w:rFonts w:ascii="Arial" w:hAnsi="Arial" w:cs="Arial"/>
          <w:sz w:val="24"/>
          <w:szCs w:val="24"/>
        </w:rPr>
        <w:t xml:space="preserve"> seek an order from the Tribunal</w:t>
      </w:r>
      <w:r w:rsidR="00A82EED">
        <w:rPr>
          <w:rFonts w:ascii="Arial" w:hAnsi="Arial" w:cs="Arial"/>
          <w:sz w:val="24"/>
          <w:szCs w:val="24"/>
        </w:rPr>
        <w:t xml:space="preserve"> </w:t>
      </w:r>
      <w:r w:rsidR="00CE10D0">
        <w:rPr>
          <w:rFonts w:ascii="Arial" w:hAnsi="Arial" w:cs="Arial"/>
          <w:sz w:val="24"/>
          <w:szCs w:val="24"/>
        </w:rPr>
        <w:t>for the termination of the tenancy</w:t>
      </w:r>
      <w:r w:rsidR="00460FE8">
        <w:rPr>
          <w:rFonts w:ascii="Arial" w:hAnsi="Arial" w:cs="Arial"/>
          <w:sz w:val="24"/>
          <w:szCs w:val="24"/>
        </w:rPr>
        <w:t xml:space="preserve"> and eviction of the tenant </w:t>
      </w:r>
      <w:r w:rsidR="00A82EED">
        <w:rPr>
          <w:rFonts w:ascii="Arial" w:hAnsi="Arial" w:cs="Arial"/>
          <w:sz w:val="24"/>
          <w:szCs w:val="24"/>
        </w:rPr>
        <w:t>(clause 93(c) of the Standard Terms)</w:t>
      </w:r>
      <w:r w:rsidR="00F647A9">
        <w:rPr>
          <w:rFonts w:ascii="Arial" w:hAnsi="Arial" w:cs="Arial"/>
          <w:sz w:val="24"/>
          <w:szCs w:val="24"/>
        </w:rPr>
        <w:t>.</w:t>
      </w:r>
      <w:r w:rsidR="0061109C">
        <w:rPr>
          <w:rFonts w:ascii="Arial" w:hAnsi="Arial" w:cs="Arial"/>
          <w:sz w:val="24"/>
          <w:szCs w:val="24"/>
        </w:rPr>
        <w:t xml:space="preserve"> </w:t>
      </w:r>
      <w:r w:rsidR="00CF68B4">
        <w:rPr>
          <w:rFonts w:ascii="Arial" w:hAnsi="Arial" w:cs="Arial"/>
          <w:sz w:val="24"/>
          <w:szCs w:val="24"/>
        </w:rPr>
        <w:t>T</w:t>
      </w:r>
      <w:r w:rsidRPr="002C3225">
        <w:rPr>
          <w:rFonts w:ascii="Arial" w:hAnsi="Arial" w:cs="Arial"/>
          <w:sz w:val="24"/>
          <w:szCs w:val="24"/>
        </w:rPr>
        <w:t>he</w:t>
      </w:r>
      <w:r w:rsidR="006A7DCF">
        <w:rPr>
          <w:rFonts w:ascii="Arial" w:hAnsi="Arial" w:cs="Arial"/>
          <w:sz w:val="24"/>
          <w:szCs w:val="24"/>
        </w:rPr>
        <w:t> </w:t>
      </w:r>
      <w:r w:rsidRPr="002C3225">
        <w:rPr>
          <w:rFonts w:ascii="Arial" w:hAnsi="Arial" w:cs="Arial"/>
          <w:sz w:val="24"/>
          <w:szCs w:val="24"/>
        </w:rPr>
        <w:t>Tribunal</w:t>
      </w:r>
      <w:r w:rsidR="00F647A9">
        <w:rPr>
          <w:rFonts w:ascii="Arial" w:hAnsi="Arial" w:cs="Arial"/>
          <w:sz w:val="24"/>
          <w:szCs w:val="24"/>
        </w:rPr>
        <w:t xml:space="preserve"> is not required to make an order in favour of the landlord; the power is</w:t>
      </w:r>
      <w:r w:rsidR="006A7DCF">
        <w:rPr>
          <w:rFonts w:ascii="Arial" w:hAnsi="Arial" w:cs="Arial"/>
          <w:sz w:val="24"/>
          <w:szCs w:val="24"/>
        </w:rPr>
        <w:t xml:space="preserve"> discretion</w:t>
      </w:r>
      <w:r w:rsidR="00F647A9">
        <w:rPr>
          <w:rFonts w:ascii="Arial" w:hAnsi="Arial" w:cs="Arial"/>
          <w:sz w:val="24"/>
          <w:szCs w:val="24"/>
        </w:rPr>
        <w:t>ary</w:t>
      </w:r>
      <w:r w:rsidR="00A82EED">
        <w:rPr>
          <w:rFonts w:ascii="Arial" w:hAnsi="Arial" w:cs="Arial"/>
          <w:sz w:val="24"/>
          <w:szCs w:val="24"/>
        </w:rPr>
        <w:t xml:space="preserve"> (section 48(1)</w:t>
      </w:r>
      <w:r w:rsidR="00460FE8">
        <w:rPr>
          <w:rFonts w:ascii="Arial" w:hAnsi="Arial" w:cs="Arial"/>
          <w:sz w:val="24"/>
          <w:szCs w:val="24"/>
        </w:rPr>
        <w:t xml:space="preserve"> of the RTA</w:t>
      </w:r>
      <w:r w:rsidR="00A82EED">
        <w:rPr>
          <w:rFonts w:ascii="Arial" w:hAnsi="Arial" w:cs="Arial"/>
          <w:sz w:val="24"/>
          <w:szCs w:val="24"/>
        </w:rPr>
        <w:t xml:space="preserve">). </w:t>
      </w:r>
    </w:p>
    <w:p w14:paraId="51935A37" w14:textId="5B93B5D7" w:rsidR="004219B7" w:rsidRPr="004219B7" w:rsidRDefault="00A82EED" w:rsidP="00152347">
      <w:pPr>
        <w:autoSpaceDE w:val="0"/>
        <w:autoSpaceDN w:val="0"/>
        <w:adjustRightInd w:val="0"/>
        <w:spacing w:after="240" w:line="240" w:lineRule="auto"/>
        <w:rPr>
          <w:rFonts w:ascii="Arial" w:hAnsi="Arial" w:cs="Arial"/>
          <w:sz w:val="24"/>
          <w:szCs w:val="24"/>
        </w:rPr>
      </w:pPr>
      <w:r>
        <w:rPr>
          <w:rFonts w:ascii="Arial" w:hAnsi="Arial" w:cs="Arial"/>
          <w:sz w:val="24"/>
          <w:szCs w:val="24"/>
        </w:rPr>
        <w:t xml:space="preserve">Further, the Tribunal may make </w:t>
      </w:r>
      <w:r w:rsidR="006A7DCF">
        <w:rPr>
          <w:rFonts w:ascii="Arial" w:hAnsi="Arial" w:cs="Arial"/>
          <w:sz w:val="24"/>
          <w:szCs w:val="24"/>
        </w:rPr>
        <w:t>a termination and possession</w:t>
      </w:r>
      <w:r w:rsidR="00CE5C83">
        <w:rPr>
          <w:rFonts w:ascii="Arial" w:hAnsi="Arial" w:cs="Arial"/>
          <w:sz w:val="24"/>
          <w:szCs w:val="24"/>
        </w:rPr>
        <w:t xml:space="preserve"> order</w:t>
      </w:r>
      <w:r w:rsidR="006A7DCF">
        <w:rPr>
          <w:rFonts w:ascii="Arial" w:hAnsi="Arial" w:cs="Arial"/>
          <w:sz w:val="24"/>
          <w:szCs w:val="24"/>
        </w:rPr>
        <w:t xml:space="preserve"> only if it is</w:t>
      </w:r>
      <w:r w:rsidR="002C3225" w:rsidRPr="002C3225">
        <w:rPr>
          <w:rFonts w:ascii="Arial" w:hAnsi="Arial" w:cs="Arial"/>
          <w:sz w:val="24"/>
          <w:szCs w:val="24"/>
        </w:rPr>
        <w:t xml:space="preserve"> satisfied that the tenant has used the premises, or permitted the premises to be used, for an illegal purpose </w:t>
      </w:r>
      <w:r w:rsidR="002C3225" w:rsidRPr="002C3225">
        <w:rPr>
          <w:rFonts w:ascii="Arial" w:hAnsi="Arial" w:cs="Arial"/>
          <w:i/>
          <w:sz w:val="24"/>
          <w:szCs w:val="24"/>
        </w:rPr>
        <w:t>and</w:t>
      </w:r>
      <w:r w:rsidR="002C3225" w:rsidRPr="002C3225">
        <w:rPr>
          <w:rFonts w:ascii="Arial" w:hAnsi="Arial" w:cs="Arial"/>
          <w:sz w:val="24"/>
          <w:szCs w:val="24"/>
        </w:rPr>
        <w:t xml:space="preserve"> the illegal use of the premises justifies the termination of the tenancy</w:t>
      </w:r>
      <w:r>
        <w:rPr>
          <w:rFonts w:ascii="Arial" w:hAnsi="Arial" w:cs="Arial"/>
          <w:sz w:val="24"/>
          <w:szCs w:val="24"/>
        </w:rPr>
        <w:t xml:space="preserve"> (clause 9)</w:t>
      </w:r>
      <w:r w:rsidR="002C3225" w:rsidRPr="002C3225">
        <w:rPr>
          <w:rFonts w:ascii="Arial" w:hAnsi="Arial" w:cs="Arial"/>
          <w:sz w:val="24"/>
          <w:szCs w:val="24"/>
        </w:rPr>
        <w:t>.</w:t>
      </w:r>
      <w:r w:rsidR="00CE5C83">
        <w:rPr>
          <w:rStyle w:val="FootnoteReference"/>
          <w:rFonts w:ascii="Arial" w:hAnsi="Arial"/>
          <w:sz w:val="24"/>
          <w:szCs w:val="24"/>
        </w:rPr>
        <w:footnoteReference w:id="6"/>
      </w:r>
      <w:r w:rsidR="002C3225" w:rsidRPr="002C3225">
        <w:rPr>
          <w:rFonts w:ascii="Arial" w:hAnsi="Arial" w:cs="Arial"/>
          <w:sz w:val="24"/>
          <w:szCs w:val="24"/>
        </w:rPr>
        <w:t xml:space="preserve"> </w:t>
      </w:r>
      <w:r w:rsidR="00CE5C83">
        <w:rPr>
          <w:rFonts w:ascii="Arial" w:hAnsi="Arial" w:cs="Arial"/>
          <w:sz w:val="24"/>
          <w:szCs w:val="24"/>
        </w:rPr>
        <w:t>In reaching a decision, t</w:t>
      </w:r>
      <w:r w:rsidR="002C3225" w:rsidRPr="002C3225">
        <w:rPr>
          <w:rFonts w:ascii="Arial" w:hAnsi="Arial" w:cs="Arial"/>
          <w:sz w:val="24"/>
          <w:szCs w:val="24"/>
        </w:rPr>
        <w:t xml:space="preserve">he Tribunal may </w:t>
      </w:r>
      <w:r w:rsidR="004A1A35">
        <w:rPr>
          <w:rFonts w:ascii="Arial" w:hAnsi="Arial" w:cs="Arial"/>
          <w:sz w:val="24"/>
          <w:szCs w:val="24"/>
        </w:rPr>
        <w:t xml:space="preserve">also </w:t>
      </w:r>
      <w:r w:rsidR="002C3225" w:rsidRPr="002C3225">
        <w:rPr>
          <w:rFonts w:ascii="Arial" w:hAnsi="Arial" w:cs="Arial"/>
          <w:sz w:val="24"/>
          <w:szCs w:val="24"/>
        </w:rPr>
        <w:t>consider the nature of the illegal use; any previous illegal use; the previous history of the tenancy</w:t>
      </w:r>
      <w:r w:rsidR="00152347">
        <w:rPr>
          <w:rFonts w:ascii="Arial" w:hAnsi="Arial" w:cs="Arial"/>
          <w:sz w:val="24"/>
          <w:szCs w:val="24"/>
        </w:rPr>
        <w:t xml:space="preserve"> (clause 9)</w:t>
      </w:r>
      <w:r w:rsidR="002C3225" w:rsidRPr="002C3225">
        <w:rPr>
          <w:rFonts w:ascii="Arial" w:hAnsi="Arial" w:cs="Arial"/>
          <w:sz w:val="24"/>
          <w:szCs w:val="24"/>
        </w:rPr>
        <w:t xml:space="preserve">. </w:t>
      </w:r>
      <w:r w:rsidR="00595093">
        <w:rPr>
          <w:rFonts w:ascii="Arial" w:hAnsi="Arial" w:cs="Arial"/>
          <w:sz w:val="24"/>
          <w:szCs w:val="24"/>
        </w:rPr>
        <w:t>Allowing the Tribunal to consider</w:t>
      </w:r>
      <w:r w:rsidR="0042176F">
        <w:rPr>
          <w:rFonts w:ascii="Arial" w:hAnsi="Arial" w:cs="Arial"/>
          <w:sz w:val="24"/>
          <w:szCs w:val="24"/>
        </w:rPr>
        <w:t>, for example,</w:t>
      </w:r>
      <w:r w:rsidR="00595093">
        <w:rPr>
          <w:rFonts w:ascii="Arial" w:hAnsi="Arial" w:cs="Arial"/>
          <w:sz w:val="24"/>
          <w:szCs w:val="24"/>
        </w:rPr>
        <w:t xml:space="preserve"> the previous </w:t>
      </w:r>
      <w:r w:rsidR="00595093">
        <w:rPr>
          <w:rFonts w:ascii="Arial" w:hAnsi="Arial" w:cs="Arial"/>
          <w:sz w:val="24"/>
          <w:szCs w:val="24"/>
        </w:rPr>
        <w:lastRenderedPageBreak/>
        <w:t>history of the tenancy allows the Tribunal to consider the illegal use in its entire context</w:t>
      </w:r>
      <w:r w:rsidR="0042176F">
        <w:rPr>
          <w:rFonts w:ascii="Arial" w:hAnsi="Arial" w:cs="Arial"/>
          <w:sz w:val="24"/>
          <w:szCs w:val="24"/>
        </w:rPr>
        <w:t>. A</w:t>
      </w:r>
      <w:r w:rsidR="004A1A35">
        <w:rPr>
          <w:rFonts w:ascii="Arial" w:hAnsi="Arial" w:cs="Arial"/>
          <w:sz w:val="24"/>
          <w:szCs w:val="24"/>
        </w:rPr>
        <w:t>s such</w:t>
      </w:r>
      <w:r w:rsidR="0042176F">
        <w:rPr>
          <w:rFonts w:ascii="Arial" w:hAnsi="Arial" w:cs="Arial"/>
          <w:sz w:val="24"/>
          <w:szCs w:val="24"/>
        </w:rPr>
        <w:t>, this mechanism</w:t>
      </w:r>
      <w:r w:rsidR="004A1A35">
        <w:rPr>
          <w:rFonts w:ascii="Arial" w:hAnsi="Arial" w:cs="Arial"/>
          <w:sz w:val="24"/>
          <w:szCs w:val="24"/>
        </w:rPr>
        <w:t xml:space="preserve"> operates as an additional safeguard</w:t>
      </w:r>
      <w:r w:rsidR="00595093">
        <w:rPr>
          <w:rFonts w:ascii="Arial" w:hAnsi="Arial" w:cs="Arial"/>
          <w:sz w:val="24"/>
          <w:szCs w:val="24"/>
        </w:rPr>
        <w:t>.</w:t>
      </w:r>
      <w:r w:rsidR="004A1A35">
        <w:rPr>
          <w:rStyle w:val="FootnoteReference"/>
          <w:rFonts w:ascii="Arial" w:hAnsi="Arial"/>
          <w:sz w:val="24"/>
          <w:szCs w:val="24"/>
        </w:rPr>
        <w:footnoteReference w:id="7"/>
      </w:r>
      <w:r w:rsidR="00595093">
        <w:rPr>
          <w:rFonts w:ascii="Arial" w:hAnsi="Arial" w:cs="Arial"/>
          <w:sz w:val="24"/>
          <w:szCs w:val="24"/>
        </w:rPr>
        <w:t xml:space="preserve"> </w:t>
      </w:r>
      <w:r w:rsidR="004A1A35" w:rsidRPr="004A1A35">
        <w:rPr>
          <w:rFonts w:ascii="Arial" w:hAnsi="Arial" w:cs="Arial"/>
          <w:sz w:val="24"/>
          <w:szCs w:val="24"/>
        </w:rPr>
        <w:t>Accordingly, the measure constitutes a reasonable limitation on the right to privacy and home under section 28 and, as such, is compatible with this right</w:t>
      </w:r>
      <w:r w:rsidR="004A1A35">
        <w:rPr>
          <w:rFonts w:ascii="Arial" w:hAnsi="Arial" w:cs="Arial"/>
          <w:sz w:val="24"/>
          <w:szCs w:val="24"/>
        </w:rPr>
        <w:t xml:space="preserve">. </w:t>
      </w:r>
    </w:p>
    <w:p w14:paraId="19F35AFA" w14:textId="77777777" w:rsidR="00152347" w:rsidRPr="000D0DF6" w:rsidRDefault="00152347" w:rsidP="00152347">
      <w:pPr>
        <w:pStyle w:val="NoSpacing"/>
        <w:spacing w:after="240"/>
        <w:rPr>
          <w:rFonts w:ascii="Arial" w:hAnsi="Arial" w:cs="Arial"/>
          <w:i/>
          <w:sz w:val="24"/>
          <w:szCs w:val="24"/>
        </w:rPr>
      </w:pPr>
      <w:r w:rsidRPr="000D0DF6">
        <w:rPr>
          <w:rFonts w:ascii="Arial" w:hAnsi="Arial" w:cs="Arial"/>
          <w:i/>
          <w:sz w:val="24"/>
          <w:szCs w:val="24"/>
        </w:rPr>
        <w:t>Rights of the child</w:t>
      </w:r>
    </w:p>
    <w:bookmarkEnd w:id="1"/>
    <w:p w14:paraId="7FCC8C05" w14:textId="4CB3E035" w:rsidR="00605DD8" w:rsidRDefault="00152347" w:rsidP="001F0F85">
      <w:pPr>
        <w:keepNext/>
        <w:spacing w:after="240" w:line="240" w:lineRule="auto"/>
        <w:rPr>
          <w:rFonts w:ascii="Arial" w:hAnsi="Arial" w:cs="Arial"/>
          <w:sz w:val="24"/>
          <w:szCs w:val="24"/>
        </w:rPr>
      </w:pPr>
      <w:r>
        <w:rPr>
          <w:rFonts w:ascii="Arial" w:hAnsi="Arial" w:cs="Arial"/>
          <w:sz w:val="24"/>
          <w:szCs w:val="24"/>
        </w:rPr>
        <w:t>T</w:t>
      </w:r>
      <w:r w:rsidRPr="00605DD8">
        <w:rPr>
          <w:rFonts w:ascii="Arial" w:hAnsi="Arial" w:cs="Arial"/>
          <w:sz w:val="24"/>
          <w:szCs w:val="24"/>
        </w:rPr>
        <w:t>he right of a child to protection</w:t>
      </w:r>
      <w:r w:rsidR="005B0C7B">
        <w:rPr>
          <w:rFonts w:ascii="Arial" w:hAnsi="Arial" w:cs="Arial"/>
          <w:sz w:val="24"/>
          <w:szCs w:val="24"/>
        </w:rPr>
        <w:t xml:space="preserve"> (</w:t>
      </w:r>
      <w:r w:rsidR="005B0C7B" w:rsidRPr="004219B7">
        <w:rPr>
          <w:rFonts w:ascii="Arial" w:hAnsi="Arial" w:cs="Arial"/>
          <w:sz w:val="24"/>
          <w:szCs w:val="24"/>
        </w:rPr>
        <w:t>s</w:t>
      </w:r>
      <w:r w:rsidR="005B0C7B">
        <w:rPr>
          <w:rFonts w:ascii="Arial" w:hAnsi="Arial" w:cs="Arial"/>
          <w:sz w:val="24"/>
          <w:szCs w:val="24"/>
        </w:rPr>
        <w:t>ection</w:t>
      </w:r>
      <w:r w:rsidR="005B0C7B" w:rsidRPr="004219B7">
        <w:rPr>
          <w:rFonts w:ascii="Arial" w:hAnsi="Arial" w:cs="Arial"/>
          <w:sz w:val="24"/>
          <w:szCs w:val="24"/>
        </w:rPr>
        <w:t xml:space="preserve"> 11(2), HRA</w:t>
      </w:r>
      <w:r w:rsidR="005B0C7B">
        <w:rPr>
          <w:rFonts w:ascii="Arial" w:hAnsi="Arial" w:cs="Arial"/>
          <w:sz w:val="24"/>
          <w:szCs w:val="24"/>
        </w:rPr>
        <w:t>)</w:t>
      </w:r>
      <w:r w:rsidRPr="00605DD8">
        <w:rPr>
          <w:rFonts w:ascii="Arial" w:hAnsi="Arial" w:cs="Arial"/>
          <w:sz w:val="24"/>
          <w:szCs w:val="24"/>
        </w:rPr>
        <w:t xml:space="preserve"> </w:t>
      </w:r>
      <w:r>
        <w:rPr>
          <w:rFonts w:ascii="Arial" w:hAnsi="Arial" w:cs="Arial"/>
          <w:sz w:val="24"/>
          <w:szCs w:val="24"/>
        </w:rPr>
        <w:t>is promoted by t</w:t>
      </w:r>
      <w:r w:rsidR="00605DD8" w:rsidRPr="00605DD8">
        <w:rPr>
          <w:rFonts w:ascii="Arial" w:hAnsi="Arial" w:cs="Arial"/>
          <w:sz w:val="24"/>
          <w:szCs w:val="24"/>
        </w:rPr>
        <w:t xml:space="preserve">he minor amendment giving </w:t>
      </w:r>
      <w:r w:rsidR="00FE1A3F">
        <w:rPr>
          <w:rFonts w:ascii="Arial" w:hAnsi="Arial" w:cs="Arial"/>
          <w:sz w:val="24"/>
          <w:szCs w:val="24"/>
        </w:rPr>
        <w:t>the Tribunal</w:t>
      </w:r>
      <w:r w:rsidR="00605DD8" w:rsidRPr="00605DD8">
        <w:rPr>
          <w:rFonts w:ascii="Arial" w:hAnsi="Arial" w:cs="Arial"/>
          <w:sz w:val="24"/>
          <w:szCs w:val="24"/>
        </w:rPr>
        <w:t xml:space="preserve"> the express </w:t>
      </w:r>
      <w:r w:rsidR="0057380D">
        <w:rPr>
          <w:rFonts w:ascii="Arial" w:hAnsi="Arial" w:cs="Arial"/>
          <w:sz w:val="24"/>
          <w:szCs w:val="24"/>
        </w:rPr>
        <w:t>power</w:t>
      </w:r>
      <w:r w:rsidR="0057380D" w:rsidRPr="00605DD8">
        <w:rPr>
          <w:rFonts w:ascii="Arial" w:hAnsi="Arial" w:cs="Arial"/>
          <w:sz w:val="24"/>
          <w:szCs w:val="24"/>
        </w:rPr>
        <w:t xml:space="preserve"> </w:t>
      </w:r>
      <w:r w:rsidR="00605DD8" w:rsidRPr="00605DD8">
        <w:rPr>
          <w:rFonts w:ascii="Arial" w:hAnsi="Arial" w:cs="Arial"/>
          <w:sz w:val="24"/>
          <w:szCs w:val="24"/>
        </w:rPr>
        <w:t xml:space="preserve">to take into consideration the interests of all children who may be affected by a family violence order or personal protection order. As the interests of children would be expressly considered, there will be a greater likelihood that children receive a higher level of protection from </w:t>
      </w:r>
      <w:r w:rsidR="00FE1A3F">
        <w:rPr>
          <w:rFonts w:ascii="Arial" w:hAnsi="Arial" w:cs="Arial"/>
          <w:sz w:val="24"/>
          <w:szCs w:val="24"/>
        </w:rPr>
        <w:t>Tribunal</w:t>
      </w:r>
      <w:r w:rsidR="00605DD8" w:rsidRPr="00605DD8">
        <w:rPr>
          <w:rFonts w:ascii="Arial" w:hAnsi="Arial" w:cs="Arial"/>
          <w:sz w:val="24"/>
          <w:szCs w:val="24"/>
        </w:rPr>
        <w:t xml:space="preserve"> orders.</w:t>
      </w:r>
    </w:p>
    <w:p w14:paraId="3019EE66" w14:textId="74A88393" w:rsidR="001F0F85" w:rsidRDefault="001F0F85" w:rsidP="001F0F85">
      <w:pPr>
        <w:keepNext/>
        <w:spacing w:after="240" w:line="240" w:lineRule="auto"/>
        <w:rPr>
          <w:rFonts w:ascii="Arial" w:hAnsi="Arial" w:cs="Arial"/>
          <w:b/>
          <w:sz w:val="24"/>
          <w:szCs w:val="24"/>
        </w:rPr>
      </w:pPr>
      <w:r w:rsidRPr="00914EE8">
        <w:rPr>
          <w:rFonts w:ascii="Arial" w:hAnsi="Arial" w:cs="Arial"/>
          <w:b/>
          <w:sz w:val="24"/>
          <w:szCs w:val="24"/>
        </w:rPr>
        <w:t>CLAUSE NOTES</w:t>
      </w:r>
    </w:p>
    <w:p w14:paraId="198E7D02" w14:textId="3702E9A9" w:rsidR="001F0F85" w:rsidRDefault="001F0F85" w:rsidP="001F0F85">
      <w:pPr>
        <w:keepNext/>
        <w:spacing w:after="240" w:line="240" w:lineRule="auto"/>
        <w:rPr>
          <w:rFonts w:ascii="Arial" w:hAnsi="Arial" w:cs="Arial"/>
          <w:b/>
          <w:sz w:val="24"/>
          <w:szCs w:val="24"/>
        </w:rPr>
      </w:pPr>
      <w:r w:rsidRPr="00914EE8">
        <w:rPr>
          <w:rFonts w:ascii="Arial" w:hAnsi="Arial" w:cs="Arial"/>
          <w:b/>
          <w:sz w:val="24"/>
          <w:szCs w:val="24"/>
        </w:rPr>
        <w:t>Clause 1</w:t>
      </w:r>
      <w:r w:rsidRPr="00914EE8">
        <w:rPr>
          <w:rFonts w:ascii="Arial" w:hAnsi="Arial" w:cs="Arial"/>
          <w:b/>
          <w:sz w:val="24"/>
          <w:szCs w:val="24"/>
        </w:rPr>
        <w:tab/>
        <w:t>Name of Act</w:t>
      </w:r>
    </w:p>
    <w:p w14:paraId="579A28E6" w14:textId="382C250D" w:rsidR="00C3642E" w:rsidRPr="0095341F" w:rsidRDefault="0095341F" w:rsidP="001F0F85">
      <w:pPr>
        <w:keepNext/>
        <w:spacing w:after="240" w:line="240" w:lineRule="auto"/>
        <w:rPr>
          <w:rFonts w:ascii="Arial" w:hAnsi="Arial" w:cs="Arial"/>
          <w:sz w:val="24"/>
          <w:szCs w:val="24"/>
        </w:rPr>
      </w:pPr>
      <w:r>
        <w:rPr>
          <w:rFonts w:ascii="Arial" w:hAnsi="Arial" w:cs="Arial"/>
          <w:sz w:val="24"/>
          <w:szCs w:val="24"/>
        </w:rPr>
        <w:t xml:space="preserve">This clause provides that </w:t>
      </w:r>
      <w:r w:rsidR="00C3642E">
        <w:rPr>
          <w:rFonts w:ascii="Arial" w:hAnsi="Arial" w:cs="Arial"/>
          <w:sz w:val="24"/>
          <w:szCs w:val="24"/>
        </w:rPr>
        <w:t xml:space="preserve">the name of the Act is the </w:t>
      </w:r>
      <w:r w:rsidR="00987D77">
        <w:rPr>
          <w:rFonts w:ascii="Arial" w:hAnsi="Arial" w:cs="Arial"/>
          <w:sz w:val="24"/>
          <w:szCs w:val="24"/>
        </w:rPr>
        <w:t>Residential Tenancies Amendment Act 2019</w:t>
      </w:r>
      <w:r w:rsidR="00C3642E">
        <w:rPr>
          <w:rFonts w:ascii="Arial" w:hAnsi="Arial" w:cs="Arial"/>
          <w:sz w:val="24"/>
          <w:szCs w:val="24"/>
        </w:rPr>
        <w:t xml:space="preserve">. </w:t>
      </w:r>
    </w:p>
    <w:p w14:paraId="64FC2A48" w14:textId="74C37CBE" w:rsidR="001F0F85" w:rsidRDefault="001F0F85" w:rsidP="001F0F85">
      <w:pPr>
        <w:spacing w:after="240" w:line="240" w:lineRule="auto"/>
        <w:rPr>
          <w:rFonts w:ascii="Arial" w:hAnsi="Arial" w:cs="Arial"/>
          <w:b/>
          <w:sz w:val="24"/>
          <w:szCs w:val="24"/>
        </w:rPr>
      </w:pPr>
      <w:r w:rsidRPr="00914EE8">
        <w:rPr>
          <w:rFonts w:ascii="Arial" w:hAnsi="Arial" w:cs="Arial"/>
          <w:b/>
          <w:sz w:val="24"/>
          <w:szCs w:val="24"/>
        </w:rPr>
        <w:t>Clause 2</w:t>
      </w:r>
      <w:r w:rsidRPr="00914EE8">
        <w:rPr>
          <w:rFonts w:ascii="Arial" w:hAnsi="Arial" w:cs="Arial"/>
          <w:b/>
          <w:sz w:val="24"/>
          <w:szCs w:val="24"/>
        </w:rPr>
        <w:tab/>
        <w:t>Commencement</w:t>
      </w:r>
    </w:p>
    <w:p w14:paraId="272712CD" w14:textId="07A2D2D4" w:rsidR="00E44ECB" w:rsidRPr="00E44ECB" w:rsidRDefault="00E44ECB" w:rsidP="00E44ECB">
      <w:pPr>
        <w:spacing w:after="240" w:line="240" w:lineRule="auto"/>
        <w:rPr>
          <w:rFonts w:ascii="Arial" w:hAnsi="Arial" w:cs="Arial"/>
          <w:sz w:val="24"/>
          <w:szCs w:val="24"/>
        </w:rPr>
      </w:pPr>
      <w:r w:rsidRPr="00E44ECB">
        <w:rPr>
          <w:rFonts w:ascii="Arial" w:hAnsi="Arial" w:cs="Arial"/>
          <w:sz w:val="24"/>
          <w:szCs w:val="24"/>
        </w:rPr>
        <w:t>This clause enables the Act to commence on a day nominated by the Minister in a</w:t>
      </w:r>
      <w:r>
        <w:rPr>
          <w:rFonts w:ascii="Arial" w:hAnsi="Arial" w:cs="Arial"/>
          <w:sz w:val="24"/>
          <w:szCs w:val="24"/>
        </w:rPr>
        <w:t xml:space="preserve"> </w:t>
      </w:r>
      <w:r w:rsidRPr="00E44ECB">
        <w:rPr>
          <w:rFonts w:ascii="Arial" w:hAnsi="Arial" w:cs="Arial"/>
          <w:sz w:val="24"/>
          <w:szCs w:val="24"/>
        </w:rPr>
        <w:t xml:space="preserve">commencement notice. </w:t>
      </w:r>
    </w:p>
    <w:p w14:paraId="5C553C42" w14:textId="563B21C5" w:rsidR="00E44ECB" w:rsidRPr="00E44ECB" w:rsidRDefault="00E44ECB" w:rsidP="00E44ECB">
      <w:pPr>
        <w:spacing w:after="240" w:line="240" w:lineRule="auto"/>
        <w:rPr>
          <w:rFonts w:ascii="Arial" w:hAnsi="Arial" w:cs="Arial"/>
          <w:sz w:val="24"/>
          <w:szCs w:val="24"/>
        </w:rPr>
      </w:pPr>
      <w:r w:rsidRPr="00E44ECB">
        <w:rPr>
          <w:rFonts w:ascii="Arial" w:hAnsi="Arial" w:cs="Arial"/>
          <w:sz w:val="24"/>
          <w:szCs w:val="24"/>
        </w:rPr>
        <w:t xml:space="preserve">If the Act has not commenced within </w:t>
      </w:r>
      <w:r w:rsidR="000A0F25">
        <w:rPr>
          <w:rFonts w:ascii="Arial" w:hAnsi="Arial" w:cs="Arial"/>
          <w:sz w:val="24"/>
          <w:szCs w:val="24"/>
        </w:rPr>
        <w:t>6</w:t>
      </w:r>
      <w:r w:rsidRPr="00E44ECB">
        <w:rPr>
          <w:rFonts w:ascii="Arial" w:hAnsi="Arial" w:cs="Arial"/>
          <w:sz w:val="24"/>
          <w:szCs w:val="24"/>
        </w:rPr>
        <w:t xml:space="preserve"> months beginning on its notification day, it</w:t>
      </w:r>
      <w:r>
        <w:rPr>
          <w:rFonts w:ascii="Arial" w:hAnsi="Arial" w:cs="Arial"/>
          <w:sz w:val="24"/>
          <w:szCs w:val="24"/>
        </w:rPr>
        <w:t xml:space="preserve"> </w:t>
      </w:r>
      <w:r w:rsidRPr="00E44ECB">
        <w:rPr>
          <w:rFonts w:ascii="Arial" w:hAnsi="Arial" w:cs="Arial"/>
          <w:sz w:val="24"/>
          <w:szCs w:val="24"/>
        </w:rPr>
        <w:t>automatically commences on the first day after that period.</w:t>
      </w:r>
    </w:p>
    <w:p w14:paraId="43BA4E1D" w14:textId="77777777" w:rsidR="001F0F85" w:rsidRPr="00914EE8" w:rsidRDefault="001F0F85" w:rsidP="001F0F85">
      <w:pPr>
        <w:spacing w:after="240" w:line="240" w:lineRule="auto"/>
        <w:rPr>
          <w:rFonts w:ascii="Arial" w:hAnsi="Arial" w:cs="Arial"/>
          <w:b/>
          <w:sz w:val="24"/>
          <w:szCs w:val="24"/>
        </w:rPr>
      </w:pPr>
      <w:r w:rsidRPr="00914EE8">
        <w:rPr>
          <w:rFonts w:ascii="Arial" w:hAnsi="Arial" w:cs="Arial"/>
          <w:b/>
          <w:sz w:val="24"/>
          <w:szCs w:val="24"/>
        </w:rPr>
        <w:t>Clause 3</w:t>
      </w:r>
      <w:r w:rsidRPr="00914EE8">
        <w:rPr>
          <w:rFonts w:ascii="Arial" w:hAnsi="Arial" w:cs="Arial"/>
          <w:b/>
          <w:sz w:val="24"/>
          <w:szCs w:val="24"/>
        </w:rPr>
        <w:tab/>
        <w:t xml:space="preserve">Legislation Amended </w:t>
      </w:r>
    </w:p>
    <w:p w14:paraId="5D538C92" w14:textId="4142DDDB" w:rsidR="001F0F85" w:rsidRPr="00CB21B2" w:rsidRDefault="00CB21B2" w:rsidP="001F0F85">
      <w:pPr>
        <w:spacing w:after="240" w:line="240" w:lineRule="auto"/>
        <w:rPr>
          <w:rFonts w:ascii="Arial" w:hAnsi="Arial" w:cs="Arial"/>
          <w:sz w:val="24"/>
          <w:szCs w:val="24"/>
        </w:rPr>
      </w:pPr>
      <w:r>
        <w:rPr>
          <w:rFonts w:ascii="Arial" w:hAnsi="Arial" w:cs="Arial"/>
          <w:sz w:val="24"/>
          <w:szCs w:val="24"/>
        </w:rPr>
        <w:t xml:space="preserve">This clause provides that the Bill </w:t>
      </w:r>
      <w:r w:rsidR="00FD068A">
        <w:rPr>
          <w:rFonts w:ascii="Arial" w:hAnsi="Arial" w:cs="Arial"/>
          <w:sz w:val="24"/>
          <w:szCs w:val="24"/>
        </w:rPr>
        <w:t xml:space="preserve">amends the </w:t>
      </w:r>
      <w:r w:rsidR="004C4CED">
        <w:rPr>
          <w:rFonts w:ascii="Arial" w:hAnsi="Arial" w:cs="Arial"/>
          <w:i/>
          <w:sz w:val="24"/>
          <w:szCs w:val="24"/>
        </w:rPr>
        <w:t>Residential Tenancies Act 1997</w:t>
      </w:r>
      <w:r w:rsidR="00172EA7">
        <w:rPr>
          <w:rFonts w:ascii="Arial" w:hAnsi="Arial" w:cs="Arial"/>
          <w:i/>
          <w:sz w:val="24"/>
          <w:szCs w:val="24"/>
        </w:rPr>
        <w:t xml:space="preserve"> </w:t>
      </w:r>
      <w:r w:rsidR="00172EA7">
        <w:rPr>
          <w:rFonts w:ascii="Arial" w:hAnsi="Arial" w:cs="Arial"/>
          <w:sz w:val="24"/>
          <w:szCs w:val="24"/>
        </w:rPr>
        <w:t xml:space="preserve">(the </w:t>
      </w:r>
      <w:r w:rsidR="005B0C7B">
        <w:rPr>
          <w:rFonts w:ascii="Arial" w:hAnsi="Arial" w:cs="Arial"/>
          <w:sz w:val="24"/>
          <w:szCs w:val="24"/>
        </w:rPr>
        <w:t>RTA</w:t>
      </w:r>
      <w:r w:rsidR="00172EA7">
        <w:rPr>
          <w:rFonts w:ascii="Arial" w:hAnsi="Arial" w:cs="Arial"/>
          <w:sz w:val="24"/>
          <w:szCs w:val="24"/>
        </w:rPr>
        <w:t>)</w:t>
      </w:r>
      <w:r w:rsidR="00FD068A">
        <w:rPr>
          <w:rFonts w:ascii="Arial" w:hAnsi="Arial" w:cs="Arial"/>
          <w:sz w:val="24"/>
          <w:szCs w:val="24"/>
        </w:rPr>
        <w:t xml:space="preserve">. </w:t>
      </w:r>
    </w:p>
    <w:p w14:paraId="0720AA21" w14:textId="684B2D9D" w:rsidR="001F0F85" w:rsidRDefault="001F0F85" w:rsidP="005B0C7B">
      <w:pPr>
        <w:spacing w:after="240" w:line="240" w:lineRule="auto"/>
        <w:rPr>
          <w:rFonts w:ascii="Arial" w:hAnsi="Arial" w:cs="Arial"/>
          <w:b/>
          <w:sz w:val="24"/>
          <w:szCs w:val="24"/>
        </w:rPr>
      </w:pPr>
      <w:r>
        <w:rPr>
          <w:rFonts w:ascii="Arial" w:hAnsi="Arial" w:cs="Arial"/>
          <w:b/>
          <w:sz w:val="24"/>
          <w:szCs w:val="24"/>
        </w:rPr>
        <w:t>Clause 4</w:t>
      </w:r>
      <w:r>
        <w:rPr>
          <w:rFonts w:ascii="Arial" w:hAnsi="Arial" w:cs="Arial"/>
          <w:b/>
          <w:sz w:val="24"/>
          <w:szCs w:val="24"/>
        </w:rPr>
        <w:tab/>
      </w:r>
      <w:r w:rsidR="00080703">
        <w:rPr>
          <w:rFonts w:ascii="Arial" w:hAnsi="Arial" w:cs="Arial"/>
          <w:b/>
          <w:sz w:val="24"/>
          <w:szCs w:val="24"/>
        </w:rPr>
        <w:t>Standard residential tenancy terms</w:t>
      </w:r>
      <w:r w:rsidR="005B0C7B">
        <w:rPr>
          <w:rFonts w:ascii="Arial" w:hAnsi="Arial" w:cs="Arial"/>
          <w:b/>
          <w:sz w:val="24"/>
          <w:szCs w:val="24"/>
        </w:rPr>
        <w:t xml:space="preserve">, </w:t>
      </w:r>
      <w:r w:rsidR="000135D1">
        <w:rPr>
          <w:rFonts w:ascii="Arial" w:hAnsi="Arial" w:cs="Arial"/>
          <w:b/>
          <w:sz w:val="24"/>
          <w:szCs w:val="24"/>
        </w:rPr>
        <w:t>S</w:t>
      </w:r>
      <w:r w:rsidR="00183C1B">
        <w:rPr>
          <w:rFonts w:ascii="Arial" w:hAnsi="Arial" w:cs="Arial"/>
          <w:b/>
          <w:sz w:val="24"/>
          <w:szCs w:val="24"/>
        </w:rPr>
        <w:t xml:space="preserve">ection </w:t>
      </w:r>
      <w:r w:rsidR="004C4CED">
        <w:rPr>
          <w:rFonts w:ascii="Arial" w:hAnsi="Arial" w:cs="Arial"/>
          <w:b/>
          <w:sz w:val="24"/>
          <w:szCs w:val="24"/>
        </w:rPr>
        <w:t>8 (1) (a)</w:t>
      </w:r>
    </w:p>
    <w:p w14:paraId="79B43DB1" w14:textId="42300836" w:rsidR="00183C1B" w:rsidRPr="00183C1B" w:rsidRDefault="00183C1B" w:rsidP="001F0F85">
      <w:pPr>
        <w:spacing w:after="240" w:line="240" w:lineRule="auto"/>
        <w:rPr>
          <w:rFonts w:ascii="Arial" w:hAnsi="Arial" w:cs="Arial"/>
          <w:sz w:val="24"/>
          <w:szCs w:val="24"/>
        </w:rPr>
      </w:pPr>
      <w:r>
        <w:rPr>
          <w:rFonts w:ascii="Arial" w:hAnsi="Arial" w:cs="Arial"/>
          <w:sz w:val="24"/>
          <w:szCs w:val="24"/>
        </w:rPr>
        <w:t xml:space="preserve">This clause </w:t>
      </w:r>
      <w:r w:rsidR="00172EA7">
        <w:rPr>
          <w:rFonts w:ascii="Arial" w:hAnsi="Arial" w:cs="Arial"/>
          <w:sz w:val="24"/>
          <w:szCs w:val="24"/>
        </w:rPr>
        <w:t xml:space="preserve">clarifies how tenancy agreements incorporate changes to the </w:t>
      </w:r>
      <w:r w:rsidR="005B0C7B">
        <w:rPr>
          <w:rFonts w:ascii="Arial" w:hAnsi="Arial" w:cs="Arial"/>
          <w:sz w:val="24"/>
          <w:szCs w:val="24"/>
        </w:rPr>
        <w:t>RTA</w:t>
      </w:r>
      <w:r w:rsidR="007741F8">
        <w:rPr>
          <w:rFonts w:ascii="Arial" w:hAnsi="Arial" w:cs="Arial"/>
          <w:sz w:val="24"/>
          <w:szCs w:val="24"/>
        </w:rPr>
        <w:t>.</w:t>
      </w:r>
      <w:r w:rsidR="00172EA7">
        <w:rPr>
          <w:rFonts w:ascii="Arial" w:hAnsi="Arial" w:cs="Arial"/>
          <w:sz w:val="24"/>
          <w:szCs w:val="24"/>
        </w:rPr>
        <w:t xml:space="preserve"> </w:t>
      </w:r>
      <w:r w:rsidR="007741F8">
        <w:rPr>
          <w:rFonts w:ascii="Arial" w:hAnsi="Arial" w:cs="Arial"/>
          <w:sz w:val="24"/>
          <w:szCs w:val="24"/>
        </w:rPr>
        <w:t xml:space="preserve"> </w:t>
      </w:r>
    </w:p>
    <w:p w14:paraId="5B6AD464" w14:textId="2BAD28B2" w:rsidR="00172EA7" w:rsidRDefault="00605DD8" w:rsidP="00172EA7">
      <w:pPr>
        <w:spacing w:after="240" w:line="240" w:lineRule="auto"/>
        <w:rPr>
          <w:rFonts w:ascii="Arial" w:hAnsi="Arial" w:cs="Arial"/>
          <w:sz w:val="24"/>
          <w:szCs w:val="24"/>
        </w:rPr>
      </w:pPr>
      <w:r>
        <w:rPr>
          <w:rFonts w:ascii="Arial" w:hAnsi="Arial" w:cs="Arial"/>
          <w:sz w:val="24"/>
          <w:szCs w:val="24"/>
        </w:rPr>
        <w:t>This clause will put</w:t>
      </w:r>
      <w:r w:rsidR="00172EA7" w:rsidRPr="00172EA7">
        <w:rPr>
          <w:rFonts w:ascii="Arial" w:hAnsi="Arial" w:cs="Arial"/>
          <w:sz w:val="24"/>
          <w:szCs w:val="24"/>
        </w:rPr>
        <w:t xml:space="preserve"> beyond doubt that periodic leases </w:t>
      </w:r>
      <w:r w:rsidR="0057380D">
        <w:rPr>
          <w:rFonts w:ascii="Arial" w:hAnsi="Arial" w:cs="Arial"/>
          <w:sz w:val="24"/>
          <w:szCs w:val="24"/>
        </w:rPr>
        <w:t>will contain</w:t>
      </w:r>
      <w:r w:rsidR="00172EA7" w:rsidRPr="00172EA7">
        <w:rPr>
          <w:rFonts w:ascii="Arial" w:hAnsi="Arial" w:cs="Arial"/>
          <w:sz w:val="24"/>
          <w:szCs w:val="24"/>
        </w:rPr>
        <w:t xml:space="preserve"> </w:t>
      </w:r>
      <w:r w:rsidR="007C3C92">
        <w:rPr>
          <w:rFonts w:ascii="Arial" w:hAnsi="Arial" w:cs="Arial"/>
          <w:sz w:val="24"/>
          <w:szCs w:val="24"/>
        </w:rPr>
        <w:t>changes to the Standard Terms</w:t>
      </w:r>
      <w:r w:rsidR="00172EA7" w:rsidRPr="00172EA7">
        <w:rPr>
          <w:rFonts w:ascii="Arial" w:hAnsi="Arial" w:cs="Arial"/>
          <w:sz w:val="24"/>
          <w:szCs w:val="24"/>
        </w:rPr>
        <w:t xml:space="preserve"> automatically</w:t>
      </w:r>
      <w:r w:rsidR="005B0C7B">
        <w:rPr>
          <w:rFonts w:ascii="Arial" w:hAnsi="Arial" w:cs="Arial"/>
          <w:sz w:val="24"/>
          <w:szCs w:val="24"/>
        </w:rPr>
        <w:t>;</w:t>
      </w:r>
      <w:r w:rsidR="00172EA7" w:rsidRPr="00172EA7">
        <w:rPr>
          <w:rFonts w:ascii="Arial" w:hAnsi="Arial" w:cs="Arial"/>
          <w:sz w:val="24"/>
          <w:szCs w:val="24"/>
        </w:rPr>
        <w:t xml:space="preserve"> renters on periodic leases are subject to the most current framework of rights and obligations.</w:t>
      </w:r>
    </w:p>
    <w:p w14:paraId="160C028B" w14:textId="2CFF0D88" w:rsidR="00172EA7" w:rsidRDefault="00172EA7" w:rsidP="00172EA7">
      <w:pPr>
        <w:spacing w:after="240" w:line="240" w:lineRule="auto"/>
        <w:rPr>
          <w:rFonts w:ascii="Arial" w:hAnsi="Arial" w:cs="Arial"/>
          <w:sz w:val="24"/>
          <w:szCs w:val="24"/>
        </w:rPr>
      </w:pPr>
      <w:r>
        <w:rPr>
          <w:rFonts w:ascii="Arial" w:hAnsi="Arial" w:cs="Arial"/>
          <w:sz w:val="24"/>
          <w:szCs w:val="24"/>
        </w:rPr>
        <w:t xml:space="preserve">The clause </w:t>
      </w:r>
      <w:r w:rsidR="0057380D">
        <w:rPr>
          <w:rFonts w:ascii="Arial" w:hAnsi="Arial" w:cs="Arial"/>
          <w:sz w:val="24"/>
          <w:szCs w:val="24"/>
        </w:rPr>
        <w:t xml:space="preserve">also </w:t>
      </w:r>
      <w:r>
        <w:rPr>
          <w:rFonts w:ascii="Arial" w:hAnsi="Arial" w:cs="Arial"/>
          <w:sz w:val="24"/>
          <w:szCs w:val="24"/>
        </w:rPr>
        <w:t>clarifies th</w:t>
      </w:r>
      <w:r w:rsidR="0057380D">
        <w:rPr>
          <w:rFonts w:ascii="Arial" w:hAnsi="Arial" w:cs="Arial"/>
          <w:sz w:val="24"/>
          <w:szCs w:val="24"/>
        </w:rPr>
        <w:t>at</w:t>
      </w:r>
      <w:r>
        <w:rPr>
          <w:rFonts w:ascii="Arial" w:hAnsi="Arial" w:cs="Arial"/>
          <w:sz w:val="24"/>
          <w:szCs w:val="24"/>
        </w:rPr>
        <w:t xml:space="preserve"> fixed term agreements do not get similarly updated. This</w:t>
      </w:r>
      <w:r w:rsidR="005B0C7B">
        <w:rPr>
          <w:rFonts w:ascii="Arial" w:hAnsi="Arial" w:cs="Arial"/>
          <w:sz w:val="24"/>
          <w:szCs w:val="24"/>
        </w:rPr>
        <w:t> </w:t>
      </w:r>
      <w:r>
        <w:rPr>
          <w:rFonts w:ascii="Arial" w:hAnsi="Arial" w:cs="Arial"/>
          <w:sz w:val="24"/>
          <w:szCs w:val="24"/>
        </w:rPr>
        <w:t xml:space="preserve">ensures that a tenant and a landlord who enter into a fixed term agreement have greater certainty that the terms of that agreement will not change for the duration of that term. As there can be significant penalties for landlords and tenants to terminate a fixed term tenancy agreement, this clarification protects their rights to </w:t>
      </w:r>
      <w:r>
        <w:rPr>
          <w:rFonts w:ascii="Arial" w:hAnsi="Arial" w:cs="Arial"/>
          <w:sz w:val="24"/>
          <w:szCs w:val="24"/>
        </w:rPr>
        <w:lastRenderedPageBreak/>
        <w:t>know what obligations they have undertaken and avoids potential retrospective amendment of existing</w:t>
      </w:r>
      <w:r w:rsidR="0057380D">
        <w:rPr>
          <w:rFonts w:ascii="Arial" w:hAnsi="Arial" w:cs="Arial"/>
          <w:sz w:val="24"/>
          <w:szCs w:val="24"/>
        </w:rPr>
        <w:t xml:space="preserve"> fixed term</w:t>
      </w:r>
      <w:r>
        <w:rPr>
          <w:rFonts w:ascii="Arial" w:hAnsi="Arial" w:cs="Arial"/>
          <w:sz w:val="24"/>
          <w:szCs w:val="24"/>
        </w:rPr>
        <w:t xml:space="preserve"> residential tenancy agreements.</w:t>
      </w:r>
    </w:p>
    <w:p w14:paraId="68F56431" w14:textId="3DD7A344" w:rsidR="00172EA7" w:rsidRDefault="00C2564D" w:rsidP="001F0F85">
      <w:pPr>
        <w:spacing w:after="240" w:line="240" w:lineRule="auto"/>
        <w:rPr>
          <w:rFonts w:ascii="Arial" w:hAnsi="Arial" w:cs="Arial"/>
          <w:b/>
          <w:sz w:val="24"/>
          <w:szCs w:val="24"/>
        </w:rPr>
      </w:pPr>
      <w:r>
        <w:rPr>
          <w:rFonts w:ascii="Arial" w:hAnsi="Arial" w:cs="Arial"/>
          <w:b/>
          <w:sz w:val="24"/>
          <w:szCs w:val="24"/>
        </w:rPr>
        <w:t>Clause 5</w:t>
      </w:r>
      <w:r>
        <w:rPr>
          <w:rFonts w:ascii="Arial" w:hAnsi="Arial" w:cs="Arial"/>
          <w:b/>
          <w:sz w:val="24"/>
          <w:szCs w:val="24"/>
        </w:rPr>
        <w:tab/>
      </w:r>
      <w:r w:rsidR="00080703">
        <w:rPr>
          <w:rFonts w:ascii="Arial" w:hAnsi="Arial" w:cs="Arial"/>
          <w:b/>
          <w:sz w:val="24"/>
          <w:szCs w:val="24"/>
        </w:rPr>
        <w:t>New s</w:t>
      </w:r>
      <w:r w:rsidR="007741F8">
        <w:rPr>
          <w:rFonts w:ascii="Arial" w:hAnsi="Arial" w:cs="Arial"/>
          <w:b/>
          <w:sz w:val="24"/>
          <w:szCs w:val="24"/>
        </w:rPr>
        <w:t>ection</w:t>
      </w:r>
      <w:r w:rsidR="00080703">
        <w:rPr>
          <w:rFonts w:ascii="Arial" w:hAnsi="Arial" w:cs="Arial"/>
          <w:b/>
          <w:sz w:val="24"/>
          <w:szCs w:val="24"/>
        </w:rPr>
        <w:t>s</w:t>
      </w:r>
      <w:r w:rsidR="007741F8">
        <w:rPr>
          <w:rFonts w:ascii="Arial" w:hAnsi="Arial" w:cs="Arial"/>
          <w:b/>
          <w:sz w:val="24"/>
          <w:szCs w:val="24"/>
        </w:rPr>
        <w:t xml:space="preserve"> 8 </w:t>
      </w:r>
      <w:r w:rsidR="00172EA7">
        <w:rPr>
          <w:rFonts w:ascii="Arial" w:hAnsi="Arial" w:cs="Arial"/>
          <w:b/>
          <w:sz w:val="24"/>
          <w:szCs w:val="24"/>
        </w:rPr>
        <w:t>(1A) and (1B)</w:t>
      </w:r>
    </w:p>
    <w:p w14:paraId="256DDAA2" w14:textId="6F158881" w:rsidR="00172EA7" w:rsidRPr="00CB21B2" w:rsidRDefault="00172EA7" w:rsidP="00172EA7">
      <w:pPr>
        <w:spacing w:after="240" w:line="240" w:lineRule="auto"/>
        <w:rPr>
          <w:rFonts w:ascii="Arial" w:hAnsi="Arial" w:cs="Arial"/>
          <w:sz w:val="24"/>
          <w:szCs w:val="24"/>
        </w:rPr>
      </w:pPr>
      <w:r>
        <w:rPr>
          <w:rFonts w:ascii="Arial" w:hAnsi="Arial" w:cs="Arial"/>
          <w:sz w:val="24"/>
          <w:szCs w:val="24"/>
        </w:rPr>
        <w:t xml:space="preserve">This clause ensures that causes of action which arise following the commencement of amendments to the </w:t>
      </w:r>
      <w:r w:rsidR="005B0C7B">
        <w:rPr>
          <w:rFonts w:ascii="Arial" w:hAnsi="Arial" w:cs="Arial"/>
          <w:sz w:val="24"/>
          <w:szCs w:val="24"/>
        </w:rPr>
        <w:t>RTA</w:t>
      </w:r>
      <w:r>
        <w:rPr>
          <w:rFonts w:ascii="Arial" w:hAnsi="Arial" w:cs="Arial"/>
          <w:sz w:val="24"/>
          <w:szCs w:val="24"/>
        </w:rPr>
        <w:t xml:space="preserve"> (other than to the Standard Terms) will be operative for both fixed term agreements and periodic agreements.</w:t>
      </w:r>
    </w:p>
    <w:p w14:paraId="67CE7102" w14:textId="77777777" w:rsidR="005B0C7B" w:rsidRDefault="00172EA7" w:rsidP="001F0F85">
      <w:pPr>
        <w:spacing w:after="240" w:line="240" w:lineRule="auto"/>
        <w:rPr>
          <w:rFonts w:ascii="Arial" w:hAnsi="Arial" w:cs="Arial"/>
          <w:sz w:val="24"/>
          <w:szCs w:val="24"/>
        </w:rPr>
      </w:pPr>
      <w:r>
        <w:rPr>
          <w:rFonts w:ascii="Arial" w:hAnsi="Arial" w:cs="Arial"/>
          <w:sz w:val="24"/>
          <w:szCs w:val="24"/>
        </w:rPr>
        <w:t xml:space="preserve">This clause also clarifies that </w:t>
      </w:r>
      <w:r w:rsidR="00701383">
        <w:rPr>
          <w:rFonts w:ascii="Arial" w:hAnsi="Arial" w:cs="Arial"/>
          <w:sz w:val="24"/>
          <w:szCs w:val="24"/>
        </w:rPr>
        <w:t>the terms of a</w:t>
      </w:r>
      <w:r>
        <w:rPr>
          <w:rFonts w:ascii="Arial" w:hAnsi="Arial" w:cs="Arial"/>
          <w:sz w:val="24"/>
          <w:szCs w:val="24"/>
        </w:rPr>
        <w:t xml:space="preserve"> residential tenancy agreement will </w:t>
      </w:r>
      <w:r w:rsidR="00701383">
        <w:rPr>
          <w:rFonts w:ascii="Arial" w:hAnsi="Arial" w:cs="Arial"/>
          <w:sz w:val="24"/>
          <w:szCs w:val="24"/>
        </w:rPr>
        <w:t xml:space="preserve">‘update’ when a periodic agreement commences following the expiry of a fixed term. </w:t>
      </w:r>
    </w:p>
    <w:p w14:paraId="1FCC4A66" w14:textId="52A11709" w:rsidR="00C2564D" w:rsidRPr="00172EA7" w:rsidRDefault="00701383" w:rsidP="001F0F85">
      <w:pPr>
        <w:spacing w:after="240" w:line="240" w:lineRule="auto"/>
        <w:rPr>
          <w:rFonts w:ascii="Arial" w:hAnsi="Arial" w:cs="Arial"/>
          <w:sz w:val="24"/>
          <w:szCs w:val="24"/>
        </w:rPr>
      </w:pPr>
      <w:r>
        <w:rPr>
          <w:rFonts w:ascii="Arial" w:hAnsi="Arial" w:cs="Arial"/>
          <w:sz w:val="24"/>
          <w:szCs w:val="24"/>
        </w:rPr>
        <w:t xml:space="preserve">If the parties enter into a new fixed term agreement instead, the new term will be governed by the new Standard Terms as in force on the day the parties enter the </w:t>
      </w:r>
      <w:r w:rsidR="005B0C7B">
        <w:rPr>
          <w:rFonts w:ascii="Arial" w:hAnsi="Arial" w:cs="Arial"/>
          <w:sz w:val="24"/>
          <w:szCs w:val="24"/>
        </w:rPr>
        <w:t xml:space="preserve">new </w:t>
      </w:r>
      <w:r>
        <w:rPr>
          <w:rFonts w:ascii="Arial" w:hAnsi="Arial" w:cs="Arial"/>
          <w:sz w:val="24"/>
          <w:szCs w:val="24"/>
        </w:rPr>
        <w:t xml:space="preserve">agreement. </w:t>
      </w:r>
    </w:p>
    <w:p w14:paraId="4A341ADB" w14:textId="149F3ED9" w:rsidR="003A6E37" w:rsidRDefault="00C2564D" w:rsidP="001F0F85">
      <w:pPr>
        <w:spacing w:after="240" w:line="240" w:lineRule="auto"/>
        <w:rPr>
          <w:rFonts w:ascii="Arial" w:hAnsi="Arial" w:cs="Arial"/>
          <w:b/>
          <w:sz w:val="24"/>
          <w:szCs w:val="24"/>
        </w:rPr>
      </w:pPr>
      <w:r>
        <w:rPr>
          <w:rFonts w:ascii="Arial" w:hAnsi="Arial" w:cs="Arial"/>
          <w:b/>
          <w:sz w:val="24"/>
          <w:szCs w:val="24"/>
        </w:rPr>
        <w:t>Clause 6</w:t>
      </w:r>
      <w:r w:rsidR="001F0F85">
        <w:rPr>
          <w:rFonts w:ascii="Arial" w:hAnsi="Arial" w:cs="Arial"/>
          <w:b/>
          <w:sz w:val="24"/>
          <w:szCs w:val="24"/>
        </w:rPr>
        <w:tab/>
      </w:r>
      <w:r w:rsidR="00080703">
        <w:rPr>
          <w:rFonts w:ascii="Arial" w:hAnsi="Arial" w:cs="Arial"/>
          <w:b/>
          <w:sz w:val="24"/>
          <w:szCs w:val="24"/>
        </w:rPr>
        <w:t>Disputes about all or part of bond, New s</w:t>
      </w:r>
      <w:r w:rsidR="002158AB">
        <w:rPr>
          <w:rFonts w:ascii="Arial" w:hAnsi="Arial" w:cs="Arial"/>
          <w:b/>
          <w:sz w:val="24"/>
          <w:szCs w:val="24"/>
        </w:rPr>
        <w:t xml:space="preserve">ection </w:t>
      </w:r>
      <w:r w:rsidR="00701383">
        <w:rPr>
          <w:rFonts w:ascii="Arial" w:hAnsi="Arial" w:cs="Arial"/>
          <w:b/>
          <w:sz w:val="24"/>
          <w:szCs w:val="24"/>
        </w:rPr>
        <w:t>35 (</w:t>
      </w:r>
      <w:r w:rsidR="00A50CC6">
        <w:rPr>
          <w:rFonts w:ascii="Arial" w:hAnsi="Arial" w:cs="Arial"/>
          <w:b/>
          <w:sz w:val="24"/>
          <w:szCs w:val="24"/>
        </w:rPr>
        <w:t>2A</w:t>
      </w:r>
      <w:r w:rsidR="00701383">
        <w:rPr>
          <w:rFonts w:ascii="Arial" w:hAnsi="Arial" w:cs="Arial"/>
          <w:b/>
          <w:sz w:val="24"/>
          <w:szCs w:val="24"/>
        </w:rPr>
        <w:t>)</w:t>
      </w:r>
    </w:p>
    <w:p w14:paraId="7F43725E" w14:textId="5E0EC77E" w:rsidR="00A467CD" w:rsidRDefault="00F748B0" w:rsidP="00701383">
      <w:pPr>
        <w:spacing w:after="240" w:line="240" w:lineRule="auto"/>
        <w:rPr>
          <w:rFonts w:ascii="Arial" w:hAnsi="Arial" w:cs="Arial"/>
          <w:sz w:val="24"/>
          <w:szCs w:val="24"/>
        </w:rPr>
      </w:pPr>
      <w:r>
        <w:rPr>
          <w:rFonts w:ascii="Arial" w:hAnsi="Arial" w:cs="Arial"/>
          <w:sz w:val="24"/>
          <w:szCs w:val="24"/>
        </w:rPr>
        <w:t xml:space="preserve">This clause </w:t>
      </w:r>
      <w:r w:rsidR="00701383">
        <w:rPr>
          <w:rFonts w:ascii="Arial" w:hAnsi="Arial" w:cs="Arial"/>
          <w:sz w:val="24"/>
          <w:szCs w:val="24"/>
        </w:rPr>
        <w:t>ensures that when the Territory refers an application and notice of a dispute about a bond release application to the ACT Civil and Administrative Tribunal (the Tribunal), the parties</w:t>
      </w:r>
      <w:r w:rsidR="00A50CC6">
        <w:rPr>
          <w:rFonts w:ascii="Arial" w:hAnsi="Arial" w:cs="Arial"/>
          <w:sz w:val="24"/>
          <w:szCs w:val="24"/>
        </w:rPr>
        <w:t xml:space="preserve"> themselves</w:t>
      </w:r>
      <w:r w:rsidR="00701383">
        <w:rPr>
          <w:rFonts w:ascii="Arial" w:hAnsi="Arial" w:cs="Arial"/>
          <w:sz w:val="24"/>
          <w:szCs w:val="24"/>
        </w:rPr>
        <w:t xml:space="preserve"> will not need to file an additional application </w:t>
      </w:r>
      <w:r w:rsidR="00A50CC6">
        <w:rPr>
          <w:rFonts w:ascii="Arial" w:hAnsi="Arial" w:cs="Arial"/>
          <w:sz w:val="24"/>
          <w:szCs w:val="24"/>
        </w:rPr>
        <w:t>to the Tribunal</w:t>
      </w:r>
      <w:r w:rsidR="00E50399">
        <w:rPr>
          <w:rFonts w:ascii="Arial" w:hAnsi="Arial" w:cs="Arial"/>
          <w:sz w:val="24"/>
          <w:szCs w:val="24"/>
        </w:rPr>
        <w:t>.</w:t>
      </w:r>
    </w:p>
    <w:p w14:paraId="7ECB78FF" w14:textId="3C3AC7D3" w:rsidR="00E01F89" w:rsidRDefault="00E01F89" w:rsidP="0058325E">
      <w:pPr>
        <w:spacing w:after="240" w:line="240" w:lineRule="auto"/>
        <w:rPr>
          <w:rFonts w:ascii="Arial" w:hAnsi="Arial" w:cs="Arial"/>
          <w:b/>
          <w:sz w:val="24"/>
          <w:szCs w:val="24"/>
        </w:rPr>
      </w:pPr>
      <w:r>
        <w:rPr>
          <w:rFonts w:ascii="Arial" w:hAnsi="Arial" w:cs="Arial"/>
          <w:b/>
          <w:sz w:val="24"/>
          <w:szCs w:val="24"/>
        </w:rPr>
        <w:t>Clause 7</w:t>
      </w:r>
      <w:r>
        <w:rPr>
          <w:rFonts w:ascii="Arial" w:hAnsi="Arial" w:cs="Arial"/>
          <w:b/>
          <w:sz w:val="24"/>
          <w:szCs w:val="24"/>
        </w:rPr>
        <w:tab/>
      </w:r>
      <w:r w:rsidR="00080703">
        <w:rPr>
          <w:rFonts w:ascii="Arial" w:hAnsi="Arial" w:cs="Arial"/>
          <w:b/>
          <w:sz w:val="24"/>
          <w:szCs w:val="24"/>
        </w:rPr>
        <w:t>Termination, New s</w:t>
      </w:r>
      <w:r>
        <w:rPr>
          <w:rFonts w:ascii="Arial" w:hAnsi="Arial" w:cs="Arial"/>
          <w:b/>
          <w:sz w:val="24"/>
          <w:szCs w:val="24"/>
        </w:rPr>
        <w:t xml:space="preserve">ection </w:t>
      </w:r>
      <w:r w:rsidR="00A50CC6">
        <w:rPr>
          <w:rFonts w:ascii="Arial" w:hAnsi="Arial" w:cs="Arial"/>
          <w:b/>
          <w:sz w:val="24"/>
          <w:szCs w:val="24"/>
        </w:rPr>
        <w:t xml:space="preserve">36 </w:t>
      </w:r>
      <w:r>
        <w:rPr>
          <w:rFonts w:ascii="Arial" w:hAnsi="Arial" w:cs="Arial"/>
          <w:b/>
          <w:sz w:val="24"/>
          <w:szCs w:val="24"/>
        </w:rPr>
        <w:t>(1)</w:t>
      </w:r>
      <w:r w:rsidR="00A50CC6">
        <w:rPr>
          <w:rFonts w:ascii="Arial" w:hAnsi="Arial" w:cs="Arial"/>
          <w:b/>
          <w:sz w:val="24"/>
          <w:szCs w:val="24"/>
        </w:rPr>
        <w:t xml:space="preserve"> </w:t>
      </w:r>
      <w:r>
        <w:rPr>
          <w:rFonts w:ascii="Arial" w:hAnsi="Arial" w:cs="Arial"/>
          <w:b/>
          <w:sz w:val="24"/>
          <w:szCs w:val="24"/>
        </w:rPr>
        <w:t>(</w:t>
      </w:r>
      <w:r w:rsidR="00A50CC6">
        <w:rPr>
          <w:rFonts w:ascii="Arial" w:hAnsi="Arial" w:cs="Arial"/>
          <w:b/>
          <w:sz w:val="24"/>
          <w:szCs w:val="24"/>
        </w:rPr>
        <w:t>aa</w:t>
      </w:r>
      <w:r>
        <w:rPr>
          <w:rFonts w:ascii="Arial" w:hAnsi="Arial" w:cs="Arial"/>
          <w:b/>
          <w:sz w:val="24"/>
          <w:szCs w:val="24"/>
        </w:rPr>
        <w:t>)</w:t>
      </w:r>
    </w:p>
    <w:p w14:paraId="70197D06" w14:textId="4FB6DE37" w:rsidR="00E01F89" w:rsidRPr="00E01F89" w:rsidRDefault="00A50CC6" w:rsidP="0058325E">
      <w:pPr>
        <w:spacing w:after="240" w:line="240" w:lineRule="auto"/>
        <w:rPr>
          <w:rFonts w:ascii="Arial" w:hAnsi="Arial" w:cs="Arial"/>
          <w:sz w:val="24"/>
          <w:szCs w:val="24"/>
        </w:rPr>
      </w:pPr>
      <w:r>
        <w:rPr>
          <w:rFonts w:ascii="Arial" w:hAnsi="Arial" w:cs="Arial"/>
          <w:sz w:val="24"/>
          <w:szCs w:val="24"/>
        </w:rPr>
        <w:t xml:space="preserve">This is a consequential amendment </w:t>
      </w:r>
      <w:r w:rsidR="00683C89">
        <w:rPr>
          <w:rFonts w:ascii="Arial" w:hAnsi="Arial" w:cs="Arial"/>
          <w:sz w:val="24"/>
          <w:szCs w:val="24"/>
        </w:rPr>
        <w:t>to</w:t>
      </w:r>
      <w:r>
        <w:rPr>
          <w:rFonts w:ascii="Arial" w:hAnsi="Arial" w:cs="Arial"/>
          <w:sz w:val="24"/>
          <w:szCs w:val="24"/>
        </w:rPr>
        <w:t xml:space="preserve"> clause 8 below</w:t>
      </w:r>
      <w:r w:rsidR="00EE38C2">
        <w:rPr>
          <w:rFonts w:ascii="Arial" w:hAnsi="Arial" w:cs="Arial"/>
          <w:sz w:val="24"/>
          <w:szCs w:val="24"/>
        </w:rPr>
        <w:t xml:space="preserve">. </w:t>
      </w:r>
    </w:p>
    <w:p w14:paraId="613AB3CF" w14:textId="3610BDF3" w:rsidR="006A2057" w:rsidRPr="001A0950" w:rsidRDefault="006A2057" w:rsidP="001F0F85">
      <w:pPr>
        <w:spacing w:after="240" w:line="240" w:lineRule="auto"/>
        <w:rPr>
          <w:rFonts w:ascii="Arial" w:hAnsi="Arial" w:cs="Arial"/>
          <w:b/>
          <w:sz w:val="24"/>
          <w:szCs w:val="24"/>
        </w:rPr>
      </w:pPr>
      <w:r w:rsidRPr="001A0950">
        <w:rPr>
          <w:rFonts w:ascii="Arial" w:hAnsi="Arial" w:cs="Arial"/>
          <w:b/>
          <w:sz w:val="24"/>
          <w:szCs w:val="24"/>
        </w:rPr>
        <w:t xml:space="preserve">Clause </w:t>
      </w:r>
      <w:r w:rsidR="00EE38C2">
        <w:rPr>
          <w:rFonts w:ascii="Arial" w:hAnsi="Arial" w:cs="Arial"/>
          <w:b/>
          <w:sz w:val="24"/>
          <w:szCs w:val="24"/>
        </w:rPr>
        <w:t>8</w:t>
      </w:r>
      <w:r w:rsidRPr="001A0950">
        <w:rPr>
          <w:rFonts w:ascii="Arial" w:hAnsi="Arial" w:cs="Arial"/>
          <w:b/>
          <w:sz w:val="24"/>
          <w:szCs w:val="24"/>
        </w:rPr>
        <w:tab/>
      </w:r>
      <w:r w:rsidR="00770D35">
        <w:rPr>
          <w:rFonts w:ascii="Arial" w:hAnsi="Arial" w:cs="Arial"/>
          <w:b/>
          <w:sz w:val="24"/>
          <w:szCs w:val="24"/>
        </w:rPr>
        <w:t>New s</w:t>
      </w:r>
      <w:r w:rsidR="001A0950" w:rsidRPr="001A0950">
        <w:rPr>
          <w:rFonts w:ascii="Arial" w:hAnsi="Arial" w:cs="Arial"/>
          <w:b/>
          <w:sz w:val="24"/>
          <w:szCs w:val="24"/>
        </w:rPr>
        <w:t>ection</w:t>
      </w:r>
      <w:r w:rsidR="00770D35">
        <w:rPr>
          <w:rFonts w:ascii="Arial" w:hAnsi="Arial" w:cs="Arial"/>
          <w:b/>
          <w:sz w:val="24"/>
          <w:szCs w:val="24"/>
        </w:rPr>
        <w:t>s</w:t>
      </w:r>
      <w:r w:rsidR="001A0950" w:rsidRPr="001A0950">
        <w:rPr>
          <w:rFonts w:ascii="Arial" w:hAnsi="Arial" w:cs="Arial"/>
          <w:b/>
          <w:sz w:val="24"/>
          <w:szCs w:val="24"/>
        </w:rPr>
        <w:t xml:space="preserve"> </w:t>
      </w:r>
      <w:r w:rsidR="00A50CC6">
        <w:rPr>
          <w:rFonts w:ascii="Arial" w:hAnsi="Arial" w:cs="Arial"/>
          <w:b/>
          <w:sz w:val="24"/>
          <w:szCs w:val="24"/>
        </w:rPr>
        <w:t>46A and 46B</w:t>
      </w:r>
    </w:p>
    <w:p w14:paraId="44000301" w14:textId="3998577F" w:rsidR="00A50CC6" w:rsidRDefault="001A0950" w:rsidP="001F0F85">
      <w:pPr>
        <w:spacing w:after="240" w:line="240" w:lineRule="auto"/>
        <w:rPr>
          <w:rFonts w:ascii="Arial" w:hAnsi="Arial" w:cs="Arial"/>
          <w:sz w:val="24"/>
          <w:szCs w:val="24"/>
        </w:rPr>
      </w:pPr>
      <w:r>
        <w:rPr>
          <w:rFonts w:ascii="Arial" w:hAnsi="Arial" w:cs="Arial"/>
          <w:sz w:val="24"/>
          <w:szCs w:val="24"/>
        </w:rPr>
        <w:t xml:space="preserve">This clause </w:t>
      </w:r>
      <w:r w:rsidR="00A50CC6">
        <w:rPr>
          <w:rFonts w:ascii="Arial" w:hAnsi="Arial" w:cs="Arial"/>
          <w:sz w:val="24"/>
          <w:szCs w:val="24"/>
        </w:rPr>
        <w:t xml:space="preserve">inserts two new </w:t>
      </w:r>
      <w:r w:rsidR="00453541">
        <w:rPr>
          <w:rFonts w:ascii="Arial" w:hAnsi="Arial" w:cs="Arial"/>
          <w:sz w:val="24"/>
          <w:szCs w:val="24"/>
        </w:rPr>
        <w:t>section</w:t>
      </w:r>
      <w:r w:rsidR="007C3C92">
        <w:rPr>
          <w:rFonts w:ascii="Arial" w:hAnsi="Arial" w:cs="Arial"/>
          <w:sz w:val="24"/>
          <w:szCs w:val="24"/>
        </w:rPr>
        <w:t>s</w:t>
      </w:r>
      <w:r w:rsidR="00A50CC6">
        <w:rPr>
          <w:rFonts w:ascii="Arial" w:hAnsi="Arial" w:cs="Arial"/>
          <w:sz w:val="24"/>
          <w:szCs w:val="24"/>
        </w:rPr>
        <w:t xml:space="preserve"> into the </w:t>
      </w:r>
      <w:r w:rsidR="001A7176">
        <w:rPr>
          <w:rFonts w:ascii="Arial" w:hAnsi="Arial" w:cs="Arial"/>
          <w:sz w:val="24"/>
          <w:szCs w:val="24"/>
        </w:rPr>
        <w:t>RTA</w:t>
      </w:r>
      <w:r w:rsidR="00A50CC6">
        <w:rPr>
          <w:rFonts w:ascii="Arial" w:hAnsi="Arial" w:cs="Arial"/>
          <w:sz w:val="24"/>
          <w:szCs w:val="24"/>
        </w:rPr>
        <w:t xml:space="preserve"> to provide a tenant with two new grounds to terminate a tenancy.</w:t>
      </w:r>
    </w:p>
    <w:p w14:paraId="4B206579" w14:textId="1D29BA50" w:rsidR="001A0950" w:rsidRDefault="00453541" w:rsidP="001F0F85">
      <w:pPr>
        <w:spacing w:after="240" w:line="240" w:lineRule="auto"/>
        <w:rPr>
          <w:rFonts w:ascii="Arial" w:hAnsi="Arial" w:cs="Arial"/>
          <w:sz w:val="24"/>
          <w:szCs w:val="24"/>
        </w:rPr>
      </w:pPr>
      <w:r>
        <w:rPr>
          <w:rFonts w:ascii="Arial" w:hAnsi="Arial" w:cs="Arial"/>
          <w:sz w:val="24"/>
          <w:szCs w:val="24"/>
        </w:rPr>
        <w:t xml:space="preserve">The new section 46A provides a right for a tenant to terminate </w:t>
      </w:r>
      <w:r w:rsidR="00BF408D">
        <w:rPr>
          <w:rFonts w:ascii="Arial" w:hAnsi="Arial" w:cs="Arial"/>
          <w:sz w:val="24"/>
          <w:szCs w:val="24"/>
        </w:rPr>
        <w:t xml:space="preserve">their tenancy agreement if they have accepted accommodation in a residential aged care facility or in a social housing dwelling. </w:t>
      </w:r>
      <w:r w:rsidR="000B64BF">
        <w:rPr>
          <w:rFonts w:ascii="Arial" w:hAnsi="Arial" w:cs="Arial"/>
          <w:sz w:val="24"/>
          <w:szCs w:val="24"/>
        </w:rPr>
        <w:t>The tenant must give 14 days</w:t>
      </w:r>
      <w:r w:rsidR="00D42CDC">
        <w:rPr>
          <w:rFonts w:ascii="Arial" w:hAnsi="Arial" w:cs="Arial"/>
          <w:sz w:val="24"/>
          <w:szCs w:val="24"/>
        </w:rPr>
        <w:t>’</w:t>
      </w:r>
      <w:r w:rsidR="000B64BF">
        <w:rPr>
          <w:rFonts w:ascii="Arial" w:hAnsi="Arial" w:cs="Arial"/>
          <w:sz w:val="24"/>
          <w:szCs w:val="24"/>
        </w:rPr>
        <w:t xml:space="preserve"> notice of the termination, with the tenancy terminating on the date specified in the notice. The tenant is not liable to pay compensation for the early termination but, as the tenancy does not end until the date specified in the notice, is liable for the rent payable for the period to the termination date.</w:t>
      </w:r>
    </w:p>
    <w:p w14:paraId="5603BE0B" w14:textId="77777777" w:rsidR="00743D53" w:rsidRDefault="00BF408D" w:rsidP="001F0F85">
      <w:pPr>
        <w:spacing w:after="240" w:line="240" w:lineRule="auto"/>
        <w:rPr>
          <w:rFonts w:ascii="Arial" w:hAnsi="Arial" w:cs="Arial"/>
          <w:sz w:val="24"/>
          <w:szCs w:val="24"/>
        </w:rPr>
      </w:pPr>
      <w:r>
        <w:rPr>
          <w:rFonts w:ascii="Arial" w:hAnsi="Arial" w:cs="Arial"/>
          <w:sz w:val="24"/>
          <w:szCs w:val="24"/>
        </w:rPr>
        <w:t xml:space="preserve">The new section 46B provides a right for a tenant to terminate a fixed term tenancy agreement under some circumstances where the landlord has decided to sell their property. The tenant’s quiet enjoyment and exclusive possession of their property is </w:t>
      </w:r>
      <w:r w:rsidR="005B0C7B">
        <w:rPr>
          <w:rFonts w:ascii="Arial" w:hAnsi="Arial" w:cs="Arial"/>
          <w:sz w:val="24"/>
          <w:szCs w:val="24"/>
        </w:rPr>
        <w:t>limited</w:t>
      </w:r>
      <w:r>
        <w:rPr>
          <w:rFonts w:ascii="Arial" w:hAnsi="Arial" w:cs="Arial"/>
          <w:sz w:val="24"/>
          <w:szCs w:val="24"/>
        </w:rPr>
        <w:t xml:space="preserve"> when the landlord decides to sell the property during a fixed term lease. This new section will provide a tenant a right to terminate a fixed term tenancy if, within the first six months of a fixed term lease, the landlord notifies the tenant of their intention to sell the property and they did not disclose this intention prior to entering the lease.</w:t>
      </w:r>
      <w:r w:rsidR="005B0C7B">
        <w:rPr>
          <w:rFonts w:ascii="Arial" w:hAnsi="Arial" w:cs="Arial"/>
          <w:sz w:val="24"/>
          <w:szCs w:val="24"/>
        </w:rPr>
        <w:t xml:space="preserve"> A tenant should be informed of this likely disruption when they enter into the fixed term agreement.</w:t>
      </w:r>
      <w:r>
        <w:rPr>
          <w:rFonts w:ascii="Arial" w:hAnsi="Arial" w:cs="Arial"/>
          <w:sz w:val="24"/>
          <w:szCs w:val="24"/>
        </w:rPr>
        <w:t xml:space="preserve"> </w:t>
      </w:r>
    </w:p>
    <w:p w14:paraId="3D0660FE" w14:textId="492C33BE" w:rsidR="00BF408D" w:rsidRDefault="00BF408D" w:rsidP="001F0F85">
      <w:pPr>
        <w:spacing w:after="240" w:line="240" w:lineRule="auto"/>
        <w:rPr>
          <w:rFonts w:ascii="Arial" w:hAnsi="Arial" w:cs="Arial"/>
          <w:sz w:val="24"/>
          <w:szCs w:val="24"/>
        </w:rPr>
      </w:pPr>
      <w:r>
        <w:rPr>
          <w:rFonts w:ascii="Arial" w:hAnsi="Arial" w:cs="Arial"/>
          <w:sz w:val="24"/>
          <w:szCs w:val="24"/>
        </w:rPr>
        <w:t xml:space="preserve">In addition, the new section will provide a tenant a right to terminate </w:t>
      </w:r>
      <w:r w:rsidR="008A1F00">
        <w:rPr>
          <w:rFonts w:ascii="Arial" w:hAnsi="Arial" w:cs="Arial"/>
          <w:sz w:val="24"/>
          <w:szCs w:val="24"/>
        </w:rPr>
        <w:t xml:space="preserve">a fixed term tenancy if access to the property for inspections by prospective purchasers is </w:t>
      </w:r>
      <w:r w:rsidR="008A1F00">
        <w:rPr>
          <w:rFonts w:ascii="Arial" w:hAnsi="Arial" w:cs="Arial"/>
          <w:sz w:val="24"/>
          <w:szCs w:val="24"/>
        </w:rPr>
        <w:lastRenderedPageBreak/>
        <w:t>required for more than eight weeks (at which point the sale process may reasonably be deemed to be onerous on the tenant). The eight week period commences on the day the landlord ma</w:t>
      </w:r>
      <w:r w:rsidR="00743D53">
        <w:rPr>
          <w:rFonts w:ascii="Arial" w:hAnsi="Arial" w:cs="Arial"/>
          <w:sz w:val="24"/>
          <w:szCs w:val="24"/>
        </w:rPr>
        <w:t>k</w:t>
      </w:r>
      <w:r w:rsidR="008A1F00">
        <w:rPr>
          <w:rFonts w:ascii="Arial" w:hAnsi="Arial" w:cs="Arial"/>
          <w:sz w:val="24"/>
          <w:szCs w:val="24"/>
        </w:rPr>
        <w:t>e</w:t>
      </w:r>
      <w:r w:rsidR="00743D53">
        <w:rPr>
          <w:rFonts w:ascii="Arial" w:hAnsi="Arial" w:cs="Arial"/>
          <w:sz w:val="24"/>
          <w:szCs w:val="24"/>
        </w:rPr>
        <w:t>s</w:t>
      </w:r>
      <w:r w:rsidR="008A1F00">
        <w:rPr>
          <w:rFonts w:ascii="Arial" w:hAnsi="Arial" w:cs="Arial"/>
          <w:sz w:val="24"/>
          <w:szCs w:val="24"/>
        </w:rPr>
        <w:t xml:space="preserve"> the first buyer inspection request; the right to terminate arises </w:t>
      </w:r>
      <w:r w:rsidR="00743D53">
        <w:rPr>
          <w:rFonts w:ascii="Arial" w:hAnsi="Arial" w:cs="Arial"/>
          <w:sz w:val="24"/>
          <w:szCs w:val="24"/>
        </w:rPr>
        <w:t>if the landlord makes a subsequent inspection request following the period</w:t>
      </w:r>
      <w:r w:rsidR="008A1F00">
        <w:rPr>
          <w:rFonts w:ascii="Arial" w:hAnsi="Arial" w:cs="Arial"/>
          <w:sz w:val="24"/>
          <w:szCs w:val="24"/>
        </w:rPr>
        <w:t xml:space="preserve">. </w:t>
      </w:r>
      <w:r w:rsidR="000B64BF">
        <w:rPr>
          <w:rFonts w:ascii="Arial" w:hAnsi="Arial" w:cs="Arial"/>
          <w:sz w:val="24"/>
          <w:szCs w:val="24"/>
        </w:rPr>
        <w:t>The tenancy ends on the date stated in the notice, and not at the end of the eight week period. Although the tenant is not liable to pay compensation for the early termination of the agreement, they are liable for the rent payable for the period to the termination date.</w:t>
      </w:r>
    </w:p>
    <w:p w14:paraId="6F262E9E" w14:textId="4764C697" w:rsidR="001A0950" w:rsidRPr="00FD1BCA" w:rsidRDefault="001A0950" w:rsidP="00743D53">
      <w:pPr>
        <w:keepNext/>
        <w:spacing w:after="240" w:line="240" w:lineRule="auto"/>
        <w:rPr>
          <w:rFonts w:ascii="Arial" w:hAnsi="Arial" w:cs="Arial"/>
          <w:b/>
          <w:sz w:val="24"/>
          <w:szCs w:val="24"/>
        </w:rPr>
      </w:pPr>
      <w:r w:rsidRPr="00FD1BCA">
        <w:rPr>
          <w:rFonts w:ascii="Arial" w:hAnsi="Arial" w:cs="Arial"/>
          <w:b/>
          <w:sz w:val="24"/>
          <w:szCs w:val="24"/>
        </w:rPr>
        <w:t xml:space="preserve">Clause </w:t>
      </w:r>
      <w:r w:rsidR="00EE38C2">
        <w:rPr>
          <w:rFonts w:ascii="Arial" w:hAnsi="Arial" w:cs="Arial"/>
          <w:b/>
          <w:sz w:val="24"/>
          <w:szCs w:val="24"/>
        </w:rPr>
        <w:t>9</w:t>
      </w:r>
      <w:r w:rsidRPr="00FD1BCA">
        <w:rPr>
          <w:rFonts w:ascii="Arial" w:hAnsi="Arial" w:cs="Arial"/>
          <w:b/>
          <w:sz w:val="24"/>
          <w:szCs w:val="24"/>
        </w:rPr>
        <w:t xml:space="preserve"> </w:t>
      </w:r>
      <w:r w:rsidRPr="00FD1BCA">
        <w:rPr>
          <w:rFonts w:ascii="Arial" w:hAnsi="Arial" w:cs="Arial"/>
          <w:b/>
          <w:sz w:val="24"/>
          <w:szCs w:val="24"/>
        </w:rPr>
        <w:tab/>
      </w:r>
      <w:r w:rsidR="00770D35">
        <w:rPr>
          <w:rFonts w:ascii="Arial" w:hAnsi="Arial" w:cs="Arial"/>
          <w:b/>
          <w:sz w:val="24"/>
          <w:szCs w:val="24"/>
        </w:rPr>
        <w:t>Certain breaches of standard residential tenancy terms, New</w:t>
      </w:r>
      <w:r w:rsidR="00743D53">
        <w:rPr>
          <w:rFonts w:ascii="Arial" w:hAnsi="Arial" w:cs="Arial"/>
          <w:b/>
          <w:sz w:val="24"/>
          <w:szCs w:val="24"/>
        </w:rPr>
        <w:t> </w:t>
      </w:r>
      <w:r w:rsidR="00770D35">
        <w:rPr>
          <w:rFonts w:ascii="Arial" w:hAnsi="Arial" w:cs="Arial"/>
          <w:b/>
          <w:sz w:val="24"/>
          <w:szCs w:val="24"/>
        </w:rPr>
        <w:t>s</w:t>
      </w:r>
      <w:r w:rsidR="00FD1BCA" w:rsidRPr="00FD1BCA">
        <w:rPr>
          <w:rFonts w:ascii="Arial" w:hAnsi="Arial" w:cs="Arial"/>
          <w:b/>
          <w:sz w:val="24"/>
          <w:szCs w:val="24"/>
        </w:rPr>
        <w:t xml:space="preserve">ection </w:t>
      </w:r>
      <w:r w:rsidR="008A1F00">
        <w:rPr>
          <w:rFonts w:ascii="Arial" w:hAnsi="Arial" w:cs="Arial"/>
          <w:b/>
          <w:sz w:val="24"/>
          <w:szCs w:val="24"/>
        </w:rPr>
        <w:t>48 (3) and (4)</w:t>
      </w:r>
    </w:p>
    <w:p w14:paraId="7A136B55" w14:textId="1C7F9C25" w:rsidR="00FD1BCA" w:rsidRDefault="00FD1BCA" w:rsidP="001F0F85">
      <w:pPr>
        <w:spacing w:after="240" w:line="240" w:lineRule="auto"/>
        <w:rPr>
          <w:rFonts w:ascii="Arial" w:hAnsi="Arial" w:cs="Arial"/>
          <w:sz w:val="24"/>
          <w:szCs w:val="24"/>
        </w:rPr>
      </w:pPr>
      <w:r>
        <w:rPr>
          <w:rFonts w:ascii="Arial" w:hAnsi="Arial" w:cs="Arial"/>
          <w:sz w:val="24"/>
          <w:szCs w:val="24"/>
        </w:rPr>
        <w:t>This clause</w:t>
      </w:r>
      <w:r w:rsidR="002A6E4F">
        <w:rPr>
          <w:rFonts w:ascii="Arial" w:hAnsi="Arial" w:cs="Arial"/>
          <w:sz w:val="24"/>
          <w:szCs w:val="24"/>
        </w:rPr>
        <w:t xml:space="preserve"> </w:t>
      </w:r>
      <w:r w:rsidR="008A1F00">
        <w:rPr>
          <w:rFonts w:ascii="Arial" w:hAnsi="Arial" w:cs="Arial"/>
          <w:sz w:val="24"/>
          <w:szCs w:val="24"/>
        </w:rPr>
        <w:t xml:space="preserve">inserts two new provisions within the section </w:t>
      </w:r>
      <w:r w:rsidR="007208FC">
        <w:rPr>
          <w:rFonts w:ascii="Arial" w:hAnsi="Arial" w:cs="Arial"/>
          <w:sz w:val="24"/>
          <w:szCs w:val="24"/>
        </w:rPr>
        <w:t xml:space="preserve">48 </w:t>
      </w:r>
      <w:r w:rsidR="008A1F00">
        <w:rPr>
          <w:rFonts w:ascii="Arial" w:hAnsi="Arial" w:cs="Arial"/>
          <w:sz w:val="24"/>
          <w:szCs w:val="24"/>
        </w:rPr>
        <w:t xml:space="preserve">of the </w:t>
      </w:r>
      <w:r w:rsidR="001A7176">
        <w:rPr>
          <w:rFonts w:ascii="Arial" w:hAnsi="Arial" w:cs="Arial"/>
          <w:sz w:val="24"/>
          <w:szCs w:val="24"/>
        </w:rPr>
        <w:t>RTA</w:t>
      </w:r>
      <w:r w:rsidR="007208FC">
        <w:rPr>
          <w:rFonts w:ascii="Arial" w:hAnsi="Arial" w:cs="Arial"/>
          <w:sz w:val="24"/>
          <w:szCs w:val="24"/>
        </w:rPr>
        <w:t xml:space="preserve">. Section 48 of the </w:t>
      </w:r>
      <w:r w:rsidR="001A7176">
        <w:rPr>
          <w:rFonts w:ascii="Arial" w:hAnsi="Arial" w:cs="Arial"/>
          <w:sz w:val="24"/>
          <w:szCs w:val="24"/>
        </w:rPr>
        <w:t>RTA</w:t>
      </w:r>
      <w:r w:rsidR="008A1F00">
        <w:rPr>
          <w:rFonts w:ascii="Arial" w:hAnsi="Arial" w:cs="Arial"/>
          <w:sz w:val="24"/>
          <w:szCs w:val="24"/>
        </w:rPr>
        <w:t xml:space="preserve"> </w:t>
      </w:r>
      <w:r w:rsidR="007208FC">
        <w:rPr>
          <w:rFonts w:ascii="Arial" w:hAnsi="Arial" w:cs="Arial"/>
          <w:sz w:val="24"/>
          <w:szCs w:val="24"/>
        </w:rPr>
        <w:t>provides a discretionary power to</w:t>
      </w:r>
      <w:r w:rsidR="008A1F00">
        <w:rPr>
          <w:rFonts w:ascii="Arial" w:hAnsi="Arial" w:cs="Arial"/>
          <w:sz w:val="24"/>
          <w:szCs w:val="24"/>
        </w:rPr>
        <w:t xml:space="preserve"> the Tribunal to make termination and possession orders</w:t>
      </w:r>
      <w:r w:rsidR="007208FC">
        <w:rPr>
          <w:rFonts w:ascii="Arial" w:hAnsi="Arial" w:cs="Arial"/>
          <w:sz w:val="24"/>
          <w:szCs w:val="24"/>
        </w:rPr>
        <w:t xml:space="preserve"> on application by the landlord</w:t>
      </w:r>
      <w:r w:rsidR="008A1F00">
        <w:rPr>
          <w:rFonts w:ascii="Arial" w:hAnsi="Arial" w:cs="Arial"/>
          <w:sz w:val="24"/>
          <w:szCs w:val="24"/>
        </w:rPr>
        <w:t>.</w:t>
      </w:r>
      <w:r w:rsidR="00E50399">
        <w:rPr>
          <w:rFonts w:ascii="Arial" w:hAnsi="Arial" w:cs="Arial"/>
          <w:sz w:val="24"/>
          <w:szCs w:val="24"/>
        </w:rPr>
        <w:t xml:space="preserve"> </w:t>
      </w:r>
      <w:r w:rsidR="008A1F00">
        <w:rPr>
          <w:rFonts w:ascii="Arial" w:hAnsi="Arial" w:cs="Arial"/>
          <w:sz w:val="24"/>
          <w:szCs w:val="24"/>
        </w:rPr>
        <w:t xml:space="preserve">The two new provisions are specifically to regulate the Tribunal’s power when terminating a tenancy </w:t>
      </w:r>
      <w:r w:rsidR="003332C0">
        <w:rPr>
          <w:rFonts w:ascii="Arial" w:hAnsi="Arial" w:cs="Arial"/>
          <w:sz w:val="24"/>
          <w:szCs w:val="24"/>
        </w:rPr>
        <w:t>for a breach of the illegal use Standard Term (clause 70 (a) of the Standard Terms).</w:t>
      </w:r>
    </w:p>
    <w:p w14:paraId="4A6FB73A" w14:textId="38A273EC" w:rsidR="003332C0" w:rsidRDefault="003332C0" w:rsidP="001F0F85">
      <w:pPr>
        <w:spacing w:after="240" w:line="240" w:lineRule="auto"/>
        <w:rPr>
          <w:rFonts w:ascii="Arial" w:hAnsi="Arial" w:cs="Arial"/>
          <w:sz w:val="24"/>
          <w:szCs w:val="24"/>
        </w:rPr>
      </w:pPr>
      <w:r>
        <w:rPr>
          <w:rFonts w:ascii="Arial" w:hAnsi="Arial" w:cs="Arial"/>
          <w:sz w:val="24"/>
          <w:szCs w:val="24"/>
        </w:rPr>
        <w:t xml:space="preserve">Most Australian jurisdictions permit a landlord to commence termination of a tenancy agreement if the tenant has used the property </w:t>
      </w:r>
      <w:r w:rsidR="007208FC">
        <w:rPr>
          <w:rFonts w:ascii="Arial" w:hAnsi="Arial" w:cs="Arial"/>
          <w:sz w:val="24"/>
          <w:szCs w:val="24"/>
        </w:rPr>
        <w:t>for</w:t>
      </w:r>
      <w:r>
        <w:rPr>
          <w:rFonts w:ascii="Arial" w:hAnsi="Arial" w:cs="Arial"/>
          <w:sz w:val="24"/>
          <w:szCs w:val="24"/>
        </w:rPr>
        <w:t xml:space="preserve"> an illegal or unlawful purpose. The 2016 review of the </w:t>
      </w:r>
      <w:r w:rsidR="001A7176">
        <w:rPr>
          <w:rFonts w:ascii="Arial" w:hAnsi="Arial" w:cs="Arial"/>
          <w:sz w:val="24"/>
          <w:szCs w:val="24"/>
        </w:rPr>
        <w:t>RTA</w:t>
      </w:r>
      <w:r>
        <w:rPr>
          <w:rFonts w:ascii="Arial" w:hAnsi="Arial" w:cs="Arial"/>
          <w:sz w:val="24"/>
          <w:szCs w:val="24"/>
        </w:rPr>
        <w:t xml:space="preserve"> noted that there were high</w:t>
      </w:r>
      <w:r w:rsidR="007208FC">
        <w:rPr>
          <w:rFonts w:ascii="Arial" w:hAnsi="Arial" w:cs="Arial"/>
          <w:sz w:val="24"/>
          <w:szCs w:val="24"/>
        </w:rPr>
        <w:t>-profile cases of illegal use of rental properties adversely impacting landlords, including creating difficulties re-le</w:t>
      </w:r>
      <w:r w:rsidR="00743D53">
        <w:rPr>
          <w:rFonts w:ascii="Arial" w:hAnsi="Arial" w:cs="Arial"/>
          <w:sz w:val="24"/>
          <w:szCs w:val="24"/>
        </w:rPr>
        <w:t>tt</w:t>
      </w:r>
      <w:r w:rsidR="007208FC">
        <w:rPr>
          <w:rFonts w:ascii="Arial" w:hAnsi="Arial" w:cs="Arial"/>
          <w:sz w:val="24"/>
          <w:szCs w:val="24"/>
        </w:rPr>
        <w:t>ing the property.</w:t>
      </w:r>
    </w:p>
    <w:p w14:paraId="07D7538A" w14:textId="472945FE" w:rsidR="007208FC" w:rsidRDefault="000B64BF" w:rsidP="001F0F85">
      <w:pPr>
        <w:spacing w:after="240" w:line="240" w:lineRule="auto"/>
        <w:rPr>
          <w:rFonts w:ascii="Arial" w:hAnsi="Arial" w:cs="Arial"/>
          <w:sz w:val="24"/>
          <w:szCs w:val="24"/>
        </w:rPr>
      </w:pPr>
      <w:r>
        <w:rPr>
          <w:rFonts w:ascii="Arial" w:hAnsi="Arial" w:cs="Arial"/>
          <w:sz w:val="24"/>
          <w:szCs w:val="24"/>
        </w:rPr>
        <w:t>New section 48 (3)</w:t>
      </w:r>
      <w:r w:rsidR="007208FC">
        <w:rPr>
          <w:rFonts w:ascii="Arial" w:hAnsi="Arial" w:cs="Arial"/>
          <w:sz w:val="24"/>
          <w:szCs w:val="24"/>
        </w:rPr>
        <w:t xml:space="preserve"> </w:t>
      </w:r>
      <w:r>
        <w:rPr>
          <w:rFonts w:ascii="Arial" w:hAnsi="Arial" w:cs="Arial"/>
          <w:sz w:val="24"/>
          <w:szCs w:val="24"/>
        </w:rPr>
        <w:t>is expressed</w:t>
      </w:r>
      <w:r w:rsidR="00FC0393">
        <w:rPr>
          <w:rFonts w:ascii="Arial" w:hAnsi="Arial" w:cs="Arial"/>
          <w:sz w:val="24"/>
          <w:szCs w:val="24"/>
        </w:rPr>
        <w:t xml:space="preserve"> in terms of</w:t>
      </w:r>
      <w:r w:rsidR="007208FC">
        <w:rPr>
          <w:rFonts w:ascii="Arial" w:hAnsi="Arial" w:cs="Arial"/>
          <w:sz w:val="24"/>
          <w:szCs w:val="24"/>
        </w:rPr>
        <w:t xml:space="preserve"> </w:t>
      </w:r>
      <w:r w:rsidR="00FC0393">
        <w:rPr>
          <w:rFonts w:ascii="Arial" w:hAnsi="Arial" w:cs="Arial"/>
          <w:sz w:val="24"/>
          <w:szCs w:val="24"/>
        </w:rPr>
        <w:t>‘</w:t>
      </w:r>
      <w:r w:rsidR="007208FC">
        <w:rPr>
          <w:rFonts w:ascii="Arial" w:hAnsi="Arial" w:cs="Arial"/>
          <w:sz w:val="24"/>
          <w:szCs w:val="24"/>
        </w:rPr>
        <w:t>use of the pr</w:t>
      </w:r>
      <w:r w:rsidR="00FC0393">
        <w:rPr>
          <w:rFonts w:ascii="Arial" w:hAnsi="Arial" w:cs="Arial"/>
          <w:sz w:val="24"/>
          <w:szCs w:val="24"/>
        </w:rPr>
        <w:t>emises’ and ‘illegal purposes</w:t>
      </w:r>
      <w:r w:rsidR="00BA7D39">
        <w:rPr>
          <w:rFonts w:ascii="Arial" w:hAnsi="Arial" w:cs="Arial"/>
          <w:sz w:val="24"/>
          <w:szCs w:val="24"/>
        </w:rPr>
        <w:t>,</w:t>
      </w:r>
      <w:r w:rsidR="00FC0393">
        <w:rPr>
          <w:rFonts w:ascii="Arial" w:hAnsi="Arial" w:cs="Arial"/>
          <w:sz w:val="24"/>
          <w:szCs w:val="24"/>
        </w:rPr>
        <w:t>’ and does not express this provision in terms of unlawful conduct while on the premises or unlawful activities</w:t>
      </w:r>
      <w:r w:rsidR="007208FC">
        <w:rPr>
          <w:rFonts w:ascii="Arial" w:hAnsi="Arial" w:cs="Arial"/>
          <w:sz w:val="24"/>
          <w:szCs w:val="24"/>
        </w:rPr>
        <w:t xml:space="preserve">. For the Tribunal to make the termination and possession order on the basis of a breach of clause 70 (a) of the Standard Terms, the Tribunal must be satisfied that the tenant used the property, or permitted the property to be used, for an illegal purpose. In </w:t>
      </w:r>
      <w:r w:rsidR="007208FC">
        <w:rPr>
          <w:rFonts w:ascii="Arial" w:hAnsi="Arial" w:cs="Arial"/>
          <w:i/>
          <w:sz w:val="24"/>
          <w:szCs w:val="24"/>
        </w:rPr>
        <w:t xml:space="preserve">Director of Housing v TK </w:t>
      </w:r>
      <w:r w:rsidR="007208FC">
        <w:rPr>
          <w:rFonts w:ascii="Arial" w:hAnsi="Arial" w:cs="Arial"/>
          <w:sz w:val="24"/>
          <w:szCs w:val="24"/>
        </w:rPr>
        <w:t>[2010] VCAT 1839, the</w:t>
      </w:r>
      <w:r w:rsidR="00674732">
        <w:rPr>
          <w:rFonts w:ascii="Arial" w:hAnsi="Arial" w:cs="Arial"/>
          <w:sz w:val="24"/>
          <w:szCs w:val="24"/>
        </w:rPr>
        <w:t xml:space="preserve"> Victorian Civil and Administrative Tribunal </w:t>
      </w:r>
      <w:r w:rsidR="00683C89">
        <w:rPr>
          <w:rFonts w:ascii="Arial" w:hAnsi="Arial" w:cs="Arial"/>
          <w:sz w:val="24"/>
          <w:szCs w:val="24"/>
        </w:rPr>
        <w:t xml:space="preserve">(VCAT) </w:t>
      </w:r>
      <w:r w:rsidR="00674732">
        <w:rPr>
          <w:rFonts w:ascii="Arial" w:hAnsi="Arial" w:cs="Arial"/>
          <w:sz w:val="24"/>
          <w:szCs w:val="24"/>
        </w:rPr>
        <w:t>considered a similar provision in Victorian law and held that it was ‘not sufficient that the premises are merely the scene of the commission of the crime</w:t>
      </w:r>
      <w:r w:rsidR="00A47F04">
        <w:rPr>
          <w:rFonts w:ascii="Arial" w:hAnsi="Arial" w:cs="Arial"/>
          <w:sz w:val="24"/>
          <w:szCs w:val="24"/>
        </w:rPr>
        <w:t>.</w:t>
      </w:r>
      <w:r w:rsidR="00674732">
        <w:rPr>
          <w:rFonts w:ascii="Arial" w:hAnsi="Arial" w:cs="Arial"/>
          <w:sz w:val="24"/>
          <w:szCs w:val="24"/>
        </w:rPr>
        <w:t>’ Instead, ‘there must be some real connection between the use of the rented premises and the illegal activity alleged</w:t>
      </w:r>
      <w:r w:rsidR="00A47F04">
        <w:rPr>
          <w:rFonts w:ascii="Arial" w:hAnsi="Arial" w:cs="Arial"/>
          <w:sz w:val="24"/>
          <w:szCs w:val="24"/>
        </w:rPr>
        <w:t>…</w:t>
      </w:r>
      <w:r w:rsidR="00674732">
        <w:rPr>
          <w:rFonts w:ascii="Arial" w:hAnsi="Arial" w:cs="Arial"/>
          <w:sz w:val="24"/>
          <w:szCs w:val="24"/>
        </w:rPr>
        <w:t xml:space="preserve"> The purpose of the legislation is not to re-punish tenants for crimes they commit, but to prevent rented premises from being used for a purpose that is illegal.’ The </w:t>
      </w:r>
      <w:r w:rsidR="00683C89">
        <w:rPr>
          <w:rFonts w:ascii="Arial" w:hAnsi="Arial" w:cs="Arial"/>
          <w:sz w:val="24"/>
          <w:szCs w:val="24"/>
        </w:rPr>
        <w:t xml:space="preserve">VCAT </w:t>
      </w:r>
      <w:r w:rsidR="00674732">
        <w:rPr>
          <w:rFonts w:ascii="Arial" w:hAnsi="Arial" w:cs="Arial"/>
          <w:sz w:val="24"/>
          <w:szCs w:val="24"/>
        </w:rPr>
        <w:t xml:space="preserve">held that this interpretation was consistent with section 13 of the </w:t>
      </w:r>
      <w:r w:rsidR="00674732">
        <w:rPr>
          <w:rFonts w:ascii="Arial" w:hAnsi="Arial" w:cs="Arial"/>
          <w:i/>
          <w:sz w:val="24"/>
          <w:szCs w:val="24"/>
        </w:rPr>
        <w:t xml:space="preserve">Charter of Human Rights and Responsibilities Act 2006 </w:t>
      </w:r>
      <w:r w:rsidR="00674732">
        <w:rPr>
          <w:rFonts w:ascii="Arial" w:hAnsi="Arial" w:cs="Arial"/>
          <w:sz w:val="24"/>
          <w:szCs w:val="24"/>
        </w:rPr>
        <w:t>(Vic) which corresponds to section 12 of the</w:t>
      </w:r>
      <w:r w:rsidR="00FE1A3F">
        <w:rPr>
          <w:rFonts w:ascii="Arial" w:hAnsi="Arial" w:cs="Arial"/>
          <w:sz w:val="24"/>
          <w:szCs w:val="24"/>
        </w:rPr>
        <w:t xml:space="preserve"> HRA</w:t>
      </w:r>
      <w:r w:rsidR="00F338EB">
        <w:rPr>
          <w:rFonts w:ascii="Arial" w:hAnsi="Arial" w:cs="Arial"/>
          <w:sz w:val="24"/>
          <w:szCs w:val="24"/>
        </w:rPr>
        <w:t>: the right not to have his or her privacy, family, home or correspondence interfered with unlawfully or arbitrarily</w:t>
      </w:r>
      <w:r w:rsidR="00674732">
        <w:rPr>
          <w:rFonts w:ascii="Arial" w:hAnsi="Arial" w:cs="Arial"/>
          <w:sz w:val="24"/>
          <w:szCs w:val="24"/>
        </w:rPr>
        <w:t>.</w:t>
      </w:r>
      <w:r w:rsidR="004D1618">
        <w:rPr>
          <w:rFonts w:ascii="Arial" w:hAnsi="Arial" w:cs="Arial"/>
          <w:sz w:val="24"/>
          <w:szCs w:val="24"/>
        </w:rPr>
        <w:t xml:space="preserve"> The Tribunal must also be satisfied that the illegal use of the premises </w:t>
      </w:r>
      <w:r w:rsidR="00E44ECB">
        <w:rPr>
          <w:rFonts w:ascii="Arial" w:hAnsi="Arial" w:cs="Arial"/>
          <w:sz w:val="24"/>
          <w:szCs w:val="24"/>
        </w:rPr>
        <w:t>warrants the</w:t>
      </w:r>
      <w:r w:rsidR="004D1618">
        <w:rPr>
          <w:rFonts w:ascii="Arial" w:hAnsi="Arial" w:cs="Arial"/>
          <w:sz w:val="24"/>
          <w:szCs w:val="24"/>
        </w:rPr>
        <w:t xml:space="preserve"> termination of the tenancy.</w:t>
      </w:r>
    </w:p>
    <w:p w14:paraId="283C56B4" w14:textId="49CE818F" w:rsidR="00674732" w:rsidRPr="0098577F" w:rsidRDefault="00CB2E2E" w:rsidP="001F0F85">
      <w:pPr>
        <w:spacing w:after="240" w:line="240" w:lineRule="auto"/>
        <w:rPr>
          <w:rFonts w:ascii="Arial" w:hAnsi="Arial" w:cs="Arial"/>
          <w:sz w:val="24"/>
          <w:szCs w:val="24"/>
        </w:rPr>
      </w:pPr>
      <w:r>
        <w:rPr>
          <w:rFonts w:ascii="Arial" w:hAnsi="Arial" w:cs="Arial"/>
          <w:sz w:val="24"/>
          <w:szCs w:val="24"/>
        </w:rPr>
        <w:t>New s</w:t>
      </w:r>
      <w:r w:rsidR="00674732">
        <w:rPr>
          <w:rFonts w:ascii="Arial" w:hAnsi="Arial" w:cs="Arial"/>
          <w:sz w:val="24"/>
          <w:szCs w:val="24"/>
        </w:rPr>
        <w:t>ection 48 (4)</w:t>
      </w:r>
      <w:r w:rsidR="00743D53">
        <w:rPr>
          <w:rFonts w:ascii="Arial" w:hAnsi="Arial" w:cs="Arial"/>
          <w:sz w:val="24"/>
          <w:szCs w:val="24"/>
        </w:rPr>
        <w:t xml:space="preserve">, based on section </w:t>
      </w:r>
      <w:r w:rsidR="00502486">
        <w:rPr>
          <w:rFonts w:ascii="Arial" w:hAnsi="Arial" w:cs="Arial"/>
          <w:sz w:val="24"/>
          <w:szCs w:val="24"/>
        </w:rPr>
        <w:t>91</w:t>
      </w:r>
      <w:r w:rsidR="00204AF2">
        <w:rPr>
          <w:rFonts w:ascii="Arial" w:hAnsi="Arial" w:cs="Arial"/>
          <w:sz w:val="24"/>
          <w:szCs w:val="24"/>
        </w:rPr>
        <w:t xml:space="preserve"> </w:t>
      </w:r>
      <w:r w:rsidR="00502486">
        <w:rPr>
          <w:rFonts w:ascii="Arial" w:hAnsi="Arial" w:cs="Arial"/>
          <w:sz w:val="24"/>
          <w:szCs w:val="24"/>
        </w:rPr>
        <w:t xml:space="preserve">(2) of the </w:t>
      </w:r>
      <w:r w:rsidR="00502486">
        <w:rPr>
          <w:rFonts w:ascii="Arial" w:hAnsi="Arial" w:cs="Arial"/>
          <w:i/>
          <w:sz w:val="24"/>
          <w:szCs w:val="24"/>
        </w:rPr>
        <w:t xml:space="preserve">Residential Tenancies Act 2010 </w:t>
      </w:r>
      <w:r w:rsidR="00502486">
        <w:rPr>
          <w:rFonts w:ascii="Arial" w:hAnsi="Arial" w:cs="Arial"/>
          <w:sz w:val="24"/>
          <w:szCs w:val="24"/>
        </w:rPr>
        <w:t>(NSW),</w:t>
      </w:r>
      <w:r w:rsidR="00674732">
        <w:rPr>
          <w:rFonts w:ascii="Arial" w:hAnsi="Arial" w:cs="Arial"/>
          <w:sz w:val="24"/>
          <w:szCs w:val="24"/>
        </w:rPr>
        <w:t xml:space="preserve"> </w:t>
      </w:r>
      <w:r w:rsidR="00502486">
        <w:rPr>
          <w:rFonts w:ascii="Arial" w:hAnsi="Arial" w:cs="Arial"/>
          <w:sz w:val="24"/>
          <w:szCs w:val="24"/>
        </w:rPr>
        <w:t>provides a non-exhaustive list of matters that the Tribunal may consider when determining that there has been use of the property for an illegal purpose</w:t>
      </w:r>
      <w:r w:rsidR="00F338EB">
        <w:rPr>
          <w:rFonts w:ascii="Arial" w:hAnsi="Arial" w:cs="Arial"/>
          <w:sz w:val="24"/>
          <w:szCs w:val="24"/>
        </w:rPr>
        <w:t>.</w:t>
      </w:r>
      <w:r w:rsidR="00502486">
        <w:rPr>
          <w:rFonts w:ascii="Arial" w:hAnsi="Arial" w:cs="Arial"/>
          <w:sz w:val="24"/>
          <w:szCs w:val="24"/>
        </w:rPr>
        <w:t xml:space="preserve"> </w:t>
      </w:r>
      <w:r>
        <w:rPr>
          <w:rFonts w:ascii="Arial" w:hAnsi="Arial" w:cs="Arial"/>
          <w:sz w:val="24"/>
          <w:szCs w:val="24"/>
        </w:rPr>
        <w:t>In relation to</w:t>
      </w:r>
      <w:r w:rsidR="00502486">
        <w:rPr>
          <w:rFonts w:ascii="Arial" w:hAnsi="Arial" w:cs="Arial"/>
          <w:sz w:val="24"/>
          <w:szCs w:val="24"/>
        </w:rPr>
        <w:t xml:space="preserve"> the nature of the illegal use</w:t>
      </w:r>
      <w:r w:rsidR="00423228">
        <w:rPr>
          <w:rFonts w:ascii="Arial" w:hAnsi="Arial" w:cs="Arial"/>
          <w:sz w:val="24"/>
          <w:szCs w:val="24"/>
        </w:rPr>
        <w:t xml:space="preserve">, </w:t>
      </w:r>
      <w:r>
        <w:rPr>
          <w:rFonts w:ascii="Arial" w:hAnsi="Arial" w:cs="Arial"/>
          <w:sz w:val="24"/>
          <w:szCs w:val="24"/>
        </w:rPr>
        <w:t xml:space="preserve">this may </w:t>
      </w:r>
      <w:r w:rsidR="00423228">
        <w:rPr>
          <w:rFonts w:ascii="Arial" w:hAnsi="Arial" w:cs="Arial"/>
          <w:sz w:val="24"/>
          <w:szCs w:val="24"/>
        </w:rPr>
        <w:t>include</w:t>
      </w:r>
      <w:r>
        <w:rPr>
          <w:rFonts w:ascii="Arial" w:hAnsi="Arial" w:cs="Arial"/>
          <w:sz w:val="24"/>
          <w:szCs w:val="24"/>
        </w:rPr>
        <w:t>, for example,</w:t>
      </w:r>
      <w:r w:rsidR="00423228">
        <w:rPr>
          <w:rFonts w:ascii="Arial" w:hAnsi="Arial" w:cs="Arial"/>
          <w:sz w:val="24"/>
          <w:szCs w:val="24"/>
        </w:rPr>
        <w:t xml:space="preserve"> the risk that the illegal use presents to others, the extent </w:t>
      </w:r>
      <w:r w:rsidR="0098577F">
        <w:rPr>
          <w:rFonts w:ascii="Arial" w:hAnsi="Arial" w:cs="Arial"/>
          <w:sz w:val="24"/>
          <w:szCs w:val="24"/>
        </w:rPr>
        <w:t xml:space="preserve">to which the illegal use damages the property, and the impact of the illegal use on neighbours and the landlord. </w:t>
      </w:r>
      <w:r>
        <w:rPr>
          <w:rFonts w:ascii="Arial" w:hAnsi="Arial" w:cs="Arial"/>
          <w:sz w:val="24"/>
          <w:szCs w:val="24"/>
        </w:rPr>
        <w:t>In relation to the</w:t>
      </w:r>
      <w:r w:rsidR="0098577F">
        <w:rPr>
          <w:rFonts w:ascii="Arial" w:hAnsi="Arial" w:cs="Arial"/>
          <w:sz w:val="24"/>
          <w:szCs w:val="24"/>
        </w:rPr>
        <w:t xml:space="preserve"> previous history of the tenancy, </w:t>
      </w:r>
      <w:r>
        <w:rPr>
          <w:rFonts w:ascii="Arial" w:hAnsi="Arial" w:cs="Arial"/>
          <w:sz w:val="24"/>
          <w:szCs w:val="24"/>
        </w:rPr>
        <w:t>this may</w:t>
      </w:r>
      <w:r w:rsidR="0098577F">
        <w:rPr>
          <w:rFonts w:ascii="Arial" w:hAnsi="Arial" w:cs="Arial"/>
          <w:sz w:val="24"/>
          <w:szCs w:val="24"/>
        </w:rPr>
        <w:t xml:space="preserve"> inform whether the illegal use of the property justifies termination. </w:t>
      </w:r>
      <w:r>
        <w:rPr>
          <w:rFonts w:ascii="Arial" w:hAnsi="Arial" w:cs="Arial"/>
          <w:sz w:val="24"/>
          <w:szCs w:val="24"/>
        </w:rPr>
        <w:t>For example, t</w:t>
      </w:r>
      <w:r w:rsidR="0098577F">
        <w:rPr>
          <w:rFonts w:ascii="Arial" w:hAnsi="Arial" w:cs="Arial"/>
          <w:sz w:val="24"/>
          <w:szCs w:val="24"/>
        </w:rPr>
        <w:t xml:space="preserve">here might be mental health issues of the tenant underlying the illegal use which might </w:t>
      </w:r>
      <w:r w:rsidR="00BF5C39">
        <w:rPr>
          <w:rFonts w:ascii="Arial" w:hAnsi="Arial" w:cs="Arial"/>
          <w:sz w:val="24"/>
          <w:szCs w:val="24"/>
        </w:rPr>
        <w:t>make it unjust</w:t>
      </w:r>
      <w:r w:rsidR="0098577F">
        <w:rPr>
          <w:rFonts w:ascii="Arial" w:hAnsi="Arial" w:cs="Arial"/>
          <w:sz w:val="24"/>
          <w:szCs w:val="24"/>
        </w:rPr>
        <w:t xml:space="preserve"> to terminate the </w:t>
      </w:r>
      <w:r w:rsidR="0098577F">
        <w:rPr>
          <w:rFonts w:ascii="Arial" w:hAnsi="Arial" w:cs="Arial"/>
          <w:sz w:val="24"/>
          <w:szCs w:val="24"/>
        </w:rPr>
        <w:lastRenderedPageBreak/>
        <w:t>tenancy</w:t>
      </w:r>
      <w:r w:rsidR="00BF5C39">
        <w:rPr>
          <w:rFonts w:ascii="Arial" w:hAnsi="Arial" w:cs="Arial"/>
          <w:sz w:val="24"/>
          <w:szCs w:val="24"/>
        </w:rPr>
        <w:t>,</w:t>
      </w:r>
      <w:r w:rsidR="00BF5C39">
        <w:rPr>
          <w:rStyle w:val="FootnoteReference"/>
          <w:rFonts w:ascii="Arial" w:hAnsi="Arial"/>
          <w:sz w:val="24"/>
          <w:szCs w:val="24"/>
        </w:rPr>
        <w:footnoteReference w:id="8"/>
      </w:r>
      <w:r w:rsidR="0098577F">
        <w:rPr>
          <w:rFonts w:ascii="Arial" w:hAnsi="Arial" w:cs="Arial"/>
          <w:sz w:val="24"/>
          <w:szCs w:val="24"/>
        </w:rPr>
        <w:t xml:space="preserve"> or the Tribunal might consider </w:t>
      </w:r>
      <w:r w:rsidR="0098577F" w:rsidRPr="0098577F">
        <w:rPr>
          <w:rFonts w:ascii="Arial" w:hAnsi="Arial" w:cs="Arial"/>
          <w:sz w:val="24"/>
          <w:szCs w:val="24"/>
        </w:rPr>
        <w:t>whether there were alternative remedies available to the landlord, whether the illegal use was more likely than not to cease, and the difficulties that would be faced by the tenant if evicted</w:t>
      </w:r>
      <w:r w:rsidR="00BF5C39">
        <w:rPr>
          <w:rFonts w:ascii="Arial" w:hAnsi="Arial" w:cs="Arial"/>
          <w:sz w:val="24"/>
          <w:szCs w:val="24"/>
        </w:rPr>
        <w:t>.</w:t>
      </w:r>
      <w:r w:rsidR="00BF5C39">
        <w:rPr>
          <w:rStyle w:val="FootnoteReference"/>
          <w:rFonts w:ascii="Arial" w:hAnsi="Arial"/>
          <w:sz w:val="24"/>
          <w:szCs w:val="24"/>
        </w:rPr>
        <w:footnoteReference w:id="9"/>
      </w:r>
      <w:r w:rsidR="0098577F">
        <w:rPr>
          <w:rFonts w:ascii="Arial" w:hAnsi="Arial" w:cs="Arial"/>
          <w:sz w:val="24"/>
          <w:szCs w:val="24"/>
        </w:rPr>
        <w:t xml:space="preserve"> The Tribunal is also able to consider whether the illegal use breach provision is being used for an improper purpose: for example, where the tenant </w:t>
      </w:r>
      <w:r w:rsidR="00FC0393">
        <w:rPr>
          <w:rFonts w:ascii="Arial" w:hAnsi="Arial" w:cs="Arial"/>
          <w:sz w:val="24"/>
          <w:szCs w:val="24"/>
        </w:rPr>
        <w:t>and landlord have been in conflict about some other issue entirely unrelated to the purported illegal use and the provisions of section 57 of the RTA are unavailable for technical reasons.</w:t>
      </w:r>
    </w:p>
    <w:p w14:paraId="29857D27" w14:textId="50FED88E" w:rsidR="00F338EB" w:rsidRPr="00674732" w:rsidRDefault="00FC0393" w:rsidP="001F0F85">
      <w:pPr>
        <w:spacing w:after="240" w:line="240" w:lineRule="auto"/>
        <w:rPr>
          <w:rFonts w:ascii="Arial" w:hAnsi="Arial" w:cs="Arial"/>
          <w:sz w:val="24"/>
          <w:szCs w:val="24"/>
        </w:rPr>
      </w:pPr>
      <w:r>
        <w:rPr>
          <w:rFonts w:ascii="Arial" w:hAnsi="Arial" w:cs="Arial"/>
          <w:sz w:val="24"/>
          <w:szCs w:val="24"/>
        </w:rPr>
        <w:t>These new provisions are situated w</w:t>
      </w:r>
      <w:r w:rsidR="00F338EB">
        <w:rPr>
          <w:rFonts w:ascii="Arial" w:hAnsi="Arial" w:cs="Arial"/>
          <w:sz w:val="24"/>
          <w:szCs w:val="24"/>
        </w:rPr>
        <w:t>ithin the context of section 48</w:t>
      </w:r>
      <w:r w:rsidR="00E44ECB">
        <w:rPr>
          <w:rFonts w:ascii="Arial" w:hAnsi="Arial" w:cs="Arial"/>
          <w:sz w:val="24"/>
          <w:szCs w:val="24"/>
        </w:rPr>
        <w:t>,</w:t>
      </w:r>
      <w:r w:rsidR="00F338EB">
        <w:rPr>
          <w:rFonts w:ascii="Arial" w:hAnsi="Arial" w:cs="Arial"/>
          <w:sz w:val="24"/>
          <w:szCs w:val="24"/>
        </w:rPr>
        <w:t xml:space="preserve"> being a discretionary power</w:t>
      </w:r>
      <w:r w:rsidR="004D1618">
        <w:rPr>
          <w:rFonts w:ascii="Arial" w:hAnsi="Arial" w:cs="Arial"/>
          <w:sz w:val="24"/>
          <w:szCs w:val="24"/>
        </w:rPr>
        <w:t xml:space="preserve"> of the Tribunal to make a termination and possession order</w:t>
      </w:r>
      <w:r>
        <w:rPr>
          <w:rFonts w:ascii="Arial" w:hAnsi="Arial" w:cs="Arial"/>
          <w:sz w:val="24"/>
          <w:szCs w:val="24"/>
        </w:rPr>
        <w:t>.</w:t>
      </w:r>
      <w:r w:rsidR="00F338EB">
        <w:rPr>
          <w:rFonts w:ascii="Arial" w:hAnsi="Arial" w:cs="Arial"/>
          <w:sz w:val="24"/>
          <w:szCs w:val="24"/>
        </w:rPr>
        <w:t xml:space="preserve"> </w:t>
      </w:r>
    </w:p>
    <w:p w14:paraId="058629B8" w14:textId="400739AD" w:rsidR="00FD1BCA" w:rsidRPr="00FD1BCA" w:rsidRDefault="00FD1BCA" w:rsidP="001F0F85">
      <w:pPr>
        <w:spacing w:after="240" w:line="240" w:lineRule="auto"/>
        <w:rPr>
          <w:rFonts w:ascii="Arial" w:hAnsi="Arial" w:cs="Arial"/>
          <w:b/>
          <w:sz w:val="24"/>
          <w:szCs w:val="24"/>
        </w:rPr>
      </w:pPr>
      <w:r w:rsidRPr="00FD1BCA">
        <w:rPr>
          <w:rFonts w:ascii="Arial" w:hAnsi="Arial" w:cs="Arial"/>
          <w:b/>
          <w:sz w:val="24"/>
          <w:szCs w:val="24"/>
        </w:rPr>
        <w:t xml:space="preserve">Clause </w:t>
      </w:r>
      <w:r w:rsidR="00EE38C2">
        <w:rPr>
          <w:rFonts w:ascii="Arial" w:hAnsi="Arial" w:cs="Arial"/>
          <w:b/>
          <w:sz w:val="24"/>
          <w:szCs w:val="24"/>
        </w:rPr>
        <w:t>10</w:t>
      </w:r>
      <w:r w:rsidRPr="00FD1BCA">
        <w:rPr>
          <w:rFonts w:ascii="Arial" w:hAnsi="Arial" w:cs="Arial"/>
          <w:b/>
          <w:sz w:val="24"/>
          <w:szCs w:val="24"/>
        </w:rPr>
        <w:tab/>
      </w:r>
      <w:r w:rsidR="00770D35">
        <w:rPr>
          <w:rFonts w:ascii="Arial" w:hAnsi="Arial" w:cs="Arial"/>
          <w:b/>
          <w:sz w:val="24"/>
          <w:szCs w:val="24"/>
        </w:rPr>
        <w:t xml:space="preserve">Failure to pay rent – payment order, </w:t>
      </w:r>
      <w:r w:rsidRPr="00FD1BCA">
        <w:rPr>
          <w:rFonts w:ascii="Arial" w:hAnsi="Arial" w:cs="Arial"/>
          <w:b/>
          <w:sz w:val="24"/>
          <w:szCs w:val="24"/>
        </w:rPr>
        <w:t xml:space="preserve">Section </w:t>
      </w:r>
      <w:r w:rsidR="00F338EB">
        <w:rPr>
          <w:rFonts w:ascii="Arial" w:hAnsi="Arial" w:cs="Arial"/>
          <w:b/>
          <w:sz w:val="24"/>
          <w:szCs w:val="24"/>
        </w:rPr>
        <w:t>49A (2) and (3)</w:t>
      </w:r>
    </w:p>
    <w:p w14:paraId="23DA0BF7" w14:textId="59AD9B86" w:rsidR="00EE38C2" w:rsidRDefault="00FD1BCA" w:rsidP="001F0F85">
      <w:pPr>
        <w:spacing w:after="240" w:line="240" w:lineRule="auto"/>
        <w:rPr>
          <w:rFonts w:ascii="Arial" w:hAnsi="Arial" w:cs="Arial"/>
          <w:sz w:val="24"/>
          <w:szCs w:val="24"/>
        </w:rPr>
      </w:pPr>
      <w:r>
        <w:rPr>
          <w:rFonts w:ascii="Arial" w:hAnsi="Arial" w:cs="Arial"/>
          <w:sz w:val="24"/>
          <w:szCs w:val="24"/>
        </w:rPr>
        <w:t>This clause</w:t>
      </w:r>
      <w:r w:rsidR="00A5708A">
        <w:rPr>
          <w:rFonts w:ascii="Arial" w:hAnsi="Arial" w:cs="Arial"/>
          <w:sz w:val="24"/>
          <w:szCs w:val="24"/>
        </w:rPr>
        <w:t xml:space="preserve"> </w:t>
      </w:r>
      <w:r w:rsidR="00F338EB">
        <w:rPr>
          <w:rFonts w:ascii="Arial" w:hAnsi="Arial" w:cs="Arial"/>
          <w:sz w:val="24"/>
          <w:szCs w:val="24"/>
        </w:rPr>
        <w:t>amends the power of the Tribunal to make payment orders. A</w:t>
      </w:r>
      <w:r w:rsidR="001309E3">
        <w:rPr>
          <w:rFonts w:ascii="Arial" w:hAnsi="Arial" w:cs="Arial"/>
          <w:sz w:val="24"/>
          <w:szCs w:val="24"/>
        </w:rPr>
        <w:t>lthough a</w:t>
      </w:r>
      <w:r w:rsidR="00F338EB">
        <w:rPr>
          <w:rFonts w:ascii="Arial" w:hAnsi="Arial" w:cs="Arial"/>
          <w:sz w:val="24"/>
          <w:szCs w:val="24"/>
        </w:rPr>
        <w:t xml:space="preserve"> landlord is entitled to the reliability and regularity of rental income</w:t>
      </w:r>
      <w:r w:rsidR="001309E3">
        <w:rPr>
          <w:rFonts w:ascii="Arial" w:hAnsi="Arial" w:cs="Arial"/>
          <w:sz w:val="24"/>
          <w:szCs w:val="24"/>
        </w:rPr>
        <w:t xml:space="preserve">, the </w:t>
      </w:r>
      <w:r w:rsidR="00635D8A">
        <w:rPr>
          <w:rFonts w:ascii="Arial" w:hAnsi="Arial" w:cs="Arial"/>
          <w:sz w:val="24"/>
          <w:szCs w:val="24"/>
        </w:rPr>
        <w:t>RTA</w:t>
      </w:r>
      <w:r w:rsidR="001309E3">
        <w:rPr>
          <w:rFonts w:ascii="Arial" w:hAnsi="Arial" w:cs="Arial"/>
          <w:sz w:val="24"/>
          <w:szCs w:val="24"/>
        </w:rPr>
        <w:t xml:space="preserve"> provides the Tribunal the flexibility to issue a payment order instead of a termination and possession order</w:t>
      </w:r>
      <w:r w:rsidR="00F338EB">
        <w:rPr>
          <w:rFonts w:ascii="Arial" w:hAnsi="Arial" w:cs="Arial"/>
          <w:sz w:val="24"/>
          <w:szCs w:val="24"/>
        </w:rPr>
        <w:t>.</w:t>
      </w:r>
      <w:r w:rsidR="001309E3">
        <w:rPr>
          <w:rFonts w:ascii="Arial" w:hAnsi="Arial" w:cs="Arial"/>
          <w:sz w:val="24"/>
          <w:szCs w:val="24"/>
        </w:rPr>
        <w:t xml:space="preserve"> This allows the tenant to remain in their home even if they have struggled to pay the rent when it fell due.</w:t>
      </w:r>
      <w:r w:rsidR="00F338EB">
        <w:rPr>
          <w:rFonts w:ascii="Arial" w:hAnsi="Arial" w:cs="Arial"/>
          <w:sz w:val="24"/>
          <w:szCs w:val="24"/>
        </w:rPr>
        <w:t xml:space="preserve"> Where </w:t>
      </w:r>
      <w:r w:rsidR="001309E3">
        <w:rPr>
          <w:rFonts w:ascii="Arial" w:hAnsi="Arial" w:cs="Arial"/>
          <w:sz w:val="24"/>
          <w:szCs w:val="24"/>
        </w:rPr>
        <w:t xml:space="preserve">the landlord </w:t>
      </w:r>
      <w:r w:rsidR="004D1618">
        <w:rPr>
          <w:rFonts w:ascii="Arial" w:hAnsi="Arial" w:cs="Arial"/>
          <w:sz w:val="24"/>
          <w:szCs w:val="24"/>
        </w:rPr>
        <w:t xml:space="preserve">has </w:t>
      </w:r>
      <w:r w:rsidR="001309E3">
        <w:rPr>
          <w:rFonts w:ascii="Arial" w:hAnsi="Arial" w:cs="Arial"/>
          <w:sz w:val="24"/>
          <w:szCs w:val="24"/>
        </w:rPr>
        <w:t>commenced Tribunal applications for termination and possession orders</w:t>
      </w:r>
      <w:r w:rsidR="00BF5C39">
        <w:rPr>
          <w:rFonts w:ascii="Arial" w:hAnsi="Arial" w:cs="Arial"/>
          <w:sz w:val="24"/>
          <w:szCs w:val="24"/>
        </w:rPr>
        <w:t xml:space="preserve"> due to the tenant’s failure to pay rent on time</w:t>
      </w:r>
      <w:r w:rsidR="001309E3">
        <w:rPr>
          <w:rFonts w:ascii="Arial" w:hAnsi="Arial" w:cs="Arial"/>
          <w:sz w:val="24"/>
          <w:szCs w:val="24"/>
        </w:rPr>
        <w:t>, it is desirable that the Tribunal has the power to make an order that</w:t>
      </w:r>
      <w:r w:rsidR="00BF5C39">
        <w:rPr>
          <w:rFonts w:ascii="Arial" w:hAnsi="Arial" w:cs="Arial"/>
          <w:sz w:val="24"/>
          <w:szCs w:val="24"/>
        </w:rPr>
        <w:t>, if there is a further failure to pay rent on time,</w:t>
      </w:r>
      <w:r w:rsidR="001309E3">
        <w:rPr>
          <w:rFonts w:ascii="Arial" w:hAnsi="Arial" w:cs="Arial"/>
          <w:sz w:val="24"/>
          <w:szCs w:val="24"/>
        </w:rPr>
        <w:t xml:space="preserve"> the landlord </w:t>
      </w:r>
      <w:r w:rsidR="00BF5C39">
        <w:rPr>
          <w:rFonts w:ascii="Arial" w:hAnsi="Arial" w:cs="Arial"/>
          <w:sz w:val="24"/>
          <w:szCs w:val="24"/>
        </w:rPr>
        <w:t xml:space="preserve">may </w:t>
      </w:r>
      <w:r w:rsidR="001309E3">
        <w:rPr>
          <w:rFonts w:ascii="Arial" w:hAnsi="Arial" w:cs="Arial"/>
          <w:sz w:val="24"/>
          <w:szCs w:val="24"/>
        </w:rPr>
        <w:t>apply</w:t>
      </w:r>
      <w:r w:rsidR="00BF5C39">
        <w:rPr>
          <w:rFonts w:ascii="Arial" w:hAnsi="Arial" w:cs="Arial"/>
          <w:sz w:val="24"/>
          <w:szCs w:val="24"/>
        </w:rPr>
        <w:t xml:space="preserve"> directly</w:t>
      </w:r>
      <w:r w:rsidR="001309E3">
        <w:rPr>
          <w:rFonts w:ascii="Arial" w:hAnsi="Arial" w:cs="Arial"/>
          <w:sz w:val="24"/>
          <w:szCs w:val="24"/>
        </w:rPr>
        <w:t xml:space="preserve"> to the registrar</w:t>
      </w:r>
      <w:r w:rsidR="00BF5C39">
        <w:rPr>
          <w:rFonts w:ascii="Arial" w:hAnsi="Arial" w:cs="Arial"/>
          <w:sz w:val="24"/>
          <w:szCs w:val="24"/>
        </w:rPr>
        <w:t xml:space="preserve"> of the Tribunal</w:t>
      </w:r>
      <w:r w:rsidR="001309E3">
        <w:rPr>
          <w:rFonts w:ascii="Arial" w:hAnsi="Arial" w:cs="Arial"/>
          <w:sz w:val="24"/>
          <w:szCs w:val="24"/>
        </w:rPr>
        <w:t xml:space="preserve"> for a termination and possession order.</w:t>
      </w:r>
      <w:r w:rsidR="00BF5C39">
        <w:rPr>
          <w:rStyle w:val="FootnoteReference"/>
          <w:rFonts w:ascii="Arial" w:hAnsi="Arial"/>
          <w:sz w:val="24"/>
          <w:szCs w:val="24"/>
        </w:rPr>
        <w:footnoteReference w:id="10"/>
      </w:r>
    </w:p>
    <w:p w14:paraId="2B6CC5C0" w14:textId="173E24AE" w:rsidR="003027E3" w:rsidRPr="003027E3" w:rsidRDefault="003027E3" w:rsidP="001F0F85">
      <w:pPr>
        <w:spacing w:after="240" w:line="240" w:lineRule="auto"/>
        <w:rPr>
          <w:rFonts w:ascii="Arial" w:hAnsi="Arial" w:cs="Arial"/>
          <w:b/>
          <w:sz w:val="24"/>
          <w:szCs w:val="24"/>
        </w:rPr>
      </w:pPr>
      <w:r w:rsidRPr="003027E3">
        <w:rPr>
          <w:rFonts w:ascii="Arial" w:hAnsi="Arial" w:cs="Arial"/>
          <w:b/>
          <w:sz w:val="24"/>
          <w:szCs w:val="24"/>
        </w:rPr>
        <w:t xml:space="preserve">Clause </w:t>
      </w:r>
      <w:r w:rsidR="0054753C">
        <w:rPr>
          <w:rFonts w:ascii="Arial" w:hAnsi="Arial" w:cs="Arial"/>
          <w:b/>
          <w:sz w:val="24"/>
          <w:szCs w:val="24"/>
        </w:rPr>
        <w:t>1</w:t>
      </w:r>
      <w:r w:rsidR="00EE38C2">
        <w:rPr>
          <w:rFonts w:ascii="Arial" w:hAnsi="Arial" w:cs="Arial"/>
          <w:b/>
          <w:sz w:val="24"/>
          <w:szCs w:val="24"/>
        </w:rPr>
        <w:t>1</w:t>
      </w:r>
      <w:r w:rsidRPr="003027E3">
        <w:rPr>
          <w:rFonts w:ascii="Arial" w:hAnsi="Arial" w:cs="Arial"/>
          <w:b/>
          <w:sz w:val="24"/>
          <w:szCs w:val="24"/>
        </w:rPr>
        <w:tab/>
      </w:r>
      <w:r w:rsidR="00770D35">
        <w:rPr>
          <w:rFonts w:ascii="Arial" w:hAnsi="Arial" w:cs="Arial"/>
          <w:b/>
          <w:sz w:val="24"/>
          <w:szCs w:val="24"/>
        </w:rPr>
        <w:t xml:space="preserve">Abandonment during periodic agreement, </w:t>
      </w:r>
      <w:r w:rsidR="001309E3">
        <w:rPr>
          <w:rFonts w:ascii="Arial" w:hAnsi="Arial" w:cs="Arial"/>
          <w:b/>
          <w:sz w:val="24"/>
          <w:szCs w:val="24"/>
        </w:rPr>
        <w:t>Section 63 (2)</w:t>
      </w:r>
    </w:p>
    <w:p w14:paraId="3E9BF1A8" w14:textId="6568BE35" w:rsidR="003027E3" w:rsidRPr="00251735" w:rsidRDefault="003027E3" w:rsidP="001F0F85">
      <w:pPr>
        <w:spacing w:after="240" w:line="240" w:lineRule="auto"/>
        <w:rPr>
          <w:rFonts w:ascii="Arial" w:hAnsi="Arial" w:cs="Arial"/>
          <w:sz w:val="24"/>
          <w:szCs w:val="24"/>
        </w:rPr>
      </w:pPr>
      <w:r>
        <w:rPr>
          <w:rFonts w:ascii="Arial" w:hAnsi="Arial" w:cs="Arial"/>
          <w:sz w:val="24"/>
          <w:szCs w:val="24"/>
        </w:rPr>
        <w:t>This clause</w:t>
      </w:r>
      <w:r w:rsidR="003C0B1C">
        <w:rPr>
          <w:rFonts w:ascii="Arial" w:hAnsi="Arial" w:cs="Arial"/>
          <w:sz w:val="24"/>
          <w:szCs w:val="24"/>
        </w:rPr>
        <w:t xml:space="preserve"> </w:t>
      </w:r>
      <w:r w:rsidR="001309E3">
        <w:rPr>
          <w:rFonts w:ascii="Arial" w:hAnsi="Arial" w:cs="Arial"/>
          <w:sz w:val="24"/>
          <w:szCs w:val="24"/>
        </w:rPr>
        <w:t>is consequential upon clause 25 below</w:t>
      </w:r>
      <w:r w:rsidR="0054753C">
        <w:rPr>
          <w:rFonts w:ascii="Arial" w:hAnsi="Arial" w:cs="Arial"/>
          <w:sz w:val="24"/>
          <w:szCs w:val="24"/>
        </w:rPr>
        <w:t xml:space="preserve">. </w:t>
      </w:r>
      <w:r w:rsidR="003A59C8">
        <w:rPr>
          <w:rFonts w:ascii="Arial" w:hAnsi="Arial" w:cs="Arial"/>
          <w:sz w:val="24"/>
          <w:szCs w:val="24"/>
        </w:rPr>
        <w:t xml:space="preserve"> </w:t>
      </w:r>
    </w:p>
    <w:p w14:paraId="0435BF63" w14:textId="0FCA76B2" w:rsidR="00BD06E0" w:rsidRDefault="00BD06E0" w:rsidP="002A2ECB">
      <w:pPr>
        <w:spacing w:after="240" w:line="240" w:lineRule="auto"/>
        <w:rPr>
          <w:rFonts w:ascii="Arial" w:hAnsi="Arial" w:cs="Arial"/>
          <w:b/>
          <w:sz w:val="24"/>
          <w:szCs w:val="24"/>
        </w:rPr>
      </w:pPr>
      <w:r>
        <w:rPr>
          <w:rFonts w:ascii="Arial" w:hAnsi="Arial" w:cs="Arial"/>
          <w:b/>
          <w:sz w:val="24"/>
          <w:szCs w:val="24"/>
        </w:rPr>
        <w:t>Clause 1</w:t>
      </w:r>
      <w:r w:rsidR="00EE38C2">
        <w:rPr>
          <w:rFonts w:ascii="Arial" w:hAnsi="Arial" w:cs="Arial"/>
          <w:b/>
          <w:sz w:val="24"/>
          <w:szCs w:val="24"/>
        </w:rPr>
        <w:t>2</w:t>
      </w:r>
      <w:r>
        <w:rPr>
          <w:rFonts w:ascii="Arial" w:hAnsi="Arial" w:cs="Arial"/>
          <w:b/>
          <w:sz w:val="24"/>
          <w:szCs w:val="24"/>
        </w:rPr>
        <w:tab/>
      </w:r>
      <w:r w:rsidR="00770D35">
        <w:rPr>
          <w:rFonts w:ascii="Arial" w:hAnsi="Arial" w:cs="Arial"/>
          <w:b/>
          <w:sz w:val="24"/>
          <w:szCs w:val="24"/>
        </w:rPr>
        <w:t>Meaning of tenancy dispute, New s</w:t>
      </w:r>
      <w:r w:rsidR="001309E3">
        <w:rPr>
          <w:rFonts w:ascii="Arial" w:hAnsi="Arial" w:cs="Arial"/>
          <w:b/>
          <w:sz w:val="24"/>
          <w:szCs w:val="24"/>
        </w:rPr>
        <w:t>ection 72 (2) (aa)</w:t>
      </w:r>
    </w:p>
    <w:p w14:paraId="2BEB6A15" w14:textId="7E55E3F9" w:rsidR="00BD06E0" w:rsidRPr="00BD06E0" w:rsidRDefault="00BD06E0" w:rsidP="002A2ECB">
      <w:pPr>
        <w:spacing w:after="240" w:line="240" w:lineRule="auto"/>
        <w:rPr>
          <w:rFonts w:ascii="Arial" w:hAnsi="Arial" w:cs="Arial"/>
          <w:sz w:val="24"/>
          <w:szCs w:val="24"/>
        </w:rPr>
      </w:pPr>
      <w:r>
        <w:rPr>
          <w:rFonts w:ascii="Arial" w:hAnsi="Arial" w:cs="Arial"/>
          <w:sz w:val="24"/>
          <w:szCs w:val="24"/>
        </w:rPr>
        <w:t xml:space="preserve">This clause </w:t>
      </w:r>
      <w:r w:rsidR="001309E3">
        <w:rPr>
          <w:rFonts w:ascii="Arial" w:hAnsi="Arial" w:cs="Arial"/>
          <w:sz w:val="24"/>
          <w:szCs w:val="24"/>
        </w:rPr>
        <w:t>is consequential upon clause 6 above</w:t>
      </w:r>
      <w:r w:rsidR="00E257A6">
        <w:rPr>
          <w:rFonts w:ascii="Arial" w:hAnsi="Arial" w:cs="Arial"/>
          <w:sz w:val="24"/>
          <w:szCs w:val="24"/>
        </w:rPr>
        <w:t xml:space="preserve">. </w:t>
      </w:r>
    </w:p>
    <w:p w14:paraId="7B1C6BED" w14:textId="65383DB0" w:rsidR="002A2ECB" w:rsidRPr="002A2ECB" w:rsidRDefault="002A2ECB" w:rsidP="002A2ECB">
      <w:pPr>
        <w:spacing w:after="240" w:line="240" w:lineRule="auto"/>
        <w:rPr>
          <w:rFonts w:ascii="Arial" w:hAnsi="Arial" w:cs="Arial"/>
          <w:b/>
          <w:sz w:val="24"/>
          <w:szCs w:val="24"/>
        </w:rPr>
      </w:pPr>
      <w:r w:rsidRPr="002A2ECB">
        <w:rPr>
          <w:rFonts w:ascii="Arial" w:hAnsi="Arial" w:cs="Arial"/>
          <w:b/>
          <w:sz w:val="24"/>
          <w:szCs w:val="24"/>
        </w:rPr>
        <w:t xml:space="preserve">Clause </w:t>
      </w:r>
      <w:r w:rsidR="0054753C">
        <w:rPr>
          <w:rFonts w:ascii="Arial" w:hAnsi="Arial" w:cs="Arial"/>
          <w:b/>
          <w:sz w:val="24"/>
          <w:szCs w:val="24"/>
        </w:rPr>
        <w:t>1</w:t>
      </w:r>
      <w:r w:rsidR="00EE38C2">
        <w:rPr>
          <w:rFonts w:ascii="Arial" w:hAnsi="Arial" w:cs="Arial"/>
          <w:b/>
          <w:sz w:val="24"/>
          <w:szCs w:val="24"/>
        </w:rPr>
        <w:t>3</w:t>
      </w:r>
      <w:r w:rsidRPr="002A2ECB">
        <w:rPr>
          <w:rFonts w:ascii="Arial" w:hAnsi="Arial" w:cs="Arial"/>
          <w:b/>
          <w:sz w:val="24"/>
          <w:szCs w:val="24"/>
        </w:rPr>
        <w:tab/>
      </w:r>
      <w:r w:rsidR="00770D35">
        <w:rPr>
          <w:rFonts w:ascii="Arial" w:hAnsi="Arial" w:cs="Arial"/>
          <w:b/>
          <w:sz w:val="24"/>
          <w:szCs w:val="24"/>
        </w:rPr>
        <w:t>Orders by ACAT, New s</w:t>
      </w:r>
      <w:r w:rsidRPr="002A2ECB">
        <w:rPr>
          <w:rFonts w:ascii="Arial" w:hAnsi="Arial" w:cs="Arial"/>
          <w:b/>
          <w:sz w:val="24"/>
          <w:szCs w:val="24"/>
        </w:rPr>
        <w:t xml:space="preserve">ection </w:t>
      </w:r>
      <w:r w:rsidR="001309E3">
        <w:rPr>
          <w:rFonts w:ascii="Arial" w:hAnsi="Arial" w:cs="Arial"/>
          <w:b/>
          <w:sz w:val="24"/>
          <w:szCs w:val="24"/>
        </w:rPr>
        <w:t>83 (l)</w:t>
      </w:r>
    </w:p>
    <w:p w14:paraId="3DAC0C63" w14:textId="39A37D87" w:rsidR="002A2ECB" w:rsidRDefault="002A2ECB" w:rsidP="002A2ECB">
      <w:pPr>
        <w:spacing w:after="240" w:line="240" w:lineRule="auto"/>
        <w:rPr>
          <w:rFonts w:ascii="Arial" w:hAnsi="Arial" w:cs="Arial"/>
          <w:sz w:val="24"/>
          <w:szCs w:val="24"/>
        </w:rPr>
      </w:pPr>
      <w:r w:rsidRPr="002A2ECB">
        <w:rPr>
          <w:rFonts w:ascii="Arial" w:hAnsi="Arial" w:cs="Arial"/>
          <w:sz w:val="24"/>
          <w:szCs w:val="24"/>
        </w:rPr>
        <w:t xml:space="preserve">This clause </w:t>
      </w:r>
      <w:r w:rsidR="001309E3">
        <w:rPr>
          <w:rFonts w:ascii="Arial" w:hAnsi="Arial" w:cs="Arial"/>
          <w:sz w:val="24"/>
          <w:szCs w:val="24"/>
        </w:rPr>
        <w:t xml:space="preserve">restores to the Tribunal the powers of the former Residential Tenancies Tribunal that existed prior to the </w:t>
      </w:r>
      <w:r w:rsidR="001309E3">
        <w:rPr>
          <w:rFonts w:ascii="Arial" w:hAnsi="Arial" w:cs="Arial"/>
          <w:i/>
          <w:sz w:val="24"/>
          <w:szCs w:val="24"/>
        </w:rPr>
        <w:t>ACT Civil and Administrative Tribunal Act 2008</w:t>
      </w:r>
      <w:r w:rsidR="001309E3">
        <w:rPr>
          <w:rFonts w:ascii="Arial" w:hAnsi="Arial" w:cs="Arial"/>
          <w:sz w:val="24"/>
          <w:szCs w:val="24"/>
        </w:rPr>
        <w:t>.</w:t>
      </w:r>
    </w:p>
    <w:p w14:paraId="21DAB913" w14:textId="2BAD57B5" w:rsidR="001309E3" w:rsidRPr="001309E3" w:rsidRDefault="001309E3" w:rsidP="002A2ECB">
      <w:pPr>
        <w:spacing w:after="240" w:line="240" w:lineRule="auto"/>
        <w:rPr>
          <w:rFonts w:ascii="Arial" w:hAnsi="Arial" w:cs="Arial"/>
          <w:sz w:val="24"/>
          <w:szCs w:val="24"/>
        </w:rPr>
      </w:pPr>
      <w:r>
        <w:rPr>
          <w:rFonts w:ascii="Arial" w:hAnsi="Arial" w:cs="Arial"/>
          <w:sz w:val="24"/>
          <w:szCs w:val="24"/>
        </w:rPr>
        <w:t xml:space="preserve">The clause makes it clear that the Tribunal has the power to make declaratory orders. This will allow the Tribunal to make declarations about matters of fact arising under the </w:t>
      </w:r>
      <w:r w:rsidR="005D04E5">
        <w:rPr>
          <w:rFonts w:ascii="Arial" w:hAnsi="Arial" w:cs="Arial"/>
          <w:sz w:val="24"/>
          <w:szCs w:val="24"/>
        </w:rPr>
        <w:t xml:space="preserve">RTA. Examples might </w:t>
      </w:r>
      <w:r>
        <w:rPr>
          <w:rFonts w:ascii="Arial" w:hAnsi="Arial" w:cs="Arial"/>
          <w:sz w:val="24"/>
          <w:szCs w:val="24"/>
        </w:rPr>
        <w:t>includ</w:t>
      </w:r>
      <w:r w:rsidR="005D04E5">
        <w:rPr>
          <w:rFonts w:ascii="Arial" w:hAnsi="Arial" w:cs="Arial"/>
          <w:sz w:val="24"/>
          <w:szCs w:val="24"/>
        </w:rPr>
        <w:t>e</w:t>
      </w:r>
      <w:r>
        <w:rPr>
          <w:rFonts w:ascii="Arial" w:hAnsi="Arial" w:cs="Arial"/>
          <w:sz w:val="24"/>
          <w:szCs w:val="24"/>
        </w:rPr>
        <w:t xml:space="preserve"> </w:t>
      </w:r>
      <w:r w:rsidR="005D04E5">
        <w:rPr>
          <w:rFonts w:ascii="Arial" w:hAnsi="Arial" w:cs="Arial"/>
          <w:sz w:val="24"/>
          <w:szCs w:val="24"/>
        </w:rPr>
        <w:t>a declaration that</w:t>
      </w:r>
      <w:r>
        <w:rPr>
          <w:rFonts w:ascii="Arial" w:hAnsi="Arial" w:cs="Arial"/>
          <w:sz w:val="24"/>
          <w:szCs w:val="24"/>
        </w:rPr>
        <w:t xml:space="preserve"> a tenant was not in breach of </w:t>
      </w:r>
      <w:r w:rsidR="004047F2">
        <w:rPr>
          <w:rFonts w:ascii="Arial" w:hAnsi="Arial" w:cs="Arial"/>
          <w:sz w:val="24"/>
          <w:szCs w:val="24"/>
        </w:rPr>
        <w:t>an agreement</w:t>
      </w:r>
      <w:r w:rsidR="005D04E5">
        <w:rPr>
          <w:rFonts w:ascii="Arial" w:hAnsi="Arial" w:cs="Arial"/>
          <w:sz w:val="24"/>
          <w:szCs w:val="24"/>
        </w:rPr>
        <w:t xml:space="preserve"> (in response to a notice to remedy),</w:t>
      </w:r>
      <w:r w:rsidR="004047F2">
        <w:rPr>
          <w:rFonts w:ascii="Arial" w:hAnsi="Arial" w:cs="Arial"/>
          <w:sz w:val="24"/>
          <w:szCs w:val="24"/>
        </w:rPr>
        <w:t xml:space="preserve"> that a landlord has issued a retaliatory notice of intention to terminate the tenancy</w:t>
      </w:r>
      <w:r w:rsidR="005D04E5">
        <w:rPr>
          <w:rFonts w:ascii="Arial" w:hAnsi="Arial" w:cs="Arial"/>
          <w:sz w:val="24"/>
          <w:szCs w:val="24"/>
        </w:rPr>
        <w:t xml:space="preserve"> (in response to a notice to remedy), that a resident of a premises is a co-tenant on a lease (and not an occupant, a sub-tenant, or a mere licensee under section 128 of the RTA)</w:t>
      </w:r>
      <w:r w:rsidR="004047F2">
        <w:rPr>
          <w:rFonts w:ascii="Arial" w:hAnsi="Arial" w:cs="Arial"/>
          <w:sz w:val="24"/>
          <w:szCs w:val="24"/>
        </w:rPr>
        <w:t>.</w:t>
      </w:r>
    </w:p>
    <w:p w14:paraId="30696B42" w14:textId="50136FCB" w:rsidR="00BD06E0" w:rsidRDefault="00E257A6" w:rsidP="002A2ECB">
      <w:pPr>
        <w:spacing w:after="240" w:line="240" w:lineRule="auto"/>
        <w:rPr>
          <w:rFonts w:ascii="Arial" w:hAnsi="Arial" w:cs="Arial"/>
          <w:b/>
          <w:sz w:val="24"/>
          <w:szCs w:val="24"/>
        </w:rPr>
      </w:pPr>
      <w:r>
        <w:rPr>
          <w:rFonts w:ascii="Arial" w:hAnsi="Arial" w:cs="Arial"/>
          <w:b/>
          <w:sz w:val="24"/>
          <w:szCs w:val="24"/>
        </w:rPr>
        <w:t>Clause 1</w:t>
      </w:r>
      <w:r w:rsidR="00EE38C2">
        <w:rPr>
          <w:rFonts w:ascii="Arial" w:hAnsi="Arial" w:cs="Arial"/>
          <w:b/>
          <w:sz w:val="24"/>
          <w:szCs w:val="24"/>
        </w:rPr>
        <w:t>4</w:t>
      </w:r>
      <w:r>
        <w:rPr>
          <w:rFonts w:ascii="Arial" w:hAnsi="Arial" w:cs="Arial"/>
          <w:b/>
          <w:sz w:val="24"/>
          <w:szCs w:val="24"/>
        </w:rPr>
        <w:tab/>
      </w:r>
      <w:r w:rsidR="00770D35">
        <w:rPr>
          <w:rFonts w:ascii="Arial" w:hAnsi="Arial" w:cs="Arial"/>
          <w:b/>
          <w:sz w:val="24"/>
          <w:szCs w:val="24"/>
        </w:rPr>
        <w:t>New s</w:t>
      </w:r>
      <w:r>
        <w:rPr>
          <w:rFonts w:ascii="Arial" w:hAnsi="Arial" w:cs="Arial"/>
          <w:b/>
          <w:sz w:val="24"/>
          <w:szCs w:val="24"/>
        </w:rPr>
        <w:t xml:space="preserve">ection </w:t>
      </w:r>
      <w:r w:rsidR="004047F2">
        <w:rPr>
          <w:rFonts w:ascii="Arial" w:hAnsi="Arial" w:cs="Arial"/>
          <w:b/>
          <w:sz w:val="24"/>
          <w:szCs w:val="24"/>
        </w:rPr>
        <w:t>83 (2)</w:t>
      </w:r>
    </w:p>
    <w:p w14:paraId="3F86EBD3" w14:textId="31447944" w:rsidR="00E257A6" w:rsidRDefault="00E257A6" w:rsidP="002A2ECB">
      <w:pPr>
        <w:spacing w:after="240" w:line="240" w:lineRule="auto"/>
        <w:rPr>
          <w:rFonts w:ascii="Arial" w:hAnsi="Arial" w:cs="Arial"/>
          <w:sz w:val="24"/>
          <w:szCs w:val="24"/>
        </w:rPr>
      </w:pPr>
      <w:r>
        <w:rPr>
          <w:rFonts w:ascii="Arial" w:hAnsi="Arial" w:cs="Arial"/>
          <w:sz w:val="24"/>
          <w:szCs w:val="24"/>
        </w:rPr>
        <w:t xml:space="preserve">This clause </w:t>
      </w:r>
      <w:r w:rsidR="004047F2">
        <w:rPr>
          <w:rFonts w:ascii="Arial" w:hAnsi="Arial" w:cs="Arial"/>
          <w:sz w:val="24"/>
          <w:szCs w:val="24"/>
        </w:rPr>
        <w:t>clarifies the Tribunal’s power to correct a defect in a notice or in the service of a notice</w:t>
      </w:r>
      <w:r w:rsidR="004D1618">
        <w:rPr>
          <w:rFonts w:ascii="Arial" w:hAnsi="Arial" w:cs="Arial"/>
          <w:sz w:val="24"/>
          <w:szCs w:val="24"/>
        </w:rPr>
        <w:t>. The Tribunal may only correct defective notices</w:t>
      </w:r>
      <w:r w:rsidR="004047F2">
        <w:rPr>
          <w:rFonts w:ascii="Arial" w:hAnsi="Arial" w:cs="Arial"/>
          <w:sz w:val="24"/>
          <w:szCs w:val="24"/>
        </w:rPr>
        <w:t xml:space="preserve"> when the defect </w:t>
      </w:r>
      <w:r w:rsidR="004047F2">
        <w:rPr>
          <w:rFonts w:ascii="Arial" w:hAnsi="Arial" w:cs="Arial"/>
          <w:sz w:val="24"/>
          <w:szCs w:val="24"/>
        </w:rPr>
        <w:lastRenderedPageBreak/>
        <w:t xml:space="preserve">did not, and is not likely to, </w:t>
      </w:r>
      <w:r w:rsidR="004D1618">
        <w:rPr>
          <w:rFonts w:ascii="Arial" w:hAnsi="Arial" w:cs="Arial"/>
          <w:sz w:val="24"/>
          <w:szCs w:val="24"/>
        </w:rPr>
        <w:t xml:space="preserve">significantly disadvantage the </w:t>
      </w:r>
      <w:r w:rsidR="004047F2">
        <w:rPr>
          <w:rFonts w:ascii="Arial" w:hAnsi="Arial" w:cs="Arial"/>
          <w:sz w:val="24"/>
          <w:szCs w:val="24"/>
        </w:rPr>
        <w:t>person receiving the notice</w:t>
      </w:r>
      <w:r w:rsidR="004D1618">
        <w:rPr>
          <w:rFonts w:ascii="Arial" w:hAnsi="Arial" w:cs="Arial"/>
          <w:sz w:val="24"/>
          <w:szCs w:val="24"/>
        </w:rPr>
        <w:t>. The test is whether the person receiving the notice is</w:t>
      </w:r>
      <w:r w:rsidR="004047F2">
        <w:rPr>
          <w:rFonts w:ascii="Arial" w:hAnsi="Arial" w:cs="Arial"/>
          <w:sz w:val="24"/>
          <w:szCs w:val="24"/>
        </w:rPr>
        <w:t xml:space="preserve"> in a significantly worse position than the</w:t>
      </w:r>
      <w:r w:rsidR="004D1618">
        <w:rPr>
          <w:rFonts w:ascii="Arial" w:hAnsi="Arial" w:cs="Arial"/>
          <w:sz w:val="24"/>
          <w:szCs w:val="24"/>
        </w:rPr>
        <w:t xml:space="preserve">y </w:t>
      </w:r>
      <w:r w:rsidR="004047F2">
        <w:rPr>
          <w:rFonts w:ascii="Arial" w:hAnsi="Arial" w:cs="Arial"/>
          <w:sz w:val="24"/>
          <w:szCs w:val="24"/>
        </w:rPr>
        <w:t>would have been in had the notice, or the service of the notice, not been defective</w:t>
      </w:r>
      <w:r>
        <w:rPr>
          <w:rFonts w:ascii="Arial" w:hAnsi="Arial" w:cs="Arial"/>
          <w:sz w:val="24"/>
          <w:szCs w:val="24"/>
        </w:rPr>
        <w:t>.</w:t>
      </w:r>
      <w:r w:rsidR="004047F2">
        <w:rPr>
          <w:rFonts w:ascii="Arial" w:hAnsi="Arial" w:cs="Arial"/>
          <w:sz w:val="24"/>
          <w:szCs w:val="24"/>
        </w:rPr>
        <w:t xml:space="preserve"> This resolves an anomaly with the drafting </w:t>
      </w:r>
      <w:r w:rsidR="007C3C92">
        <w:rPr>
          <w:rFonts w:ascii="Arial" w:hAnsi="Arial" w:cs="Arial"/>
          <w:sz w:val="24"/>
          <w:szCs w:val="24"/>
        </w:rPr>
        <w:t xml:space="preserve">of </w:t>
      </w:r>
      <w:r w:rsidR="004047F2">
        <w:rPr>
          <w:rFonts w:ascii="Arial" w:hAnsi="Arial" w:cs="Arial"/>
          <w:sz w:val="24"/>
          <w:szCs w:val="24"/>
        </w:rPr>
        <w:t xml:space="preserve">the </w:t>
      </w:r>
      <w:r w:rsidR="00775B83">
        <w:rPr>
          <w:rFonts w:ascii="Arial" w:hAnsi="Arial" w:cs="Arial"/>
          <w:sz w:val="24"/>
          <w:szCs w:val="24"/>
        </w:rPr>
        <w:t>RTA</w:t>
      </w:r>
      <w:r w:rsidR="004047F2">
        <w:rPr>
          <w:rFonts w:ascii="Arial" w:hAnsi="Arial" w:cs="Arial"/>
          <w:sz w:val="24"/>
          <w:szCs w:val="24"/>
        </w:rPr>
        <w:t xml:space="preserve"> arising from section 59 </w:t>
      </w:r>
      <w:r w:rsidR="001A7176">
        <w:rPr>
          <w:rFonts w:ascii="Arial" w:hAnsi="Arial" w:cs="Arial"/>
          <w:sz w:val="24"/>
          <w:szCs w:val="24"/>
        </w:rPr>
        <w:t>the RTA</w:t>
      </w:r>
      <w:r w:rsidR="004047F2">
        <w:rPr>
          <w:rFonts w:ascii="Arial" w:hAnsi="Arial" w:cs="Arial"/>
          <w:sz w:val="24"/>
          <w:szCs w:val="24"/>
        </w:rPr>
        <w:t xml:space="preserve"> which detailed the Tribunal’s powers to waive defects in a termination notice or its service.</w:t>
      </w:r>
    </w:p>
    <w:p w14:paraId="20F1F89E" w14:textId="441FFC60" w:rsidR="000538C9" w:rsidRPr="00E457D0" w:rsidRDefault="000538C9" w:rsidP="000538C9">
      <w:pPr>
        <w:spacing w:after="240" w:line="240" w:lineRule="auto"/>
        <w:rPr>
          <w:rFonts w:ascii="Arial" w:hAnsi="Arial" w:cs="Arial"/>
          <w:sz w:val="24"/>
          <w:szCs w:val="24"/>
        </w:rPr>
      </w:pPr>
      <w:r>
        <w:rPr>
          <w:rFonts w:ascii="Arial" w:hAnsi="Arial" w:cs="Arial"/>
          <w:sz w:val="24"/>
          <w:szCs w:val="24"/>
        </w:rPr>
        <w:t>In </w:t>
      </w:r>
      <w:r>
        <w:rPr>
          <w:rFonts w:ascii="Arial" w:hAnsi="Arial" w:cs="Arial"/>
          <w:i/>
          <w:sz w:val="24"/>
          <w:szCs w:val="24"/>
        </w:rPr>
        <w:t xml:space="preserve">Commissioner for Social Housing v Woodward </w:t>
      </w:r>
      <w:r>
        <w:rPr>
          <w:rFonts w:ascii="Arial" w:hAnsi="Arial" w:cs="Arial"/>
          <w:sz w:val="24"/>
          <w:szCs w:val="24"/>
        </w:rPr>
        <w:t>[2016] ACAT 85, the Tribunal held that the power under section 59 ‘</w:t>
      </w:r>
      <w:r w:rsidRPr="00E457D0">
        <w:rPr>
          <w:rFonts w:ascii="Arial" w:hAnsi="Arial" w:cs="Arial"/>
          <w:sz w:val="24"/>
          <w:szCs w:val="24"/>
        </w:rPr>
        <w:t xml:space="preserve">is closer in scope to the </w:t>
      </w:r>
      <w:r>
        <w:rPr>
          <w:rFonts w:ascii="Arial" w:hAnsi="Arial" w:cs="Arial"/>
          <w:sz w:val="24"/>
          <w:szCs w:val="24"/>
        </w:rPr>
        <w:t>“</w:t>
      </w:r>
      <w:r w:rsidRPr="00E457D0">
        <w:rPr>
          <w:rFonts w:ascii="Arial" w:hAnsi="Arial" w:cs="Arial"/>
          <w:sz w:val="24"/>
          <w:szCs w:val="24"/>
        </w:rPr>
        <w:t>slip rule</w:t>
      </w:r>
      <w:r>
        <w:rPr>
          <w:rFonts w:ascii="Arial" w:hAnsi="Arial" w:cs="Arial"/>
          <w:sz w:val="24"/>
          <w:szCs w:val="24"/>
        </w:rPr>
        <w:t>”</w:t>
      </w:r>
      <w:r w:rsidRPr="00E457D0">
        <w:rPr>
          <w:rFonts w:ascii="Arial" w:hAnsi="Arial" w:cs="Arial"/>
          <w:sz w:val="24"/>
          <w:szCs w:val="24"/>
        </w:rPr>
        <w:t xml:space="preserve"> than to a power to correct substantive errors</w:t>
      </w:r>
      <w:r w:rsidR="00E44ECB">
        <w:rPr>
          <w:rFonts w:ascii="Arial" w:hAnsi="Arial" w:cs="Arial"/>
          <w:sz w:val="24"/>
          <w:szCs w:val="24"/>
        </w:rPr>
        <w:t>.</w:t>
      </w:r>
      <w:r>
        <w:rPr>
          <w:rFonts w:ascii="Arial" w:hAnsi="Arial" w:cs="Arial"/>
          <w:sz w:val="24"/>
          <w:szCs w:val="24"/>
        </w:rPr>
        <w:t xml:space="preserve">’ In </w:t>
      </w:r>
      <w:r>
        <w:rPr>
          <w:rFonts w:ascii="Arial" w:hAnsi="Arial" w:cs="Arial"/>
          <w:i/>
          <w:sz w:val="24"/>
          <w:szCs w:val="24"/>
        </w:rPr>
        <w:t xml:space="preserve">Ikechukwu v </w:t>
      </w:r>
      <w:r w:rsidRPr="00C30BF1">
        <w:rPr>
          <w:rFonts w:ascii="Arial" w:hAnsi="Arial" w:cs="Arial"/>
          <w:i/>
          <w:sz w:val="24"/>
          <w:szCs w:val="24"/>
        </w:rPr>
        <w:t>Duoung</w:t>
      </w:r>
      <w:r>
        <w:rPr>
          <w:rFonts w:ascii="Arial" w:hAnsi="Arial" w:cs="Arial"/>
          <w:sz w:val="24"/>
          <w:szCs w:val="24"/>
        </w:rPr>
        <w:t xml:space="preserve"> [2018] ACAT 97, the Tribunal held that there was no reason to read a similar limitation into the power conferred under section 83 (k). </w:t>
      </w:r>
      <w:r w:rsidRPr="00C30BF1">
        <w:rPr>
          <w:rFonts w:ascii="Arial" w:hAnsi="Arial" w:cs="Arial"/>
          <w:sz w:val="24"/>
          <w:szCs w:val="24"/>
        </w:rPr>
        <w:t>This</w:t>
      </w:r>
      <w:r>
        <w:rPr>
          <w:rFonts w:ascii="Arial" w:hAnsi="Arial" w:cs="Arial"/>
          <w:sz w:val="24"/>
          <w:szCs w:val="24"/>
        </w:rPr>
        <w:t xml:space="preserve"> amendment therefore ensures that sections 59 and 85 (k) are similarly constrained in scope.</w:t>
      </w:r>
    </w:p>
    <w:p w14:paraId="3EE22BED" w14:textId="4017B6CD" w:rsidR="00E457D0" w:rsidRDefault="00775B83" w:rsidP="002A2ECB">
      <w:pPr>
        <w:spacing w:after="240" w:line="240" w:lineRule="auto"/>
        <w:rPr>
          <w:rFonts w:ascii="Arial" w:hAnsi="Arial" w:cs="Arial"/>
          <w:sz w:val="24"/>
          <w:szCs w:val="24"/>
        </w:rPr>
      </w:pPr>
      <w:r>
        <w:rPr>
          <w:rFonts w:ascii="Arial" w:hAnsi="Arial" w:cs="Arial"/>
          <w:sz w:val="24"/>
          <w:szCs w:val="24"/>
        </w:rPr>
        <w:t>Given the policy purpose of the notice periods, a notice issued to a party that fails in a significant respect to comply with the requirements for its form or service should, ordinarily, fail to be enforceable.</w:t>
      </w:r>
      <w:r w:rsidR="00E457D0">
        <w:rPr>
          <w:rFonts w:ascii="Arial" w:hAnsi="Arial" w:cs="Arial"/>
          <w:sz w:val="24"/>
          <w:szCs w:val="24"/>
        </w:rPr>
        <w:t xml:space="preserve"> This provides tenants and landlords with greater certainty about their rights and obligations when they receive a notice.</w:t>
      </w:r>
      <w:r>
        <w:rPr>
          <w:rFonts w:ascii="Arial" w:hAnsi="Arial" w:cs="Arial"/>
          <w:sz w:val="24"/>
          <w:szCs w:val="24"/>
        </w:rPr>
        <w:t xml:space="preserve"> Sections 59 and 83</w:t>
      </w:r>
      <w:r w:rsidR="00204AF2">
        <w:rPr>
          <w:rFonts w:ascii="Arial" w:hAnsi="Arial" w:cs="Arial"/>
          <w:sz w:val="24"/>
          <w:szCs w:val="24"/>
        </w:rPr>
        <w:t xml:space="preserve"> </w:t>
      </w:r>
      <w:r>
        <w:rPr>
          <w:rFonts w:ascii="Arial" w:hAnsi="Arial" w:cs="Arial"/>
          <w:sz w:val="24"/>
          <w:szCs w:val="24"/>
        </w:rPr>
        <w:t xml:space="preserve">(k) </w:t>
      </w:r>
      <w:r w:rsidR="00E457D0">
        <w:rPr>
          <w:rFonts w:ascii="Arial" w:hAnsi="Arial" w:cs="Arial"/>
          <w:sz w:val="24"/>
          <w:szCs w:val="24"/>
        </w:rPr>
        <w:t xml:space="preserve">temper this position by </w:t>
      </w:r>
      <w:r>
        <w:rPr>
          <w:rFonts w:ascii="Arial" w:hAnsi="Arial" w:cs="Arial"/>
          <w:sz w:val="24"/>
          <w:szCs w:val="24"/>
        </w:rPr>
        <w:t>provid</w:t>
      </w:r>
      <w:r w:rsidR="00E457D0">
        <w:rPr>
          <w:rFonts w:ascii="Arial" w:hAnsi="Arial" w:cs="Arial"/>
          <w:sz w:val="24"/>
          <w:szCs w:val="24"/>
        </w:rPr>
        <w:t>ing</w:t>
      </w:r>
      <w:r>
        <w:rPr>
          <w:rFonts w:ascii="Arial" w:hAnsi="Arial" w:cs="Arial"/>
          <w:sz w:val="24"/>
          <w:szCs w:val="24"/>
        </w:rPr>
        <w:t xml:space="preserve"> the Tribunal </w:t>
      </w:r>
      <w:r w:rsidR="0038378E">
        <w:rPr>
          <w:rFonts w:ascii="Arial" w:hAnsi="Arial" w:cs="Arial"/>
          <w:sz w:val="24"/>
          <w:szCs w:val="24"/>
        </w:rPr>
        <w:t xml:space="preserve">with </w:t>
      </w:r>
      <w:r>
        <w:rPr>
          <w:rFonts w:ascii="Arial" w:hAnsi="Arial" w:cs="Arial"/>
          <w:sz w:val="24"/>
          <w:szCs w:val="24"/>
        </w:rPr>
        <w:t>the discretionary power to correct defective notices</w:t>
      </w:r>
      <w:r w:rsidR="001B6B0D">
        <w:rPr>
          <w:rFonts w:ascii="Arial" w:hAnsi="Arial" w:cs="Arial"/>
          <w:sz w:val="24"/>
          <w:szCs w:val="24"/>
        </w:rPr>
        <w:t xml:space="preserve">. This would address a concern that it </w:t>
      </w:r>
      <w:r>
        <w:rPr>
          <w:rFonts w:ascii="Arial" w:hAnsi="Arial" w:cs="Arial"/>
          <w:sz w:val="24"/>
          <w:szCs w:val="24"/>
        </w:rPr>
        <w:t>would be an inefficient use of the Tribunal’s resources to be consumed by arguments about trivial</w:t>
      </w:r>
      <w:r w:rsidR="001B6B0D">
        <w:rPr>
          <w:rFonts w:ascii="Arial" w:hAnsi="Arial" w:cs="Arial"/>
          <w:sz w:val="24"/>
          <w:szCs w:val="24"/>
        </w:rPr>
        <w:t xml:space="preserve"> or minor</w:t>
      </w:r>
      <w:r>
        <w:rPr>
          <w:rFonts w:ascii="Arial" w:hAnsi="Arial" w:cs="Arial"/>
          <w:sz w:val="24"/>
          <w:szCs w:val="24"/>
        </w:rPr>
        <w:t xml:space="preserve"> defects in form or service. </w:t>
      </w:r>
    </w:p>
    <w:p w14:paraId="2F11CF48" w14:textId="14B4B117" w:rsidR="00E257A6" w:rsidRPr="00E257A6" w:rsidRDefault="00E257A6" w:rsidP="002A2ECB">
      <w:pPr>
        <w:spacing w:after="240" w:line="240" w:lineRule="auto"/>
        <w:rPr>
          <w:rFonts w:ascii="Arial" w:hAnsi="Arial" w:cs="Arial"/>
          <w:b/>
          <w:sz w:val="24"/>
          <w:szCs w:val="24"/>
        </w:rPr>
      </w:pPr>
      <w:r w:rsidRPr="00E257A6">
        <w:rPr>
          <w:rFonts w:ascii="Arial" w:hAnsi="Arial" w:cs="Arial"/>
          <w:b/>
          <w:sz w:val="24"/>
          <w:szCs w:val="24"/>
        </w:rPr>
        <w:t>Clause 1</w:t>
      </w:r>
      <w:r w:rsidR="00EE38C2">
        <w:rPr>
          <w:rFonts w:ascii="Arial" w:hAnsi="Arial" w:cs="Arial"/>
          <w:b/>
          <w:sz w:val="24"/>
          <w:szCs w:val="24"/>
        </w:rPr>
        <w:t>5</w:t>
      </w:r>
      <w:r w:rsidRPr="00E257A6">
        <w:rPr>
          <w:rFonts w:ascii="Arial" w:hAnsi="Arial" w:cs="Arial"/>
          <w:b/>
          <w:sz w:val="24"/>
          <w:szCs w:val="24"/>
        </w:rPr>
        <w:tab/>
      </w:r>
      <w:r w:rsidR="00770D35">
        <w:rPr>
          <w:rFonts w:ascii="Arial" w:hAnsi="Arial" w:cs="Arial"/>
          <w:b/>
          <w:sz w:val="24"/>
          <w:szCs w:val="24"/>
        </w:rPr>
        <w:t>Notice of intention to vacate – award of compensation, New s</w:t>
      </w:r>
      <w:r w:rsidRPr="00E257A6">
        <w:rPr>
          <w:rFonts w:ascii="Arial" w:hAnsi="Arial" w:cs="Arial"/>
          <w:b/>
          <w:sz w:val="24"/>
          <w:szCs w:val="24"/>
        </w:rPr>
        <w:t xml:space="preserve">ection </w:t>
      </w:r>
      <w:r w:rsidR="00045199">
        <w:rPr>
          <w:rFonts w:ascii="Arial" w:hAnsi="Arial" w:cs="Arial"/>
          <w:b/>
          <w:sz w:val="24"/>
          <w:szCs w:val="24"/>
        </w:rPr>
        <w:t>84 (4A)</w:t>
      </w:r>
    </w:p>
    <w:p w14:paraId="368030B5" w14:textId="607232D7" w:rsidR="00E257A6" w:rsidRPr="00E257A6" w:rsidRDefault="00E257A6" w:rsidP="002A2ECB">
      <w:pPr>
        <w:spacing w:after="240" w:line="240" w:lineRule="auto"/>
        <w:rPr>
          <w:rFonts w:ascii="Arial" w:hAnsi="Arial" w:cs="Arial"/>
          <w:sz w:val="24"/>
          <w:szCs w:val="24"/>
        </w:rPr>
      </w:pPr>
      <w:r>
        <w:rPr>
          <w:rFonts w:ascii="Arial" w:hAnsi="Arial" w:cs="Arial"/>
          <w:sz w:val="24"/>
          <w:szCs w:val="24"/>
        </w:rPr>
        <w:t xml:space="preserve">This clause </w:t>
      </w:r>
      <w:r w:rsidR="00045199">
        <w:rPr>
          <w:rFonts w:ascii="Arial" w:hAnsi="Arial" w:cs="Arial"/>
          <w:sz w:val="24"/>
          <w:szCs w:val="24"/>
        </w:rPr>
        <w:t xml:space="preserve">restructures part of the </w:t>
      </w:r>
      <w:r w:rsidR="00204AF2">
        <w:rPr>
          <w:rFonts w:ascii="Arial" w:hAnsi="Arial" w:cs="Arial"/>
          <w:sz w:val="24"/>
          <w:szCs w:val="24"/>
        </w:rPr>
        <w:t>RTA</w:t>
      </w:r>
      <w:r w:rsidR="00045199">
        <w:rPr>
          <w:rFonts w:ascii="Arial" w:hAnsi="Arial" w:cs="Arial"/>
          <w:sz w:val="24"/>
          <w:szCs w:val="24"/>
        </w:rPr>
        <w:t xml:space="preserve"> to ensure that there are not multiple provisions dealing with the matter of restricting compensation for termination throughout the </w:t>
      </w:r>
      <w:r w:rsidR="001A7176">
        <w:rPr>
          <w:rFonts w:ascii="Arial" w:hAnsi="Arial" w:cs="Arial"/>
          <w:sz w:val="24"/>
          <w:szCs w:val="24"/>
        </w:rPr>
        <w:t>RTA</w:t>
      </w:r>
      <w:r w:rsidRPr="00E257A6">
        <w:rPr>
          <w:rFonts w:ascii="Arial" w:hAnsi="Arial" w:cs="Arial"/>
          <w:sz w:val="24"/>
          <w:szCs w:val="24"/>
        </w:rPr>
        <w:t>.</w:t>
      </w:r>
      <w:r w:rsidR="00045199">
        <w:rPr>
          <w:rFonts w:ascii="Arial" w:hAnsi="Arial" w:cs="Arial"/>
          <w:sz w:val="24"/>
          <w:szCs w:val="24"/>
        </w:rPr>
        <w:t xml:space="preserve"> This clause does not create new rights or obligations.</w:t>
      </w:r>
    </w:p>
    <w:p w14:paraId="48BD4B24" w14:textId="0DE3067B" w:rsidR="002A2ECB" w:rsidRPr="00230BB7" w:rsidRDefault="002A2ECB" w:rsidP="002A2ECB">
      <w:pPr>
        <w:spacing w:after="240" w:line="240" w:lineRule="auto"/>
        <w:rPr>
          <w:rFonts w:ascii="Arial" w:hAnsi="Arial" w:cs="Arial"/>
          <w:b/>
          <w:sz w:val="24"/>
          <w:szCs w:val="24"/>
        </w:rPr>
      </w:pPr>
      <w:r w:rsidRPr="00230BB7">
        <w:rPr>
          <w:rFonts w:ascii="Arial" w:hAnsi="Arial" w:cs="Arial"/>
          <w:b/>
          <w:sz w:val="24"/>
          <w:szCs w:val="24"/>
        </w:rPr>
        <w:t xml:space="preserve">Clause </w:t>
      </w:r>
      <w:r w:rsidR="00C91203">
        <w:rPr>
          <w:rFonts w:ascii="Arial" w:hAnsi="Arial" w:cs="Arial"/>
          <w:b/>
          <w:sz w:val="24"/>
          <w:szCs w:val="24"/>
        </w:rPr>
        <w:t>1</w:t>
      </w:r>
      <w:r w:rsidR="00EE38C2">
        <w:rPr>
          <w:rFonts w:ascii="Arial" w:hAnsi="Arial" w:cs="Arial"/>
          <w:b/>
          <w:sz w:val="24"/>
          <w:szCs w:val="24"/>
        </w:rPr>
        <w:t>6</w:t>
      </w:r>
      <w:r w:rsidRPr="00230BB7">
        <w:rPr>
          <w:rFonts w:ascii="Arial" w:hAnsi="Arial" w:cs="Arial"/>
          <w:b/>
          <w:sz w:val="24"/>
          <w:szCs w:val="24"/>
        </w:rPr>
        <w:tab/>
      </w:r>
      <w:r w:rsidR="00770D35">
        <w:rPr>
          <w:rFonts w:ascii="Arial" w:hAnsi="Arial" w:cs="Arial"/>
          <w:b/>
          <w:sz w:val="24"/>
          <w:szCs w:val="24"/>
        </w:rPr>
        <w:t xml:space="preserve">Applications under s 85A – ACAT orders, </w:t>
      </w:r>
      <w:r w:rsidR="0054753C">
        <w:rPr>
          <w:rFonts w:ascii="Arial" w:hAnsi="Arial" w:cs="Arial"/>
          <w:b/>
          <w:sz w:val="24"/>
          <w:szCs w:val="24"/>
        </w:rPr>
        <w:t xml:space="preserve">Section </w:t>
      </w:r>
      <w:r w:rsidR="00045199">
        <w:rPr>
          <w:rFonts w:ascii="Arial" w:hAnsi="Arial" w:cs="Arial"/>
          <w:b/>
          <w:sz w:val="24"/>
          <w:szCs w:val="24"/>
        </w:rPr>
        <w:t>85</w:t>
      </w:r>
      <w:r w:rsidR="000F3A7C">
        <w:rPr>
          <w:rFonts w:ascii="Arial" w:hAnsi="Arial" w:cs="Arial"/>
          <w:b/>
          <w:sz w:val="24"/>
          <w:szCs w:val="24"/>
        </w:rPr>
        <w:t>B (2) (b)</w:t>
      </w:r>
    </w:p>
    <w:p w14:paraId="4CC4DD71" w14:textId="60141475" w:rsidR="000A5B0C" w:rsidRDefault="00230BB7" w:rsidP="000F3A7C">
      <w:pPr>
        <w:spacing w:after="240" w:line="240" w:lineRule="auto"/>
        <w:rPr>
          <w:rFonts w:ascii="Arial" w:hAnsi="Arial" w:cs="Arial"/>
          <w:sz w:val="24"/>
          <w:szCs w:val="24"/>
        </w:rPr>
      </w:pPr>
      <w:r>
        <w:rPr>
          <w:rFonts w:ascii="Arial" w:hAnsi="Arial" w:cs="Arial"/>
          <w:sz w:val="24"/>
          <w:szCs w:val="24"/>
        </w:rPr>
        <w:t>This clause</w:t>
      </w:r>
      <w:r w:rsidR="0054753C">
        <w:rPr>
          <w:rFonts w:ascii="Arial" w:hAnsi="Arial" w:cs="Arial"/>
          <w:sz w:val="24"/>
          <w:szCs w:val="24"/>
        </w:rPr>
        <w:t xml:space="preserve"> </w:t>
      </w:r>
      <w:r w:rsidR="00236F62">
        <w:rPr>
          <w:rFonts w:ascii="Arial" w:hAnsi="Arial" w:cs="Arial"/>
          <w:sz w:val="24"/>
          <w:szCs w:val="24"/>
        </w:rPr>
        <w:t xml:space="preserve">is part of a sequence that </w:t>
      </w:r>
      <w:r w:rsidR="000A5B0C">
        <w:rPr>
          <w:rFonts w:ascii="Arial" w:hAnsi="Arial" w:cs="Arial"/>
          <w:sz w:val="24"/>
          <w:szCs w:val="24"/>
        </w:rPr>
        <w:t xml:space="preserve">amends provisions of the </w:t>
      </w:r>
      <w:r w:rsidR="00204AF2">
        <w:rPr>
          <w:rFonts w:ascii="Arial" w:hAnsi="Arial" w:cs="Arial"/>
          <w:sz w:val="24"/>
          <w:szCs w:val="24"/>
        </w:rPr>
        <w:t>RTA</w:t>
      </w:r>
      <w:r w:rsidR="000A5B0C">
        <w:rPr>
          <w:rFonts w:ascii="Arial" w:hAnsi="Arial" w:cs="Arial"/>
          <w:sz w:val="24"/>
          <w:szCs w:val="24"/>
        </w:rPr>
        <w:t xml:space="preserve"> that were introduced</w:t>
      </w:r>
      <w:r w:rsidR="000F3A7C" w:rsidRPr="000F3A7C">
        <w:rPr>
          <w:rFonts w:ascii="Arial" w:hAnsi="Arial" w:cs="Arial"/>
          <w:sz w:val="24"/>
          <w:szCs w:val="24"/>
        </w:rPr>
        <w:t xml:space="preserve"> in 2016 </w:t>
      </w:r>
      <w:r w:rsidR="000A5B0C">
        <w:rPr>
          <w:rFonts w:ascii="Arial" w:hAnsi="Arial" w:cs="Arial"/>
          <w:sz w:val="24"/>
          <w:szCs w:val="24"/>
        </w:rPr>
        <w:t>for</w:t>
      </w:r>
      <w:r w:rsidR="000F3A7C" w:rsidRPr="000F3A7C">
        <w:rPr>
          <w:rFonts w:ascii="Arial" w:hAnsi="Arial" w:cs="Arial"/>
          <w:sz w:val="24"/>
          <w:szCs w:val="24"/>
        </w:rPr>
        <w:t xml:space="preserve"> orders related to domestic and family violence scenarios. The cases that have been brought to the Tribunal to date demonstrate that some of these provisions require minor amendment to ensure they work effectively. </w:t>
      </w:r>
    </w:p>
    <w:p w14:paraId="6F65B7E3" w14:textId="3A403938" w:rsidR="000F3A7C" w:rsidRDefault="000A5B0C" w:rsidP="000F3A7C">
      <w:pPr>
        <w:spacing w:after="240" w:line="240" w:lineRule="auto"/>
        <w:rPr>
          <w:rFonts w:ascii="Arial" w:hAnsi="Arial" w:cs="Arial"/>
          <w:sz w:val="24"/>
          <w:szCs w:val="24"/>
        </w:rPr>
      </w:pPr>
      <w:r>
        <w:rPr>
          <w:rFonts w:ascii="Arial" w:hAnsi="Arial" w:cs="Arial"/>
          <w:sz w:val="24"/>
          <w:szCs w:val="24"/>
        </w:rPr>
        <w:t xml:space="preserve">This clause </w:t>
      </w:r>
      <w:r w:rsidR="000F3A7C" w:rsidRPr="000F3A7C">
        <w:rPr>
          <w:rFonts w:ascii="Arial" w:hAnsi="Arial" w:cs="Arial"/>
          <w:sz w:val="24"/>
          <w:szCs w:val="24"/>
        </w:rPr>
        <w:t>permit</w:t>
      </w:r>
      <w:r>
        <w:rPr>
          <w:rFonts w:ascii="Arial" w:hAnsi="Arial" w:cs="Arial"/>
          <w:sz w:val="24"/>
          <w:szCs w:val="24"/>
        </w:rPr>
        <w:t>s</w:t>
      </w:r>
      <w:r w:rsidR="000F3A7C" w:rsidRPr="000F3A7C">
        <w:rPr>
          <w:rFonts w:ascii="Arial" w:hAnsi="Arial" w:cs="Arial"/>
          <w:sz w:val="24"/>
          <w:szCs w:val="24"/>
        </w:rPr>
        <w:t xml:space="preserve"> the Tribunal to take into consideration the interests of </w:t>
      </w:r>
      <w:r w:rsidR="000F3A7C">
        <w:rPr>
          <w:rFonts w:ascii="Arial" w:hAnsi="Arial" w:cs="Arial"/>
          <w:sz w:val="24"/>
          <w:szCs w:val="24"/>
        </w:rPr>
        <w:t xml:space="preserve">the </w:t>
      </w:r>
      <w:r w:rsidR="000F3A7C" w:rsidRPr="000F3A7C">
        <w:rPr>
          <w:rFonts w:ascii="Arial" w:hAnsi="Arial" w:cs="Arial"/>
          <w:sz w:val="24"/>
          <w:szCs w:val="24"/>
        </w:rPr>
        <w:t>respondent who may be affected by the orders</w:t>
      </w:r>
      <w:r>
        <w:rPr>
          <w:rFonts w:ascii="Arial" w:hAnsi="Arial" w:cs="Arial"/>
          <w:sz w:val="24"/>
          <w:szCs w:val="24"/>
        </w:rPr>
        <w:t xml:space="preserve"> as the current section 85B (2) (b) suggests that the Tribunal should not consider their interests</w:t>
      </w:r>
      <w:r w:rsidR="000F3A7C" w:rsidRPr="000F3A7C">
        <w:rPr>
          <w:rFonts w:ascii="Arial" w:hAnsi="Arial" w:cs="Arial"/>
          <w:sz w:val="24"/>
          <w:szCs w:val="24"/>
        </w:rPr>
        <w:t>.</w:t>
      </w:r>
      <w:r w:rsidR="00236F62">
        <w:rPr>
          <w:rFonts w:ascii="Arial" w:hAnsi="Arial" w:cs="Arial"/>
          <w:sz w:val="24"/>
          <w:szCs w:val="24"/>
        </w:rPr>
        <w:t xml:space="preserve"> This amendment aligns the </w:t>
      </w:r>
      <w:r w:rsidR="00204AF2">
        <w:rPr>
          <w:rFonts w:ascii="Arial" w:hAnsi="Arial" w:cs="Arial"/>
          <w:sz w:val="24"/>
          <w:szCs w:val="24"/>
        </w:rPr>
        <w:t>RTA</w:t>
      </w:r>
      <w:r w:rsidR="00236F62">
        <w:rPr>
          <w:rFonts w:ascii="Arial" w:hAnsi="Arial" w:cs="Arial"/>
          <w:sz w:val="24"/>
          <w:szCs w:val="24"/>
        </w:rPr>
        <w:t xml:space="preserve"> with the </w:t>
      </w:r>
      <w:r>
        <w:rPr>
          <w:rFonts w:ascii="Arial" w:hAnsi="Arial" w:cs="Arial"/>
          <w:sz w:val="24"/>
          <w:szCs w:val="24"/>
        </w:rPr>
        <w:t xml:space="preserve">original </w:t>
      </w:r>
      <w:r w:rsidR="00236F62">
        <w:rPr>
          <w:rFonts w:ascii="Arial" w:hAnsi="Arial" w:cs="Arial"/>
          <w:sz w:val="24"/>
          <w:szCs w:val="24"/>
        </w:rPr>
        <w:t>policy intent of the provision.</w:t>
      </w:r>
    </w:p>
    <w:p w14:paraId="05B2A39D" w14:textId="71824A3E" w:rsidR="00230BB7" w:rsidRPr="00230BB7" w:rsidRDefault="00230BB7" w:rsidP="002A2ECB">
      <w:pPr>
        <w:spacing w:after="240" w:line="240" w:lineRule="auto"/>
        <w:rPr>
          <w:rFonts w:ascii="Arial" w:hAnsi="Arial" w:cs="Arial"/>
          <w:b/>
          <w:sz w:val="24"/>
          <w:szCs w:val="24"/>
        </w:rPr>
      </w:pPr>
      <w:r w:rsidRPr="00230BB7">
        <w:rPr>
          <w:rFonts w:ascii="Arial" w:hAnsi="Arial" w:cs="Arial"/>
          <w:b/>
          <w:sz w:val="24"/>
          <w:szCs w:val="24"/>
        </w:rPr>
        <w:t xml:space="preserve">Clause </w:t>
      </w:r>
      <w:r w:rsidR="007230D4">
        <w:rPr>
          <w:rFonts w:ascii="Arial" w:hAnsi="Arial" w:cs="Arial"/>
          <w:b/>
          <w:sz w:val="24"/>
          <w:szCs w:val="24"/>
        </w:rPr>
        <w:t>1</w:t>
      </w:r>
      <w:r w:rsidR="003C48C3">
        <w:rPr>
          <w:rFonts w:ascii="Arial" w:hAnsi="Arial" w:cs="Arial"/>
          <w:b/>
          <w:sz w:val="24"/>
          <w:szCs w:val="24"/>
        </w:rPr>
        <w:t>7</w:t>
      </w:r>
      <w:r w:rsidRPr="00230BB7">
        <w:rPr>
          <w:rFonts w:ascii="Arial" w:hAnsi="Arial" w:cs="Arial"/>
          <w:b/>
          <w:sz w:val="24"/>
          <w:szCs w:val="24"/>
        </w:rPr>
        <w:tab/>
      </w:r>
      <w:r w:rsidR="000A5B0C">
        <w:rPr>
          <w:rFonts w:ascii="Arial" w:hAnsi="Arial" w:cs="Arial"/>
          <w:b/>
          <w:sz w:val="24"/>
          <w:szCs w:val="24"/>
        </w:rPr>
        <w:t xml:space="preserve">Section </w:t>
      </w:r>
      <w:r w:rsidR="00236F62">
        <w:rPr>
          <w:rFonts w:ascii="Arial" w:hAnsi="Arial" w:cs="Arial"/>
          <w:b/>
          <w:sz w:val="24"/>
          <w:szCs w:val="24"/>
        </w:rPr>
        <w:t>85B (2) (c) (i)</w:t>
      </w:r>
    </w:p>
    <w:p w14:paraId="61FFF732" w14:textId="3E5C9D34" w:rsidR="000A5B0C" w:rsidRDefault="000A5B0C" w:rsidP="002A2ECB">
      <w:pPr>
        <w:spacing w:after="240" w:line="240" w:lineRule="auto"/>
        <w:rPr>
          <w:rFonts w:ascii="Arial" w:hAnsi="Arial" w:cs="Arial"/>
          <w:sz w:val="24"/>
          <w:szCs w:val="24"/>
        </w:rPr>
      </w:pPr>
      <w:r>
        <w:rPr>
          <w:rFonts w:ascii="Arial" w:hAnsi="Arial" w:cs="Arial"/>
          <w:sz w:val="24"/>
          <w:szCs w:val="24"/>
        </w:rPr>
        <w:t xml:space="preserve">This clause is part of a sequence that amends provisions of the </w:t>
      </w:r>
      <w:r w:rsidR="00204AF2">
        <w:rPr>
          <w:rFonts w:ascii="Arial" w:hAnsi="Arial" w:cs="Arial"/>
          <w:sz w:val="24"/>
          <w:szCs w:val="24"/>
        </w:rPr>
        <w:t>RTA</w:t>
      </w:r>
      <w:r>
        <w:rPr>
          <w:rFonts w:ascii="Arial" w:hAnsi="Arial" w:cs="Arial"/>
          <w:sz w:val="24"/>
          <w:szCs w:val="24"/>
        </w:rPr>
        <w:t xml:space="preserve"> that were introduced</w:t>
      </w:r>
      <w:r w:rsidRPr="000F3A7C">
        <w:rPr>
          <w:rFonts w:ascii="Arial" w:hAnsi="Arial" w:cs="Arial"/>
          <w:sz w:val="24"/>
          <w:szCs w:val="24"/>
        </w:rPr>
        <w:t xml:space="preserve"> in 2016 </w:t>
      </w:r>
      <w:r>
        <w:rPr>
          <w:rFonts w:ascii="Arial" w:hAnsi="Arial" w:cs="Arial"/>
          <w:sz w:val="24"/>
          <w:szCs w:val="24"/>
        </w:rPr>
        <w:t>for</w:t>
      </w:r>
      <w:r w:rsidRPr="000F3A7C">
        <w:rPr>
          <w:rFonts w:ascii="Arial" w:hAnsi="Arial" w:cs="Arial"/>
          <w:sz w:val="24"/>
          <w:szCs w:val="24"/>
        </w:rPr>
        <w:t xml:space="preserve"> orders related to domestic and family violence scenarios. The cases that have been brought to the Tribunal to date demonstrate that some of these provisions require minor amendment to ensure they work effectively.</w:t>
      </w:r>
    </w:p>
    <w:p w14:paraId="7FBEC0C5" w14:textId="0F21C3E9" w:rsidR="00E670FC" w:rsidRDefault="000A5B0C" w:rsidP="002A2ECB">
      <w:pPr>
        <w:spacing w:after="240" w:line="240" w:lineRule="auto"/>
        <w:rPr>
          <w:rFonts w:ascii="Arial" w:hAnsi="Arial" w:cs="Arial"/>
          <w:sz w:val="24"/>
          <w:szCs w:val="24"/>
        </w:rPr>
      </w:pPr>
      <w:r>
        <w:rPr>
          <w:rFonts w:ascii="Arial" w:hAnsi="Arial" w:cs="Arial"/>
          <w:sz w:val="24"/>
          <w:szCs w:val="24"/>
        </w:rPr>
        <w:t xml:space="preserve">This clause permits the Tribunal to take into consideration the interests of other children who are resident of the property. The current section 85 (2) (c) (i) allows the </w:t>
      </w:r>
      <w:r>
        <w:rPr>
          <w:rFonts w:ascii="Arial" w:hAnsi="Arial" w:cs="Arial"/>
          <w:sz w:val="24"/>
          <w:szCs w:val="24"/>
        </w:rPr>
        <w:lastRenderedPageBreak/>
        <w:t xml:space="preserve">Tribunal to consider the interests of the protected person’s dependent children, but there </w:t>
      </w:r>
      <w:r w:rsidR="001B6B0D">
        <w:rPr>
          <w:rFonts w:ascii="Arial" w:hAnsi="Arial" w:cs="Arial"/>
          <w:sz w:val="24"/>
          <w:szCs w:val="24"/>
        </w:rPr>
        <w:t xml:space="preserve">may </w:t>
      </w:r>
      <w:r>
        <w:rPr>
          <w:rFonts w:ascii="Arial" w:hAnsi="Arial" w:cs="Arial"/>
          <w:sz w:val="24"/>
          <w:szCs w:val="24"/>
        </w:rPr>
        <w:t xml:space="preserve">be children of the respondent or other tenants who </w:t>
      </w:r>
      <w:r w:rsidR="001B6B0D">
        <w:rPr>
          <w:rFonts w:ascii="Arial" w:hAnsi="Arial" w:cs="Arial"/>
          <w:sz w:val="24"/>
          <w:szCs w:val="24"/>
        </w:rPr>
        <w:t>could</w:t>
      </w:r>
      <w:r>
        <w:rPr>
          <w:rFonts w:ascii="Arial" w:hAnsi="Arial" w:cs="Arial"/>
          <w:sz w:val="24"/>
          <w:szCs w:val="24"/>
        </w:rPr>
        <w:t xml:space="preserve"> be affected by the order. This amendment better protects their rights as outlined in section 11(2) of the </w:t>
      </w:r>
      <w:r w:rsidR="00FE1A3F" w:rsidRPr="00FE1A3F">
        <w:rPr>
          <w:rFonts w:ascii="Arial" w:hAnsi="Arial" w:cs="Arial"/>
          <w:sz w:val="24"/>
          <w:szCs w:val="24"/>
        </w:rPr>
        <w:t>HRA</w:t>
      </w:r>
      <w:r>
        <w:rPr>
          <w:rFonts w:ascii="Arial" w:hAnsi="Arial" w:cs="Arial"/>
          <w:sz w:val="24"/>
          <w:szCs w:val="24"/>
        </w:rPr>
        <w:t>.</w:t>
      </w:r>
      <w:r w:rsidR="00646B9D">
        <w:rPr>
          <w:rFonts w:ascii="Arial" w:hAnsi="Arial" w:cs="Arial"/>
          <w:sz w:val="24"/>
          <w:szCs w:val="24"/>
        </w:rPr>
        <w:t xml:space="preserve"> </w:t>
      </w:r>
    </w:p>
    <w:p w14:paraId="2DF79CF4" w14:textId="0207AF88" w:rsidR="00230BB7" w:rsidRPr="00230BB7" w:rsidRDefault="00230BB7" w:rsidP="00204AF2">
      <w:pPr>
        <w:keepNext/>
        <w:spacing w:after="240" w:line="240" w:lineRule="auto"/>
        <w:rPr>
          <w:rFonts w:ascii="Arial" w:hAnsi="Arial" w:cs="Arial"/>
          <w:b/>
          <w:sz w:val="24"/>
          <w:szCs w:val="24"/>
        </w:rPr>
      </w:pPr>
      <w:r w:rsidRPr="00230BB7">
        <w:rPr>
          <w:rFonts w:ascii="Arial" w:hAnsi="Arial" w:cs="Arial"/>
          <w:b/>
          <w:sz w:val="24"/>
          <w:szCs w:val="24"/>
        </w:rPr>
        <w:t xml:space="preserve">Clause </w:t>
      </w:r>
      <w:r w:rsidR="007230D4">
        <w:rPr>
          <w:rFonts w:ascii="Arial" w:hAnsi="Arial" w:cs="Arial"/>
          <w:b/>
          <w:sz w:val="24"/>
          <w:szCs w:val="24"/>
        </w:rPr>
        <w:t>1</w:t>
      </w:r>
      <w:r w:rsidR="003C48C3">
        <w:rPr>
          <w:rFonts w:ascii="Arial" w:hAnsi="Arial" w:cs="Arial"/>
          <w:b/>
          <w:sz w:val="24"/>
          <w:szCs w:val="24"/>
        </w:rPr>
        <w:t>8</w:t>
      </w:r>
      <w:r w:rsidRPr="00230BB7">
        <w:rPr>
          <w:rFonts w:ascii="Arial" w:hAnsi="Arial" w:cs="Arial"/>
          <w:b/>
          <w:sz w:val="24"/>
          <w:szCs w:val="24"/>
        </w:rPr>
        <w:tab/>
      </w:r>
      <w:r w:rsidR="00770D35">
        <w:rPr>
          <w:rFonts w:ascii="Arial" w:hAnsi="Arial" w:cs="Arial"/>
          <w:b/>
          <w:sz w:val="24"/>
          <w:szCs w:val="24"/>
        </w:rPr>
        <w:t>New s</w:t>
      </w:r>
      <w:r w:rsidR="000A5B0C">
        <w:rPr>
          <w:rFonts w:ascii="Arial" w:hAnsi="Arial" w:cs="Arial"/>
          <w:b/>
          <w:sz w:val="24"/>
          <w:szCs w:val="24"/>
        </w:rPr>
        <w:t>ection 85B (6)</w:t>
      </w:r>
    </w:p>
    <w:p w14:paraId="25D5272A" w14:textId="60582176" w:rsidR="00230BB7" w:rsidRDefault="00230BB7" w:rsidP="00204AF2">
      <w:pPr>
        <w:keepLines/>
        <w:spacing w:after="240" w:line="240" w:lineRule="auto"/>
        <w:rPr>
          <w:rFonts w:ascii="Arial" w:hAnsi="Arial" w:cs="Arial"/>
          <w:sz w:val="24"/>
          <w:szCs w:val="24"/>
        </w:rPr>
      </w:pPr>
      <w:r>
        <w:rPr>
          <w:rFonts w:ascii="Arial" w:hAnsi="Arial" w:cs="Arial"/>
          <w:sz w:val="24"/>
          <w:szCs w:val="24"/>
        </w:rPr>
        <w:t>This clause</w:t>
      </w:r>
      <w:r w:rsidR="000A5B0C">
        <w:rPr>
          <w:rFonts w:ascii="Arial" w:hAnsi="Arial" w:cs="Arial"/>
          <w:sz w:val="24"/>
          <w:szCs w:val="24"/>
        </w:rPr>
        <w:t xml:space="preserve"> is part of a sequence that amends provisions of the </w:t>
      </w:r>
      <w:r w:rsidR="00204AF2">
        <w:rPr>
          <w:rFonts w:ascii="Arial" w:hAnsi="Arial" w:cs="Arial"/>
          <w:sz w:val="24"/>
          <w:szCs w:val="24"/>
        </w:rPr>
        <w:t>RTA</w:t>
      </w:r>
      <w:r w:rsidR="000A5B0C">
        <w:rPr>
          <w:rFonts w:ascii="Arial" w:hAnsi="Arial" w:cs="Arial"/>
          <w:sz w:val="24"/>
          <w:szCs w:val="24"/>
        </w:rPr>
        <w:t xml:space="preserve"> that were introduced</w:t>
      </w:r>
      <w:r w:rsidR="000A5B0C" w:rsidRPr="000F3A7C">
        <w:rPr>
          <w:rFonts w:ascii="Arial" w:hAnsi="Arial" w:cs="Arial"/>
          <w:sz w:val="24"/>
          <w:szCs w:val="24"/>
        </w:rPr>
        <w:t xml:space="preserve"> in 2016 </w:t>
      </w:r>
      <w:r w:rsidR="000A5B0C">
        <w:rPr>
          <w:rFonts w:ascii="Arial" w:hAnsi="Arial" w:cs="Arial"/>
          <w:sz w:val="24"/>
          <w:szCs w:val="24"/>
        </w:rPr>
        <w:t>for</w:t>
      </w:r>
      <w:r w:rsidR="000A5B0C" w:rsidRPr="000F3A7C">
        <w:rPr>
          <w:rFonts w:ascii="Arial" w:hAnsi="Arial" w:cs="Arial"/>
          <w:sz w:val="24"/>
          <w:szCs w:val="24"/>
        </w:rPr>
        <w:t xml:space="preserve"> orders related to domestic and family violence scenarios. The</w:t>
      </w:r>
      <w:r w:rsidR="00204AF2">
        <w:rPr>
          <w:rFonts w:ascii="Arial" w:hAnsi="Arial" w:cs="Arial"/>
          <w:sz w:val="24"/>
          <w:szCs w:val="24"/>
        </w:rPr>
        <w:t> </w:t>
      </w:r>
      <w:r w:rsidR="000A5B0C" w:rsidRPr="000F3A7C">
        <w:rPr>
          <w:rFonts w:ascii="Arial" w:hAnsi="Arial" w:cs="Arial"/>
          <w:sz w:val="24"/>
          <w:szCs w:val="24"/>
        </w:rPr>
        <w:t>cases that have been brought to the Tribunal to date demonstrate that some of these provisions require minor amendment to ensure they work effectively</w:t>
      </w:r>
      <w:r w:rsidR="00095DB2" w:rsidRPr="007230D4">
        <w:rPr>
          <w:rFonts w:ascii="Arial" w:hAnsi="Arial" w:cs="Arial"/>
          <w:sz w:val="24"/>
          <w:szCs w:val="24"/>
        </w:rPr>
        <w:t>.</w:t>
      </w:r>
    </w:p>
    <w:p w14:paraId="2BCF78A2" w14:textId="10E4DF34" w:rsidR="000A5B0C" w:rsidRDefault="000A5B0C" w:rsidP="002A2ECB">
      <w:pPr>
        <w:spacing w:after="240" w:line="240" w:lineRule="auto"/>
        <w:rPr>
          <w:rFonts w:ascii="Arial" w:hAnsi="Arial" w:cs="Arial"/>
          <w:sz w:val="24"/>
          <w:szCs w:val="24"/>
        </w:rPr>
      </w:pPr>
      <w:r>
        <w:rPr>
          <w:rFonts w:ascii="Arial" w:hAnsi="Arial" w:cs="Arial"/>
          <w:sz w:val="24"/>
          <w:szCs w:val="24"/>
        </w:rPr>
        <w:t>The drafting of the current provision does not permit the Tribunal to suspend the effect of its orders. Orders having immediate effect can have harsh implications for the parties to the matter. For example, the protected person may immediately bear full responsibility for the rent from that day, or the respondent to the protection order may have no time to remove their belongings from the property (and may be in custody). In such circumstances, it may be in the interests of justice for the Tribunal to have the power to suspend the operation of its orders for up to three weeks</w:t>
      </w:r>
      <w:r w:rsidR="00E150B2">
        <w:rPr>
          <w:rFonts w:ascii="Arial" w:hAnsi="Arial" w:cs="Arial"/>
          <w:sz w:val="24"/>
          <w:szCs w:val="24"/>
        </w:rPr>
        <w:t xml:space="preserve">. This aligns this provision of the </w:t>
      </w:r>
      <w:r w:rsidR="00204AF2">
        <w:rPr>
          <w:rFonts w:ascii="Arial" w:hAnsi="Arial" w:cs="Arial"/>
          <w:sz w:val="24"/>
          <w:szCs w:val="24"/>
        </w:rPr>
        <w:t>RTA</w:t>
      </w:r>
      <w:r w:rsidR="00E150B2">
        <w:rPr>
          <w:rFonts w:ascii="Arial" w:hAnsi="Arial" w:cs="Arial"/>
          <w:sz w:val="24"/>
          <w:szCs w:val="24"/>
        </w:rPr>
        <w:t xml:space="preserve"> with similar sections</w:t>
      </w:r>
      <w:r w:rsidR="006C44D8">
        <w:rPr>
          <w:rFonts w:ascii="Arial" w:hAnsi="Arial" w:cs="Arial"/>
          <w:sz w:val="24"/>
          <w:szCs w:val="24"/>
        </w:rPr>
        <w:t xml:space="preserve"> of the RTA</w:t>
      </w:r>
      <w:r w:rsidR="00E150B2">
        <w:rPr>
          <w:rFonts w:ascii="Arial" w:hAnsi="Arial" w:cs="Arial"/>
          <w:sz w:val="24"/>
          <w:szCs w:val="24"/>
        </w:rPr>
        <w:t>, such as sections 47</w:t>
      </w:r>
      <w:r w:rsidR="0081233D">
        <w:rPr>
          <w:rFonts w:ascii="Arial" w:hAnsi="Arial" w:cs="Arial"/>
          <w:sz w:val="24"/>
          <w:szCs w:val="24"/>
        </w:rPr>
        <w:t xml:space="preserve"> – </w:t>
      </w:r>
      <w:r w:rsidR="00E150B2">
        <w:rPr>
          <w:rFonts w:ascii="Arial" w:hAnsi="Arial" w:cs="Arial"/>
          <w:sz w:val="24"/>
          <w:szCs w:val="24"/>
        </w:rPr>
        <w:t>49, 49C, 54, 55A</w:t>
      </w:r>
      <w:r w:rsidR="0081233D">
        <w:rPr>
          <w:rFonts w:ascii="Arial" w:hAnsi="Arial" w:cs="Arial"/>
          <w:sz w:val="24"/>
          <w:szCs w:val="24"/>
        </w:rPr>
        <w:t xml:space="preserve"> – </w:t>
      </w:r>
      <w:r w:rsidR="00E150B2">
        <w:rPr>
          <w:rFonts w:ascii="Arial" w:hAnsi="Arial" w:cs="Arial"/>
          <w:sz w:val="24"/>
          <w:szCs w:val="24"/>
        </w:rPr>
        <w:t>55B.</w:t>
      </w:r>
      <w:r w:rsidR="0081233D">
        <w:rPr>
          <w:rFonts w:ascii="Arial" w:hAnsi="Arial" w:cs="Arial"/>
          <w:sz w:val="24"/>
          <w:szCs w:val="24"/>
        </w:rPr>
        <w:t xml:space="preserve"> </w:t>
      </w:r>
    </w:p>
    <w:p w14:paraId="3ECD6DC1" w14:textId="0E225AE6" w:rsidR="00230BB7" w:rsidRPr="00230BB7" w:rsidRDefault="00230BB7" w:rsidP="002A2ECB">
      <w:pPr>
        <w:spacing w:after="240" w:line="240" w:lineRule="auto"/>
        <w:rPr>
          <w:rFonts w:ascii="Arial" w:hAnsi="Arial" w:cs="Arial"/>
          <w:b/>
          <w:sz w:val="24"/>
          <w:szCs w:val="24"/>
        </w:rPr>
      </w:pPr>
      <w:r w:rsidRPr="00230BB7">
        <w:rPr>
          <w:rFonts w:ascii="Arial" w:hAnsi="Arial" w:cs="Arial"/>
          <w:b/>
          <w:sz w:val="24"/>
          <w:szCs w:val="24"/>
        </w:rPr>
        <w:t xml:space="preserve">Clause </w:t>
      </w:r>
      <w:r w:rsidR="003C48C3">
        <w:rPr>
          <w:rFonts w:ascii="Arial" w:hAnsi="Arial" w:cs="Arial"/>
          <w:b/>
          <w:sz w:val="24"/>
          <w:szCs w:val="24"/>
        </w:rPr>
        <w:t>19</w:t>
      </w:r>
      <w:r w:rsidRPr="00230BB7">
        <w:rPr>
          <w:rFonts w:ascii="Arial" w:hAnsi="Arial" w:cs="Arial"/>
          <w:b/>
          <w:sz w:val="24"/>
          <w:szCs w:val="24"/>
        </w:rPr>
        <w:tab/>
      </w:r>
      <w:r w:rsidR="00770D35">
        <w:rPr>
          <w:rFonts w:ascii="Arial" w:hAnsi="Arial" w:cs="Arial"/>
          <w:b/>
          <w:sz w:val="24"/>
          <w:szCs w:val="24"/>
        </w:rPr>
        <w:t xml:space="preserve">Regulation-making power, </w:t>
      </w:r>
      <w:r w:rsidR="00BB0DF4">
        <w:rPr>
          <w:rFonts w:ascii="Arial" w:hAnsi="Arial" w:cs="Arial"/>
          <w:b/>
          <w:sz w:val="24"/>
          <w:szCs w:val="24"/>
        </w:rPr>
        <w:t>New s</w:t>
      </w:r>
      <w:r w:rsidR="00E150B2">
        <w:rPr>
          <w:rFonts w:ascii="Arial" w:hAnsi="Arial" w:cs="Arial"/>
          <w:b/>
          <w:sz w:val="24"/>
          <w:szCs w:val="24"/>
        </w:rPr>
        <w:t>ection 136 (2) (d)</w:t>
      </w:r>
    </w:p>
    <w:p w14:paraId="29398E73" w14:textId="5705D8D5" w:rsidR="00E150B2" w:rsidRDefault="00230BB7" w:rsidP="002A2ECB">
      <w:pPr>
        <w:spacing w:after="240" w:line="240" w:lineRule="auto"/>
        <w:rPr>
          <w:rFonts w:ascii="Arial" w:hAnsi="Arial" w:cs="Arial"/>
          <w:sz w:val="24"/>
          <w:szCs w:val="24"/>
        </w:rPr>
      </w:pPr>
      <w:r>
        <w:rPr>
          <w:rFonts w:ascii="Arial" w:hAnsi="Arial" w:cs="Arial"/>
          <w:sz w:val="24"/>
          <w:szCs w:val="24"/>
        </w:rPr>
        <w:t xml:space="preserve">This clause </w:t>
      </w:r>
      <w:r w:rsidR="001D0C47">
        <w:rPr>
          <w:rFonts w:ascii="Arial" w:hAnsi="Arial" w:cs="Arial"/>
          <w:sz w:val="24"/>
          <w:szCs w:val="24"/>
        </w:rPr>
        <w:t xml:space="preserve">inserts </w:t>
      </w:r>
      <w:r w:rsidR="00E150B2">
        <w:rPr>
          <w:rFonts w:ascii="Arial" w:hAnsi="Arial" w:cs="Arial"/>
          <w:sz w:val="24"/>
          <w:szCs w:val="24"/>
        </w:rPr>
        <w:t>a new power to make minimum standards for premises made available for occupation under a residential tenancy agreement</w:t>
      </w:r>
      <w:r w:rsidR="00001B99">
        <w:rPr>
          <w:rFonts w:ascii="Arial" w:hAnsi="Arial" w:cs="Arial"/>
          <w:sz w:val="24"/>
          <w:szCs w:val="24"/>
        </w:rPr>
        <w:t>.</w:t>
      </w:r>
    </w:p>
    <w:p w14:paraId="50D8E701" w14:textId="49D1E6DA" w:rsidR="00E150B2" w:rsidRDefault="000538C9" w:rsidP="002A2ECB">
      <w:pPr>
        <w:spacing w:after="240" w:line="240" w:lineRule="auto"/>
        <w:rPr>
          <w:rFonts w:ascii="Arial" w:hAnsi="Arial" w:cs="Arial"/>
          <w:sz w:val="24"/>
          <w:szCs w:val="24"/>
        </w:rPr>
      </w:pPr>
      <w:r>
        <w:rPr>
          <w:rFonts w:ascii="Arial" w:hAnsi="Arial" w:cs="Arial"/>
          <w:sz w:val="24"/>
          <w:szCs w:val="24"/>
        </w:rPr>
        <w:t xml:space="preserve">Clause 54 of the Standard Terms </w:t>
      </w:r>
      <w:r w:rsidR="00E150B2" w:rsidRPr="00E150B2">
        <w:rPr>
          <w:rFonts w:ascii="Arial" w:hAnsi="Arial" w:cs="Arial"/>
          <w:sz w:val="24"/>
          <w:szCs w:val="24"/>
        </w:rPr>
        <w:t xml:space="preserve">states that the landlord has responsibility for ensuring that the premises (including furniture, fittings and appliances, unless excluded from the tenancy agreement) are fit for habitation, reasonably clean, in a reasonable state of repair, and reasonably secure. </w:t>
      </w:r>
      <w:r w:rsidR="00E150B2">
        <w:rPr>
          <w:rFonts w:ascii="Arial" w:hAnsi="Arial" w:cs="Arial"/>
          <w:sz w:val="24"/>
          <w:szCs w:val="24"/>
        </w:rPr>
        <w:t xml:space="preserve">Through a regulation, the </w:t>
      </w:r>
      <w:r w:rsidR="00BB0DF4">
        <w:rPr>
          <w:rFonts w:ascii="Arial" w:hAnsi="Arial" w:cs="Arial"/>
          <w:sz w:val="24"/>
          <w:szCs w:val="24"/>
        </w:rPr>
        <w:t>Executive</w:t>
      </w:r>
      <w:r w:rsidR="00E150B2">
        <w:rPr>
          <w:rFonts w:ascii="Arial" w:hAnsi="Arial" w:cs="Arial"/>
          <w:sz w:val="24"/>
          <w:szCs w:val="24"/>
        </w:rPr>
        <w:t xml:space="preserve"> will be able to prescribe minimum standards which detail these requirements.</w:t>
      </w:r>
    </w:p>
    <w:p w14:paraId="64759695" w14:textId="1857B32E" w:rsidR="00DD5F2B" w:rsidRPr="00DD5F2B" w:rsidRDefault="004A1C17" w:rsidP="00DD5F2B">
      <w:pPr>
        <w:spacing w:after="240" w:line="240" w:lineRule="auto"/>
        <w:rPr>
          <w:rFonts w:ascii="Arial" w:hAnsi="Arial" w:cs="Arial"/>
          <w:sz w:val="24"/>
          <w:szCs w:val="24"/>
        </w:rPr>
      </w:pPr>
      <w:r>
        <w:rPr>
          <w:rFonts w:ascii="Arial" w:hAnsi="Arial" w:cs="Arial"/>
          <w:sz w:val="24"/>
          <w:szCs w:val="24"/>
        </w:rPr>
        <w:t xml:space="preserve">The new section 136 (2) (d) </w:t>
      </w:r>
      <w:r w:rsidR="00FD4287" w:rsidRPr="00FD4287">
        <w:rPr>
          <w:rFonts w:ascii="Arial" w:hAnsi="Arial" w:cs="Arial"/>
          <w:sz w:val="24"/>
          <w:szCs w:val="24"/>
        </w:rPr>
        <w:t>provide</w:t>
      </w:r>
      <w:r>
        <w:rPr>
          <w:rFonts w:ascii="Arial" w:hAnsi="Arial" w:cs="Arial"/>
          <w:sz w:val="24"/>
          <w:szCs w:val="24"/>
        </w:rPr>
        <w:t>s</w:t>
      </w:r>
      <w:r w:rsidR="00FD4287" w:rsidRPr="00FD4287">
        <w:rPr>
          <w:rFonts w:ascii="Arial" w:hAnsi="Arial" w:cs="Arial"/>
          <w:sz w:val="24"/>
          <w:szCs w:val="24"/>
        </w:rPr>
        <w:t xml:space="preserve"> a mechanism for the </w:t>
      </w:r>
      <w:r w:rsidR="00FD4287">
        <w:rPr>
          <w:rFonts w:ascii="Arial" w:hAnsi="Arial" w:cs="Arial"/>
          <w:sz w:val="24"/>
          <w:szCs w:val="24"/>
        </w:rPr>
        <w:t>Executive</w:t>
      </w:r>
      <w:r w:rsidR="00FD4287" w:rsidRPr="00FD4287">
        <w:rPr>
          <w:rFonts w:ascii="Arial" w:hAnsi="Arial" w:cs="Arial"/>
          <w:sz w:val="24"/>
          <w:szCs w:val="24"/>
        </w:rPr>
        <w:t xml:space="preserve"> to respond to changes in the rental market more quickly than setting </w:t>
      </w:r>
      <w:r w:rsidR="00FD4287">
        <w:rPr>
          <w:rFonts w:ascii="Arial" w:hAnsi="Arial" w:cs="Arial"/>
          <w:sz w:val="24"/>
          <w:szCs w:val="24"/>
        </w:rPr>
        <w:t>standards in the</w:t>
      </w:r>
      <w:r w:rsidR="00FD4287" w:rsidRPr="00FD4287">
        <w:rPr>
          <w:rFonts w:ascii="Arial" w:hAnsi="Arial" w:cs="Arial"/>
          <w:sz w:val="24"/>
          <w:szCs w:val="24"/>
        </w:rPr>
        <w:t xml:space="preserve"> </w:t>
      </w:r>
      <w:r w:rsidR="00FD4287">
        <w:rPr>
          <w:rFonts w:ascii="Arial" w:hAnsi="Arial" w:cs="Arial"/>
          <w:sz w:val="24"/>
          <w:szCs w:val="24"/>
        </w:rPr>
        <w:t>RTA</w:t>
      </w:r>
      <w:r w:rsidR="00FD4287" w:rsidRPr="00FD4287">
        <w:rPr>
          <w:rFonts w:ascii="Arial" w:hAnsi="Arial" w:cs="Arial"/>
          <w:sz w:val="24"/>
          <w:szCs w:val="24"/>
        </w:rPr>
        <w:t>.</w:t>
      </w:r>
      <w:r w:rsidR="00FD4287">
        <w:rPr>
          <w:rFonts w:ascii="Arial" w:hAnsi="Arial" w:cs="Arial"/>
          <w:sz w:val="24"/>
          <w:szCs w:val="24"/>
        </w:rPr>
        <w:t xml:space="preserve"> Some of the minimum standards are likely to be extremely technical (for example, those related to sanitation) or </w:t>
      </w:r>
      <w:r>
        <w:rPr>
          <w:rFonts w:ascii="Arial" w:hAnsi="Arial" w:cs="Arial"/>
          <w:sz w:val="24"/>
          <w:szCs w:val="24"/>
        </w:rPr>
        <w:t xml:space="preserve">will apply, adopt, or incorporate </w:t>
      </w:r>
      <w:r w:rsidRPr="004A1C17">
        <w:rPr>
          <w:rFonts w:ascii="Arial" w:hAnsi="Arial" w:cs="Arial"/>
          <w:sz w:val="24"/>
          <w:szCs w:val="24"/>
        </w:rPr>
        <w:t>a law or instrument as in force from time to time</w:t>
      </w:r>
      <w:r w:rsidR="00FD4287">
        <w:rPr>
          <w:rFonts w:ascii="Arial" w:hAnsi="Arial" w:cs="Arial"/>
          <w:sz w:val="24"/>
          <w:szCs w:val="24"/>
        </w:rPr>
        <w:t>,</w:t>
      </w:r>
      <w:r>
        <w:rPr>
          <w:rStyle w:val="FootnoteReference"/>
          <w:rFonts w:ascii="Arial" w:hAnsi="Arial"/>
          <w:sz w:val="24"/>
          <w:szCs w:val="24"/>
        </w:rPr>
        <w:footnoteReference w:id="11"/>
      </w:r>
      <w:r w:rsidR="00FD4287">
        <w:rPr>
          <w:rFonts w:ascii="Arial" w:hAnsi="Arial" w:cs="Arial"/>
          <w:sz w:val="24"/>
          <w:szCs w:val="24"/>
        </w:rPr>
        <w:t xml:space="preserve"> as is the case with other property laws. </w:t>
      </w:r>
      <w:r w:rsidR="0081233D">
        <w:rPr>
          <w:rFonts w:ascii="Arial" w:hAnsi="Arial" w:cs="Arial"/>
          <w:sz w:val="24"/>
          <w:szCs w:val="24"/>
        </w:rPr>
        <w:t>T</w:t>
      </w:r>
      <w:r w:rsidR="00FD4287">
        <w:rPr>
          <w:rFonts w:ascii="Arial" w:hAnsi="Arial" w:cs="Arial"/>
          <w:sz w:val="24"/>
          <w:szCs w:val="24"/>
        </w:rPr>
        <w:t>hese matters are best addressed in regulations.</w:t>
      </w:r>
      <w:r>
        <w:rPr>
          <w:rStyle w:val="FootnoteReference"/>
          <w:rFonts w:ascii="Arial" w:hAnsi="Arial"/>
          <w:sz w:val="24"/>
          <w:szCs w:val="24"/>
        </w:rPr>
        <w:footnoteReference w:id="12"/>
      </w:r>
      <w:r w:rsidR="00DC637A">
        <w:rPr>
          <w:rFonts w:ascii="Arial" w:hAnsi="Arial" w:cs="Arial"/>
          <w:sz w:val="24"/>
          <w:szCs w:val="24"/>
        </w:rPr>
        <w:t xml:space="preserve"> </w:t>
      </w:r>
      <w:r w:rsidR="00DD5F2B" w:rsidRPr="00DD5F2B">
        <w:rPr>
          <w:rFonts w:ascii="Arial" w:hAnsi="Arial" w:cs="Arial"/>
          <w:sz w:val="24"/>
          <w:szCs w:val="24"/>
        </w:rPr>
        <w:t xml:space="preserve">As some of these </w:t>
      </w:r>
      <w:r w:rsidR="00DD5F2B">
        <w:rPr>
          <w:rFonts w:ascii="Arial" w:hAnsi="Arial" w:cs="Arial"/>
          <w:sz w:val="24"/>
          <w:szCs w:val="24"/>
        </w:rPr>
        <w:t>instruments</w:t>
      </w:r>
      <w:r w:rsidR="00DD5F2B" w:rsidRPr="00DD5F2B">
        <w:rPr>
          <w:rFonts w:ascii="Arial" w:hAnsi="Arial" w:cs="Arial"/>
          <w:sz w:val="24"/>
          <w:szCs w:val="24"/>
        </w:rPr>
        <w:t xml:space="preserve"> might not be appropriate for publication on the notification register (such as the Australian Standards), the requirements to notify the incorporated instruments under section 47(5) and (6) of the </w:t>
      </w:r>
      <w:r w:rsidR="00DD5F2B" w:rsidRPr="00DD5F2B">
        <w:rPr>
          <w:rFonts w:ascii="Arial" w:hAnsi="Arial" w:cs="Arial"/>
          <w:i/>
          <w:iCs/>
          <w:sz w:val="24"/>
          <w:szCs w:val="24"/>
        </w:rPr>
        <w:t>Legislation Act 2001</w:t>
      </w:r>
      <w:r w:rsidR="00DD5F2B" w:rsidRPr="00DD5F2B">
        <w:rPr>
          <w:rFonts w:ascii="Arial" w:hAnsi="Arial" w:cs="Arial"/>
          <w:sz w:val="24"/>
          <w:szCs w:val="24"/>
        </w:rPr>
        <w:t xml:space="preserve"> do not apply</w:t>
      </w:r>
    </w:p>
    <w:p w14:paraId="61540C7A" w14:textId="5BC6B226" w:rsidR="00FD4287" w:rsidRPr="00FD4287" w:rsidRDefault="00FD4287" w:rsidP="00FD4287">
      <w:pPr>
        <w:spacing w:after="240" w:line="240" w:lineRule="auto"/>
        <w:rPr>
          <w:rFonts w:ascii="Arial" w:hAnsi="Arial" w:cs="Arial"/>
          <w:sz w:val="24"/>
          <w:szCs w:val="24"/>
        </w:rPr>
      </w:pPr>
      <w:r w:rsidRPr="00FD4287">
        <w:rPr>
          <w:rFonts w:ascii="Arial" w:hAnsi="Arial" w:cs="Arial"/>
          <w:sz w:val="24"/>
          <w:szCs w:val="24"/>
        </w:rPr>
        <w:t xml:space="preserve">It is important to have a mechanism where </w:t>
      </w:r>
      <w:r>
        <w:rPr>
          <w:rFonts w:ascii="Arial" w:hAnsi="Arial" w:cs="Arial"/>
          <w:sz w:val="24"/>
          <w:szCs w:val="24"/>
        </w:rPr>
        <w:t>minimum standards</w:t>
      </w:r>
      <w:r w:rsidRPr="00FD4287">
        <w:rPr>
          <w:rFonts w:ascii="Arial" w:hAnsi="Arial" w:cs="Arial"/>
          <w:sz w:val="24"/>
          <w:szCs w:val="24"/>
        </w:rPr>
        <w:t xml:space="preserve"> can be made </w:t>
      </w:r>
      <w:r w:rsidR="00DC637A">
        <w:rPr>
          <w:rFonts w:ascii="Arial" w:hAnsi="Arial" w:cs="Arial"/>
          <w:sz w:val="24"/>
          <w:szCs w:val="24"/>
        </w:rPr>
        <w:t>and adapted through the incorporation of technical instruments</w:t>
      </w:r>
      <w:r w:rsidRPr="00FD4287">
        <w:rPr>
          <w:rFonts w:ascii="Arial" w:hAnsi="Arial" w:cs="Arial"/>
          <w:sz w:val="24"/>
          <w:szCs w:val="24"/>
        </w:rPr>
        <w:t xml:space="preserve">, while still maintaining </w:t>
      </w:r>
      <w:r w:rsidRPr="00FD4287">
        <w:rPr>
          <w:rFonts w:ascii="Arial" w:hAnsi="Arial" w:cs="Arial"/>
          <w:sz w:val="24"/>
          <w:szCs w:val="24"/>
        </w:rPr>
        <w:lastRenderedPageBreak/>
        <w:t xml:space="preserve">vital Legislative Assembly scrutiny. It is open for the Assembly to disallow any regulations made under the regulation-making power. The </w:t>
      </w:r>
      <w:r w:rsidR="00DC637A">
        <w:rPr>
          <w:rFonts w:ascii="Arial" w:hAnsi="Arial" w:cs="Arial"/>
          <w:sz w:val="24"/>
          <w:szCs w:val="24"/>
        </w:rPr>
        <w:t>Standing Committee on Justice and Community Safety in its legislative scrutiny role</w:t>
      </w:r>
      <w:r w:rsidRPr="00FD4287">
        <w:rPr>
          <w:rFonts w:ascii="Arial" w:hAnsi="Arial" w:cs="Arial"/>
          <w:sz w:val="24"/>
          <w:szCs w:val="24"/>
        </w:rPr>
        <w:t xml:space="preserve"> would also review these regulations. </w:t>
      </w:r>
    </w:p>
    <w:p w14:paraId="665FDED0" w14:textId="49A7D788" w:rsidR="00E150B2" w:rsidRDefault="00E150B2" w:rsidP="002A2ECB">
      <w:pPr>
        <w:spacing w:after="240" w:line="240" w:lineRule="auto"/>
        <w:rPr>
          <w:rFonts w:ascii="Arial" w:hAnsi="Arial" w:cs="Arial"/>
          <w:sz w:val="24"/>
          <w:szCs w:val="24"/>
        </w:rPr>
      </w:pPr>
      <w:r w:rsidRPr="00E150B2">
        <w:rPr>
          <w:rFonts w:ascii="Arial" w:hAnsi="Arial" w:cs="Arial"/>
          <w:sz w:val="24"/>
          <w:szCs w:val="24"/>
        </w:rPr>
        <w:t xml:space="preserve">The minimum standards would need to be compatible with human rights and are expected to promote the right to privacy and home (section 12, </w:t>
      </w:r>
      <w:r w:rsidR="00FE1A3F" w:rsidRPr="00FE1A3F">
        <w:rPr>
          <w:rFonts w:ascii="Arial" w:hAnsi="Arial" w:cs="Arial"/>
          <w:sz w:val="24"/>
          <w:szCs w:val="24"/>
        </w:rPr>
        <w:t>HRA</w:t>
      </w:r>
      <w:r w:rsidRPr="00E150B2">
        <w:rPr>
          <w:rFonts w:ascii="Arial" w:hAnsi="Arial" w:cs="Arial"/>
          <w:sz w:val="24"/>
          <w:szCs w:val="24"/>
        </w:rPr>
        <w:t>).</w:t>
      </w:r>
    </w:p>
    <w:p w14:paraId="3896C47B" w14:textId="7236E345" w:rsidR="00230BB7" w:rsidRPr="00FA7D56" w:rsidRDefault="00490312" w:rsidP="00DC637A">
      <w:pPr>
        <w:keepNext/>
        <w:spacing w:after="240" w:line="240" w:lineRule="auto"/>
        <w:rPr>
          <w:rFonts w:ascii="Arial" w:hAnsi="Arial" w:cs="Arial"/>
          <w:b/>
          <w:sz w:val="24"/>
          <w:szCs w:val="24"/>
        </w:rPr>
      </w:pPr>
      <w:r w:rsidRPr="00FA7D56">
        <w:rPr>
          <w:rFonts w:ascii="Arial" w:hAnsi="Arial" w:cs="Arial"/>
          <w:b/>
          <w:sz w:val="24"/>
          <w:szCs w:val="24"/>
        </w:rPr>
        <w:t xml:space="preserve">Clause </w:t>
      </w:r>
      <w:r w:rsidR="0020201C">
        <w:rPr>
          <w:rFonts w:ascii="Arial" w:hAnsi="Arial" w:cs="Arial"/>
          <w:b/>
          <w:sz w:val="24"/>
          <w:szCs w:val="24"/>
        </w:rPr>
        <w:t>2</w:t>
      </w:r>
      <w:r w:rsidR="003C48C3">
        <w:rPr>
          <w:rFonts w:ascii="Arial" w:hAnsi="Arial" w:cs="Arial"/>
          <w:b/>
          <w:sz w:val="24"/>
          <w:szCs w:val="24"/>
        </w:rPr>
        <w:t>0</w:t>
      </w:r>
      <w:r w:rsidRPr="00FA7D56">
        <w:rPr>
          <w:rFonts w:ascii="Arial" w:hAnsi="Arial" w:cs="Arial"/>
          <w:b/>
          <w:sz w:val="24"/>
          <w:szCs w:val="24"/>
        </w:rPr>
        <w:tab/>
      </w:r>
      <w:r w:rsidR="00BB0DF4">
        <w:rPr>
          <w:rFonts w:ascii="Arial" w:hAnsi="Arial" w:cs="Arial"/>
          <w:b/>
          <w:sz w:val="24"/>
          <w:szCs w:val="24"/>
        </w:rPr>
        <w:t xml:space="preserve">Standard residential tenancy terms, </w:t>
      </w:r>
      <w:r w:rsidR="00E150B2">
        <w:rPr>
          <w:rFonts w:ascii="Arial" w:hAnsi="Arial" w:cs="Arial"/>
          <w:b/>
          <w:sz w:val="24"/>
          <w:szCs w:val="24"/>
        </w:rPr>
        <w:t>Schedule 1, clause 28</w:t>
      </w:r>
    </w:p>
    <w:p w14:paraId="5787066B" w14:textId="6830FA06" w:rsidR="007D388E" w:rsidRDefault="00FA7D56" w:rsidP="002A2ECB">
      <w:pPr>
        <w:spacing w:after="240" w:line="240" w:lineRule="auto"/>
        <w:rPr>
          <w:rFonts w:ascii="Arial" w:hAnsi="Arial" w:cs="Arial"/>
          <w:sz w:val="24"/>
          <w:szCs w:val="24"/>
        </w:rPr>
      </w:pPr>
      <w:r>
        <w:rPr>
          <w:rFonts w:ascii="Arial" w:hAnsi="Arial" w:cs="Arial"/>
          <w:sz w:val="24"/>
          <w:szCs w:val="24"/>
        </w:rPr>
        <w:t xml:space="preserve">This clause </w:t>
      </w:r>
      <w:r w:rsidR="00E150B2">
        <w:rPr>
          <w:rFonts w:ascii="Arial" w:hAnsi="Arial" w:cs="Arial"/>
          <w:sz w:val="24"/>
          <w:szCs w:val="24"/>
        </w:rPr>
        <w:t xml:space="preserve">reduces the </w:t>
      </w:r>
      <w:r w:rsidR="00743A58">
        <w:rPr>
          <w:rFonts w:ascii="Arial" w:hAnsi="Arial" w:cs="Arial"/>
          <w:sz w:val="24"/>
          <w:szCs w:val="24"/>
        </w:rPr>
        <w:t xml:space="preserve">maximum amount that the </w:t>
      </w:r>
      <w:r w:rsidR="004179AD">
        <w:rPr>
          <w:rFonts w:ascii="Arial" w:hAnsi="Arial" w:cs="Arial"/>
          <w:sz w:val="24"/>
          <w:szCs w:val="24"/>
        </w:rPr>
        <w:t>landlord</w:t>
      </w:r>
      <w:r w:rsidR="00743A58">
        <w:rPr>
          <w:rFonts w:ascii="Arial" w:hAnsi="Arial" w:cs="Arial"/>
          <w:sz w:val="24"/>
          <w:szCs w:val="24"/>
        </w:rPr>
        <w:t xml:space="preserve"> may require for rent paid in advance to two weeks</w:t>
      </w:r>
      <w:r w:rsidR="0020201C">
        <w:rPr>
          <w:rFonts w:ascii="Arial" w:hAnsi="Arial" w:cs="Arial"/>
          <w:sz w:val="24"/>
          <w:szCs w:val="24"/>
        </w:rPr>
        <w:t>.</w:t>
      </w:r>
      <w:r w:rsidR="00743A58">
        <w:rPr>
          <w:rFonts w:ascii="Arial" w:hAnsi="Arial" w:cs="Arial"/>
          <w:sz w:val="24"/>
          <w:szCs w:val="24"/>
        </w:rPr>
        <w:t xml:space="preserve"> </w:t>
      </w:r>
      <w:r w:rsidR="00DD5F2B">
        <w:rPr>
          <w:rFonts w:ascii="Arial" w:hAnsi="Arial" w:cs="Arial"/>
          <w:sz w:val="24"/>
          <w:szCs w:val="24"/>
        </w:rPr>
        <w:t>Although</w:t>
      </w:r>
      <w:r w:rsidR="00743A58">
        <w:rPr>
          <w:rFonts w:ascii="Arial" w:hAnsi="Arial" w:cs="Arial"/>
          <w:sz w:val="24"/>
          <w:szCs w:val="24"/>
        </w:rPr>
        <w:t xml:space="preserve"> a </w:t>
      </w:r>
      <w:r w:rsidR="004179AD">
        <w:rPr>
          <w:rFonts w:ascii="Arial" w:hAnsi="Arial" w:cs="Arial"/>
          <w:sz w:val="24"/>
          <w:szCs w:val="24"/>
        </w:rPr>
        <w:t>landlord</w:t>
      </w:r>
      <w:r w:rsidR="00743A58">
        <w:rPr>
          <w:rFonts w:ascii="Arial" w:hAnsi="Arial" w:cs="Arial"/>
          <w:sz w:val="24"/>
          <w:szCs w:val="24"/>
        </w:rPr>
        <w:t xml:space="preserve"> must not require a greater amount</w:t>
      </w:r>
      <w:r w:rsidR="002B6965">
        <w:rPr>
          <w:rFonts w:ascii="Arial" w:hAnsi="Arial" w:cs="Arial"/>
          <w:sz w:val="24"/>
          <w:szCs w:val="24"/>
        </w:rPr>
        <w:t xml:space="preserve"> than two weeks in advance</w:t>
      </w:r>
      <w:r w:rsidR="00743A58">
        <w:rPr>
          <w:rFonts w:ascii="Arial" w:hAnsi="Arial" w:cs="Arial"/>
          <w:sz w:val="24"/>
          <w:szCs w:val="24"/>
        </w:rPr>
        <w:t>, the clause clarifies that a tenant may nominate a greater period.</w:t>
      </w:r>
      <w:r w:rsidR="0020201C">
        <w:rPr>
          <w:rFonts w:ascii="Arial" w:hAnsi="Arial" w:cs="Arial"/>
          <w:sz w:val="24"/>
          <w:szCs w:val="24"/>
        </w:rPr>
        <w:t xml:space="preserve"> </w:t>
      </w:r>
      <w:r w:rsidR="00743A58">
        <w:rPr>
          <w:rFonts w:ascii="Arial" w:hAnsi="Arial" w:cs="Arial"/>
          <w:sz w:val="24"/>
          <w:szCs w:val="24"/>
        </w:rPr>
        <w:t xml:space="preserve">For example, a tenant </w:t>
      </w:r>
      <w:r w:rsidR="002B6965">
        <w:rPr>
          <w:rFonts w:ascii="Arial" w:hAnsi="Arial" w:cs="Arial"/>
          <w:sz w:val="24"/>
          <w:szCs w:val="24"/>
        </w:rPr>
        <w:t>may</w:t>
      </w:r>
      <w:r w:rsidR="00743A58">
        <w:rPr>
          <w:rFonts w:ascii="Arial" w:hAnsi="Arial" w:cs="Arial"/>
          <w:sz w:val="24"/>
          <w:szCs w:val="24"/>
        </w:rPr>
        <w:t xml:space="preserve"> wish to nominate a greater period if they are paid monthly.</w:t>
      </w:r>
    </w:p>
    <w:p w14:paraId="392DB995" w14:textId="6568DA1C" w:rsidR="00743A58" w:rsidRDefault="00743A58" w:rsidP="002A2ECB">
      <w:pPr>
        <w:spacing w:after="240" w:line="240" w:lineRule="auto"/>
        <w:rPr>
          <w:rFonts w:ascii="Arial" w:hAnsi="Arial" w:cs="Arial"/>
          <w:sz w:val="24"/>
          <w:szCs w:val="24"/>
        </w:rPr>
      </w:pPr>
      <w:r>
        <w:rPr>
          <w:rFonts w:ascii="Arial" w:hAnsi="Arial" w:cs="Arial"/>
          <w:sz w:val="24"/>
          <w:szCs w:val="24"/>
        </w:rPr>
        <w:t xml:space="preserve">This clause does not affect the calculation of the bond under section 20 of the </w:t>
      </w:r>
      <w:r w:rsidR="00DC637A">
        <w:rPr>
          <w:rFonts w:ascii="Arial" w:hAnsi="Arial" w:cs="Arial"/>
          <w:sz w:val="24"/>
          <w:szCs w:val="24"/>
        </w:rPr>
        <w:t>RTA</w:t>
      </w:r>
      <w:r>
        <w:rPr>
          <w:rFonts w:ascii="Arial" w:hAnsi="Arial" w:cs="Arial"/>
          <w:sz w:val="24"/>
          <w:szCs w:val="24"/>
        </w:rPr>
        <w:t>.</w:t>
      </w:r>
    </w:p>
    <w:p w14:paraId="65811D05" w14:textId="63007B0B" w:rsidR="00FA7D56" w:rsidRPr="00FA7D56" w:rsidRDefault="00FA7D56" w:rsidP="002A2ECB">
      <w:pPr>
        <w:spacing w:after="240" w:line="240" w:lineRule="auto"/>
        <w:rPr>
          <w:rFonts w:ascii="Arial" w:hAnsi="Arial" w:cs="Arial"/>
          <w:b/>
          <w:sz w:val="24"/>
          <w:szCs w:val="24"/>
        </w:rPr>
      </w:pPr>
      <w:r w:rsidRPr="00FA7D56">
        <w:rPr>
          <w:rFonts w:ascii="Arial" w:hAnsi="Arial" w:cs="Arial"/>
          <w:b/>
          <w:sz w:val="24"/>
          <w:szCs w:val="24"/>
        </w:rPr>
        <w:t xml:space="preserve">Clause </w:t>
      </w:r>
      <w:r w:rsidR="0020201C">
        <w:rPr>
          <w:rFonts w:ascii="Arial" w:hAnsi="Arial" w:cs="Arial"/>
          <w:b/>
          <w:sz w:val="24"/>
          <w:szCs w:val="24"/>
        </w:rPr>
        <w:t>2</w:t>
      </w:r>
      <w:r w:rsidR="003C48C3">
        <w:rPr>
          <w:rFonts w:ascii="Arial" w:hAnsi="Arial" w:cs="Arial"/>
          <w:b/>
          <w:sz w:val="24"/>
          <w:szCs w:val="24"/>
        </w:rPr>
        <w:t>1</w:t>
      </w:r>
      <w:r w:rsidRPr="00FA7D56">
        <w:rPr>
          <w:rFonts w:ascii="Arial" w:hAnsi="Arial" w:cs="Arial"/>
          <w:b/>
          <w:sz w:val="24"/>
          <w:szCs w:val="24"/>
        </w:rPr>
        <w:tab/>
      </w:r>
      <w:r w:rsidR="00743A58">
        <w:rPr>
          <w:rFonts w:ascii="Arial" w:hAnsi="Arial" w:cs="Arial"/>
          <w:b/>
          <w:sz w:val="24"/>
          <w:szCs w:val="24"/>
        </w:rPr>
        <w:t>Schedule 1, clause 60 (j)</w:t>
      </w:r>
    </w:p>
    <w:p w14:paraId="1E414D1B" w14:textId="33E3A395" w:rsidR="00FA7D56" w:rsidRDefault="00FA7D56" w:rsidP="002A2ECB">
      <w:pPr>
        <w:spacing w:after="240" w:line="240" w:lineRule="auto"/>
        <w:rPr>
          <w:rFonts w:ascii="Arial" w:hAnsi="Arial" w:cs="Arial"/>
          <w:sz w:val="24"/>
          <w:szCs w:val="24"/>
        </w:rPr>
      </w:pPr>
      <w:r>
        <w:rPr>
          <w:rFonts w:ascii="Arial" w:hAnsi="Arial" w:cs="Arial"/>
          <w:sz w:val="24"/>
          <w:szCs w:val="24"/>
        </w:rPr>
        <w:t xml:space="preserve">This clause </w:t>
      </w:r>
      <w:r w:rsidR="00743A58">
        <w:rPr>
          <w:rFonts w:ascii="Arial" w:hAnsi="Arial" w:cs="Arial"/>
          <w:sz w:val="24"/>
          <w:szCs w:val="24"/>
        </w:rPr>
        <w:t>includes ‘cooling’ in the list of urgent repairs</w:t>
      </w:r>
      <w:r w:rsidR="00C858D8" w:rsidRPr="00C858D8">
        <w:rPr>
          <w:rFonts w:ascii="Arial" w:hAnsi="Arial" w:cs="Arial"/>
          <w:sz w:val="24"/>
          <w:szCs w:val="24"/>
        </w:rPr>
        <w:t>.</w:t>
      </w:r>
      <w:r w:rsidR="00743A58">
        <w:rPr>
          <w:rFonts w:ascii="Arial" w:hAnsi="Arial" w:cs="Arial"/>
          <w:sz w:val="24"/>
          <w:szCs w:val="24"/>
        </w:rPr>
        <w:t xml:space="preserve"> The failure or breakdown of any service on the premises essential for hot water, cooking, heating, or laundering has been considered an urgent repair under the </w:t>
      </w:r>
      <w:r w:rsidR="00DC637A">
        <w:rPr>
          <w:rFonts w:ascii="Arial" w:hAnsi="Arial" w:cs="Arial"/>
          <w:sz w:val="24"/>
          <w:szCs w:val="24"/>
        </w:rPr>
        <w:t>RTA</w:t>
      </w:r>
      <w:r w:rsidR="00743A58">
        <w:rPr>
          <w:rFonts w:ascii="Arial" w:hAnsi="Arial" w:cs="Arial"/>
          <w:sz w:val="24"/>
          <w:szCs w:val="24"/>
        </w:rPr>
        <w:t xml:space="preserve"> since it was first passed in 1997. Under the </w:t>
      </w:r>
      <w:r w:rsidR="00DC637A">
        <w:rPr>
          <w:rFonts w:ascii="Arial" w:hAnsi="Arial" w:cs="Arial"/>
          <w:sz w:val="24"/>
          <w:szCs w:val="24"/>
        </w:rPr>
        <w:t>RTA</w:t>
      </w:r>
      <w:r w:rsidR="00743A58">
        <w:rPr>
          <w:rFonts w:ascii="Arial" w:hAnsi="Arial" w:cs="Arial"/>
          <w:sz w:val="24"/>
          <w:szCs w:val="24"/>
        </w:rPr>
        <w:t xml:space="preserve">, a landlord must attend to urgent repairs as soon as necessary having regard to the nature of the problem. </w:t>
      </w:r>
    </w:p>
    <w:p w14:paraId="33DB571A" w14:textId="429E696A" w:rsidR="00743A58" w:rsidRDefault="00743A58" w:rsidP="002A2ECB">
      <w:pPr>
        <w:spacing w:after="240" w:line="240" w:lineRule="auto"/>
        <w:rPr>
          <w:rFonts w:ascii="Arial" w:hAnsi="Arial" w:cs="Arial"/>
          <w:sz w:val="24"/>
          <w:szCs w:val="24"/>
        </w:rPr>
      </w:pPr>
      <w:r>
        <w:rPr>
          <w:rFonts w:ascii="Arial" w:hAnsi="Arial" w:cs="Arial"/>
          <w:sz w:val="24"/>
          <w:szCs w:val="24"/>
        </w:rPr>
        <w:t xml:space="preserve">This clause does not create a </w:t>
      </w:r>
      <w:r w:rsidR="003F293F">
        <w:rPr>
          <w:rFonts w:ascii="Arial" w:hAnsi="Arial" w:cs="Arial"/>
          <w:sz w:val="24"/>
          <w:szCs w:val="24"/>
        </w:rPr>
        <w:t xml:space="preserve">new </w:t>
      </w:r>
      <w:r>
        <w:rPr>
          <w:rFonts w:ascii="Arial" w:hAnsi="Arial" w:cs="Arial"/>
          <w:sz w:val="24"/>
          <w:szCs w:val="24"/>
        </w:rPr>
        <w:t xml:space="preserve">requirement for landlords to install air-conditioning units in properties. </w:t>
      </w:r>
    </w:p>
    <w:p w14:paraId="63025AE0" w14:textId="74FB8EED" w:rsidR="00FA7D56" w:rsidRPr="00FA7D56" w:rsidRDefault="00FA7D56" w:rsidP="002A2ECB">
      <w:pPr>
        <w:spacing w:after="240" w:line="240" w:lineRule="auto"/>
        <w:rPr>
          <w:rFonts w:ascii="Arial" w:hAnsi="Arial" w:cs="Arial"/>
          <w:b/>
          <w:sz w:val="24"/>
          <w:szCs w:val="24"/>
        </w:rPr>
      </w:pPr>
      <w:r w:rsidRPr="00FA7D56">
        <w:rPr>
          <w:rFonts w:ascii="Arial" w:hAnsi="Arial" w:cs="Arial"/>
          <w:b/>
          <w:sz w:val="24"/>
          <w:szCs w:val="24"/>
        </w:rPr>
        <w:t xml:space="preserve">Clause </w:t>
      </w:r>
      <w:r w:rsidR="0020201C">
        <w:rPr>
          <w:rFonts w:ascii="Arial" w:hAnsi="Arial" w:cs="Arial"/>
          <w:b/>
          <w:sz w:val="24"/>
          <w:szCs w:val="24"/>
        </w:rPr>
        <w:t>2</w:t>
      </w:r>
      <w:r w:rsidR="003C48C3">
        <w:rPr>
          <w:rFonts w:ascii="Arial" w:hAnsi="Arial" w:cs="Arial"/>
          <w:b/>
          <w:sz w:val="24"/>
          <w:szCs w:val="24"/>
        </w:rPr>
        <w:t>2</w:t>
      </w:r>
      <w:r w:rsidRPr="00FA7D56">
        <w:rPr>
          <w:rFonts w:ascii="Arial" w:hAnsi="Arial" w:cs="Arial"/>
          <w:b/>
          <w:sz w:val="24"/>
          <w:szCs w:val="24"/>
        </w:rPr>
        <w:tab/>
      </w:r>
      <w:r w:rsidR="009D3BAD">
        <w:rPr>
          <w:rFonts w:ascii="Arial" w:hAnsi="Arial" w:cs="Arial"/>
          <w:b/>
          <w:sz w:val="24"/>
          <w:szCs w:val="24"/>
        </w:rPr>
        <w:t>Schedule 1, clause 70 (a)</w:t>
      </w:r>
    </w:p>
    <w:p w14:paraId="006A8239" w14:textId="2D7EFBA5" w:rsidR="00FA7D56" w:rsidRDefault="00FA7D56" w:rsidP="002A2ECB">
      <w:pPr>
        <w:spacing w:after="240" w:line="240" w:lineRule="auto"/>
        <w:rPr>
          <w:rFonts w:ascii="Arial" w:hAnsi="Arial" w:cs="Arial"/>
          <w:sz w:val="24"/>
          <w:szCs w:val="24"/>
        </w:rPr>
      </w:pPr>
      <w:r>
        <w:rPr>
          <w:rFonts w:ascii="Arial" w:hAnsi="Arial" w:cs="Arial"/>
          <w:sz w:val="24"/>
          <w:szCs w:val="24"/>
        </w:rPr>
        <w:t xml:space="preserve">This clause </w:t>
      </w:r>
      <w:r w:rsidR="009D3BAD">
        <w:rPr>
          <w:rFonts w:ascii="Arial" w:hAnsi="Arial" w:cs="Arial"/>
          <w:sz w:val="24"/>
          <w:szCs w:val="24"/>
        </w:rPr>
        <w:t>is consequent</w:t>
      </w:r>
      <w:r w:rsidR="00BB0DF4">
        <w:rPr>
          <w:rFonts w:ascii="Arial" w:hAnsi="Arial" w:cs="Arial"/>
          <w:sz w:val="24"/>
          <w:szCs w:val="24"/>
        </w:rPr>
        <w:t>ial</w:t>
      </w:r>
      <w:r w:rsidR="009D3BAD">
        <w:rPr>
          <w:rFonts w:ascii="Arial" w:hAnsi="Arial" w:cs="Arial"/>
          <w:sz w:val="24"/>
          <w:szCs w:val="24"/>
        </w:rPr>
        <w:t xml:space="preserve"> upon clause 6 above</w:t>
      </w:r>
      <w:r w:rsidR="002C3B42" w:rsidRPr="00C858D8">
        <w:rPr>
          <w:rFonts w:ascii="Arial" w:hAnsi="Arial" w:cs="Arial"/>
          <w:sz w:val="24"/>
          <w:szCs w:val="24"/>
        </w:rPr>
        <w:t>.</w:t>
      </w:r>
      <w:r w:rsidR="009D3BAD">
        <w:rPr>
          <w:rFonts w:ascii="Arial" w:hAnsi="Arial" w:cs="Arial"/>
          <w:sz w:val="24"/>
          <w:szCs w:val="24"/>
        </w:rPr>
        <w:t xml:space="preserve"> This clause removes the requirement for a landlord to demonstrate a detriment to their interest when seeking to terminate a tenancy for illegal use.</w:t>
      </w:r>
    </w:p>
    <w:p w14:paraId="3ECB785B" w14:textId="029381B7" w:rsidR="009D3BAD" w:rsidRDefault="009D3BAD" w:rsidP="002A2ECB">
      <w:pPr>
        <w:spacing w:after="240" w:line="240" w:lineRule="auto"/>
        <w:rPr>
          <w:rFonts w:ascii="Arial" w:hAnsi="Arial" w:cs="Arial"/>
          <w:sz w:val="24"/>
          <w:szCs w:val="24"/>
        </w:rPr>
      </w:pPr>
      <w:r>
        <w:rPr>
          <w:rFonts w:ascii="Arial" w:hAnsi="Arial" w:cs="Arial"/>
          <w:sz w:val="24"/>
          <w:szCs w:val="24"/>
        </w:rPr>
        <w:t xml:space="preserve">This clause also introduces a note to direct readers to the section of the </w:t>
      </w:r>
      <w:r w:rsidR="00DC637A">
        <w:rPr>
          <w:rFonts w:ascii="Arial" w:hAnsi="Arial" w:cs="Arial"/>
          <w:sz w:val="24"/>
          <w:szCs w:val="24"/>
        </w:rPr>
        <w:t>RTA</w:t>
      </w:r>
      <w:r>
        <w:rPr>
          <w:rFonts w:ascii="Arial" w:hAnsi="Arial" w:cs="Arial"/>
          <w:sz w:val="24"/>
          <w:szCs w:val="24"/>
        </w:rPr>
        <w:t xml:space="preserve"> which facilitates the Tribunal’s discretionary powers to terminate</w:t>
      </w:r>
      <w:r w:rsidR="002B6965">
        <w:rPr>
          <w:rFonts w:ascii="Arial" w:hAnsi="Arial" w:cs="Arial"/>
          <w:sz w:val="24"/>
          <w:szCs w:val="24"/>
        </w:rPr>
        <w:t xml:space="preserve"> a tenancy</w:t>
      </w:r>
      <w:r>
        <w:rPr>
          <w:rFonts w:ascii="Arial" w:hAnsi="Arial" w:cs="Arial"/>
          <w:sz w:val="24"/>
          <w:szCs w:val="24"/>
        </w:rPr>
        <w:t xml:space="preserve"> as a result of a breach of this clause.</w:t>
      </w:r>
    </w:p>
    <w:p w14:paraId="20329296" w14:textId="64EE10BC" w:rsidR="00105B77" w:rsidRPr="00105B77" w:rsidRDefault="00105B77" w:rsidP="002A2ECB">
      <w:pPr>
        <w:spacing w:after="240" w:line="240" w:lineRule="auto"/>
        <w:rPr>
          <w:rFonts w:ascii="Arial" w:hAnsi="Arial" w:cs="Arial"/>
          <w:b/>
          <w:sz w:val="24"/>
          <w:szCs w:val="24"/>
        </w:rPr>
      </w:pPr>
      <w:r w:rsidRPr="00105B77">
        <w:rPr>
          <w:rFonts w:ascii="Arial" w:hAnsi="Arial" w:cs="Arial"/>
          <w:b/>
          <w:sz w:val="24"/>
          <w:szCs w:val="24"/>
        </w:rPr>
        <w:t xml:space="preserve">Clause </w:t>
      </w:r>
      <w:r w:rsidR="0020201C">
        <w:rPr>
          <w:rFonts w:ascii="Arial" w:hAnsi="Arial" w:cs="Arial"/>
          <w:b/>
          <w:sz w:val="24"/>
          <w:szCs w:val="24"/>
        </w:rPr>
        <w:t>2</w:t>
      </w:r>
      <w:r w:rsidR="003C48C3">
        <w:rPr>
          <w:rFonts w:ascii="Arial" w:hAnsi="Arial" w:cs="Arial"/>
          <w:b/>
          <w:sz w:val="24"/>
          <w:szCs w:val="24"/>
        </w:rPr>
        <w:t>3</w:t>
      </w:r>
      <w:r w:rsidRPr="00105B77">
        <w:rPr>
          <w:rFonts w:ascii="Arial" w:hAnsi="Arial" w:cs="Arial"/>
          <w:b/>
          <w:sz w:val="24"/>
          <w:szCs w:val="24"/>
        </w:rPr>
        <w:tab/>
      </w:r>
      <w:r w:rsidR="009D3BAD">
        <w:rPr>
          <w:rFonts w:ascii="Arial" w:hAnsi="Arial" w:cs="Arial"/>
          <w:b/>
          <w:sz w:val="24"/>
          <w:szCs w:val="24"/>
        </w:rPr>
        <w:t>Schedule 1, clause 81</w:t>
      </w:r>
    </w:p>
    <w:p w14:paraId="4FFD4C60" w14:textId="5F6DE6D9" w:rsidR="00105B77" w:rsidRDefault="00105B77" w:rsidP="002A2ECB">
      <w:pPr>
        <w:spacing w:after="240" w:line="240" w:lineRule="auto"/>
        <w:rPr>
          <w:rFonts w:ascii="Arial" w:hAnsi="Arial" w:cs="Arial"/>
          <w:sz w:val="24"/>
          <w:szCs w:val="24"/>
        </w:rPr>
      </w:pPr>
      <w:r>
        <w:rPr>
          <w:rFonts w:ascii="Arial" w:hAnsi="Arial" w:cs="Arial"/>
          <w:sz w:val="24"/>
          <w:szCs w:val="24"/>
        </w:rPr>
        <w:t>Th</w:t>
      </w:r>
      <w:r w:rsidR="009D3BAD">
        <w:rPr>
          <w:rFonts w:ascii="Arial" w:hAnsi="Arial" w:cs="Arial"/>
          <w:sz w:val="24"/>
          <w:szCs w:val="24"/>
        </w:rPr>
        <w:t xml:space="preserve">is clause amends the Standard Terms which provide a right of access to the property for prospective purchasers. The right to quiet enjoyment of the property is a right conferred on the tenant under the residential tenancy agreement (clauses 52-53 of the Standard Terms) and at common law. For this reason, the landlord’s access to the property is strictly limited. </w:t>
      </w:r>
      <w:r w:rsidR="003465E4">
        <w:rPr>
          <w:rFonts w:ascii="Arial" w:hAnsi="Arial" w:cs="Arial"/>
          <w:sz w:val="24"/>
          <w:szCs w:val="24"/>
        </w:rPr>
        <w:t>As a landlord is (and must be) permitted to sell their tenanted property, t</w:t>
      </w:r>
      <w:r w:rsidR="009D3BAD">
        <w:rPr>
          <w:rFonts w:ascii="Arial" w:hAnsi="Arial" w:cs="Arial"/>
          <w:sz w:val="24"/>
          <w:szCs w:val="24"/>
        </w:rPr>
        <w:t>hese limitations are relaxed when the landlord intends to sell the property</w:t>
      </w:r>
      <w:r w:rsidR="003465E4">
        <w:rPr>
          <w:rFonts w:ascii="Arial" w:hAnsi="Arial" w:cs="Arial"/>
          <w:sz w:val="24"/>
          <w:szCs w:val="24"/>
        </w:rPr>
        <w:t xml:space="preserve"> so that prospective purchasers can inspect the property. This clause ensures better protection of the rights of tenants to privacy under section 12 of the </w:t>
      </w:r>
      <w:r w:rsidR="00FE1A3F" w:rsidRPr="00FE1A3F">
        <w:rPr>
          <w:rFonts w:ascii="Arial" w:hAnsi="Arial" w:cs="Arial"/>
          <w:sz w:val="24"/>
          <w:szCs w:val="24"/>
        </w:rPr>
        <w:t>HRA</w:t>
      </w:r>
      <w:r w:rsidR="003465E4">
        <w:rPr>
          <w:rFonts w:ascii="Arial" w:hAnsi="Arial" w:cs="Arial"/>
          <w:sz w:val="24"/>
          <w:szCs w:val="24"/>
        </w:rPr>
        <w:t>, and of the entitlement to quiet enjoyment for which the tenant is paying rent.</w:t>
      </w:r>
    </w:p>
    <w:p w14:paraId="296DD6B1" w14:textId="39F4AFFE" w:rsidR="003465E4" w:rsidRPr="003465E4" w:rsidRDefault="003465E4" w:rsidP="002A2ECB">
      <w:pPr>
        <w:spacing w:after="240" w:line="240" w:lineRule="auto"/>
        <w:rPr>
          <w:rFonts w:ascii="Arial" w:hAnsi="Arial" w:cs="Arial"/>
          <w:sz w:val="24"/>
          <w:szCs w:val="24"/>
        </w:rPr>
      </w:pPr>
      <w:r>
        <w:rPr>
          <w:rFonts w:ascii="Arial" w:hAnsi="Arial" w:cs="Arial"/>
          <w:sz w:val="24"/>
          <w:szCs w:val="24"/>
        </w:rPr>
        <w:lastRenderedPageBreak/>
        <w:t xml:space="preserve">This clause increases the amount of notice a landlord must provide to a tenant when seeking to allow inspection of the property by prospective purchasers. It also limits the number of inspections to which a tenant is required to agree. A tenant may choose to permit a greater number of inspections, but they are not compelled to do so. The clause also specifies that the inspection must take place at a time that is mutually reasonable to the parties, with reasonable regard for the work and other commitments of the tenant and the </w:t>
      </w:r>
      <w:r w:rsidR="004179AD">
        <w:rPr>
          <w:rFonts w:ascii="Arial" w:hAnsi="Arial" w:cs="Arial"/>
          <w:sz w:val="24"/>
          <w:szCs w:val="24"/>
        </w:rPr>
        <w:t>landlord</w:t>
      </w:r>
      <w:r>
        <w:rPr>
          <w:rFonts w:ascii="Arial" w:hAnsi="Arial" w:cs="Arial"/>
          <w:sz w:val="24"/>
          <w:szCs w:val="24"/>
        </w:rPr>
        <w:t xml:space="preserve">. </w:t>
      </w:r>
    </w:p>
    <w:p w14:paraId="4AEE1775" w14:textId="791F7F54" w:rsidR="00105B77" w:rsidRPr="00105B77" w:rsidRDefault="00105B77" w:rsidP="002A2ECB">
      <w:pPr>
        <w:spacing w:after="240" w:line="240" w:lineRule="auto"/>
        <w:rPr>
          <w:rFonts w:ascii="Arial" w:hAnsi="Arial" w:cs="Arial"/>
          <w:b/>
          <w:sz w:val="24"/>
          <w:szCs w:val="24"/>
        </w:rPr>
      </w:pPr>
      <w:r w:rsidRPr="00105B77">
        <w:rPr>
          <w:rFonts w:ascii="Arial" w:hAnsi="Arial" w:cs="Arial"/>
          <w:b/>
          <w:sz w:val="24"/>
          <w:szCs w:val="24"/>
        </w:rPr>
        <w:t xml:space="preserve">Clause </w:t>
      </w:r>
      <w:r w:rsidR="0020201C">
        <w:rPr>
          <w:rFonts w:ascii="Arial" w:hAnsi="Arial" w:cs="Arial"/>
          <w:b/>
          <w:sz w:val="24"/>
          <w:szCs w:val="24"/>
        </w:rPr>
        <w:t>2</w:t>
      </w:r>
      <w:r w:rsidR="003C48C3">
        <w:rPr>
          <w:rFonts w:ascii="Arial" w:hAnsi="Arial" w:cs="Arial"/>
          <w:b/>
          <w:sz w:val="24"/>
          <w:szCs w:val="24"/>
        </w:rPr>
        <w:t>4</w:t>
      </w:r>
      <w:r w:rsidRPr="00105B77">
        <w:rPr>
          <w:rFonts w:ascii="Arial" w:hAnsi="Arial" w:cs="Arial"/>
          <w:b/>
          <w:sz w:val="24"/>
          <w:szCs w:val="24"/>
        </w:rPr>
        <w:tab/>
      </w:r>
      <w:r w:rsidR="00123108">
        <w:rPr>
          <w:rFonts w:ascii="Arial" w:hAnsi="Arial" w:cs="Arial"/>
          <w:b/>
          <w:sz w:val="24"/>
          <w:szCs w:val="24"/>
        </w:rPr>
        <w:t>Schedule 1, clause 96 (1) (a) to (c)</w:t>
      </w:r>
    </w:p>
    <w:p w14:paraId="6315BA8A" w14:textId="07A9CEE7" w:rsidR="00105B77" w:rsidRDefault="00105B77" w:rsidP="002A2ECB">
      <w:pPr>
        <w:spacing w:after="240" w:line="240" w:lineRule="auto"/>
        <w:rPr>
          <w:rFonts w:ascii="Arial" w:hAnsi="Arial" w:cs="Arial"/>
          <w:sz w:val="24"/>
          <w:szCs w:val="24"/>
        </w:rPr>
      </w:pPr>
      <w:r>
        <w:rPr>
          <w:rFonts w:ascii="Arial" w:hAnsi="Arial" w:cs="Arial"/>
          <w:sz w:val="24"/>
          <w:szCs w:val="24"/>
        </w:rPr>
        <w:t xml:space="preserve">This clause </w:t>
      </w:r>
      <w:r w:rsidR="00123108">
        <w:rPr>
          <w:rFonts w:ascii="Arial" w:hAnsi="Arial" w:cs="Arial"/>
          <w:sz w:val="24"/>
          <w:szCs w:val="24"/>
        </w:rPr>
        <w:t>increases the number of weeks</w:t>
      </w:r>
      <w:r w:rsidR="00BB0DF4">
        <w:rPr>
          <w:rFonts w:ascii="Arial" w:hAnsi="Arial" w:cs="Arial"/>
          <w:sz w:val="24"/>
          <w:szCs w:val="24"/>
        </w:rPr>
        <w:t>’</w:t>
      </w:r>
      <w:r w:rsidR="00123108">
        <w:rPr>
          <w:rFonts w:ascii="Arial" w:hAnsi="Arial" w:cs="Arial"/>
          <w:sz w:val="24"/>
          <w:szCs w:val="24"/>
        </w:rPr>
        <w:t xml:space="preserve"> notice a landlord must give to a tenant if the landlord wishes to terminate a periodic tenancy to allow themselves, their immediate </w:t>
      </w:r>
      <w:r w:rsidR="007B0216">
        <w:rPr>
          <w:rFonts w:ascii="Arial" w:hAnsi="Arial" w:cs="Arial"/>
          <w:sz w:val="24"/>
          <w:szCs w:val="24"/>
        </w:rPr>
        <w:t>relatives, or a person with whom they have a close relationship</w:t>
      </w:r>
      <w:r w:rsidR="00123108">
        <w:rPr>
          <w:rFonts w:ascii="Arial" w:hAnsi="Arial" w:cs="Arial"/>
          <w:sz w:val="24"/>
          <w:szCs w:val="24"/>
        </w:rPr>
        <w:t xml:space="preserve"> to move into the property</w:t>
      </w:r>
      <w:r w:rsidR="00D91675" w:rsidRPr="00D91675">
        <w:rPr>
          <w:rFonts w:ascii="Arial" w:hAnsi="Arial" w:cs="Arial"/>
          <w:sz w:val="24"/>
          <w:szCs w:val="24"/>
        </w:rPr>
        <w:t>.</w:t>
      </w:r>
      <w:r w:rsidR="007B0216">
        <w:rPr>
          <w:rFonts w:ascii="Arial" w:hAnsi="Arial" w:cs="Arial"/>
          <w:sz w:val="24"/>
          <w:szCs w:val="24"/>
        </w:rPr>
        <w:t xml:space="preserve"> This brings the </w:t>
      </w:r>
      <w:r w:rsidR="00DC637A">
        <w:rPr>
          <w:rFonts w:ascii="Arial" w:hAnsi="Arial" w:cs="Arial"/>
          <w:sz w:val="24"/>
          <w:szCs w:val="24"/>
        </w:rPr>
        <w:t>RTA</w:t>
      </w:r>
      <w:r w:rsidR="007B0216">
        <w:rPr>
          <w:rFonts w:ascii="Arial" w:hAnsi="Arial" w:cs="Arial"/>
          <w:sz w:val="24"/>
          <w:szCs w:val="24"/>
        </w:rPr>
        <w:t xml:space="preserve"> into alignment with similar provisions in Victoria and South Australia. </w:t>
      </w:r>
    </w:p>
    <w:p w14:paraId="05847424" w14:textId="2765814B" w:rsidR="00EE3149" w:rsidRDefault="00001B99" w:rsidP="007B0216">
      <w:pPr>
        <w:spacing w:after="240" w:line="240" w:lineRule="auto"/>
        <w:rPr>
          <w:rFonts w:ascii="Arial" w:hAnsi="Arial" w:cs="Arial"/>
          <w:sz w:val="24"/>
          <w:szCs w:val="24"/>
        </w:rPr>
      </w:pPr>
      <w:r w:rsidRPr="00092274">
        <w:rPr>
          <w:rFonts w:ascii="Arial" w:hAnsi="Arial" w:cs="Arial"/>
          <w:b/>
          <w:sz w:val="24"/>
          <w:szCs w:val="24"/>
        </w:rPr>
        <w:t>Clause 2</w:t>
      </w:r>
      <w:r w:rsidR="003C48C3">
        <w:rPr>
          <w:rFonts w:ascii="Arial" w:hAnsi="Arial" w:cs="Arial"/>
          <w:b/>
          <w:sz w:val="24"/>
          <w:szCs w:val="24"/>
        </w:rPr>
        <w:t>5</w:t>
      </w:r>
      <w:r w:rsidRPr="00092274">
        <w:rPr>
          <w:rFonts w:ascii="Arial" w:hAnsi="Arial" w:cs="Arial"/>
          <w:b/>
          <w:sz w:val="24"/>
          <w:szCs w:val="24"/>
        </w:rPr>
        <w:tab/>
      </w:r>
      <w:r w:rsidR="007B0216">
        <w:rPr>
          <w:rFonts w:ascii="Arial" w:hAnsi="Arial" w:cs="Arial"/>
          <w:b/>
          <w:sz w:val="24"/>
          <w:szCs w:val="24"/>
        </w:rPr>
        <w:t>Dictionary, new definition</w:t>
      </w:r>
    </w:p>
    <w:p w14:paraId="740E7974" w14:textId="45FBB6F1" w:rsidR="00D15651" w:rsidRPr="002A2ECB" w:rsidRDefault="007B0216" w:rsidP="002A2ECB">
      <w:pPr>
        <w:spacing w:after="240" w:line="240" w:lineRule="auto"/>
        <w:rPr>
          <w:rFonts w:ascii="Arial" w:hAnsi="Arial" w:cs="Arial"/>
          <w:sz w:val="24"/>
          <w:szCs w:val="24"/>
        </w:rPr>
      </w:pPr>
      <w:r>
        <w:rPr>
          <w:rFonts w:ascii="Arial" w:hAnsi="Arial" w:cs="Arial"/>
          <w:sz w:val="24"/>
          <w:szCs w:val="24"/>
        </w:rPr>
        <w:t xml:space="preserve">This clause inserts a definition of ‘periodic tenancy’ into the </w:t>
      </w:r>
      <w:r w:rsidR="00DC637A">
        <w:rPr>
          <w:rFonts w:ascii="Arial" w:hAnsi="Arial" w:cs="Arial"/>
          <w:sz w:val="24"/>
          <w:szCs w:val="24"/>
        </w:rPr>
        <w:t>RTA</w:t>
      </w:r>
      <w:r>
        <w:rPr>
          <w:rFonts w:ascii="Arial" w:hAnsi="Arial" w:cs="Arial"/>
          <w:sz w:val="24"/>
          <w:szCs w:val="24"/>
        </w:rPr>
        <w:t xml:space="preserve"> to ensure that there are not multiple provisions dealing with the definition throughout the </w:t>
      </w:r>
      <w:r w:rsidR="00DC637A">
        <w:rPr>
          <w:rFonts w:ascii="Arial" w:hAnsi="Arial" w:cs="Arial"/>
          <w:sz w:val="24"/>
          <w:szCs w:val="24"/>
        </w:rPr>
        <w:t>RTA</w:t>
      </w:r>
      <w:r>
        <w:rPr>
          <w:rFonts w:ascii="Arial" w:hAnsi="Arial" w:cs="Arial"/>
          <w:sz w:val="24"/>
          <w:szCs w:val="24"/>
        </w:rPr>
        <w:t xml:space="preserve">. </w:t>
      </w:r>
    </w:p>
    <w:sectPr w:rsidR="00D15651" w:rsidRPr="002A2ECB" w:rsidSect="00E921C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9472B" w14:textId="77777777" w:rsidR="00570D48" w:rsidRDefault="00570D48">
      <w:pPr>
        <w:spacing w:after="0" w:line="240" w:lineRule="auto"/>
      </w:pPr>
      <w:r>
        <w:separator/>
      </w:r>
    </w:p>
  </w:endnote>
  <w:endnote w:type="continuationSeparator" w:id="0">
    <w:p w14:paraId="516B607A" w14:textId="77777777" w:rsidR="00570D48" w:rsidRDefault="0057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B7FA" w14:textId="77777777" w:rsidR="00C966AA" w:rsidRDefault="00C966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sz w:val="18"/>
        <w:lang w:val="en-AU"/>
      </w:rPr>
      <w:id w:val="231082170"/>
      <w:docPartObj>
        <w:docPartGallery w:val="Page Numbers (Bottom of Page)"/>
        <w:docPartUnique/>
      </w:docPartObj>
    </w:sdtPr>
    <w:sdtEndPr>
      <w:rPr>
        <w:rFonts w:cs="Arial"/>
        <w:szCs w:val="18"/>
        <w:lang w:val="en-GB"/>
      </w:rPr>
    </w:sdtEndPr>
    <w:sdtContent>
      <w:p w14:paraId="35D74E82" w14:textId="2D9C4146" w:rsidR="00181732" w:rsidRPr="00D10891" w:rsidRDefault="00181732" w:rsidP="00D10891">
        <w:pPr>
          <w:pStyle w:val="Header"/>
          <w:tabs>
            <w:tab w:val="clear" w:pos="4320"/>
            <w:tab w:val="clear" w:pos="8640"/>
            <w:tab w:val="left" w:pos="3779"/>
          </w:tabs>
          <w:jc w:val="right"/>
          <w:rPr>
            <w:rFonts w:ascii="Arial" w:hAnsi="Arial" w:cs="Arial"/>
            <w:sz w:val="18"/>
            <w:szCs w:val="18"/>
          </w:rPr>
        </w:pPr>
        <w:r w:rsidRPr="00D10891">
          <w:rPr>
            <w:rFonts w:ascii="Arial" w:hAnsi="Arial" w:cs="Arial"/>
            <w:sz w:val="18"/>
            <w:szCs w:val="18"/>
          </w:rPr>
          <w:fldChar w:fldCharType="begin"/>
        </w:r>
        <w:r w:rsidRPr="00D10891">
          <w:rPr>
            <w:rFonts w:ascii="Arial" w:hAnsi="Arial" w:cs="Arial"/>
            <w:sz w:val="18"/>
            <w:szCs w:val="18"/>
          </w:rPr>
          <w:instrText xml:space="preserve"> PAGE   \* MERGEFORMAT </w:instrText>
        </w:r>
        <w:r w:rsidRPr="00D10891">
          <w:rPr>
            <w:rFonts w:ascii="Arial" w:hAnsi="Arial" w:cs="Arial"/>
            <w:sz w:val="18"/>
            <w:szCs w:val="18"/>
          </w:rPr>
          <w:fldChar w:fldCharType="separate"/>
        </w:r>
        <w:r w:rsidRPr="00D10891">
          <w:rPr>
            <w:rFonts w:ascii="Arial" w:hAnsi="Arial" w:cs="Arial"/>
            <w:noProof/>
            <w:sz w:val="18"/>
            <w:szCs w:val="18"/>
          </w:rPr>
          <w:t>13</w:t>
        </w:r>
        <w:r w:rsidRPr="00D10891">
          <w:rPr>
            <w:rFonts w:ascii="Arial" w:hAnsi="Arial" w:cs="Arial"/>
            <w:noProof/>
            <w:sz w:val="18"/>
            <w:szCs w:val="18"/>
          </w:rPr>
          <w:fldChar w:fldCharType="end"/>
        </w:r>
      </w:p>
    </w:sdtContent>
  </w:sdt>
  <w:p w14:paraId="4C846D17" w14:textId="1279958D" w:rsidR="00EE5663" w:rsidRPr="00C966AA" w:rsidRDefault="00C966AA" w:rsidP="00C966AA">
    <w:pPr>
      <w:pStyle w:val="Footer"/>
      <w:jc w:val="center"/>
      <w:rPr>
        <w:rFonts w:cs="Arial"/>
        <w:sz w:val="14"/>
      </w:rPr>
    </w:pPr>
    <w:r w:rsidRPr="00C966A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5908466"/>
      <w:docPartObj>
        <w:docPartGallery w:val="Page Numbers (Bottom of Page)"/>
        <w:docPartUnique/>
      </w:docPartObj>
    </w:sdtPr>
    <w:sdtEndPr/>
    <w:sdtContent>
      <w:p w14:paraId="2FE33347" w14:textId="77777777" w:rsidR="00181732" w:rsidRDefault="0018173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A330622" w14:textId="1FC6C7C4" w:rsidR="00181732" w:rsidRPr="00C966AA" w:rsidRDefault="00C966AA" w:rsidP="00C966AA">
    <w:pPr>
      <w:pStyle w:val="Header"/>
      <w:tabs>
        <w:tab w:val="clear" w:pos="4320"/>
        <w:tab w:val="clear" w:pos="8640"/>
        <w:tab w:val="left" w:pos="3779"/>
      </w:tabs>
      <w:jc w:val="center"/>
      <w:rPr>
        <w:rFonts w:ascii="Arial" w:hAnsi="Arial" w:cs="Arial"/>
        <w:sz w:val="14"/>
      </w:rPr>
    </w:pPr>
    <w:r w:rsidRPr="00C966AA">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FA0ED" w14:textId="77777777" w:rsidR="00570D48" w:rsidRDefault="00570D48">
      <w:pPr>
        <w:spacing w:after="0" w:line="240" w:lineRule="auto"/>
      </w:pPr>
      <w:r>
        <w:separator/>
      </w:r>
    </w:p>
  </w:footnote>
  <w:footnote w:type="continuationSeparator" w:id="0">
    <w:p w14:paraId="35588E1C" w14:textId="77777777" w:rsidR="00570D48" w:rsidRDefault="00570D48">
      <w:pPr>
        <w:spacing w:after="0" w:line="240" w:lineRule="auto"/>
      </w:pPr>
      <w:r>
        <w:continuationSeparator/>
      </w:r>
    </w:p>
  </w:footnote>
  <w:footnote w:id="1">
    <w:p w14:paraId="55DCC4EE" w14:textId="0FAB055C" w:rsidR="00181732" w:rsidRDefault="00181732">
      <w:pPr>
        <w:pStyle w:val="FootnoteText"/>
      </w:pPr>
      <w:r>
        <w:rPr>
          <w:rStyle w:val="FootnoteReference"/>
        </w:rPr>
        <w:footnoteRef/>
      </w:r>
      <w:r>
        <w:t xml:space="preserve"> </w:t>
      </w:r>
      <w:r w:rsidRPr="00191D5A">
        <w:t xml:space="preserve">International Covenant on Civil and Political Rights (ICCPR) articles 2 and 26; </w:t>
      </w:r>
      <w:r w:rsidRPr="00191D5A">
        <w:rPr>
          <w:i/>
        </w:rPr>
        <w:t>Althammer v Austria</w:t>
      </w:r>
      <w:r w:rsidRPr="00191D5A">
        <w:t>, United Nations (UN) Human Rights Committee Communication no. 998/01 (2003) [10.2]</w:t>
      </w:r>
      <w:r>
        <w:t>.</w:t>
      </w:r>
    </w:p>
  </w:footnote>
  <w:footnote w:id="2">
    <w:p w14:paraId="25CD1918" w14:textId="3731E1AA" w:rsidR="00181732" w:rsidRDefault="00181732">
      <w:pPr>
        <w:pStyle w:val="FootnoteText"/>
      </w:pPr>
      <w:r>
        <w:rPr>
          <w:rStyle w:val="FootnoteReference"/>
        </w:rPr>
        <w:footnoteRef/>
      </w:r>
      <w:r>
        <w:t xml:space="preserve"> </w:t>
      </w:r>
      <w:r w:rsidRPr="00191D5A">
        <w:t>The grounds of discrimination are not specifically or exhaustively defined under the HRA. However, the following examples of discrimination are provided in the HRA: ‘race, colour, sex, sexual orientation, language, religion, political or other opinion, national or social origin, property, birth, disability or other status</w:t>
      </w:r>
      <w:r>
        <w:t>.</w:t>
      </w:r>
      <w:r w:rsidRPr="00191D5A">
        <w:t>’</w:t>
      </w:r>
    </w:p>
  </w:footnote>
  <w:footnote w:id="3">
    <w:p w14:paraId="57E38B99" w14:textId="5181CEDB" w:rsidR="00181732" w:rsidRDefault="00181732">
      <w:pPr>
        <w:pStyle w:val="FootnoteText"/>
      </w:pPr>
      <w:r>
        <w:rPr>
          <w:rStyle w:val="FootnoteReference"/>
        </w:rPr>
        <w:footnoteRef/>
      </w:r>
      <w:r>
        <w:t xml:space="preserve"> C</w:t>
      </w:r>
      <w:r w:rsidRPr="00A50E9D">
        <w:t>lause 8</w:t>
      </w:r>
      <w:r>
        <w:t xml:space="preserve"> of the Bill;</w:t>
      </w:r>
      <w:r w:rsidRPr="00A50E9D">
        <w:t xml:space="preserve"> new sections 46A and 46B</w:t>
      </w:r>
      <w:r>
        <w:t xml:space="preserve"> of the RTA.</w:t>
      </w:r>
    </w:p>
  </w:footnote>
  <w:footnote w:id="4">
    <w:p w14:paraId="0BEEFC75" w14:textId="6242D9F8" w:rsidR="00181732" w:rsidRDefault="00181732">
      <w:pPr>
        <w:pStyle w:val="FootnoteText"/>
      </w:pPr>
      <w:r>
        <w:rPr>
          <w:rStyle w:val="FootnoteReference"/>
        </w:rPr>
        <w:footnoteRef/>
      </w:r>
      <w:r>
        <w:t xml:space="preserve"> </w:t>
      </w:r>
      <w:bookmarkStart w:id="3" w:name="_Hlk19706105"/>
      <w:r>
        <w:t>C</w:t>
      </w:r>
      <w:r w:rsidRPr="00A50E9D">
        <w:t>lause 23</w:t>
      </w:r>
      <w:r>
        <w:t xml:space="preserve"> of the Bill; </w:t>
      </w:r>
      <w:r w:rsidRPr="00A50E9D">
        <w:t>Schedule 1, clause 81</w:t>
      </w:r>
      <w:r>
        <w:t xml:space="preserve"> of the RTA. </w:t>
      </w:r>
      <w:bookmarkEnd w:id="3"/>
    </w:p>
  </w:footnote>
  <w:footnote w:id="5">
    <w:p w14:paraId="7B8D606E" w14:textId="782C827E" w:rsidR="00181732" w:rsidRDefault="00181732">
      <w:pPr>
        <w:pStyle w:val="FootnoteText"/>
      </w:pPr>
      <w:r>
        <w:rPr>
          <w:rStyle w:val="FootnoteReference"/>
        </w:rPr>
        <w:footnoteRef/>
      </w:r>
      <w:r>
        <w:t xml:space="preserve"> Clause 9 of the Bill; new sections 48(3) - (4) of the RTA; </w:t>
      </w:r>
      <w:r w:rsidRPr="00A50E9D">
        <w:t>Clause 2</w:t>
      </w:r>
      <w:r>
        <w:t>2</w:t>
      </w:r>
      <w:r w:rsidRPr="00A50E9D">
        <w:t xml:space="preserve"> of the </w:t>
      </w:r>
      <w:r>
        <w:t>B</w:t>
      </w:r>
      <w:r w:rsidRPr="00A50E9D">
        <w:t xml:space="preserve">ill; Schedule 1, clause </w:t>
      </w:r>
      <w:r>
        <w:t>70 (1) (a) - (c)</w:t>
      </w:r>
      <w:r w:rsidRPr="00A50E9D">
        <w:t xml:space="preserve"> of the RTA.</w:t>
      </w:r>
    </w:p>
  </w:footnote>
  <w:footnote w:id="6">
    <w:p w14:paraId="3CD893BA" w14:textId="6127DFD2" w:rsidR="00181732" w:rsidRPr="00CE5C83" w:rsidRDefault="00181732" w:rsidP="00CE5C83">
      <w:pPr>
        <w:pStyle w:val="FootnoteText"/>
      </w:pPr>
      <w:r>
        <w:rPr>
          <w:rStyle w:val="FootnoteReference"/>
        </w:rPr>
        <w:footnoteRef/>
      </w:r>
      <w:r>
        <w:t xml:space="preserve"> See, </w:t>
      </w:r>
      <w:r w:rsidRPr="00CE5C83">
        <w:rPr>
          <w:i/>
        </w:rPr>
        <w:t xml:space="preserve">Director of Housing v TK </w:t>
      </w:r>
      <w:r w:rsidRPr="00CE5C83">
        <w:t xml:space="preserve">[2010] VCAT 1839, </w:t>
      </w:r>
      <w:r>
        <w:t xml:space="preserve">where </w:t>
      </w:r>
      <w:r w:rsidRPr="00CE5C83">
        <w:t xml:space="preserve">the Victorian Civil and Administrative Tribunal </w:t>
      </w:r>
      <w:r>
        <w:t xml:space="preserve">(VCAT) </w:t>
      </w:r>
      <w:r w:rsidRPr="00CE5C83">
        <w:t xml:space="preserve">considered a similar provision in Victorian law and held that it was ‘not sufficient that the premises are merely the scene of the commission of the crime.’ Instead, ‘there must be some real connection between the use of the rented premises and the illegal activity alleged…The purpose of the legislation is not to re-punish tenants for crimes they commit, but to prevent rented premises from being used for a purpose that is illegal.’ The </w:t>
      </w:r>
      <w:r>
        <w:t xml:space="preserve">VCAT </w:t>
      </w:r>
      <w:r w:rsidRPr="00CE5C83">
        <w:t xml:space="preserve">held that this interpretation was consistent with section 13 of the </w:t>
      </w:r>
      <w:r w:rsidRPr="00CE5C83">
        <w:rPr>
          <w:i/>
        </w:rPr>
        <w:t xml:space="preserve">Charter of Human Rights and Responsibilities Act 2006 </w:t>
      </w:r>
      <w:r w:rsidRPr="00CE5C83">
        <w:t xml:space="preserve">(Vic) which corresponds to section 12 of the HRA. </w:t>
      </w:r>
    </w:p>
    <w:p w14:paraId="08017DCC" w14:textId="0C8A76C9" w:rsidR="00181732" w:rsidRDefault="00181732">
      <w:pPr>
        <w:pStyle w:val="FootnoteText"/>
      </w:pPr>
    </w:p>
  </w:footnote>
  <w:footnote w:id="7">
    <w:p w14:paraId="77E3BD95" w14:textId="02825404" w:rsidR="00181732" w:rsidRDefault="00181732">
      <w:pPr>
        <w:pStyle w:val="FootnoteText"/>
      </w:pPr>
      <w:r>
        <w:rPr>
          <w:rStyle w:val="FootnoteReference"/>
        </w:rPr>
        <w:footnoteRef/>
      </w:r>
      <w:r>
        <w:t xml:space="preserve"> See,</w:t>
      </w:r>
      <w:r w:rsidRPr="004A1A35">
        <w:t xml:space="preserve"> </w:t>
      </w:r>
      <w:r w:rsidRPr="004A1A35">
        <w:rPr>
          <w:i/>
        </w:rPr>
        <w:t>NSW Land and Housing Corporation v Janiuk</w:t>
      </w:r>
      <w:r w:rsidRPr="004A1A35">
        <w:t xml:space="preserve"> [2017] NSWCTTT 632, </w:t>
      </w:r>
      <w:r>
        <w:t xml:space="preserve">where </w:t>
      </w:r>
      <w:r w:rsidRPr="004A1A35">
        <w:t xml:space="preserve">the Tribunal </w:t>
      </w:r>
      <w:r>
        <w:t xml:space="preserve">took </w:t>
      </w:r>
      <w:r w:rsidRPr="004A1A35">
        <w:t>into consideration the mental health of the tenant when the landlord sought an eviction order.</w:t>
      </w:r>
      <w:r>
        <w:t xml:space="preserve"> See, also, </w:t>
      </w:r>
      <w:r w:rsidRPr="004A1A35">
        <w:rPr>
          <w:i/>
        </w:rPr>
        <w:t xml:space="preserve">Commissioner for Social Housing in the ACT v Faull </w:t>
      </w:r>
      <w:r w:rsidRPr="004A1A35">
        <w:t xml:space="preserve">[2008] ACTRTT 20, </w:t>
      </w:r>
      <w:r>
        <w:t xml:space="preserve">where </w:t>
      </w:r>
      <w:r w:rsidRPr="004A1A35">
        <w:t xml:space="preserve">the Tribunal was able to consider whether there were alternative remedies available to the landlord, whether the illegal use was more likely than not to cease, and the difficulties that would be faced by the tenant if evicted. </w:t>
      </w:r>
    </w:p>
  </w:footnote>
  <w:footnote w:id="8">
    <w:p w14:paraId="4F5B35FB" w14:textId="7F2B4218" w:rsidR="00BF5C39" w:rsidRDefault="00BF5C39">
      <w:pPr>
        <w:pStyle w:val="FootnoteText"/>
      </w:pPr>
      <w:r>
        <w:rPr>
          <w:rStyle w:val="FootnoteReference"/>
        </w:rPr>
        <w:footnoteRef/>
      </w:r>
      <w:r>
        <w:t xml:space="preserve"> </w:t>
      </w:r>
      <w:r w:rsidRPr="00BF5C39">
        <w:rPr>
          <w:i/>
        </w:rPr>
        <w:t xml:space="preserve">NSW Land and Housing Corporation v Janiuk </w:t>
      </w:r>
      <w:r w:rsidRPr="00BF5C39">
        <w:t>[2007] NSWCTT 632</w:t>
      </w:r>
      <w:r>
        <w:t>.</w:t>
      </w:r>
    </w:p>
  </w:footnote>
  <w:footnote w:id="9">
    <w:p w14:paraId="6E303134" w14:textId="6309225C" w:rsidR="00BF5C39" w:rsidRDefault="00BF5C39">
      <w:pPr>
        <w:pStyle w:val="FootnoteText"/>
      </w:pPr>
      <w:r>
        <w:rPr>
          <w:rStyle w:val="FootnoteReference"/>
        </w:rPr>
        <w:footnoteRef/>
      </w:r>
      <w:r>
        <w:t xml:space="preserve"> </w:t>
      </w:r>
      <w:r w:rsidRPr="00BF5C39">
        <w:rPr>
          <w:i/>
        </w:rPr>
        <w:t xml:space="preserve">Commissioner for Social Housing in the ACT v Faull </w:t>
      </w:r>
      <w:r w:rsidRPr="00BF5C39">
        <w:t>[2008] ACTRTT 20</w:t>
      </w:r>
      <w:r>
        <w:t>.</w:t>
      </w:r>
    </w:p>
  </w:footnote>
  <w:footnote w:id="10">
    <w:p w14:paraId="465DA2D3" w14:textId="336766DD" w:rsidR="00BF5C39" w:rsidRDefault="00BF5C39">
      <w:pPr>
        <w:pStyle w:val="FootnoteText"/>
      </w:pPr>
      <w:r>
        <w:rPr>
          <w:rStyle w:val="FootnoteReference"/>
        </w:rPr>
        <w:footnoteRef/>
      </w:r>
      <w:r>
        <w:t xml:space="preserve"> </w:t>
      </w:r>
      <w:r w:rsidRPr="00BF5C39">
        <w:t>RTA</w:t>
      </w:r>
      <w:r>
        <w:t xml:space="preserve">, </w:t>
      </w:r>
      <w:r w:rsidRPr="00BF5C39">
        <w:t>49B</w:t>
      </w:r>
      <w:r>
        <w:t>.</w:t>
      </w:r>
    </w:p>
  </w:footnote>
  <w:footnote w:id="11">
    <w:p w14:paraId="262F947E" w14:textId="6EB2D3F9" w:rsidR="004A1C17" w:rsidRDefault="004A1C17">
      <w:pPr>
        <w:pStyle w:val="FootnoteText"/>
      </w:pPr>
      <w:r>
        <w:rPr>
          <w:rStyle w:val="FootnoteReference"/>
        </w:rPr>
        <w:footnoteRef/>
      </w:r>
      <w:r>
        <w:t xml:space="preserve"> F</w:t>
      </w:r>
      <w:r w:rsidRPr="004A1C17">
        <w:t>or example, an Australian Standard developed by Standards Australia, the Access Code for Buildings prepared by the Office of the Australian Building Codes Board, or the Disability (Access to Premises – Buildings) Standards 2010 (Cth)</w:t>
      </w:r>
      <w:r>
        <w:t>.</w:t>
      </w:r>
    </w:p>
  </w:footnote>
  <w:footnote w:id="12">
    <w:p w14:paraId="63723AAB" w14:textId="690CE2F5" w:rsidR="004A1C17" w:rsidRDefault="004A1C17">
      <w:pPr>
        <w:pStyle w:val="FootnoteText"/>
      </w:pPr>
      <w:r>
        <w:rPr>
          <w:rStyle w:val="FootnoteReference"/>
        </w:rPr>
        <w:footnoteRef/>
      </w:r>
      <w:r>
        <w:t xml:space="preserve"> </w:t>
      </w:r>
      <w:r w:rsidRPr="004A1C17">
        <w:t>See, for example, Civil Law (Sale of Residential Property) Regulation 2004 [SL2004</w:t>
      </w:r>
      <w:r w:rsidRPr="004A1C17">
        <w:noBreakHyphen/>
        <w:t xml:space="preserve">25], Unit Titles Regulation 2001 [SL2001-15], and the Planning and Development Regulation 2008 [SL2008-2].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FFA2E" w14:textId="77777777" w:rsidR="00C966AA" w:rsidRDefault="00C966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641DC" w14:textId="77777777" w:rsidR="00C966AA" w:rsidRDefault="00C96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9CF8" w14:textId="70861C82" w:rsidR="00181732" w:rsidRPr="00D10891" w:rsidRDefault="00181732" w:rsidP="00DC34B0">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06AF"/>
    <w:multiLevelType w:val="hybridMultilevel"/>
    <w:tmpl w:val="40461B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8702C"/>
    <w:multiLevelType w:val="hybridMultilevel"/>
    <w:tmpl w:val="A5425F4C"/>
    <w:lvl w:ilvl="0" w:tplc="BEC4E5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6D46BB"/>
    <w:multiLevelType w:val="hybridMultilevel"/>
    <w:tmpl w:val="76A87598"/>
    <w:lvl w:ilvl="0" w:tplc="BA9468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42205"/>
    <w:multiLevelType w:val="hybridMultilevel"/>
    <w:tmpl w:val="997819A8"/>
    <w:lvl w:ilvl="0" w:tplc="8222F748">
      <w:start w:val="1"/>
      <w:numFmt w:val="bullet"/>
      <w:pStyle w:val="Asubparabullet"/>
      <w:lvlText w:val=""/>
      <w:lvlJc w:val="left"/>
      <w:pPr>
        <w:tabs>
          <w:tab w:val="num" w:pos="2540"/>
        </w:tabs>
        <w:ind w:left="254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819CF"/>
    <w:multiLevelType w:val="hybridMultilevel"/>
    <w:tmpl w:val="85C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572E0B"/>
    <w:multiLevelType w:val="hybridMultilevel"/>
    <w:tmpl w:val="FD146FC4"/>
    <w:lvl w:ilvl="0" w:tplc="4926B87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B85389"/>
    <w:multiLevelType w:val="hybridMultilevel"/>
    <w:tmpl w:val="95E017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F03ACA"/>
    <w:multiLevelType w:val="hybridMultilevel"/>
    <w:tmpl w:val="60BCA89E"/>
    <w:lvl w:ilvl="0" w:tplc="CCA0B4DE">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8" w15:restartNumberingAfterBreak="0">
    <w:nsid w:val="25590459"/>
    <w:multiLevelType w:val="hybridMultilevel"/>
    <w:tmpl w:val="AE6872C2"/>
    <w:lvl w:ilvl="0" w:tplc="1D8E34D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7D96DED"/>
    <w:multiLevelType w:val="hybridMultilevel"/>
    <w:tmpl w:val="0F78E478"/>
    <w:lvl w:ilvl="0" w:tplc="0C090017">
      <w:start w:val="1"/>
      <w:numFmt w:val="lowerLetter"/>
      <w:lvlText w:val="%1)"/>
      <w:lvlJc w:val="left"/>
      <w:pPr>
        <w:ind w:left="720" w:hanging="360"/>
      </w:pPr>
      <w:rPr>
        <w:rFonts w:hint="default"/>
      </w:rPr>
    </w:lvl>
    <w:lvl w:ilvl="1" w:tplc="8C46D56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5356D2"/>
    <w:multiLevelType w:val="hybridMultilevel"/>
    <w:tmpl w:val="E618D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632084"/>
    <w:multiLevelType w:val="hybridMultilevel"/>
    <w:tmpl w:val="F9BAD900"/>
    <w:lvl w:ilvl="0" w:tplc="8FB6E632">
      <w:start w:val="1"/>
      <w:numFmt w:val="decimal"/>
      <w:lvlText w:val="(%1)"/>
      <w:lvlJc w:val="left"/>
      <w:pPr>
        <w:ind w:left="786" w:hanging="360"/>
      </w:pPr>
      <w:rPr>
        <w:rFonts w:hint="default"/>
        <w:i/>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2F3B3726"/>
    <w:multiLevelType w:val="hybridMultilevel"/>
    <w:tmpl w:val="C93EDCF8"/>
    <w:lvl w:ilvl="0" w:tplc="1972AFB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227B13"/>
    <w:multiLevelType w:val="hybridMultilevel"/>
    <w:tmpl w:val="95E017B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DE5E09"/>
    <w:multiLevelType w:val="hybridMultilevel"/>
    <w:tmpl w:val="7A1E54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6" w15:restartNumberingAfterBreak="0">
    <w:nsid w:val="3C0416AC"/>
    <w:multiLevelType w:val="hybridMultilevel"/>
    <w:tmpl w:val="DABE4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E2594A"/>
    <w:multiLevelType w:val="hybridMultilevel"/>
    <w:tmpl w:val="98AEE372"/>
    <w:lvl w:ilvl="0" w:tplc="5EC647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8357C9"/>
    <w:multiLevelType w:val="hybridMultilevel"/>
    <w:tmpl w:val="2736CD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4D4A10"/>
    <w:multiLevelType w:val="hybridMultilevel"/>
    <w:tmpl w:val="456E1D3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6A022D3"/>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21" w15:restartNumberingAfterBreak="0">
    <w:nsid w:val="46C35E3D"/>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22" w15:restartNumberingAfterBreak="0">
    <w:nsid w:val="4C505300"/>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23" w15:restartNumberingAfterBreak="0">
    <w:nsid w:val="533A0F8B"/>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24" w15:restartNumberingAfterBreak="0">
    <w:nsid w:val="543A0E93"/>
    <w:multiLevelType w:val="hybridMultilevel"/>
    <w:tmpl w:val="DD2EBFE0"/>
    <w:lvl w:ilvl="0" w:tplc="DDA812C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5072550"/>
    <w:multiLevelType w:val="hybridMultilevel"/>
    <w:tmpl w:val="1BF28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A439C3"/>
    <w:multiLevelType w:val="hybridMultilevel"/>
    <w:tmpl w:val="678CC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F65EBE"/>
    <w:multiLevelType w:val="hybridMultilevel"/>
    <w:tmpl w:val="C8A4F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95728D"/>
    <w:multiLevelType w:val="multilevel"/>
    <w:tmpl w:val="54549D3A"/>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5F952923"/>
    <w:multiLevelType w:val="hybridMultilevel"/>
    <w:tmpl w:val="BB94D5C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38F255A"/>
    <w:multiLevelType w:val="hybridMultilevel"/>
    <w:tmpl w:val="5F14F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C627ED"/>
    <w:multiLevelType w:val="hybridMultilevel"/>
    <w:tmpl w:val="B02E6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5D240C"/>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33" w15:restartNumberingAfterBreak="0">
    <w:nsid w:val="6B8939A7"/>
    <w:multiLevelType w:val="hybridMultilevel"/>
    <w:tmpl w:val="E222C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513648"/>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1620"/>
        </w:tabs>
        <w:ind w:left="1620" w:hanging="360"/>
      </w:pPr>
      <w:rPr>
        <w:rFonts w:cs="Times New Roman" w:hint="default"/>
      </w:rPr>
    </w:lvl>
    <w:lvl w:ilvl="2">
      <w:start w:val="1"/>
      <w:numFmt w:val="lowerRoman"/>
      <w:lvlText w:val="%3)"/>
      <w:lvlJc w:val="left"/>
      <w:pPr>
        <w:tabs>
          <w:tab w:val="num" w:pos="1980"/>
        </w:tabs>
        <w:ind w:left="1980"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2700"/>
        </w:tabs>
        <w:ind w:left="270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35" w15:restartNumberingAfterBreak="0">
    <w:nsid w:val="712D2E60"/>
    <w:multiLevelType w:val="hybridMultilevel"/>
    <w:tmpl w:val="907C5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B1397C"/>
    <w:multiLevelType w:val="hybridMultilevel"/>
    <w:tmpl w:val="12326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6D6C72"/>
    <w:multiLevelType w:val="hybridMultilevel"/>
    <w:tmpl w:val="421ED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3E3BA5"/>
    <w:multiLevelType w:val="hybridMultilevel"/>
    <w:tmpl w:val="C5BC5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1B5704"/>
    <w:multiLevelType w:val="hybridMultilevel"/>
    <w:tmpl w:val="B9C8C6AA"/>
    <w:lvl w:ilvl="0" w:tplc="03DA20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AE323F7"/>
    <w:multiLevelType w:val="hybridMultilevel"/>
    <w:tmpl w:val="C3B81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B72AC9"/>
    <w:multiLevelType w:val="hybridMultilevel"/>
    <w:tmpl w:val="A042A3E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4"/>
  </w:num>
  <w:num w:numId="4">
    <w:abstractNumId w:val="30"/>
  </w:num>
  <w:num w:numId="5">
    <w:abstractNumId w:val="41"/>
  </w:num>
  <w:num w:numId="6">
    <w:abstractNumId w:val="17"/>
  </w:num>
  <w:num w:numId="7">
    <w:abstractNumId w:val="5"/>
  </w:num>
  <w:num w:numId="8">
    <w:abstractNumId w:val="39"/>
  </w:num>
  <w:num w:numId="9">
    <w:abstractNumId w:val="19"/>
  </w:num>
  <w:num w:numId="10">
    <w:abstractNumId w:val="6"/>
  </w:num>
  <w:num w:numId="11">
    <w:abstractNumId w:val="13"/>
  </w:num>
  <w:num w:numId="12">
    <w:abstractNumId w:val="2"/>
  </w:num>
  <w:num w:numId="13">
    <w:abstractNumId w:val="11"/>
  </w:num>
  <w:num w:numId="14">
    <w:abstractNumId w:val="7"/>
  </w:num>
  <w:num w:numId="15">
    <w:abstractNumId w:val="8"/>
  </w:num>
  <w:num w:numId="16">
    <w:abstractNumId w:val="29"/>
  </w:num>
  <w:num w:numId="17">
    <w:abstractNumId w:val="15"/>
  </w:num>
  <w:num w:numId="18">
    <w:abstractNumId w:val="21"/>
  </w:num>
  <w:num w:numId="19">
    <w:abstractNumId w:val="34"/>
  </w:num>
  <w:num w:numId="20">
    <w:abstractNumId w:val="20"/>
  </w:num>
  <w:num w:numId="21">
    <w:abstractNumId w:val="22"/>
  </w:num>
  <w:num w:numId="22">
    <w:abstractNumId w:val="23"/>
  </w:num>
  <w:num w:numId="23">
    <w:abstractNumId w:val="32"/>
  </w:num>
  <w:num w:numId="24">
    <w:abstractNumId w:val="38"/>
  </w:num>
  <w:num w:numId="25">
    <w:abstractNumId w:val="31"/>
  </w:num>
  <w:num w:numId="26">
    <w:abstractNumId w:val="37"/>
  </w:num>
  <w:num w:numId="27">
    <w:abstractNumId w:val="14"/>
  </w:num>
  <w:num w:numId="28">
    <w:abstractNumId w:val="33"/>
  </w:num>
  <w:num w:numId="29">
    <w:abstractNumId w:val="1"/>
  </w:num>
  <w:num w:numId="30">
    <w:abstractNumId w:val="12"/>
  </w:num>
  <w:num w:numId="31">
    <w:abstractNumId w:val="25"/>
  </w:num>
  <w:num w:numId="32">
    <w:abstractNumId w:val="26"/>
  </w:num>
  <w:num w:numId="33">
    <w:abstractNumId w:val="4"/>
  </w:num>
  <w:num w:numId="34">
    <w:abstractNumId w:val="18"/>
  </w:num>
  <w:num w:numId="35">
    <w:abstractNumId w:val="35"/>
  </w:num>
  <w:num w:numId="36">
    <w:abstractNumId w:val="27"/>
  </w:num>
  <w:num w:numId="37">
    <w:abstractNumId w:val="16"/>
  </w:num>
  <w:num w:numId="38">
    <w:abstractNumId w:val="40"/>
  </w:num>
  <w:num w:numId="39">
    <w:abstractNumId w:val="0"/>
  </w:num>
  <w:num w:numId="40">
    <w:abstractNumId w:val="36"/>
  </w:num>
  <w:num w:numId="41">
    <w:abstractNumId w:val="10"/>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73"/>
    <w:rsid w:val="000000CC"/>
    <w:rsid w:val="00000717"/>
    <w:rsid w:val="00001B99"/>
    <w:rsid w:val="000020EB"/>
    <w:rsid w:val="00002F3D"/>
    <w:rsid w:val="0000372D"/>
    <w:rsid w:val="00003B81"/>
    <w:rsid w:val="00004E96"/>
    <w:rsid w:val="00004FBC"/>
    <w:rsid w:val="00005BEA"/>
    <w:rsid w:val="0000712E"/>
    <w:rsid w:val="00007327"/>
    <w:rsid w:val="00007442"/>
    <w:rsid w:val="00007876"/>
    <w:rsid w:val="00007A84"/>
    <w:rsid w:val="00010D52"/>
    <w:rsid w:val="00012E77"/>
    <w:rsid w:val="000135D1"/>
    <w:rsid w:val="0001364F"/>
    <w:rsid w:val="00014248"/>
    <w:rsid w:val="0001472C"/>
    <w:rsid w:val="00017992"/>
    <w:rsid w:val="00017C13"/>
    <w:rsid w:val="00020112"/>
    <w:rsid w:val="00023ED9"/>
    <w:rsid w:val="00027B93"/>
    <w:rsid w:val="00032416"/>
    <w:rsid w:val="00032AB3"/>
    <w:rsid w:val="00033156"/>
    <w:rsid w:val="0003372C"/>
    <w:rsid w:val="0003388D"/>
    <w:rsid w:val="000349B9"/>
    <w:rsid w:val="00035E80"/>
    <w:rsid w:val="00036B18"/>
    <w:rsid w:val="0003768E"/>
    <w:rsid w:val="00037701"/>
    <w:rsid w:val="00040A4E"/>
    <w:rsid w:val="00040E18"/>
    <w:rsid w:val="00044548"/>
    <w:rsid w:val="00044FC0"/>
    <w:rsid w:val="00045199"/>
    <w:rsid w:val="00045F7B"/>
    <w:rsid w:val="0004600D"/>
    <w:rsid w:val="00046E9A"/>
    <w:rsid w:val="00047007"/>
    <w:rsid w:val="00047663"/>
    <w:rsid w:val="000514B6"/>
    <w:rsid w:val="00053719"/>
    <w:rsid w:val="000538C9"/>
    <w:rsid w:val="00053FD3"/>
    <w:rsid w:val="000544C1"/>
    <w:rsid w:val="00054831"/>
    <w:rsid w:val="00057AD6"/>
    <w:rsid w:val="0006068E"/>
    <w:rsid w:val="000609CB"/>
    <w:rsid w:val="000614C8"/>
    <w:rsid w:val="000637D9"/>
    <w:rsid w:val="00064415"/>
    <w:rsid w:val="000644BA"/>
    <w:rsid w:val="00064C5F"/>
    <w:rsid w:val="00064F52"/>
    <w:rsid w:val="00066ED4"/>
    <w:rsid w:val="000703A1"/>
    <w:rsid w:val="00073B5A"/>
    <w:rsid w:val="00074A1C"/>
    <w:rsid w:val="00075204"/>
    <w:rsid w:val="00075351"/>
    <w:rsid w:val="00075CA8"/>
    <w:rsid w:val="00080703"/>
    <w:rsid w:val="00080F04"/>
    <w:rsid w:val="000849C7"/>
    <w:rsid w:val="00086913"/>
    <w:rsid w:val="00087A9F"/>
    <w:rsid w:val="0009119A"/>
    <w:rsid w:val="00091677"/>
    <w:rsid w:val="00092274"/>
    <w:rsid w:val="000927B8"/>
    <w:rsid w:val="00092802"/>
    <w:rsid w:val="000934FD"/>
    <w:rsid w:val="00094A15"/>
    <w:rsid w:val="00094F32"/>
    <w:rsid w:val="0009592B"/>
    <w:rsid w:val="00095DB2"/>
    <w:rsid w:val="000A0F25"/>
    <w:rsid w:val="000A1F0F"/>
    <w:rsid w:val="000A26AB"/>
    <w:rsid w:val="000A29BD"/>
    <w:rsid w:val="000A58F9"/>
    <w:rsid w:val="000A5B0C"/>
    <w:rsid w:val="000A6828"/>
    <w:rsid w:val="000A6951"/>
    <w:rsid w:val="000A6CA7"/>
    <w:rsid w:val="000A7AE3"/>
    <w:rsid w:val="000B0349"/>
    <w:rsid w:val="000B33DC"/>
    <w:rsid w:val="000B64BF"/>
    <w:rsid w:val="000C0DDB"/>
    <w:rsid w:val="000C10E8"/>
    <w:rsid w:val="000C27D0"/>
    <w:rsid w:val="000C4573"/>
    <w:rsid w:val="000C57B6"/>
    <w:rsid w:val="000C5F74"/>
    <w:rsid w:val="000C63C7"/>
    <w:rsid w:val="000C6BDF"/>
    <w:rsid w:val="000C7128"/>
    <w:rsid w:val="000C7BF5"/>
    <w:rsid w:val="000D3854"/>
    <w:rsid w:val="000D5888"/>
    <w:rsid w:val="000D5C3D"/>
    <w:rsid w:val="000D653D"/>
    <w:rsid w:val="000E059F"/>
    <w:rsid w:val="000E062D"/>
    <w:rsid w:val="000E271C"/>
    <w:rsid w:val="000E35D1"/>
    <w:rsid w:val="000E39FB"/>
    <w:rsid w:val="000E3AC7"/>
    <w:rsid w:val="000E3B7B"/>
    <w:rsid w:val="000E4E79"/>
    <w:rsid w:val="000E6CA9"/>
    <w:rsid w:val="000E7F37"/>
    <w:rsid w:val="000F0B68"/>
    <w:rsid w:val="000F0F0B"/>
    <w:rsid w:val="000F32B0"/>
    <w:rsid w:val="000F3A7C"/>
    <w:rsid w:val="000F3B07"/>
    <w:rsid w:val="00103355"/>
    <w:rsid w:val="001059C2"/>
    <w:rsid w:val="00105B77"/>
    <w:rsid w:val="00106A54"/>
    <w:rsid w:val="00106E29"/>
    <w:rsid w:val="00107FCF"/>
    <w:rsid w:val="00110439"/>
    <w:rsid w:val="00112E17"/>
    <w:rsid w:val="00112F14"/>
    <w:rsid w:val="001130DE"/>
    <w:rsid w:val="0011501A"/>
    <w:rsid w:val="00115563"/>
    <w:rsid w:val="00116AEB"/>
    <w:rsid w:val="00116CEB"/>
    <w:rsid w:val="00117761"/>
    <w:rsid w:val="00117AC6"/>
    <w:rsid w:val="001204EC"/>
    <w:rsid w:val="00120C35"/>
    <w:rsid w:val="00120DA3"/>
    <w:rsid w:val="00121EEA"/>
    <w:rsid w:val="00122882"/>
    <w:rsid w:val="001229ED"/>
    <w:rsid w:val="00123108"/>
    <w:rsid w:val="00123D96"/>
    <w:rsid w:val="00127B66"/>
    <w:rsid w:val="001309E3"/>
    <w:rsid w:val="00132153"/>
    <w:rsid w:val="001326C3"/>
    <w:rsid w:val="0013456B"/>
    <w:rsid w:val="001401BB"/>
    <w:rsid w:val="001419CC"/>
    <w:rsid w:val="00142493"/>
    <w:rsid w:val="0014251F"/>
    <w:rsid w:val="001431E7"/>
    <w:rsid w:val="00144684"/>
    <w:rsid w:val="00146F44"/>
    <w:rsid w:val="0014757E"/>
    <w:rsid w:val="00147F55"/>
    <w:rsid w:val="001518B4"/>
    <w:rsid w:val="00152347"/>
    <w:rsid w:val="001528B9"/>
    <w:rsid w:val="001533EC"/>
    <w:rsid w:val="00153E94"/>
    <w:rsid w:val="001560BD"/>
    <w:rsid w:val="00156A0A"/>
    <w:rsid w:val="00157AF8"/>
    <w:rsid w:val="00160A1D"/>
    <w:rsid w:val="00161FDD"/>
    <w:rsid w:val="00162197"/>
    <w:rsid w:val="001628B2"/>
    <w:rsid w:val="00163654"/>
    <w:rsid w:val="00164372"/>
    <w:rsid w:val="00164941"/>
    <w:rsid w:val="00166864"/>
    <w:rsid w:val="00167CE0"/>
    <w:rsid w:val="00171DA6"/>
    <w:rsid w:val="00172EA7"/>
    <w:rsid w:val="00180816"/>
    <w:rsid w:val="00181732"/>
    <w:rsid w:val="00181DB3"/>
    <w:rsid w:val="001820B8"/>
    <w:rsid w:val="001839B4"/>
    <w:rsid w:val="00183C1B"/>
    <w:rsid w:val="00183F58"/>
    <w:rsid w:val="001863C3"/>
    <w:rsid w:val="00186406"/>
    <w:rsid w:val="001867F4"/>
    <w:rsid w:val="00191631"/>
    <w:rsid w:val="00191D5A"/>
    <w:rsid w:val="00192729"/>
    <w:rsid w:val="001934EF"/>
    <w:rsid w:val="00194312"/>
    <w:rsid w:val="00195900"/>
    <w:rsid w:val="00196555"/>
    <w:rsid w:val="00196846"/>
    <w:rsid w:val="00197B30"/>
    <w:rsid w:val="001A0407"/>
    <w:rsid w:val="001A0950"/>
    <w:rsid w:val="001A1609"/>
    <w:rsid w:val="001A1A58"/>
    <w:rsid w:val="001A22F6"/>
    <w:rsid w:val="001A2F4A"/>
    <w:rsid w:val="001A4B59"/>
    <w:rsid w:val="001A697A"/>
    <w:rsid w:val="001A7176"/>
    <w:rsid w:val="001A7AF8"/>
    <w:rsid w:val="001B1D78"/>
    <w:rsid w:val="001B2012"/>
    <w:rsid w:val="001B29BB"/>
    <w:rsid w:val="001B2C6F"/>
    <w:rsid w:val="001B46E7"/>
    <w:rsid w:val="001B6B0D"/>
    <w:rsid w:val="001B7F2F"/>
    <w:rsid w:val="001C1219"/>
    <w:rsid w:val="001C129C"/>
    <w:rsid w:val="001C5113"/>
    <w:rsid w:val="001C6764"/>
    <w:rsid w:val="001D0C47"/>
    <w:rsid w:val="001D5085"/>
    <w:rsid w:val="001D5247"/>
    <w:rsid w:val="001D7A6F"/>
    <w:rsid w:val="001D7C6A"/>
    <w:rsid w:val="001E04C4"/>
    <w:rsid w:val="001E0B6B"/>
    <w:rsid w:val="001E1405"/>
    <w:rsid w:val="001E14E5"/>
    <w:rsid w:val="001E2FA0"/>
    <w:rsid w:val="001E3088"/>
    <w:rsid w:val="001E3225"/>
    <w:rsid w:val="001E4161"/>
    <w:rsid w:val="001E673C"/>
    <w:rsid w:val="001E6E62"/>
    <w:rsid w:val="001E70CC"/>
    <w:rsid w:val="001F0943"/>
    <w:rsid w:val="001F0F85"/>
    <w:rsid w:val="001F1CF5"/>
    <w:rsid w:val="001F3C9E"/>
    <w:rsid w:val="001F459C"/>
    <w:rsid w:val="001F4B31"/>
    <w:rsid w:val="001F51EA"/>
    <w:rsid w:val="001F7225"/>
    <w:rsid w:val="001F7F82"/>
    <w:rsid w:val="0020029D"/>
    <w:rsid w:val="00201AC9"/>
    <w:rsid w:val="0020201C"/>
    <w:rsid w:val="00202CC0"/>
    <w:rsid w:val="00204AF2"/>
    <w:rsid w:val="00204E2A"/>
    <w:rsid w:val="002056C3"/>
    <w:rsid w:val="002069DC"/>
    <w:rsid w:val="002077B0"/>
    <w:rsid w:val="00207A9A"/>
    <w:rsid w:val="002100C4"/>
    <w:rsid w:val="0021153E"/>
    <w:rsid w:val="0021160B"/>
    <w:rsid w:val="00211984"/>
    <w:rsid w:val="00212E45"/>
    <w:rsid w:val="0021415D"/>
    <w:rsid w:val="00214C3A"/>
    <w:rsid w:val="002158AB"/>
    <w:rsid w:val="00220AF5"/>
    <w:rsid w:val="00220EC9"/>
    <w:rsid w:val="00223C89"/>
    <w:rsid w:val="002240D5"/>
    <w:rsid w:val="002302BC"/>
    <w:rsid w:val="0023078B"/>
    <w:rsid w:val="00230BB7"/>
    <w:rsid w:val="00232234"/>
    <w:rsid w:val="002325A8"/>
    <w:rsid w:val="00232F8C"/>
    <w:rsid w:val="00234D9B"/>
    <w:rsid w:val="0023548D"/>
    <w:rsid w:val="00236F62"/>
    <w:rsid w:val="0023776F"/>
    <w:rsid w:val="0024126E"/>
    <w:rsid w:val="00241AE5"/>
    <w:rsid w:val="00242176"/>
    <w:rsid w:val="002452CC"/>
    <w:rsid w:val="00250D93"/>
    <w:rsid w:val="00251735"/>
    <w:rsid w:val="002521B3"/>
    <w:rsid w:val="0025446B"/>
    <w:rsid w:val="00255159"/>
    <w:rsid w:val="00257E4A"/>
    <w:rsid w:val="00260000"/>
    <w:rsid w:val="00260AB5"/>
    <w:rsid w:val="00263E4D"/>
    <w:rsid w:val="00266B32"/>
    <w:rsid w:val="00267BF3"/>
    <w:rsid w:val="00267F4A"/>
    <w:rsid w:val="002703B1"/>
    <w:rsid w:val="00274958"/>
    <w:rsid w:val="002758B6"/>
    <w:rsid w:val="00276F1F"/>
    <w:rsid w:val="00277EF7"/>
    <w:rsid w:val="00280B79"/>
    <w:rsid w:val="00281756"/>
    <w:rsid w:val="00281FE1"/>
    <w:rsid w:val="00285438"/>
    <w:rsid w:val="0028556B"/>
    <w:rsid w:val="00291BDA"/>
    <w:rsid w:val="00293A4C"/>
    <w:rsid w:val="002967E5"/>
    <w:rsid w:val="00296CCB"/>
    <w:rsid w:val="00297D49"/>
    <w:rsid w:val="002A0A06"/>
    <w:rsid w:val="002A0F2E"/>
    <w:rsid w:val="002A2ECB"/>
    <w:rsid w:val="002A315C"/>
    <w:rsid w:val="002A376F"/>
    <w:rsid w:val="002A67D2"/>
    <w:rsid w:val="002A6973"/>
    <w:rsid w:val="002A6B04"/>
    <w:rsid w:val="002A6E4F"/>
    <w:rsid w:val="002A7B09"/>
    <w:rsid w:val="002B13B1"/>
    <w:rsid w:val="002B238D"/>
    <w:rsid w:val="002B3E5E"/>
    <w:rsid w:val="002B516F"/>
    <w:rsid w:val="002B5626"/>
    <w:rsid w:val="002B6965"/>
    <w:rsid w:val="002C0770"/>
    <w:rsid w:val="002C1633"/>
    <w:rsid w:val="002C2001"/>
    <w:rsid w:val="002C2312"/>
    <w:rsid w:val="002C3225"/>
    <w:rsid w:val="002C3B42"/>
    <w:rsid w:val="002C3F6E"/>
    <w:rsid w:val="002C63BF"/>
    <w:rsid w:val="002C6F03"/>
    <w:rsid w:val="002C7ED2"/>
    <w:rsid w:val="002D0070"/>
    <w:rsid w:val="002D1417"/>
    <w:rsid w:val="002D35B4"/>
    <w:rsid w:val="002D3CA4"/>
    <w:rsid w:val="002D4A6F"/>
    <w:rsid w:val="002D4C2F"/>
    <w:rsid w:val="002E2C8E"/>
    <w:rsid w:val="002E42EE"/>
    <w:rsid w:val="002E63BF"/>
    <w:rsid w:val="002E697C"/>
    <w:rsid w:val="002E6E4A"/>
    <w:rsid w:val="002E6EB3"/>
    <w:rsid w:val="002E7332"/>
    <w:rsid w:val="002F04CF"/>
    <w:rsid w:val="002F2CC1"/>
    <w:rsid w:val="002F6BDE"/>
    <w:rsid w:val="00300028"/>
    <w:rsid w:val="003027E3"/>
    <w:rsid w:val="00303261"/>
    <w:rsid w:val="003052CE"/>
    <w:rsid w:val="0030533C"/>
    <w:rsid w:val="003059DC"/>
    <w:rsid w:val="00305F7E"/>
    <w:rsid w:val="00310016"/>
    <w:rsid w:val="0031176F"/>
    <w:rsid w:val="0031465E"/>
    <w:rsid w:val="00315A40"/>
    <w:rsid w:val="00317CDA"/>
    <w:rsid w:val="00321CBA"/>
    <w:rsid w:val="00322A80"/>
    <w:rsid w:val="00323260"/>
    <w:rsid w:val="0032634D"/>
    <w:rsid w:val="00326CE7"/>
    <w:rsid w:val="00327136"/>
    <w:rsid w:val="003332C0"/>
    <w:rsid w:val="00333694"/>
    <w:rsid w:val="00333DFC"/>
    <w:rsid w:val="00333E2B"/>
    <w:rsid w:val="003349AA"/>
    <w:rsid w:val="00335D35"/>
    <w:rsid w:val="0033672D"/>
    <w:rsid w:val="00340B5F"/>
    <w:rsid w:val="00341934"/>
    <w:rsid w:val="00341BC7"/>
    <w:rsid w:val="00341CC2"/>
    <w:rsid w:val="00343135"/>
    <w:rsid w:val="003439FB"/>
    <w:rsid w:val="0034462C"/>
    <w:rsid w:val="00345C51"/>
    <w:rsid w:val="00345F43"/>
    <w:rsid w:val="003465E4"/>
    <w:rsid w:val="00347879"/>
    <w:rsid w:val="0035120A"/>
    <w:rsid w:val="00355E25"/>
    <w:rsid w:val="003611D4"/>
    <w:rsid w:val="00361DD4"/>
    <w:rsid w:val="003630FE"/>
    <w:rsid w:val="003666C3"/>
    <w:rsid w:val="00366CD1"/>
    <w:rsid w:val="00367B46"/>
    <w:rsid w:val="0037147F"/>
    <w:rsid w:val="00371978"/>
    <w:rsid w:val="00372449"/>
    <w:rsid w:val="00374815"/>
    <w:rsid w:val="003830FF"/>
    <w:rsid w:val="0038378E"/>
    <w:rsid w:val="00384DA6"/>
    <w:rsid w:val="003853EE"/>
    <w:rsid w:val="003864A6"/>
    <w:rsid w:val="0038735E"/>
    <w:rsid w:val="00387A84"/>
    <w:rsid w:val="003910F2"/>
    <w:rsid w:val="00391FA0"/>
    <w:rsid w:val="0039773E"/>
    <w:rsid w:val="003A0563"/>
    <w:rsid w:val="003A292E"/>
    <w:rsid w:val="003A3A50"/>
    <w:rsid w:val="003A59C8"/>
    <w:rsid w:val="003A6BBE"/>
    <w:rsid w:val="003A6E37"/>
    <w:rsid w:val="003A7D66"/>
    <w:rsid w:val="003B08E6"/>
    <w:rsid w:val="003B0E51"/>
    <w:rsid w:val="003B294F"/>
    <w:rsid w:val="003B6AC8"/>
    <w:rsid w:val="003B6F6B"/>
    <w:rsid w:val="003B707D"/>
    <w:rsid w:val="003C0B1C"/>
    <w:rsid w:val="003C158F"/>
    <w:rsid w:val="003C1B02"/>
    <w:rsid w:val="003C1C3D"/>
    <w:rsid w:val="003C2E55"/>
    <w:rsid w:val="003C33E9"/>
    <w:rsid w:val="003C48C3"/>
    <w:rsid w:val="003C70D4"/>
    <w:rsid w:val="003D00B8"/>
    <w:rsid w:val="003D38F6"/>
    <w:rsid w:val="003D5649"/>
    <w:rsid w:val="003D5A6C"/>
    <w:rsid w:val="003E0425"/>
    <w:rsid w:val="003E0DD7"/>
    <w:rsid w:val="003E3329"/>
    <w:rsid w:val="003E3718"/>
    <w:rsid w:val="003E3DE4"/>
    <w:rsid w:val="003E46DA"/>
    <w:rsid w:val="003E6D4D"/>
    <w:rsid w:val="003F1ABF"/>
    <w:rsid w:val="003F1E06"/>
    <w:rsid w:val="003F293F"/>
    <w:rsid w:val="003F3545"/>
    <w:rsid w:val="003F35C4"/>
    <w:rsid w:val="003F3B82"/>
    <w:rsid w:val="003F49C8"/>
    <w:rsid w:val="003F6D9C"/>
    <w:rsid w:val="00400DD6"/>
    <w:rsid w:val="00401F05"/>
    <w:rsid w:val="004025A8"/>
    <w:rsid w:val="00403063"/>
    <w:rsid w:val="0040420C"/>
    <w:rsid w:val="004044C8"/>
    <w:rsid w:val="004047F2"/>
    <w:rsid w:val="00404F80"/>
    <w:rsid w:val="00404FAC"/>
    <w:rsid w:val="00405226"/>
    <w:rsid w:val="004074D8"/>
    <w:rsid w:val="004101A4"/>
    <w:rsid w:val="00410E04"/>
    <w:rsid w:val="00411CD4"/>
    <w:rsid w:val="00414B9F"/>
    <w:rsid w:val="00416FB6"/>
    <w:rsid w:val="004179AD"/>
    <w:rsid w:val="0042176F"/>
    <w:rsid w:val="004219B7"/>
    <w:rsid w:val="00421EAD"/>
    <w:rsid w:val="00422B36"/>
    <w:rsid w:val="00423228"/>
    <w:rsid w:val="00423FBF"/>
    <w:rsid w:val="00425288"/>
    <w:rsid w:val="004257F7"/>
    <w:rsid w:val="0042670B"/>
    <w:rsid w:val="00435DA6"/>
    <w:rsid w:val="00435F14"/>
    <w:rsid w:val="00436ACC"/>
    <w:rsid w:val="00436C23"/>
    <w:rsid w:val="00437DC6"/>
    <w:rsid w:val="004420A2"/>
    <w:rsid w:val="00442BAF"/>
    <w:rsid w:val="004437E0"/>
    <w:rsid w:val="00446948"/>
    <w:rsid w:val="004505B3"/>
    <w:rsid w:val="00450C65"/>
    <w:rsid w:val="004532CF"/>
    <w:rsid w:val="00453541"/>
    <w:rsid w:val="00455572"/>
    <w:rsid w:val="00455CB7"/>
    <w:rsid w:val="00455EE0"/>
    <w:rsid w:val="004566D6"/>
    <w:rsid w:val="004571B1"/>
    <w:rsid w:val="00460FE8"/>
    <w:rsid w:val="00463FC4"/>
    <w:rsid w:val="0046503E"/>
    <w:rsid w:val="00467573"/>
    <w:rsid w:val="00467D64"/>
    <w:rsid w:val="00470491"/>
    <w:rsid w:val="0047055F"/>
    <w:rsid w:val="00470F9A"/>
    <w:rsid w:val="00473C22"/>
    <w:rsid w:val="00473EF8"/>
    <w:rsid w:val="00474159"/>
    <w:rsid w:val="004749D6"/>
    <w:rsid w:val="00475938"/>
    <w:rsid w:val="00477815"/>
    <w:rsid w:val="00481B64"/>
    <w:rsid w:val="004834B4"/>
    <w:rsid w:val="00483F4C"/>
    <w:rsid w:val="0048405E"/>
    <w:rsid w:val="004843C9"/>
    <w:rsid w:val="00484514"/>
    <w:rsid w:val="004846A1"/>
    <w:rsid w:val="004851F8"/>
    <w:rsid w:val="00485B80"/>
    <w:rsid w:val="00490312"/>
    <w:rsid w:val="00490953"/>
    <w:rsid w:val="00490F5B"/>
    <w:rsid w:val="00495272"/>
    <w:rsid w:val="004A1A35"/>
    <w:rsid w:val="004A1C17"/>
    <w:rsid w:val="004A2119"/>
    <w:rsid w:val="004A3E7B"/>
    <w:rsid w:val="004A4934"/>
    <w:rsid w:val="004A4DBD"/>
    <w:rsid w:val="004A70B6"/>
    <w:rsid w:val="004A7833"/>
    <w:rsid w:val="004A7BFC"/>
    <w:rsid w:val="004B1874"/>
    <w:rsid w:val="004B1DEC"/>
    <w:rsid w:val="004B2695"/>
    <w:rsid w:val="004B5463"/>
    <w:rsid w:val="004B5522"/>
    <w:rsid w:val="004B55A1"/>
    <w:rsid w:val="004B6BAE"/>
    <w:rsid w:val="004B6E16"/>
    <w:rsid w:val="004B7EC4"/>
    <w:rsid w:val="004C33AD"/>
    <w:rsid w:val="004C4CED"/>
    <w:rsid w:val="004C7E04"/>
    <w:rsid w:val="004C7F9F"/>
    <w:rsid w:val="004D035F"/>
    <w:rsid w:val="004D0F79"/>
    <w:rsid w:val="004D135D"/>
    <w:rsid w:val="004D1618"/>
    <w:rsid w:val="004D2031"/>
    <w:rsid w:val="004D3B95"/>
    <w:rsid w:val="004D3F74"/>
    <w:rsid w:val="004D406C"/>
    <w:rsid w:val="004D4DD4"/>
    <w:rsid w:val="004D63E0"/>
    <w:rsid w:val="004D63E6"/>
    <w:rsid w:val="004E00CD"/>
    <w:rsid w:val="004E0458"/>
    <w:rsid w:val="004E0844"/>
    <w:rsid w:val="004E1257"/>
    <w:rsid w:val="004E230F"/>
    <w:rsid w:val="004E241C"/>
    <w:rsid w:val="004E392C"/>
    <w:rsid w:val="004E3A6F"/>
    <w:rsid w:val="004E4545"/>
    <w:rsid w:val="004E56CA"/>
    <w:rsid w:val="004E6677"/>
    <w:rsid w:val="004E6ED7"/>
    <w:rsid w:val="004E7C1A"/>
    <w:rsid w:val="004F049F"/>
    <w:rsid w:val="004F0FDD"/>
    <w:rsid w:val="004F1497"/>
    <w:rsid w:val="004F1F7B"/>
    <w:rsid w:val="004F4E19"/>
    <w:rsid w:val="004F4FCC"/>
    <w:rsid w:val="005016D2"/>
    <w:rsid w:val="00502486"/>
    <w:rsid w:val="00504734"/>
    <w:rsid w:val="00506829"/>
    <w:rsid w:val="00513D3B"/>
    <w:rsid w:val="005156ED"/>
    <w:rsid w:val="0051708B"/>
    <w:rsid w:val="00517D78"/>
    <w:rsid w:val="005209F0"/>
    <w:rsid w:val="00526D00"/>
    <w:rsid w:val="005308D0"/>
    <w:rsid w:val="005311D0"/>
    <w:rsid w:val="005312E2"/>
    <w:rsid w:val="00534B61"/>
    <w:rsid w:val="00534DA6"/>
    <w:rsid w:val="00535FF3"/>
    <w:rsid w:val="00537D50"/>
    <w:rsid w:val="00540C6C"/>
    <w:rsid w:val="00541D89"/>
    <w:rsid w:val="00542112"/>
    <w:rsid w:val="0054753C"/>
    <w:rsid w:val="00550847"/>
    <w:rsid w:val="005525E0"/>
    <w:rsid w:val="005546EA"/>
    <w:rsid w:val="00555562"/>
    <w:rsid w:val="00555F0B"/>
    <w:rsid w:val="00556CE7"/>
    <w:rsid w:val="0056142E"/>
    <w:rsid w:val="00561E06"/>
    <w:rsid w:val="00562754"/>
    <w:rsid w:val="00562B7A"/>
    <w:rsid w:val="00563CA9"/>
    <w:rsid w:val="00563E73"/>
    <w:rsid w:val="00565739"/>
    <w:rsid w:val="00567EA1"/>
    <w:rsid w:val="00570D48"/>
    <w:rsid w:val="00572579"/>
    <w:rsid w:val="00572894"/>
    <w:rsid w:val="005736BC"/>
    <w:rsid w:val="0057380D"/>
    <w:rsid w:val="00574363"/>
    <w:rsid w:val="00581B98"/>
    <w:rsid w:val="0058325E"/>
    <w:rsid w:val="00587A28"/>
    <w:rsid w:val="00591FF7"/>
    <w:rsid w:val="005927AB"/>
    <w:rsid w:val="0059389C"/>
    <w:rsid w:val="00595093"/>
    <w:rsid w:val="00595698"/>
    <w:rsid w:val="00595C7D"/>
    <w:rsid w:val="00596473"/>
    <w:rsid w:val="0059750D"/>
    <w:rsid w:val="005A051F"/>
    <w:rsid w:val="005A1925"/>
    <w:rsid w:val="005A32C4"/>
    <w:rsid w:val="005A3F98"/>
    <w:rsid w:val="005A5C1F"/>
    <w:rsid w:val="005A62B9"/>
    <w:rsid w:val="005A65CC"/>
    <w:rsid w:val="005B0C7B"/>
    <w:rsid w:val="005B0CB7"/>
    <w:rsid w:val="005B2A17"/>
    <w:rsid w:val="005B30F4"/>
    <w:rsid w:val="005B33BA"/>
    <w:rsid w:val="005B3A29"/>
    <w:rsid w:val="005B4E6D"/>
    <w:rsid w:val="005B68FD"/>
    <w:rsid w:val="005B7A77"/>
    <w:rsid w:val="005C0781"/>
    <w:rsid w:val="005C10B2"/>
    <w:rsid w:val="005C2CA5"/>
    <w:rsid w:val="005C350A"/>
    <w:rsid w:val="005C434B"/>
    <w:rsid w:val="005C4E6B"/>
    <w:rsid w:val="005C4EFE"/>
    <w:rsid w:val="005C574F"/>
    <w:rsid w:val="005C6591"/>
    <w:rsid w:val="005D04E5"/>
    <w:rsid w:val="005D1396"/>
    <w:rsid w:val="005D13F0"/>
    <w:rsid w:val="005D2716"/>
    <w:rsid w:val="005E0E90"/>
    <w:rsid w:val="005E1A9E"/>
    <w:rsid w:val="005E2338"/>
    <w:rsid w:val="005E26A6"/>
    <w:rsid w:val="005E488D"/>
    <w:rsid w:val="005E6602"/>
    <w:rsid w:val="005F0604"/>
    <w:rsid w:val="005F1252"/>
    <w:rsid w:val="005F1FB8"/>
    <w:rsid w:val="005F2014"/>
    <w:rsid w:val="005F270D"/>
    <w:rsid w:val="005F2EC2"/>
    <w:rsid w:val="005F3155"/>
    <w:rsid w:val="005F4BF9"/>
    <w:rsid w:val="005F5105"/>
    <w:rsid w:val="005F77C5"/>
    <w:rsid w:val="00600DAA"/>
    <w:rsid w:val="0060165B"/>
    <w:rsid w:val="00602938"/>
    <w:rsid w:val="00603267"/>
    <w:rsid w:val="0060391F"/>
    <w:rsid w:val="00604400"/>
    <w:rsid w:val="00605DD8"/>
    <w:rsid w:val="00606281"/>
    <w:rsid w:val="00606957"/>
    <w:rsid w:val="0061109C"/>
    <w:rsid w:val="00611108"/>
    <w:rsid w:val="00612C04"/>
    <w:rsid w:val="0061300D"/>
    <w:rsid w:val="00613A29"/>
    <w:rsid w:val="0061538E"/>
    <w:rsid w:val="00615479"/>
    <w:rsid w:val="00615615"/>
    <w:rsid w:val="006165C6"/>
    <w:rsid w:val="0062012D"/>
    <w:rsid w:val="006209B7"/>
    <w:rsid w:val="00620C07"/>
    <w:rsid w:val="00622FBD"/>
    <w:rsid w:val="006230ED"/>
    <w:rsid w:val="00623208"/>
    <w:rsid w:val="00623A2D"/>
    <w:rsid w:val="00623AFE"/>
    <w:rsid w:val="00624174"/>
    <w:rsid w:val="00624E11"/>
    <w:rsid w:val="00626036"/>
    <w:rsid w:val="0062719A"/>
    <w:rsid w:val="006305BB"/>
    <w:rsid w:val="00634D17"/>
    <w:rsid w:val="00635D8A"/>
    <w:rsid w:val="00642254"/>
    <w:rsid w:val="00644EA6"/>
    <w:rsid w:val="00644F2F"/>
    <w:rsid w:val="00646B9D"/>
    <w:rsid w:val="006502CF"/>
    <w:rsid w:val="00650D75"/>
    <w:rsid w:val="0065219E"/>
    <w:rsid w:val="00652953"/>
    <w:rsid w:val="00654525"/>
    <w:rsid w:val="00656BAC"/>
    <w:rsid w:val="0065790D"/>
    <w:rsid w:val="00657EC8"/>
    <w:rsid w:val="0066087C"/>
    <w:rsid w:val="00661C98"/>
    <w:rsid w:val="006620AD"/>
    <w:rsid w:val="00664F5E"/>
    <w:rsid w:val="00666B0B"/>
    <w:rsid w:val="00667889"/>
    <w:rsid w:val="00672C8A"/>
    <w:rsid w:val="006737BB"/>
    <w:rsid w:val="00674609"/>
    <w:rsid w:val="00674732"/>
    <w:rsid w:val="00675279"/>
    <w:rsid w:val="00676501"/>
    <w:rsid w:val="00677D6F"/>
    <w:rsid w:val="0068055A"/>
    <w:rsid w:val="00680855"/>
    <w:rsid w:val="00681386"/>
    <w:rsid w:val="006815B6"/>
    <w:rsid w:val="00681691"/>
    <w:rsid w:val="006821C4"/>
    <w:rsid w:val="00683C89"/>
    <w:rsid w:val="00684F8B"/>
    <w:rsid w:val="006860B0"/>
    <w:rsid w:val="0069051B"/>
    <w:rsid w:val="00690E40"/>
    <w:rsid w:val="006920FA"/>
    <w:rsid w:val="00693EFD"/>
    <w:rsid w:val="006A2057"/>
    <w:rsid w:val="006A2196"/>
    <w:rsid w:val="006A36C7"/>
    <w:rsid w:val="006A7DCF"/>
    <w:rsid w:val="006B0173"/>
    <w:rsid w:val="006B10C6"/>
    <w:rsid w:val="006B140E"/>
    <w:rsid w:val="006B235D"/>
    <w:rsid w:val="006B3487"/>
    <w:rsid w:val="006B5735"/>
    <w:rsid w:val="006B6171"/>
    <w:rsid w:val="006B7CF2"/>
    <w:rsid w:val="006C0E82"/>
    <w:rsid w:val="006C3254"/>
    <w:rsid w:val="006C37AC"/>
    <w:rsid w:val="006C41E0"/>
    <w:rsid w:val="006C44D8"/>
    <w:rsid w:val="006C46EC"/>
    <w:rsid w:val="006C64A7"/>
    <w:rsid w:val="006C6E4B"/>
    <w:rsid w:val="006D2206"/>
    <w:rsid w:val="006D2736"/>
    <w:rsid w:val="006D3C0A"/>
    <w:rsid w:val="006D44F8"/>
    <w:rsid w:val="006D5710"/>
    <w:rsid w:val="006D5928"/>
    <w:rsid w:val="006D5E08"/>
    <w:rsid w:val="006D6CC2"/>
    <w:rsid w:val="006D6FC6"/>
    <w:rsid w:val="006E332B"/>
    <w:rsid w:val="006E3334"/>
    <w:rsid w:val="006E7387"/>
    <w:rsid w:val="006E7C30"/>
    <w:rsid w:val="006F2378"/>
    <w:rsid w:val="006F2BCC"/>
    <w:rsid w:val="006F30AA"/>
    <w:rsid w:val="0070124E"/>
    <w:rsid w:val="00701383"/>
    <w:rsid w:val="00703D13"/>
    <w:rsid w:val="0070436C"/>
    <w:rsid w:val="00704577"/>
    <w:rsid w:val="0070466C"/>
    <w:rsid w:val="0070559C"/>
    <w:rsid w:val="00705A1C"/>
    <w:rsid w:val="00706D2E"/>
    <w:rsid w:val="007103B3"/>
    <w:rsid w:val="007129C2"/>
    <w:rsid w:val="00714F9A"/>
    <w:rsid w:val="00716570"/>
    <w:rsid w:val="00716BA0"/>
    <w:rsid w:val="00720661"/>
    <w:rsid w:val="007208FC"/>
    <w:rsid w:val="00722829"/>
    <w:rsid w:val="007229F5"/>
    <w:rsid w:val="007230D4"/>
    <w:rsid w:val="00723AFB"/>
    <w:rsid w:val="00723BB3"/>
    <w:rsid w:val="00723CD5"/>
    <w:rsid w:val="00724533"/>
    <w:rsid w:val="00724AB8"/>
    <w:rsid w:val="007351E9"/>
    <w:rsid w:val="00736039"/>
    <w:rsid w:val="00741A7F"/>
    <w:rsid w:val="00742E07"/>
    <w:rsid w:val="00742E20"/>
    <w:rsid w:val="00742E37"/>
    <w:rsid w:val="007430B0"/>
    <w:rsid w:val="0074342E"/>
    <w:rsid w:val="007436BA"/>
    <w:rsid w:val="00743824"/>
    <w:rsid w:val="00743A58"/>
    <w:rsid w:val="00743C15"/>
    <w:rsid w:val="00743D53"/>
    <w:rsid w:val="00745032"/>
    <w:rsid w:val="007451B1"/>
    <w:rsid w:val="0074691E"/>
    <w:rsid w:val="007476EE"/>
    <w:rsid w:val="00750E6D"/>
    <w:rsid w:val="00751792"/>
    <w:rsid w:val="007549D4"/>
    <w:rsid w:val="0075673D"/>
    <w:rsid w:val="00756778"/>
    <w:rsid w:val="00757C4E"/>
    <w:rsid w:val="007606F3"/>
    <w:rsid w:val="007632B4"/>
    <w:rsid w:val="0076468A"/>
    <w:rsid w:val="0076542D"/>
    <w:rsid w:val="0076615B"/>
    <w:rsid w:val="00767802"/>
    <w:rsid w:val="00770D35"/>
    <w:rsid w:val="00771B30"/>
    <w:rsid w:val="00772C9E"/>
    <w:rsid w:val="007731B3"/>
    <w:rsid w:val="007738BF"/>
    <w:rsid w:val="007741F8"/>
    <w:rsid w:val="00774585"/>
    <w:rsid w:val="00775B83"/>
    <w:rsid w:val="00777E57"/>
    <w:rsid w:val="007800A4"/>
    <w:rsid w:val="007814CC"/>
    <w:rsid w:val="007827CC"/>
    <w:rsid w:val="00783B15"/>
    <w:rsid w:val="00783D82"/>
    <w:rsid w:val="0078403B"/>
    <w:rsid w:val="00785742"/>
    <w:rsid w:val="007860B5"/>
    <w:rsid w:val="00787A3E"/>
    <w:rsid w:val="00792188"/>
    <w:rsid w:val="00792F52"/>
    <w:rsid w:val="00793039"/>
    <w:rsid w:val="00793294"/>
    <w:rsid w:val="0079532B"/>
    <w:rsid w:val="00795F8A"/>
    <w:rsid w:val="00797471"/>
    <w:rsid w:val="007A10AF"/>
    <w:rsid w:val="007A13A6"/>
    <w:rsid w:val="007A1FB7"/>
    <w:rsid w:val="007A2E8D"/>
    <w:rsid w:val="007A2E9D"/>
    <w:rsid w:val="007A3CDE"/>
    <w:rsid w:val="007A44D6"/>
    <w:rsid w:val="007A47C4"/>
    <w:rsid w:val="007A4BA2"/>
    <w:rsid w:val="007A656E"/>
    <w:rsid w:val="007B0216"/>
    <w:rsid w:val="007B1049"/>
    <w:rsid w:val="007B3838"/>
    <w:rsid w:val="007B3855"/>
    <w:rsid w:val="007B3CAF"/>
    <w:rsid w:val="007B4CA4"/>
    <w:rsid w:val="007B7C6B"/>
    <w:rsid w:val="007C0568"/>
    <w:rsid w:val="007C0EFB"/>
    <w:rsid w:val="007C1F32"/>
    <w:rsid w:val="007C2020"/>
    <w:rsid w:val="007C3041"/>
    <w:rsid w:val="007C3120"/>
    <w:rsid w:val="007C3C92"/>
    <w:rsid w:val="007C3DCF"/>
    <w:rsid w:val="007C6131"/>
    <w:rsid w:val="007D041C"/>
    <w:rsid w:val="007D388E"/>
    <w:rsid w:val="007D3AE7"/>
    <w:rsid w:val="007D4B7D"/>
    <w:rsid w:val="007D6586"/>
    <w:rsid w:val="007D67CB"/>
    <w:rsid w:val="007D722F"/>
    <w:rsid w:val="007D7E53"/>
    <w:rsid w:val="007E15AF"/>
    <w:rsid w:val="007E17AB"/>
    <w:rsid w:val="007E1DED"/>
    <w:rsid w:val="007E32CE"/>
    <w:rsid w:val="007E357F"/>
    <w:rsid w:val="007E5957"/>
    <w:rsid w:val="007E5F4A"/>
    <w:rsid w:val="007E6CF1"/>
    <w:rsid w:val="007E70B5"/>
    <w:rsid w:val="007F16BF"/>
    <w:rsid w:val="007F24A6"/>
    <w:rsid w:val="007F3271"/>
    <w:rsid w:val="007F4AC9"/>
    <w:rsid w:val="007F5EF1"/>
    <w:rsid w:val="00801872"/>
    <w:rsid w:val="00802384"/>
    <w:rsid w:val="008024BB"/>
    <w:rsid w:val="00806C11"/>
    <w:rsid w:val="008119EB"/>
    <w:rsid w:val="0081233D"/>
    <w:rsid w:val="00815693"/>
    <w:rsid w:val="00816325"/>
    <w:rsid w:val="0082087D"/>
    <w:rsid w:val="0082200B"/>
    <w:rsid w:val="0082466C"/>
    <w:rsid w:val="0082520A"/>
    <w:rsid w:val="00827459"/>
    <w:rsid w:val="00827F1D"/>
    <w:rsid w:val="008313E1"/>
    <w:rsid w:val="00831D57"/>
    <w:rsid w:val="00832D2D"/>
    <w:rsid w:val="008336AC"/>
    <w:rsid w:val="008346A2"/>
    <w:rsid w:val="00835D86"/>
    <w:rsid w:val="00836A3D"/>
    <w:rsid w:val="00840AD9"/>
    <w:rsid w:val="008422F5"/>
    <w:rsid w:val="00842663"/>
    <w:rsid w:val="008426CA"/>
    <w:rsid w:val="00843F68"/>
    <w:rsid w:val="00843FD0"/>
    <w:rsid w:val="00846CB3"/>
    <w:rsid w:val="00846F5B"/>
    <w:rsid w:val="008473E6"/>
    <w:rsid w:val="0084757C"/>
    <w:rsid w:val="00851F07"/>
    <w:rsid w:val="008524F8"/>
    <w:rsid w:val="00855124"/>
    <w:rsid w:val="008554F0"/>
    <w:rsid w:val="0085711A"/>
    <w:rsid w:val="00861771"/>
    <w:rsid w:val="00862874"/>
    <w:rsid w:val="00863C3D"/>
    <w:rsid w:val="008647BC"/>
    <w:rsid w:val="00871E03"/>
    <w:rsid w:val="00872D21"/>
    <w:rsid w:val="00873EC8"/>
    <w:rsid w:val="00874B45"/>
    <w:rsid w:val="00875307"/>
    <w:rsid w:val="00875CA4"/>
    <w:rsid w:val="00882070"/>
    <w:rsid w:val="00883AC6"/>
    <w:rsid w:val="00884307"/>
    <w:rsid w:val="008854EC"/>
    <w:rsid w:val="00885AF4"/>
    <w:rsid w:val="008904E7"/>
    <w:rsid w:val="00891795"/>
    <w:rsid w:val="00892001"/>
    <w:rsid w:val="00896E3E"/>
    <w:rsid w:val="008A168E"/>
    <w:rsid w:val="008A1F00"/>
    <w:rsid w:val="008A4D9B"/>
    <w:rsid w:val="008A50B8"/>
    <w:rsid w:val="008A744A"/>
    <w:rsid w:val="008B06E6"/>
    <w:rsid w:val="008B0960"/>
    <w:rsid w:val="008B0A60"/>
    <w:rsid w:val="008B2868"/>
    <w:rsid w:val="008B498F"/>
    <w:rsid w:val="008B5D46"/>
    <w:rsid w:val="008B6A02"/>
    <w:rsid w:val="008C0218"/>
    <w:rsid w:val="008C0D8C"/>
    <w:rsid w:val="008C232F"/>
    <w:rsid w:val="008C24BA"/>
    <w:rsid w:val="008C6E06"/>
    <w:rsid w:val="008D1900"/>
    <w:rsid w:val="008D1AD0"/>
    <w:rsid w:val="008D3AC1"/>
    <w:rsid w:val="008D3EF6"/>
    <w:rsid w:val="008D7DF0"/>
    <w:rsid w:val="008E17F9"/>
    <w:rsid w:val="008E2C76"/>
    <w:rsid w:val="008E31CB"/>
    <w:rsid w:val="008E40F2"/>
    <w:rsid w:val="008E66B9"/>
    <w:rsid w:val="008E7392"/>
    <w:rsid w:val="008E79F1"/>
    <w:rsid w:val="008F156E"/>
    <w:rsid w:val="008F2936"/>
    <w:rsid w:val="008F7B43"/>
    <w:rsid w:val="00900A3C"/>
    <w:rsid w:val="00902859"/>
    <w:rsid w:val="00904EDC"/>
    <w:rsid w:val="00906DA1"/>
    <w:rsid w:val="00910695"/>
    <w:rsid w:val="009109B6"/>
    <w:rsid w:val="009122D0"/>
    <w:rsid w:val="00913367"/>
    <w:rsid w:val="009137EB"/>
    <w:rsid w:val="009145DE"/>
    <w:rsid w:val="00914EE8"/>
    <w:rsid w:val="009175E3"/>
    <w:rsid w:val="00917C8D"/>
    <w:rsid w:val="00920774"/>
    <w:rsid w:val="00921BEC"/>
    <w:rsid w:val="009231AF"/>
    <w:rsid w:val="00923F42"/>
    <w:rsid w:val="00926EF8"/>
    <w:rsid w:val="00927759"/>
    <w:rsid w:val="0092789D"/>
    <w:rsid w:val="0093334D"/>
    <w:rsid w:val="00933B09"/>
    <w:rsid w:val="00933FFD"/>
    <w:rsid w:val="0094334C"/>
    <w:rsid w:val="00943DE9"/>
    <w:rsid w:val="00946217"/>
    <w:rsid w:val="00947381"/>
    <w:rsid w:val="0094739D"/>
    <w:rsid w:val="00947B92"/>
    <w:rsid w:val="009527A5"/>
    <w:rsid w:val="0095341F"/>
    <w:rsid w:val="00953E40"/>
    <w:rsid w:val="0095572C"/>
    <w:rsid w:val="0095655B"/>
    <w:rsid w:val="00957A37"/>
    <w:rsid w:val="00962D9B"/>
    <w:rsid w:val="00963A72"/>
    <w:rsid w:val="009641A6"/>
    <w:rsid w:val="00964F73"/>
    <w:rsid w:val="009657F4"/>
    <w:rsid w:val="009666CD"/>
    <w:rsid w:val="00967319"/>
    <w:rsid w:val="009675F6"/>
    <w:rsid w:val="00971E1F"/>
    <w:rsid w:val="00972EB2"/>
    <w:rsid w:val="00973593"/>
    <w:rsid w:val="0097488A"/>
    <w:rsid w:val="009755CB"/>
    <w:rsid w:val="00975F64"/>
    <w:rsid w:val="009773EB"/>
    <w:rsid w:val="00981BFD"/>
    <w:rsid w:val="009822E1"/>
    <w:rsid w:val="0098577F"/>
    <w:rsid w:val="009858C8"/>
    <w:rsid w:val="00985CDC"/>
    <w:rsid w:val="00986123"/>
    <w:rsid w:val="009862EA"/>
    <w:rsid w:val="009875A6"/>
    <w:rsid w:val="00987D77"/>
    <w:rsid w:val="00991AE6"/>
    <w:rsid w:val="00992158"/>
    <w:rsid w:val="009946E8"/>
    <w:rsid w:val="0099742E"/>
    <w:rsid w:val="0099783F"/>
    <w:rsid w:val="009A0326"/>
    <w:rsid w:val="009A1968"/>
    <w:rsid w:val="009B31B7"/>
    <w:rsid w:val="009B48F0"/>
    <w:rsid w:val="009B4B4C"/>
    <w:rsid w:val="009B6CDB"/>
    <w:rsid w:val="009B7572"/>
    <w:rsid w:val="009B7D19"/>
    <w:rsid w:val="009C1E50"/>
    <w:rsid w:val="009C23C4"/>
    <w:rsid w:val="009C4BFA"/>
    <w:rsid w:val="009C4C3E"/>
    <w:rsid w:val="009C52B3"/>
    <w:rsid w:val="009C549A"/>
    <w:rsid w:val="009D06CA"/>
    <w:rsid w:val="009D2619"/>
    <w:rsid w:val="009D34BE"/>
    <w:rsid w:val="009D3BAD"/>
    <w:rsid w:val="009D4071"/>
    <w:rsid w:val="009D4C85"/>
    <w:rsid w:val="009D5C4A"/>
    <w:rsid w:val="009D6CAE"/>
    <w:rsid w:val="009D7A0F"/>
    <w:rsid w:val="009E0461"/>
    <w:rsid w:val="009E254D"/>
    <w:rsid w:val="009E320C"/>
    <w:rsid w:val="009E3968"/>
    <w:rsid w:val="009E3E8D"/>
    <w:rsid w:val="009F19B3"/>
    <w:rsid w:val="009F222D"/>
    <w:rsid w:val="009F4C42"/>
    <w:rsid w:val="009F4E3F"/>
    <w:rsid w:val="009F74C2"/>
    <w:rsid w:val="00A00015"/>
    <w:rsid w:val="00A00629"/>
    <w:rsid w:val="00A01CFF"/>
    <w:rsid w:val="00A020CF"/>
    <w:rsid w:val="00A0367C"/>
    <w:rsid w:val="00A03AA2"/>
    <w:rsid w:val="00A04986"/>
    <w:rsid w:val="00A05294"/>
    <w:rsid w:val="00A0784C"/>
    <w:rsid w:val="00A10092"/>
    <w:rsid w:val="00A10483"/>
    <w:rsid w:val="00A10E0C"/>
    <w:rsid w:val="00A12573"/>
    <w:rsid w:val="00A12BDC"/>
    <w:rsid w:val="00A1594B"/>
    <w:rsid w:val="00A15A88"/>
    <w:rsid w:val="00A16064"/>
    <w:rsid w:val="00A20022"/>
    <w:rsid w:val="00A219F3"/>
    <w:rsid w:val="00A22494"/>
    <w:rsid w:val="00A24BF7"/>
    <w:rsid w:val="00A25009"/>
    <w:rsid w:val="00A25894"/>
    <w:rsid w:val="00A2639D"/>
    <w:rsid w:val="00A26425"/>
    <w:rsid w:val="00A301C4"/>
    <w:rsid w:val="00A3095D"/>
    <w:rsid w:val="00A3155F"/>
    <w:rsid w:val="00A31A88"/>
    <w:rsid w:val="00A34F6C"/>
    <w:rsid w:val="00A35F60"/>
    <w:rsid w:val="00A369A9"/>
    <w:rsid w:val="00A36A1C"/>
    <w:rsid w:val="00A37BB0"/>
    <w:rsid w:val="00A448C2"/>
    <w:rsid w:val="00A45078"/>
    <w:rsid w:val="00A45F8F"/>
    <w:rsid w:val="00A467CD"/>
    <w:rsid w:val="00A46EC2"/>
    <w:rsid w:val="00A47B44"/>
    <w:rsid w:val="00A47DB0"/>
    <w:rsid w:val="00A47F04"/>
    <w:rsid w:val="00A50CC6"/>
    <w:rsid w:val="00A50E9D"/>
    <w:rsid w:val="00A510EF"/>
    <w:rsid w:val="00A518F2"/>
    <w:rsid w:val="00A53B7D"/>
    <w:rsid w:val="00A53BB6"/>
    <w:rsid w:val="00A55E52"/>
    <w:rsid w:val="00A56333"/>
    <w:rsid w:val="00A5708A"/>
    <w:rsid w:val="00A60F9E"/>
    <w:rsid w:val="00A6289F"/>
    <w:rsid w:val="00A646CB"/>
    <w:rsid w:val="00A65813"/>
    <w:rsid w:val="00A675DA"/>
    <w:rsid w:val="00A678F4"/>
    <w:rsid w:val="00A70CCC"/>
    <w:rsid w:val="00A70E25"/>
    <w:rsid w:val="00A72BFA"/>
    <w:rsid w:val="00A7393C"/>
    <w:rsid w:val="00A73F72"/>
    <w:rsid w:val="00A7440B"/>
    <w:rsid w:val="00A7480A"/>
    <w:rsid w:val="00A74DBA"/>
    <w:rsid w:val="00A76B36"/>
    <w:rsid w:val="00A80E36"/>
    <w:rsid w:val="00A82B76"/>
    <w:rsid w:val="00A82EED"/>
    <w:rsid w:val="00A85182"/>
    <w:rsid w:val="00A87FA1"/>
    <w:rsid w:val="00A91795"/>
    <w:rsid w:val="00A92836"/>
    <w:rsid w:val="00A92968"/>
    <w:rsid w:val="00A93ABF"/>
    <w:rsid w:val="00A956D0"/>
    <w:rsid w:val="00A96E21"/>
    <w:rsid w:val="00A97BB5"/>
    <w:rsid w:val="00AA00EF"/>
    <w:rsid w:val="00AA195D"/>
    <w:rsid w:val="00AA3659"/>
    <w:rsid w:val="00AA3B5A"/>
    <w:rsid w:val="00AA3E31"/>
    <w:rsid w:val="00AA5691"/>
    <w:rsid w:val="00AA5B86"/>
    <w:rsid w:val="00AA6696"/>
    <w:rsid w:val="00AA679A"/>
    <w:rsid w:val="00AA71E3"/>
    <w:rsid w:val="00AA7AE4"/>
    <w:rsid w:val="00AB0AA7"/>
    <w:rsid w:val="00AB3138"/>
    <w:rsid w:val="00AB494C"/>
    <w:rsid w:val="00AB4AF1"/>
    <w:rsid w:val="00AB50B3"/>
    <w:rsid w:val="00AC13EF"/>
    <w:rsid w:val="00AC15F1"/>
    <w:rsid w:val="00AC428D"/>
    <w:rsid w:val="00AC5FAF"/>
    <w:rsid w:val="00AC67FE"/>
    <w:rsid w:val="00AC697E"/>
    <w:rsid w:val="00AC6EE2"/>
    <w:rsid w:val="00AC703C"/>
    <w:rsid w:val="00AC7D01"/>
    <w:rsid w:val="00AD1F89"/>
    <w:rsid w:val="00AD534F"/>
    <w:rsid w:val="00AD5B4A"/>
    <w:rsid w:val="00AD77DF"/>
    <w:rsid w:val="00AE0B75"/>
    <w:rsid w:val="00AE1C7D"/>
    <w:rsid w:val="00AE340F"/>
    <w:rsid w:val="00AE3DA7"/>
    <w:rsid w:val="00AE5967"/>
    <w:rsid w:val="00AF08FE"/>
    <w:rsid w:val="00AF13F9"/>
    <w:rsid w:val="00AF15B6"/>
    <w:rsid w:val="00AF6735"/>
    <w:rsid w:val="00AF6738"/>
    <w:rsid w:val="00B030F1"/>
    <w:rsid w:val="00B04D54"/>
    <w:rsid w:val="00B050C0"/>
    <w:rsid w:val="00B05CD8"/>
    <w:rsid w:val="00B0665F"/>
    <w:rsid w:val="00B07124"/>
    <w:rsid w:val="00B07190"/>
    <w:rsid w:val="00B1129E"/>
    <w:rsid w:val="00B12A4A"/>
    <w:rsid w:val="00B12FBC"/>
    <w:rsid w:val="00B1300B"/>
    <w:rsid w:val="00B14233"/>
    <w:rsid w:val="00B1466B"/>
    <w:rsid w:val="00B20279"/>
    <w:rsid w:val="00B25538"/>
    <w:rsid w:val="00B26C8E"/>
    <w:rsid w:val="00B26E3E"/>
    <w:rsid w:val="00B27107"/>
    <w:rsid w:val="00B301F1"/>
    <w:rsid w:val="00B30EE7"/>
    <w:rsid w:val="00B331D6"/>
    <w:rsid w:val="00B3530E"/>
    <w:rsid w:val="00B35F2B"/>
    <w:rsid w:val="00B363E3"/>
    <w:rsid w:val="00B37EA3"/>
    <w:rsid w:val="00B422CC"/>
    <w:rsid w:val="00B425CF"/>
    <w:rsid w:val="00B426FF"/>
    <w:rsid w:val="00B44C30"/>
    <w:rsid w:val="00B44D11"/>
    <w:rsid w:val="00B45245"/>
    <w:rsid w:val="00B466A9"/>
    <w:rsid w:val="00B5122D"/>
    <w:rsid w:val="00B515AF"/>
    <w:rsid w:val="00B52B62"/>
    <w:rsid w:val="00B52CAD"/>
    <w:rsid w:val="00B53D62"/>
    <w:rsid w:val="00B54A2E"/>
    <w:rsid w:val="00B56986"/>
    <w:rsid w:val="00B57035"/>
    <w:rsid w:val="00B57113"/>
    <w:rsid w:val="00B57EA0"/>
    <w:rsid w:val="00B615C5"/>
    <w:rsid w:val="00B61F9D"/>
    <w:rsid w:val="00B66BED"/>
    <w:rsid w:val="00B677BC"/>
    <w:rsid w:val="00B67B85"/>
    <w:rsid w:val="00B67FE2"/>
    <w:rsid w:val="00B71037"/>
    <w:rsid w:val="00B716FF"/>
    <w:rsid w:val="00B73556"/>
    <w:rsid w:val="00B7373C"/>
    <w:rsid w:val="00B7414D"/>
    <w:rsid w:val="00B74E35"/>
    <w:rsid w:val="00B77911"/>
    <w:rsid w:val="00B82E77"/>
    <w:rsid w:val="00B8415E"/>
    <w:rsid w:val="00B866BD"/>
    <w:rsid w:val="00B8691F"/>
    <w:rsid w:val="00B8743D"/>
    <w:rsid w:val="00B87755"/>
    <w:rsid w:val="00B9006D"/>
    <w:rsid w:val="00B93673"/>
    <w:rsid w:val="00B94A66"/>
    <w:rsid w:val="00B9561B"/>
    <w:rsid w:val="00BA0C87"/>
    <w:rsid w:val="00BA255A"/>
    <w:rsid w:val="00BA4A43"/>
    <w:rsid w:val="00BA592E"/>
    <w:rsid w:val="00BA5C1F"/>
    <w:rsid w:val="00BA7D39"/>
    <w:rsid w:val="00BB076D"/>
    <w:rsid w:val="00BB0DF4"/>
    <w:rsid w:val="00BB4B93"/>
    <w:rsid w:val="00BB4EE8"/>
    <w:rsid w:val="00BB518A"/>
    <w:rsid w:val="00BB6557"/>
    <w:rsid w:val="00BB6955"/>
    <w:rsid w:val="00BB7638"/>
    <w:rsid w:val="00BC058D"/>
    <w:rsid w:val="00BC4F99"/>
    <w:rsid w:val="00BC5B89"/>
    <w:rsid w:val="00BC5DB7"/>
    <w:rsid w:val="00BC76DD"/>
    <w:rsid w:val="00BC76F5"/>
    <w:rsid w:val="00BC7F99"/>
    <w:rsid w:val="00BD06E0"/>
    <w:rsid w:val="00BD1708"/>
    <w:rsid w:val="00BD24A3"/>
    <w:rsid w:val="00BD3370"/>
    <w:rsid w:val="00BD421F"/>
    <w:rsid w:val="00BD4AB5"/>
    <w:rsid w:val="00BD603E"/>
    <w:rsid w:val="00BD7524"/>
    <w:rsid w:val="00BE16BC"/>
    <w:rsid w:val="00BE6AB9"/>
    <w:rsid w:val="00BF06E1"/>
    <w:rsid w:val="00BF08F7"/>
    <w:rsid w:val="00BF1179"/>
    <w:rsid w:val="00BF1A3D"/>
    <w:rsid w:val="00BF2DE8"/>
    <w:rsid w:val="00BF2E57"/>
    <w:rsid w:val="00BF2FC4"/>
    <w:rsid w:val="00BF408D"/>
    <w:rsid w:val="00BF5C39"/>
    <w:rsid w:val="00BF5EED"/>
    <w:rsid w:val="00BF7EF2"/>
    <w:rsid w:val="00C01241"/>
    <w:rsid w:val="00C061DD"/>
    <w:rsid w:val="00C063E7"/>
    <w:rsid w:val="00C07CC5"/>
    <w:rsid w:val="00C10BC1"/>
    <w:rsid w:val="00C116C4"/>
    <w:rsid w:val="00C1261F"/>
    <w:rsid w:val="00C1286F"/>
    <w:rsid w:val="00C12A8A"/>
    <w:rsid w:val="00C14002"/>
    <w:rsid w:val="00C16B4E"/>
    <w:rsid w:val="00C20DFE"/>
    <w:rsid w:val="00C20E67"/>
    <w:rsid w:val="00C21A19"/>
    <w:rsid w:val="00C22286"/>
    <w:rsid w:val="00C24479"/>
    <w:rsid w:val="00C2564D"/>
    <w:rsid w:val="00C2702B"/>
    <w:rsid w:val="00C30958"/>
    <w:rsid w:val="00C30BF1"/>
    <w:rsid w:val="00C3359C"/>
    <w:rsid w:val="00C34FE4"/>
    <w:rsid w:val="00C35DEE"/>
    <w:rsid w:val="00C362E0"/>
    <w:rsid w:val="00C3642E"/>
    <w:rsid w:val="00C37128"/>
    <w:rsid w:val="00C405F8"/>
    <w:rsid w:val="00C40DEB"/>
    <w:rsid w:val="00C41650"/>
    <w:rsid w:val="00C41D03"/>
    <w:rsid w:val="00C41E7B"/>
    <w:rsid w:val="00C45BDD"/>
    <w:rsid w:val="00C477AF"/>
    <w:rsid w:val="00C521F2"/>
    <w:rsid w:val="00C53C4F"/>
    <w:rsid w:val="00C54811"/>
    <w:rsid w:val="00C55B14"/>
    <w:rsid w:val="00C55C1B"/>
    <w:rsid w:val="00C55FEE"/>
    <w:rsid w:val="00C6231D"/>
    <w:rsid w:val="00C62717"/>
    <w:rsid w:val="00C62D02"/>
    <w:rsid w:val="00C62E62"/>
    <w:rsid w:val="00C6431D"/>
    <w:rsid w:val="00C6532C"/>
    <w:rsid w:val="00C6726C"/>
    <w:rsid w:val="00C67543"/>
    <w:rsid w:val="00C7070F"/>
    <w:rsid w:val="00C72A9E"/>
    <w:rsid w:val="00C73BEC"/>
    <w:rsid w:val="00C7421E"/>
    <w:rsid w:val="00C74D02"/>
    <w:rsid w:val="00C74F07"/>
    <w:rsid w:val="00C76169"/>
    <w:rsid w:val="00C7652A"/>
    <w:rsid w:val="00C77DBB"/>
    <w:rsid w:val="00C77E80"/>
    <w:rsid w:val="00C81443"/>
    <w:rsid w:val="00C81AB2"/>
    <w:rsid w:val="00C82B29"/>
    <w:rsid w:val="00C858D8"/>
    <w:rsid w:val="00C9047B"/>
    <w:rsid w:val="00C90EC1"/>
    <w:rsid w:val="00C91203"/>
    <w:rsid w:val="00C9492A"/>
    <w:rsid w:val="00C957FE"/>
    <w:rsid w:val="00C966AA"/>
    <w:rsid w:val="00C96C7E"/>
    <w:rsid w:val="00CA0867"/>
    <w:rsid w:val="00CA160F"/>
    <w:rsid w:val="00CA1EA2"/>
    <w:rsid w:val="00CA42FE"/>
    <w:rsid w:val="00CA4438"/>
    <w:rsid w:val="00CB08EC"/>
    <w:rsid w:val="00CB1C20"/>
    <w:rsid w:val="00CB21B2"/>
    <w:rsid w:val="00CB2E2E"/>
    <w:rsid w:val="00CB598E"/>
    <w:rsid w:val="00CB78C7"/>
    <w:rsid w:val="00CC32FC"/>
    <w:rsid w:val="00CD0E3F"/>
    <w:rsid w:val="00CD362A"/>
    <w:rsid w:val="00CD4BA0"/>
    <w:rsid w:val="00CD5F66"/>
    <w:rsid w:val="00CD6F18"/>
    <w:rsid w:val="00CD7E56"/>
    <w:rsid w:val="00CE10D0"/>
    <w:rsid w:val="00CE1297"/>
    <w:rsid w:val="00CE2762"/>
    <w:rsid w:val="00CE5366"/>
    <w:rsid w:val="00CE5C83"/>
    <w:rsid w:val="00CE6960"/>
    <w:rsid w:val="00CF2A9E"/>
    <w:rsid w:val="00CF408A"/>
    <w:rsid w:val="00CF44C6"/>
    <w:rsid w:val="00CF4CC7"/>
    <w:rsid w:val="00CF5047"/>
    <w:rsid w:val="00CF6180"/>
    <w:rsid w:val="00CF68B4"/>
    <w:rsid w:val="00D00600"/>
    <w:rsid w:val="00D0218C"/>
    <w:rsid w:val="00D04028"/>
    <w:rsid w:val="00D05916"/>
    <w:rsid w:val="00D065F0"/>
    <w:rsid w:val="00D06BD8"/>
    <w:rsid w:val="00D101F8"/>
    <w:rsid w:val="00D10891"/>
    <w:rsid w:val="00D111A2"/>
    <w:rsid w:val="00D11A19"/>
    <w:rsid w:val="00D15651"/>
    <w:rsid w:val="00D1567B"/>
    <w:rsid w:val="00D15EAD"/>
    <w:rsid w:val="00D173D2"/>
    <w:rsid w:val="00D21EA7"/>
    <w:rsid w:val="00D242C1"/>
    <w:rsid w:val="00D25B9B"/>
    <w:rsid w:val="00D2679F"/>
    <w:rsid w:val="00D274CE"/>
    <w:rsid w:val="00D279C3"/>
    <w:rsid w:val="00D3072F"/>
    <w:rsid w:val="00D31682"/>
    <w:rsid w:val="00D3193D"/>
    <w:rsid w:val="00D31DD9"/>
    <w:rsid w:val="00D32148"/>
    <w:rsid w:val="00D3244F"/>
    <w:rsid w:val="00D33AC1"/>
    <w:rsid w:val="00D34A48"/>
    <w:rsid w:val="00D35D96"/>
    <w:rsid w:val="00D35FE2"/>
    <w:rsid w:val="00D42858"/>
    <w:rsid w:val="00D42C11"/>
    <w:rsid w:val="00D42CDC"/>
    <w:rsid w:val="00D431EF"/>
    <w:rsid w:val="00D44433"/>
    <w:rsid w:val="00D46112"/>
    <w:rsid w:val="00D46843"/>
    <w:rsid w:val="00D50A98"/>
    <w:rsid w:val="00D531A3"/>
    <w:rsid w:val="00D531FA"/>
    <w:rsid w:val="00D60AAE"/>
    <w:rsid w:val="00D62284"/>
    <w:rsid w:val="00D62C68"/>
    <w:rsid w:val="00D63132"/>
    <w:rsid w:val="00D631C0"/>
    <w:rsid w:val="00D6421E"/>
    <w:rsid w:val="00D64768"/>
    <w:rsid w:val="00D65238"/>
    <w:rsid w:val="00D66D29"/>
    <w:rsid w:val="00D72B86"/>
    <w:rsid w:val="00D73404"/>
    <w:rsid w:val="00D7552D"/>
    <w:rsid w:val="00D760CC"/>
    <w:rsid w:val="00D81A4F"/>
    <w:rsid w:val="00D82CE1"/>
    <w:rsid w:val="00D82E5B"/>
    <w:rsid w:val="00D83057"/>
    <w:rsid w:val="00D8458F"/>
    <w:rsid w:val="00D84CD0"/>
    <w:rsid w:val="00D84DBD"/>
    <w:rsid w:val="00D8560A"/>
    <w:rsid w:val="00D90F36"/>
    <w:rsid w:val="00D91675"/>
    <w:rsid w:val="00D968BF"/>
    <w:rsid w:val="00D96AC2"/>
    <w:rsid w:val="00D96DF3"/>
    <w:rsid w:val="00D97EFF"/>
    <w:rsid w:val="00DA0116"/>
    <w:rsid w:val="00DA1344"/>
    <w:rsid w:val="00DA1610"/>
    <w:rsid w:val="00DA4779"/>
    <w:rsid w:val="00DA567A"/>
    <w:rsid w:val="00DA5E44"/>
    <w:rsid w:val="00DA68A2"/>
    <w:rsid w:val="00DB1B18"/>
    <w:rsid w:val="00DB3798"/>
    <w:rsid w:val="00DB53A4"/>
    <w:rsid w:val="00DB6569"/>
    <w:rsid w:val="00DB71AA"/>
    <w:rsid w:val="00DB7EFB"/>
    <w:rsid w:val="00DC25B7"/>
    <w:rsid w:val="00DC2AEA"/>
    <w:rsid w:val="00DC34B0"/>
    <w:rsid w:val="00DC34E7"/>
    <w:rsid w:val="00DC3B46"/>
    <w:rsid w:val="00DC5EC2"/>
    <w:rsid w:val="00DC637A"/>
    <w:rsid w:val="00DC73EB"/>
    <w:rsid w:val="00DD07AC"/>
    <w:rsid w:val="00DD0830"/>
    <w:rsid w:val="00DD1550"/>
    <w:rsid w:val="00DD3040"/>
    <w:rsid w:val="00DD3326"/>
    <w:rsid w:val="00DD5F2B"/>
    <w:rsid w:val="00DD67FA"/>
    <w:rsid w:val="00DD78EE"/>
    <w:rsid w:val="00DE06F6"/>
    <w:rsid w:val="00DE29D1"/>
    <w:rsid w:val="00DE41F8"/>
    <w:rsid w:val="00DE553D"/>
    <w:rsid w:val="00DF1FAE"/>
    <w:rsid w:val="00DF26BC"/>
    <w:rsid w:val="00DF490F"/>
    <w:rsid w:val="00DF5D2C"/>
    <w:rsid w:val="00DF6314"/>
    <w:rsid w:val="00DF6753"/>
    <w:rsid w:val="00DF78E5"/>
    <w:rsid w:val="00DF7C05"/>
    <w:rsid w:val="00E01A48"/>
    <w:rsid w:val="00E01F89"/>
    <w:rsid w:val="00E0228F"/>
    <w:rsid w:val="00E023EB"/>
    <w:rsid w:val="00E0290E"/>
    <w:rsid w:val="00E102DE"/>
    <w:rsid w:val="00E12B66"/>
    <w:rsid w:val="00E14201"/>
    <w:rsid w:val="00E14417"/>
    <w:rsid w:val="00E150B2"/>
    <w:rsid w:val="00E20EE7"/>
    <w:rsid w:val="00E2157F"/>
    <w:rsid w:val="00E257A6"/>
    <w:rsid w:val="00E25B0A"/>
    <w:rsid w:val="00E25D99"/>
    <w:rsid w:val="00E2613E"/>
    <w:rsid w:val="00E26B14"/>
    <w:rsid w:val="00E27F59"/>
    <w:rsid w:val="00E30C22"/>
    <w:rsid w:val="00E30FC4"/>
    <w:rsid w:val="00E31C15"/>
    <w:rsid w:val="00E337EA"/>
    <w:rsid w:val="00E343D9"/>
    <w:rsid w:val="00E37972"/>
    <w:rsid w:val="00E425C8"/>
    <w:rsid w:val="00E42C07"/>
    <w:rsid w:val="00E43B62"/>
    <w:rsid w:val="00E44E67"/>
    <w:rsid w:val="00E44ECB"/>
    <w:rsid w:val="00E457D0"/>
    <w:rsid w:val="00E45973"/>
    <w:rsid w:val="00E464B6"/>
    <w:rsid w:val="00E471DE"/>
    <w:rsid w:val="00E474FD"/>
    <w:rsid w:val="00E50399"/>
    <w:rsid w:val="00E50825"/>
    <w:rsid w:val="00E50834"/>
    <w:rsid w:val="00E509EC"/>
    <w:rsid w:val="00E52DE5"/>
    <w:rsid w:val="00E538C1"/>
    <w:rsid w:val="00E54AE9"/>
    <w:rsid w:val="00E5628D"/>
    <w:rsid w:val="00E56BEE"/>
    <w:rsid w:val="00E614C1"/>
    <w:rsid w:val="00E62F9F"/>
    <w:rsid w:val="00E647CB"/>
    <w:rsid w:val="00E64AF5"/>
    <w:rsid w:val="00E64D5E"/>
    <w:rsid w:val="00E655F8"/>
    <w:rsid w:val="00E670FC"/>
    <w:rsid w:val="00E67ABC"/>
    <w:rsid w:val="00E71528"/>
    <w:rsid w:val="00E77795"/>
    <w:rsid w:val="00E83401"/>
    <w:rsid w:val="00E8553B"/>
    <w:rsid w:val="00E8716F"/>
    <w:rsid w:val="00E91BC7"/>
    <w:rsid w:val="00E921C8"/>
    <w:rsid w:val="00E945B7"/>
    <w:rsid w:val="00E957B3"/>
    <w:rsid w:val="00E96675"/>
    <w:rsid w:val="00E9685A"/>
    <w:rsid w:val="00E96ED6"/>
    <w:rsid w:val="00E97B72"/>
    <w:rsid w:val="00E97C5A"/>
    <w:rsid w:val="00E97DF7"/>
    <w:rsid w:val="00EA0E79"/>
    <w:rsid w:val="00EA2CD4"/>
    <w:rsid w:val="00EA2E00"/>
    <w:rsid w:val="00EA4736"/>
    <w:rsid w:val="00EB01BF"/>
    <w:rsid w:val="00EB292F"/>
    <w:rsid w:val="00EB3674"/>
    <w:rsid w:val="00EB4101"/>
    <w:rsid w:val="00EB661A"/>
    <w:rsid w:val="00EC0B81"/>
    <w:rsid w:val="00EC2335"/>
    <w:rsid w:val="00EC237F"/>
    <w:rsid w:val="00EC2F01"/>
    <w:rsid w:val="00EC349D"/>
    <w:rsid w:val="00EC5FD6"/>
    <w:rsid w:val="00EC6764"/>
    <w:rsid w:val="00EC71B4"/>
    <w:rsid w:val="00EC7ABB"/>
    <w:rsid w:val="00ED0857"/>
    <w:rsid w:val="00ED12F0"/>
    <w:rsid w:val="00ED211E"/>
    <w:rsid w:val="00ED26BB"/>
    <w:rsid w:val="00ED2BB4"/>
    <w:rsid w:val="00ED2E4D"/>
    <w:rsid w:val="00ED4E9A"/>
    <w:rsid w:val="00ED725B"/>
    <w:rsid w:val="00EE025B"/>
    <w:rsid w:val="00EE082B"/>
    <w:rsid w:val="00EE2C86"/>
    <w:rsid w:val="00EE3149"/>
    <w:rsid w:val="00EE38C2"/>
    <w:rsid w:val="00EE5663"/>
    <w:rsid w:val="00EE5CF9"/>
    <w:rsid w:val="00EE7A6E"/>
    <w:rsid w:val="00EF25D0"/>
    <w:rsid w:val="00EF2B93"/>
    <w:rsid w:val="00EF35B4"/>
    <w:rsid w:val="00EF3FCA"/>
    <w:rsid w:val="00EF5BC2"/>
    <w:rsid w:val="00EF6184"/>
    <w:rsid w:val="00EF7E7B"/>
    <w:rsid w:val="00F008F7"/>
    <w:rsid w:val="00F0161E"/>
    <w:rsid w:val="00F01A77"/>
    <w:rsid w:val="00F01DAF"/>
    <w:rsid w:val="00F02E0A"/>
    <w:rsid w:val="00F03017"/>
    <w:rsid w:val="00F0465E"/>
    <w:rsid w:val="00F054BF"/>
    <w:rsid w:val="00F07E74"/>
    <w:rsid w:val="00F15521"/>
    <w:rsid w:val="00F1668B"/>
    <w:rsid w:val="00F16BE7"/>
    <w:rsid w:val="00F22FDA"/>
    <w:rsid w:val="00F23EF9"/>
    <w:rsid w:val="00F2464D"/>
    <w:rsid w:val="00F25217"/>
    <w:rsid w:val="00F30F27"/>
    <w:rsid w:val="00F31B86"/>
    <w:rsid w:val="00F31E2B"/>
    <w:rsid w:val="00F32C3B"/>
    <w:rsid w:val="00F338EB"/>
    <w:rsid w:val="00F366D7"/>
    <w:rsid w:val="00F40479"/>
    <w:rsid w:val="00F4181D"/>
    <w:rsid w:val="00F42875"/>
    <w:rsid w:val="00F428E7"/>
    <w:rsid w:val="00F45F50"/>
    <w:rsid w:val="00F47478"/>
    <w:rsid w:val="00F4775A"/>
    <w:rsid w:val="00F50765"/>
    <w:rsid w:val="00F53EFE"/>
    <w:rsid w:val="00F54C70"/>
    <w:rsid w:val="00F60F17"/>
    <w:rsid w:val="00F63BCF"/>
    <w:rsid w:val="00F647A9"/>
    <w:rsid w:val="00F66DEB"/>
    <w:rsid w:val="00F70057"/>
    <w:rsid w:val="00F7134B"/>
    <w:rsid w:val="00F7270D"/>
    <w:rsid w:val="00F738DF"/>
    <w:rsid w:val="00F748B0"/>
    <w:rsid w:val="00F765F8"/>
    <w:rsid w:val="00F77D4A"/>
    <w:rsid w:val="00F80881"/>
    <w:rsid w:val="00F8575F"/>
    <w:rsid w:val="00F86397"/>
    <w:rsid w:val="00F86BED"/>
    <w:rsid w:val="00F86C35"/>
    <w:rsid w:val="00F924F7"/>
    <w:rsid w:val="00F97CA4"/>
    <w:rsid w:val="00FA00C9"/>
    <w:rsid w:val="00FA1CA4"/>
    <w:rsid w:val="00FA4A4C"/>
    <w:rsid w:val="00FA4F76"/>
    <w:rsid w:val="00FA6245"/>
    <w:rsid w:val="00FA7D56"/>
    <w:rsid w:val="00FB27FC"/>
    <w:rsid w:val="00FB3020"/>
    <w:rsid w:val="00FB5C08"/>
    <w:rsid w:val="00FB61C8"/>
    <w:rsid w:val="00FB6C38"/>
    <w:rsid w:val="00FB7F6C"/>
    <w:rsid w:val="00FC011F"/>
    <w:rsid w:val="00FC0393"/>
    <w:rsid w:val="00FC07A6"/>
    <w:rsid w:val="00FC15F4"/>
    <w:rsid w:val="00FC27E0"/>
    <w:rsid w:val="00FC48CB"/>
    <w:rsid w:val="00FC6340"/>
    <w:rsid w:val="00FC6BE7"/>
    <w:rsid w:val="00FD068A"/>
    <w:rsid w:val="00FD109C"/>
    <w:rsid w:val="00FD1BCA"/>
    <w:rsid w:val="00FD4287"/>
    <w:rsid w:val="00FD43C4"/>
    <w:rsid w:val="00FD4AC5"/>
    <w:rsid w:val="00FD4F32"/>
    <w:rsid w:val="00FE1A3F"/>
    <w:rsid w:val="00FE1D06"/>
    <w:rsid w:val="00FE245A"/>
    <w:rsid w:val="00FE328A"/>
    <w:rsid w:val="00FE42DE"/>
    <w:rsid w:val="00FE4D48"/>
    <w:rsid w:val="00FE519B"/>
    <w:rsid w:val="00FE5BFA"/>
    <w:rsid w:val="00FE5E8B"/>
    <w:rsid w:val="00FE64B3"/>
    <w:rsid w:val="00FE7A45"/>
    <w:rsid w:val="00FF2D0C"/>
    <w:rsid w:val="00FF300A"/>
    <w:rsid w:val="00FF5A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4A91856"/>
  <w15:docId w15:val="{1EAA5A2A-038F-4128-A6B7-43C554AA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2573"/>
    <w:pPr>
      <w:spacing w:after="200" w:line="276" w:lineRule="auto"/>
    </w:pPr>
    <w:rPr>
      <w:rFonts w:cs="Times New Roman"/>
      <w:sz w:val="22"/>
      <w:szCs w:val="22"/>
      <w:lang w:eastAsia="en-US"/>
    </w:rPr>
  </w:style>
  <w:style w:type="paragraph" w:styleId="Heading8">
    <w:name w:val="heading 8"/>
    <w:basedOn w:val="Normal"/>
    <w:next w:val="Normal"/>
    <w:link w:val="Heading8Char"/>
    <w:uiPriority w:val="99"/>
    <w:qFormat/>
    <w:rsid w:val="00A12573"/>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A12573"/>
    <w:rPr>
      <w:rFonts w:ascii="Times New Roman" w:hAnsi="Times New Roman" w:cs="Times New Roman"/>
      <w:b/>
      <w:sz w:val="24"/>
      <w:szCs w:val="24"/>
      <w:lang w:val="en-US"/>
    </w:rPr>
  </w:style>
  <w:style w:type="paragraph" w:styleId="Header">
    <w:name w:val="header"/>
    <w:basedOn w:val="Normal"/>
    <w:link w:val="HeaderChar"/>
    <w:rsid w:val="00A12573"/>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A12573"/>
    <w:rPr>
      <w:rFonts w:ascii="Times New Roman" w:hAnsi="Times New Roman" w:cs="Times New Roman"/>
      <w:sz w:val="20"/>
      <w:szCs w:val="20"/>
      <w:lang w:val="en-GB"/>
    </w:rPr>
  </w:style>
  <w:style w:type="paragraph" w:styleId="Footer">
    <w:name w:val="footer"/>
    <w:basedOn w:val="Normal"/>
    <w:link w:val="FooterChar"/>
    <w:uiPriority w:val="99"/>
    <w:rsid w:val="00A12573"/>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A12573"/>
    <w:rPr>
      <w:rFonts w:ascii="Arial" w:hAnsi="Arial" w:cs="Times New Roman"/>
      <w:sz w:val="20"/>
      <w:szCs w:val="20"/>
    </w:rPr>
  </w:style>
  <w:style w:type="paragraph" w:customStyle="1" w:styleId="HeaderEven">
    <w:name w:val="HeaderEven"/>
    <w:basedOn w:val="Normal"/>
    <w:uiPriority w:val="99"/>
    <w:rsid w:val="00A12573"/>
    <w:pPr>
      <w:spacing w:after="0" w:line="240" w:lineRule="auto"/>
    </w:pPr>
    <w:rPr>
      <w:rFonts w:ascii="Arial" w:hAnsi="Arial"/>
      <w:sz w:val="18"/>
      <w:szCs w:val="20"/>
    </w:rPr>
  </w:style>
  <w:style w:type="paragraph" w:customStyle="1" w:styleId="HeaderEven6">
    <w:name w:val="HeaderEven6"/>
    <w:basedOn w:val="HeaderEven"/>
    <w:uiPriority w:val="99"/>
    <w:rsid w:val="00A12573"/>
    <w:pPr>
      <w:spacing w:before="120" w:after="60"/>
    </w:pPr>
  </w:style>
  <w:style w:type="paragraph" w:customStyle="1" w:styleId="N-9pt">
    <w:name w:val="N-9pt"/>
    <w:basedOn w:val="Normal"/>
    <w:next w:val="Normal"/>
    <w:uiPriority w:val="99"/>
    <w:rsid w:val="00A12573"/>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A12573"/>
    <w:rPr>
      <w:rFonts w:cs="Times New Roman"/>
    </w:rPr>
  </w:style>
  <w:style w:type="paragraph" w:customStyle="1" w:styleId="Status">
    <w:name w:val="Status"/>
    <w:basedOn w:val="Normal"/>
    <w:uiPriority w:val="99"/>
    <w:rsid w:val="00A12573"/>
    <w:pPr>
      <w:spacing w:before="280" w:after="0" w:line="240" w:lineRule="auto"/>
      <w:jc w:val="center"/>
    </w:pPr>
    <w:rPr>
      <w:rFonts w:ascii="Arial" w:hAnsi="Arial"/>
      <w:sz w:val="14"/>
      <w:szCs w:val="20"/>
    </w:rPr>
  </w:style>
  <w:style w:type="paragraph" w:styleId="BalloonText">
    <w:name w:val="Balloon Text"/>
    <w:basedOn w:val="Normal"/>
    <w:link w:val="BalloonTextChar"/>
    <w:uiPriority w:val="99"/>
    <w:semiHidden/>
    <w:unhideWhenUsed/>
    <w:rsid w:val="00DC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73EB"/>
    <w:rPr>
      <w:rFonts w:ascii="Tahoma" w:hAnsi="Tahoma" w:cs="Tahoma"/>
      <w:sz w:val="16"/>
      <w:szCs w:val="16"/>
      <w:lang w:eastAsia="en-US"/>
    </w:rPr>
  </w:style>
  <w:style w:type="paragraph" w:customStyle="1" w:styleId="Asubparabullet">
    <w:name w:val="A subpara bullet"/>
    <w:basedOn w:val="Normal"/>
    <w:rsid w:val="00787A3E"/>
    <w:pPr>
      <w:numPr>
        <w:numId w:val="1"/>
      </w:numPr>
      <w:spacing w:after="0" w:line="240" w:lineRule="auto"/>
    </w:pPr>
    <w:rPr>
      <w:rFonts w:ascii="Times New Roman" w:hAnsi="Times New Roman"/>
      <w:sz w:val="24"/>
      <w:szCs w:val="20"/>
    </w:rPr>
  </w:style>
  <w:style w:type="paragraph" w:styleId="NoSpacing">
    <w:name w:val="No Spacing"/>
    <w:uiPriority w:val="1"/>
    <w:qFormat/>
    <w:rsid w:val="00435DA6"/>
    <w:rPr>
      <w:rFonts w:cs="Times New Roman"/>
      <w:sz w:val="22"/>
      <w:szCs w:val="22"/>
      <w:lang w:eastAsia="en-US"/>
    </w:rPr>
  </w:style>
  <w:style w:type="paragraph" w:styleId="ListParagraph">
    <w:name w:val="List Paragraph"/>
    <w:basedOn w:val="Normal"/>
    <w:uiPriority w:val="34"/>
    <w:qFormat/>
    <w:rsid w:val="00A45078"/>
    <w:pPr>
      <w:ind w:left="720"/>
      <w:contextualSpacing/>
    </w:pPr>
  </w:style>
  <w:style w:type="paragraph" w:styleId="FootnoteText">
    <w:name w:val="footnote text"/>
    <w:basedOn w:val="Normal"/>
    <w:link w:val="FootnoteTextChar"/>
    <w:uiPriority w:val="99"/>
    <w:rsid w:val="00F54C70"/>
    <w:pPr>
      <w:spacing w:after="0" w:line="240" w:lineRule="auto"/>
    </w:pPr>
    <w:rPr>
      <w:rFonts w:ascii="Arial" w:eastAsia="Calibri" w:hAnsi="Arial"/>
      <w:sz w:val="20"/>
      <w:szCs w:val="20"/>
    </w:rPr>
  </w:style>
  <w:style w:type="character" w:customStyle="1" w:styleId="FootnoteTextChar">
    <w:name w:val="Footnote Text Char"/>
    <w:basedOn w:val="DefaultParagraphFont"/>
    <w:link w:val="FootnoteText"/>
    <w:uiPriority w:val="99"/>
    <w:rsid w:val="00F54C70"/>
    <w:rPr>
      <w:rFonts w:ascii="Arial" w:eastAsia="Calibri" w:hAnsi="Arial" w:cs="Times New Roman"/>
      <w:lang w:eastAsia="en-US"/>
    </w:rPr>
  </w:style>
  <w:style w:type="character" w:styleId="FootnoteReference">
    <w:name w:val="footnote reference"/>
    <w:aliases w:val="Footnote number,Footnotes refss"/>
    <w:basedOn w:val="DefaultParagraphFont"/>
    <w:uiPriority w:val="99"/>
    <w:rsid w:val="00F54C70"/>
    <w:rPr>
      <w:rFonts w:cs="Times New Roman"/>
      <w:vertAlign w:val="superscript"/>
    </w:rPr>
  </w:style>
  <w:style w:type="character" w:styleId="CommentReference">
    <w:name w:val="annotation reference"/>
    <w:basedOn w:val="DefaultParagraphFont"/>
    <w:uiPriority w:val="99"/>
    <w:semiHidden/>
    <w:unhideWhenUsed/>
    <w:rsid w:val="0031465E"/>
    <w:rPr>
      <w:sz w:val="16"/>
      <w:szCs w:val="16"/>
    </w:rPr>
  </w:style>
  <w:style w:type="paragraph" w:styleId="CommentText">
    <w:name w:val="annotation text"/>
    <w:basedOn w:val="Normal"/>
    <w:link w:val="CommentTextChar"/>
    <w:uiPriority w:val="99"/>
    <w:semiHidden/>
    <w:unhideWhenUsed/>
    <w:rsid w:val="0031465E"/>
    <w:pPr>
      <w:spacing w:line="240" w:lineRule="auto"/>
    </w:pPr>
    <w:rPr>
      <w:sz w:val="20"/>
      <w:szCs w:val="20"/>
    </w:rPr>
  </w:style>
  <w:style w:type="character" w:customStyle="1" w:styleId="CommentTextChar">
    <w:name w:val="Comment Text Char"/>
    <w:basedOn w:val="DefaultParagraphFont"/>
    <w:link w:val="CommentText"/>
    <w:uiPriority w:val="99"/>
    <w:semiHidden/>
    <w:rsid w:val="0031465E"/>
    <w:rPr>
      <w:rFonts w:cs="Times New Roman"/>
      <w:lang w:eastAsia="en-US"/>
    </w:rPr>
  </w:style>
  <w:style w:type="paragraph" w:styleId="CommentSubject">
    <w:name w:val="annotation subject"/>
    <w:basedOn w:val="CommentText"/>
    <w:next w:val="CommentText"/>
    <w:link w:val="CommentSubjectChar"/>
    <w:uiPriority w:val="99"/>
    <w:semiHidden/>
    <w:unhideWhenUsed/>
    <w:rsid w:val="0031465E"/>
    <w:rPr>
      <w:b/>
      <w:bCs/>
    </w:rPr>
  </w:style>
  <w:style w:type="character" w:customStyle="1" w:styleId="CommentSubjectChar">
    <w:name w:val="Comment Subject Char"/>
    <w:basedOn w:val="CommentTextChar"/>
    <w:link w:val="CommentSubject"/>
    <w:uiPriority w:val="99"/>
    <w:semiHidden/>
    <w:rsid w:val="0031465E"/>
    <w:rPr>
      <w:rFonts w:cs="Times New Roman"/>
      <w:b/>
      <w:bCs/>
      <w:lang w:eastAsia="en-US"/>
    </w:rPr>
  </w:style>
  <w:style w:type="paragraph" w:styleId="Revision">
    <w:name w:val="Revision"/>
    <w:hidden/>
    <w:uiPriority w:val="99"/>
    <w:semiHidden/>
    <w:rsid w:val="00B74E35"/>
    <w:rPr>
      <w:rFonts w:cs="Times New Roman"/>
      <w:sz w:val="22"/>
      <w:szCs w:val="22"/>
      <w:lang w:eastAsia="en-US"/>
    </w:rPr>
  </w:style>
  <w:style w:type="character" w:styleId="Hyperlink">
    <w:name w:val="Hyperlink"/>
    <w:basedOn w:val="DefaultParagraphFont"/>
    <w:uiPriority w:val="99"/>
    <w:unhideWhenUsed/>
    <w:rsid w:val="0003372C"/>
    <w:rPr>
      <w:color w:val="0000FF" w:themeColor="hyperlink"/>
      <w:u w:val="single"/>
    </w:rPr>
  </w:style>
  <w:style w:type="paragraph" w:styleId="DocumentMap">
    <w:name w:val="Document Map"/>
    <w:basedOn w:val="Normal"/>
    <w:link w:val="DocumentMapChar"/>
    <w:uiPriority w:val="99"/>
    <w:semiHidden/>
    <w:unhideWhenUsed/>
    <w:rsid w:val="0011556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15563"/>
    <w:rPr>
      <w:rFonts w:ascii="Tahoma" w:hAnsi="Tahoma" w:cs="Tahoma"/>
      <w:sz w:val="16"/>
      <w:szCs w:val="16"/>
      <w:lang w:eastAsia="en-US"/>
    </w:rPr>
  </w:style>
  <w:style w:type="paragraph" w:customStyle="1" w:styleId="Default">
    <w:name w:val="Default"/>
    <w:rsid w:val="007F3271"/>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6958">
      <w:bodyDiv w:val="1"/>
      <w:marLeft w:val="0"/>
      <w:marRight w:val="0"/>
      <w:marTop w:val="0"/>
      <w:marBottom w:val="0"/>
      <w:divBdr>
        <w:top w:val="none" w:sz="0" w:space="0" w:color="auto"/>
        <w:left w:val="none" w:sz="0" w:space="0" w:color="auto"/>
        <w:bottom w:val="none" w:sz="0" w:space="0" w:color="auto"/>
        <w:right w:val="none" w:sz="0" w:space="0" w:color="auto"/>
      </w:divBdr>
    </w:div>
    <w:div w:id="74016963">
      <w:bodyDiv w:val="1"/>
      <w:marLeft w:val="0"/>
      <w:marRight w:val="0"/>
      <w:marTop w:val="0"/>
      <w:marBottom w:val="0"/>
      <w:divBdr>
        <w:top w:val="none" w:sz="0" w:space="0" w:color="auto"/>
        <w:left w:val="none" w:sz="0" w:space="0" w:color="auto"/>
        <w:bottom w:val="none" w:sz="0" w:space="0" w:color="auto"/>
        <w:right w:val="none" w:sz="0" w:space="0" w:color="auto"/>
      </w:divBdr>
    </w:div>
    <w:div w:id="118955125">
      <w:bodyDiv w:val="1"/>
      <w:marLeft w:val="0"/>
      <w:marRight w:val="0"/>
      <w:marTop w:val="0"/>
      <w:marBottom w:val="0"/>
      <w:divBdr>
        <w:top w:val="none" w:sz="0" w:space="0" w:color="auto"/>
        <w:left w:val="none" w:sz="0" w:space="0" w:color="auto"/>
        <w:bottom w:val="none" w:sz="0" w:space="0" w:color="auto"/>
        <w:right w:val="none" w:sz="0" w:space="0" w:color="auto"/>
      </w:divBdr>
      <w:divsChild>
        <w:div w:id="137764700">
          <w:marLeft w:val="0"/>
          <w:marRight w:val="0"/>
          <w:marTop w:val="0"/>
          <w:marBottom w:val="0"/>
          <w:divBdr>
            <w:top w:val="none" w:sz="0" w:space="0" w:color="auto"/>
            <w:left w:val="none" w:sz="0" w:space="0" w:color="auto"/>
            <w:bottom w:val="none" w:sz="0" w:space="0" w:color="auto"/>
            <w:right w:val="none" w:sz="0" w:space="0" w:color="auto"/>
          </w:divBdr>
        </w:div>
        <w:div w:id="715274499">
          <w:marLeft w:val="0"/>
          <w:marRight w:val="0"/>
          <w:marTop w:val="0"/>
          <w:marBottom w:val="0"/>
          <w:divBdr>
            <w:top w:val="none" w:sz="0" w:space="0" w:color="auto"/>
            <w:left w:val="none" w:sz="0" w:space="0" w:color="auto"/>
            <w:bottom w:val="none" w:sz="0" w:space="0" w:color="auto"/>
            <w:right w:val="none" w:sz="0" w:space="0" w:color="auto"/>
          </w:divBdr>
        </w:div>
        <w:div w:id="1099331867">
          <w:marLeft w:val="0"/>
          <w:marRight w:val="0"/>
          <w:marTop w:val="0"/>
          <w:marBottom w:val="0"/>
          <w:divBdr>
            <w:top w:val="none" w:sz="0" w:space="0" w:color="auto"/>
            <w:left w:val="none" w:sz="0" w:space="0" w:color="auto"/>
            <w:bottom w:val="none" w:sz="0" w:space="0" w:color="auto"/>
            <w:right w:val="none" w:sz="0" w:space="0" w:color="auto"/>
          </w:divBdr>
        </w:div>
        <w:div w:id="823547056">
          <w:marLeft w:val="0"/>
          <w:marRight w:val="0"/>
          <w:marTop w:val="0"/>
          <w:marBottom w:val="0"/>
          <w:divBdr>
            <w:top w:val="none" w:sz="0" w:space="0" w:color="auto"/>
            <w:left w:val="none" w:sz="0" w:space="0" w:color="auto"/>
            <w:bottom w:val="none" w:sz="0" w:space="0" w:color="auto"/>
            <w:right w:val="none" w:sz="0" w:space="0" w:color="auto"/>
          </w:divBdr>
        </w:div>
      </w:divsChild>
    </w:div>
    <w:div w:id="129976799">
      <w:bodyDiv w:val="1"/>
      <w:marLeft w:val="0"/>
      <w:marRight w:val="0"/>
      <w:marTop w:val="0"/>
      <w:marBottom w:val="0"/>
      <w:divBdr>
        <w:top w:val="none" w:sz="0" w:space="0" w:color="auto"/>
        <w:left w:val="none" w:sz="0" w:space="0" w:color="auto"/>
        <w:bottom w:val="none" w:sz="0" w:space="0" w:color="auto"/>
        <w:right w:val="none" w:sz="0" w:space="0" w:color="auto"/>
      </w:divBdr>
      <w:divsChild>
        <w:div w:id="883447217">
          <w:marLeft w:val="0"/>
          <w:marRight w:val="0"/>
          <w:marTop w:val="0"/>
          <w:marBottom w:val="0"/>
          <w:divBdr>
            <w:top w:val="none" w:sz="0" w:space="0" w:color="auto"/>
            <w:left w:val="none" w:sz="0" w:space="0" w:color="auto"/>
            <w:bottom w:val="none" w:sz="0" w:space="0" w:color="auto"/>
            <w:right w:val="none" w:sz="0" w:space="0" w:color="auto"/>
          </w:divBdr>
        </w:div>
        <w:div w:id="131680790">
          <w:marLeft w:val="0"/>
          <w:marRight w:val="0"/>
          <w:marTop w:val="0"/>
          <w:marBottom w:val="0"/>
          <w:divBdr>
            <w:top w:val="none" w:sz="0" w:space="0" w:color="auto"/>
            <w:left w:val="none" w:sz="0" w:space="0" w:color="auto"/>
            <w:bottom w:val="none" w:sz="0" w:space="0" w:color="auto"/>
            <w:right w:val="none" w:sz="0" w:space="0" w:color="auto"/>
          </w:divBdr>
        </w:div>
        <w:div w:id="1295327026">
          <w:marLeft w:val="0"/>
          <w:marRight w:val="0"/>
          <w:marTop w:val="0"/>
          <w:marBottom w:val="0"/>
          <w:divBdr>
            <w:top w:val="none" w:sz="0" w:space="0" w:color="auto"/>
            <w:left w:val="none" w:sz="0" w:space="0" w:color="auto"/>
            <w:bottom w:val="none" w:sz="0" w:space="0" w:color="auto"/>
            <w:right w:val="none" w:sz="0" w:space="0" w:color="auto"/>
          </w:divBdr>
        </w:div>
        <w:div w:id="1329560158">
          <w:marLeft w:val="0"/>
          <w:marRight w:val="0"/>
          <w:marTop w:val="0"/>
          <w:marBottom w:val="0"/>
          <w:divBdr>
            <w:top w:val="none" w:sz="0" w:space="0" w:color="auto"/>
            <w:left w:val="none" w:sz="0" w:space="0" w:color="auto"/>
            <w:bottom w:val="none" w:sz="0" w:space="0" w:color="auto"/>
            <w:right w:val="none" w:sz="0" w:space="0" w:color="auto"/>
          </w:divBdr>
        </w:div>
      </w:divsChild>
    </w:div>
    <w:div w:id="181088407">
      <w:bodyDiv w:val="1"/>
      <w:marLeft w:val="0"/>
      <w:marRight w:val="0"/>
      <w:marTop w:val="0"/>
      <w:marBottom w:val="0"/>
      <w:divBdr>
        <w:top w:val="none" w:sz="0" w:space="0" w:color="auto"/>
        <w:left w:val="none" w:sz="0" w:space="0" w:color="auto"/>
        <w:bottom w:val="none" w:sz="0" w:space="0" w:color="auto"/>
        <w:right w:val="none" w:sz="0" w:space="0" w:color="auto"/>
      </w:divBdr>
      <w:divsChild>
        <w:div w:id="2076319438">
          <w:marLeft w:val="0"/>
          <w:marRight w:val="0"/>
          <w:marTop w:val="0"/>
          <w:marBottom w:val="0"/>
          <w:divBdr>
            <w:top w:val="none" w:sz="0" w:space="0" w:color="auto"/>
            <w:left w:val="none" w:sz="0" w:space="0" w:color="auto"/>
            <w:bottom w:val="none" w:sz="0" w:space="0" w:color="auto"/>
            <w:right w:val="none" w:sz="0" w:space="0" w:color="auto"/>
          </w:divBdr>
        </w:div>
        <w:div w:id="1469324874">
          <w:marLeft w:val="0"/>
          <w:marRight w:val="0"/>
          <w:marTop w:val="0"/>
          <w:marBottom w:val="0"/>
          <w:divBdr>
            <w:top w:val="none" w:sz="0" w:space="0" w:color="auto"/>
            <w:left w:val="none" w:sz="0" w:space="0" w:color="auto"/>
            <w:bottom w:val="none" w:sz="0" w:space="0" w:color="auto"/>
            <w:right w:val="none" w:sz="0" w:space="0" w:color="auto"/>
          </w:divBdr>
        </w:div>
        <w:div w:id="513612744">
          <w:marLeft w:val="0"/>
          <w:marRight w:val="0"/>
          <w:marTop w:val="0"/>
          <w:marBottom w:val="0"/>
          <w:divBdr>
            <w:top w:val="none" w:sz="0" w:space="0" w:color="auto"/>
            <w:left w:val="none" w:sz="0" w:space="0" w:color="auto"/>
            <w:bottom w:val="none" w:sz="0" w:space="0" w:color="auto"/>
            <w:right w:val="none" w:sz="0" w:space="0" w:color="auto"/>
          </w:divBdr>
        </w:div>
        <w:div w:id="1671909727">
          <w:marLeft w:val="0"/>
          <w:marRight w:val="0"/>
          <w:marTop w:val="0"/>
          <w:marBottom w:val="0"/>
          <w:divBdr>
            <w:top w:val="none" w:sz="0" w:space="0" w:color="auto"/>
            <w:left w:val="none" w:sz="0" w:space="0" w:color="auto"/>
            <w:bottom w:val="none" w:sz="0" w:space="0" w:color="auto"/>
            <w:right w:val="none" w:sz="0" w:space="0" w:color="auto"/>
          </w:divBdr>
        </w:div>
        <w:div w:id="1068649266">
          <w:marLeft w:val="0"/>
          <w:marRight w:val="0"/>
          <w:marTop w:val="0"/>
          <w:marBottom w:val="0"/>
          <w:divBdr>
            <w:top w:val="none" w:sz="0" w:space="0" w:color="auto"/>
            <w:left w:val="none" w:sz="0" w:space="0" w:color="auto"/>
            <w:bottom w:val="none" w:sz="0" w:space="0" w:color="auto"/>
            <w:right w:val="none" w:sz="0" w:space="0" w:color="auto"/>
          </w:divBdr>
        </w:div>
        <w:div w:id="1474635749">
          <w:marLeft w:val="0"/>
          <w:marRight w:val="0"/>
          <w:marTop w:val="0"/>
          <w:marBottom w:val="0"/>
          <w:divBdr>
            <w:top w:val="none" w:sz="0" w:space="0" w:color="auto"/>
            <w:left w:val="none" w:sz="0" w:space="0" w:color="auto"/>
            <w:bottom w:val="none" w:sz="0" w:space="0" w:color="auto"/>
            <w:right w:val="none" w:sz="0" w:space="0" w:color="auto"/>
          </w:divBdr>
        </w:div>
      </w:divsChild>
    </w:div>
    <w:div w:id="376667815">
      <w:bodyDiv w:val="1"/>
      <w:marLeft w:val="0"/>
      <w:marRight w:val="0"/>
      <w:marTop w:val="0"/>
      <w:marBottom w:val="0"/>
      <w:divBdr>
        <w:top w:val="none" w:sz="0" w:space="0" w:color="auto"/>
        <w:left w:val="none" w:sz="0" w:space="0" w:color="auto"/>
        <w:bottom w:val="none" w:sz="0" w:space="0" w:color="auto"/>
        <w:right w:val="none" w:sz="0" w:space="0" w:color="auto"/>
      </w:divBdr>
    </w:div>
    <w:div w:id="506677529">
      <w:bodyDiv w:val="1"/>
      <w:marLeft w:val="0"/>
      <w:marRight w:val="0"/>
      <w:marTop w:val="0"/>
      <w:marBottom w:val="0"/>
      <w:divBdr>
        <w:top w:val="none" w:sz="0" w:space="0" w:color="auto"/>
        <w:left w:val="none" w:sz="0" w:space="0" w:color="auto"/>
        <w:bottom w:val="none" w:sz="0" w:space="0" w:color="auto"/>
        <w:right w:val="none" w:sz="0" w:space="0" w:color="auto"/>
      </w:divBdr>
    </w:div>
    <w:div w:id="523980735">
      <w:bodyDiv w:val="1"/>
      <w:marLeft w:val="0"/>
      <w:marRight w:val="0"/>
      <w:marTop w:val="0"/>
      <w:marBottom w:val="0"/>
      <w:divBdr>
        <w:top w:val="none" w:sz="0" w:space="0" w:color="auto"/>
        <w:left w:val="none" w:sz="0" w:space="0" w:color="auto"/>
        <w:bottom w:val="none" w:sz="0" w:space="0" w:color="auto"/>
        <w:right w:val="none" w:sz="0" w:space="0" w:color="auto"/>
      </w:divBdr>
      <w:divsChild>
        <w:div w:id="1193836524">
          <w:marLeft w:val="0"/>
          <w:marRight w:val="0"/>
          <w:marTop w:val="0"/>
          <w:marBottom w:val="0"/>
          <w:divBdr>
            <w:top w:val="none" w:sz="0" w:space="0" w:color="auto"/>
            <w:left w:val="none" w:sz="0" w:space="0" w:color="auto"/>
            <w:bottom w:val="none" w:sz="0" w:space="0" w:color="auto"/>
            <w:right w:val="none" w:sz="0" w:space="0" w:color="auto"/>
          </w:divBdr>
        </w:div>
        <w:div w:id="623996994">
          <w:marLeft w:val="0"/>
          <w:marRight w:val="0"/>
          <w:marTop w:val="0"/>
          <w:marBottom w:val="0"/>
          <w:divBdr>
            <w:top w:val="none" w:sz="0" w:space="0" w:color="auto"/>
            <w:left w:val="none" w:sz="0" w:space="0" w:color="auto"/>
            <w:bottom w:val="none" w:sz="0" w:space="0" w:color="auto"/>
            <w:right w:val="none" w:sz="0" w:space="0" w:color="auto"/>
          </w:divBdr>
        </w:div>
        <w:div w:id="1019508114">
          <w:marLeft w:val="0"/>
          <w:marRight w:val="0"/>
          <w:marTop w:val="0"/>
          <w:marBottom w:val="0"/>
          <w:divBdr>
            <w:top w:val="none" w:sz="0" w:space="0" w:color="auto"/>
            <w:left w:val="none" w:sz="0" w:space="0" w:color="auto"/>
            <w:bottom w:val="none" w:sz="0" w:space="0" w:color="auto"/>
            <w:right w:val="none" w:sz="0" w:space="0" w:color="auto"/>
          </w:divBdr>
        </w:div>
        <w:div w:id="455758636">
          <w:marLeft w:val="0"/>
          <w:marRight w:val="0"/>
          <w:marTop w:val="0"/>
          <w:marBottom w:val="0"/>
          <w:divBdr>
            <w:top w:val="none" w:sz="0" w:space="0" w:color="auto"/>
            <w:left w:val="none" w:sz="0" w:space="0" w:color="auto"/>
            <w:bottom w:val="none" w:sz="0" w:space="0" w:color="auto"/>
            <w:right w:val="none" w:sz="0" w:space="0" w:color="auto"/>
          </w:divBdr>
        </w:div>
        <w:div w:id="1482773511">
          <w:marLeft w:val="0"/>
          <w:marRight w:val="0"/>
          <w:marTop w:val="0"/>
          <w:marBottom w:val="0"/>
          <w:divBdr>
            <w:top w:val="none" w:sz="0" w:space="0" w:color="auto"/>
            <w:left w:val="none" w:sz="0" w:space="0" w:color="auto"/>
            <w:bottom w:val="none" w:sz="0" w:space="0" w:color="auto"/>
            <w:right w:val="none" w:sz="0" w:space="0" w:color="auto"/>
          </w:divBdr>
        </w:div>
        <w:div w:id="1086655999">
          <w:marLeft w:val="0"/>
          <w:marRight w:val="0"/>
          <w:marTop w:val="0"/>
          <w:marBottom w:val="0"/>
          <w:divBdr>
            <w:top w:val="none" w:sz="0" w:space="0" w:color="auto"/>
            <w:left w:val="none" w:sz="0" w:space="0" w:color="auto"/>
            <w:bottom w:val="none" w:sz="0" w:space="0" w:color="auto"/>
            <w:right w:val="none" w:sz="0" w:space="0" w:color="auto"/>
          </w:divBdr>
        </w:div>
        <w:div w:id="1892766275">
          <w:marLeft w:val="0"/>
          <w:marRight w:val="0"/>
          <w:marTop w:val="0"/>
          <w:marBottom w:val="0"/>
          <w:divBdr>
            <w:top w:val="none" w:sz="0" w:space="0" w:color="auto"/>
            <w:left w:val="none" w:sz="0" w:space="0" w:color="auto"/>
            <w:bottom w:val="none" w:sz="0" w:space="0" w:color="auto"/>
            <w:right w:val="none" w:sz="0" w:space="0" w:color="auto"/>
          </w:divBdr>
        </w:div>
        <w:div w:id="112288517">
          <w:marLeft w:val="0"/>
          <w:marRight w:val="0"/>
          <w:marTop w:val="0"/>
          <w:marBottom w:val="0"/>
          <w:divBdr>
            <w:top w:val="none" w:sz="0" w:space="0" w:color="auto"/>
            <w:left w:val="none" w:sz="0" w:space="0" w:color="auto"/>
            <w:bottom w:val="none" w:sz="0" w:space="0" w:color="auto"/>
            <w:right w:val="none" w:sz="0" w:space="0" w:color="auto"/>
          </w:divBdr>
        </w:div>
        <w:div w:id="1319379269">
          <w:marLeft w:val="0"/>
          <w:marRight w:val="0"/>
          <w:marTop w:val="0"/>
          <w:marBottom w:val="0"/>
          <w:divBdr>
            <w:top w:val="none" w:sz="0" w:space="0" w:color="auto"/>
            <w:left w:val="none" w:sz="0" w:space="0" w:color="auto"/>
            <w:bottom w:val="none" w:sz="0" w:space="0" w:color="auto"/>
            <w:right w:val="none" w:sz="0" w:space="0" w:color="auto"/>
          </w:divBdr>
        </w:div>
        <w:div w:id="1540127204">
          <w:marLeft w:val="0"/>
          <w:marRight w:val="0"/>
          <w:marTop w:val="0"/>
          <w:marBottom w:val="0"/>
          <w:divBdr>
            <w:top w:val="none" w:sz="0" w:space="0" w:color="auto"/>
            <w:left w:val="none" w:sz="0" w:space="0" w:color="auto"/>
            <w:bottom w:val="none" w:sz="0" w:space="0" w:color="auto"/>
            <w:right w:val="none" w:sz="0" w:space="0" w:color="auto"/>
          </w:divBdr>
        </w:div>
        <w:div w:id="1540164818">
          <w:marLeft w:val="0"/>
          <w:marRight w:val="0"/>
          <w:marTop w:val="0"/>
          <w:marBottom w:val="0"/>
          <w:divBdr>
            <w:top w:val="none" w:sz="0" w:space="0" w:color="auto"/>
            <w:left w:val="none" w:sz="0" w:space="0" w:color="auto"/>
            <w:bottom w:val="none" w:sz="0" w:space="0" w:color="auto"/>
            <w:right w:val="none" w:sz="0" w:space="0" w:color="auto"/>
          </w:divBdr>
        </w:div>
        <w:div w:id="1881891575">
          <w:marLeft w:val="0"/>
          <w:marRight w:val="0"/>
          <w:marTop w:val="0"/>
          <w:marBottom w:val="0"/>
          <w:divBdr>
            <w:top w:val="none" w:sz="0" w:space="0" w:color="auto"/>
            <w:left w:val="none" w:sz="0" w:space="0" w:color="auto"/>
            <w:bottom w:val="none" w:sz="0" w:space="0" w:color="auto"/>
            <w:right w:val="none" w:sz="0" w:space="0" w:color="auto"/>
          </w:divBdr>
        </w:div>
        <w:div w:id="1019545971">
          <w:marLeft w:val="0"/>
          <w:marRight w:val="0"/>
          <w:marTop w:val="0"/>
          <w:marBottom w:val="0"/>
          <w:divBdr>
            <w:top w:val="none" w:sz="0" w:space="0" w:color="auto"/>
            <w:left w:val="none" w:sz="0" w:space="0" w:color="auto"/>
            <w:bottom w:val="none" w:sz="0" w:space="0" w:color="auto"/>
            <w:right w:val="none" w:sz="0" w:space="0" w:color="auto"/>
          </w:divBdr>
        </w:div>
        <w:div w:id="353923165">
          <w:marLeft w:val="0"/>
          <w:marRight w:val="0"/>
          <w:marTop w:val="0"/>
          <w:marBottom w:val="0"/>
          <w:divBdr>
            <w:top w:val="none" w:sz="0" w:space="0" w:color="auto"/>
            <w:left w:val="none" w:sz="0" w:space="0" w:color="auto"/>
            <w:bottom w:val="none" w:sz="0" w:space="0" w:color="auto"/>
            <w:right w:val="none" w:sz="0" w:space="0" w:color="auto"/>
          </w:divBdr>
        </w:div>
        <w:div w:id="1300652280">
          <w:marLeft w:val="0"/>
          <w:marRight w:val="0"/>
          <w:marTop w:val="0"/>
          <w:marBottom w:val="0"/>
          <w:divBdr>
            <w:top w:val="none" w:sz="0" w:space="0" w:color="auto"/>
            <w:left w:val="none" w:sz="0" w:space="0" w:color="auto"/>
            <w:bottom w:val="none" w:sz="0" w:space="0" w:color="auto"/>
            <w:right w:val="none" w:sz="0" w:space="0" w:color="auto"/>
          </w:divBdr>
        </w:div>
        <w:div w:id="733432202">
          <w:marLeft w:val="0"/>
          <w:marRight w:val="0"/>
          <w:marTop w:val="0"/>
          <w:marBottom w:val="0"/>
          <w:divBdr>
            <w:top w:val="none" w:sz="0" w:space="0" w:color="auto"/>
            <w:left w:val="none" w:sz="0" w:space="0" w:color="auto"/>
            <w:bottom w:val="none" w:sz="0" w:space="0" w:color="auto"/>
            <w:right w:val="none" w:sz="0" w:space="0" w:color="auto"/>
          </w:divBdr>
        </w:div>
        <w:div w:id="1497455977">
          <w:marLeft w:val="0"/>
          <w:marRight w:val="0"/>
          <w:marTop w:val="0"/>
          <w:marBottom w:val="0"/>
          <w:divBdr>
            <w:top w:val="none" w:sz="0" w:space="0" w:color="auto"/>
            <w:left w:val="none" w:sz="0" w:space="0" w:color="auto"/>
            <w:bottom w:val="none" w:sz="0" w:space="0" w:color="auto"/>
            <w:right w:val="none" w:sz="0" w:space="0" w:color="auto"/>
          </w:divBdr>
        </w:div>
        <w:div w:id="616718556">
          <w:marLeft w:val="0"/>
          <w:marRight w:val="0"/>
          <w:marTop w:val="0"/>
          <w:marBottom w:val="0"/>
          <w:divBdr>
            <w:top w:val="none" w:sz="0" w:space="0" w:color="auto"/>
            <w:left w:val="none" w:sz="0" w:space="0" w:color="auto"/>
            <w:bottom w:val="none" w:sz="0" w:space="0" w:color="auto"/>
            <w:right w:val="none" w:sz="0" w:space="0" w:color="auto"/>
          </w:divBdr>
        </w:div>
        <w:div w:id="2003311117">
          <w:marLeft w:val="0"/>
          <w:marRight w:val="0"/>
          <w:marTop w:val="0"/>
          <w:marBottom w:val="0"/>
          <w:divBdr>
            <w:top w:val="none" w:sz="0" w:space="0" w:color="auto"/>
            <w:left w:val="none" w:sz="0" w:space="0" w:color="auto"/>
            <w:bottom w:val="none" w:sz="0" w:space="0" w:color="auto"/>
            <w:right w:val="none" w:sz="0" w:space="0" w:color="auto"/>
          </w:divBdr>
        </w:div>
        <w:div w:id="95172399">
          <w:marLeft w:val="0"/>
          <w:marRight w:val="0"/>
          <w:marTop w:val="0"/>
          <w:marBottom w:val="0"/>
          <w:divBdr>
            <w:top w:val="none" w:sz="0" w:space="0" w:color="auto"/>
            <w:left w:val="none" w:sz="0" w:space="0" w:color="auto"/>
            <w:bottom w:val="none" w:sz="0" w:space="0" w:color="auto"/>
            <w:right w:val="none" w:sz="0" w:space="0" w:color="auto"/>
          </w:divBdr>
        </w:div>
        <w:div w:id="813642815">
          <w:marLeft w:val="0"/>
          <w:marRight w:val="0"/>
          <w:marTop w:val="0"/>
          <w:marBottom w:val="0"/>
          <w:divBdr>
            <w:top w:val="none" w:sz="0" w:space="0" w:color="auto"/>
            <w:left w:val="none" w:sz="0" w:space="0" w:color="auto"/>
            <w:bottom w:val="none" w:sz="0" w:space="0" w:color="auto"/>
            <w:right w:val="none" w:sz="0" w:space="0" w:color="auto"/>
          </w:divBdr>
        </w:div>
        <w:div w:id="2092850187">
          <w:marLeft w:val="0"/>
          <w:marRight w:val="0"/>
          <w:marTop w:val="0"/>
          <w:marBottom w:val="0"/>
          <w:divBdr>
            <w:top w:val="none" w:sz="0" w:space="0" w:color="auto"/>
            <w:left w:val="none" w:sz="0" w:space="0" w:color="auto"/>
            <w:bottom w:val="none" w:sz="0" w:space="0" w:color="auto"/>
            <w:right w:val="none" w:sz="0" w:space="0" w:color="auto"/>
          </w:divBdr>
        </w:div>
        <w:div w:id="660620849">
          <w:marLeft w:val="0"/>
          <w:marRight w:val="0"/>
          <w:marTop w:val="0"/>
          <w:marBottom w:val="0"/>
          <w:divBdr>
            <w:top w:val="none" w:sz="0" w:space="0" w:color="auto"/>
            <w:left w:val="none" w:sz="0" w:space="0" w:color="auto"/>
            <w:bottom w:val="none" w:sz="0" w:space="0" w:color="auto"/>
            <w:right w:val="none" w:sz="0" w:space="0" w:color="auto"/>
          </w:divBdr>
        </w:div>
        <w:div w:id="1587113769">
          <w:marLeft w:val="0"/>
          <w:marRight w:val="0"/>
          <w:marTop w:val="0"/>
          <w:marBottom w:val="0"/>
          <w:divBdr>
            <w:top w:val="none" w:sz="0" w:space="0" w:color="auto"/>
            <w:left w:val="none" w:sz="0" w:space="0" w:color="auto"/>
            <w:bottom w:val="none" w:sz="0" w:space="0" w:color="auto"/>
            <w:right w:val="none" w:sz="0" w:space="0" w:color="auto"/>
          </w:divBdr>
        </w:div>
        <w:div w:id="870612562">
          <w:marLeft w:val="0"/>
          <w:marRight w:val="0"/>
          <w:marTop w:val="0"/>
          <w:marBottom w:val="0"/>
          <w:divBdr>
            <w:top w:val="none" w:sz="0" w:space="0" w:color="auto"/>
            <w:left w:val="none" w:sz="0" w:space="0" w:color="auto"/>
            <w:bottom w:val="none" w:sz="0" w:space="0" w:color="auto"/>
            <w:right w:val="none" w:sz="0" w:space="0" w:color="auto"/>
          </w:divBdr>
        </w:div>
        <w:div w:id="940257258">
          <w:marLeft w:val="0"/>
          <w:marRight w:val="0"/>
          <w:marTop w:val="0"/>
          <w:marBottom w:val="0"/>
          <w:divBdr>
            <w:top w:val="none" w:sz="0" w:space="0" w:color="auto"/>
            <w:left w:val="none" w:sz="0" w:space="0" w:color="auto"/>
            <w:bottom w:val="none" w:sz="0" w:space="0" w:color="auto"/>
            <w:right w:val="none" w:sz="0" w:space="0" w:color="auto"/>
          </w:divBdr>
        </w:div>
        <w:div w:id="958489773">
          <w:marLeft w:val="0"/>
          <w:marRight w:val="0"/>
          <w:marTop w:val="0"/>
          <w:marBottom w:val="0"/>
          <w:divBdr>
            <w:top w:val="none" w:sz="0" w:space="0" w:color="auto"/>
            <w:left w:val="none" w:sz="0" w:space="0" w:color="auto"/>
            <w:bottom w:val="none" w:sz="0" w:space="0" w:color="auto"/>
            <w:right w:val="none" w:sz="0" w:space="0" w:color="auto"/>
          </w:divBdr>
        </w:div>
        <w:div w:id="2018193645">
          <w:marLeft w:val="0"/>
          <w:marRight w:val="0"/>
          <w:marTop w:val="0"/>
          <w:marBottom w:val="0"/>
          <w:divBdr>
            <w:top w:val="none" w:sz="0" w:space="0" w:color="auto"/>
            <w:left w:val="none" w:sz="0" w:space="0" w:color="auto"/>
            <w:bottom w:val="none" w:sz="0" w:space="0" w:color="auto"/>
            <w:right w:val="none" w:sz="0" w:space="0" w:color="auto"/>
          </w:divBdr>
        </w:div>
        <w:div w:id="138426925">
          <w:marLeft w:val="0"/>
          <w:marRight w:val="0"/>
          <w:marTop w:val="0"/>
          <w:marBottom w:val="0"/>
          <w:divBdr>
            <w:top w:val="none" w:sz="0" w:space="0" w:color="auto"/>
            <w:left w:val="none" w:sz="0" w:space="0" w:color="auto"/>
            <w:bottom w:val="none" w:sz="0" w:space="0" w:color="auto"/>
            <w:right w:val="none" w:sz="0" w:space="0" w:color="auto"/>
          </w:divBdr>
        </w:div>
        <w:div w:id="1986160349">
          <w:marLeft w:val="0"/>
          <w:marRight w:val="0"/>
          <w:marTop w:val="0"/>
          <w:marBottom w:val="0"/>
          <w:divBdr>
            <w:top w:val="none" w:sz="0" w:space="0" w:color="auto"/>
            <w:left w:val="none" w:sz="0" w:space="0" w:color="auto"/>
            <w:bottom w:val="none" w:sz="0" w:space="0" w:color="auto"/>
            <w:right w:val="none" w:sz="0" w:space="0" w:color="auto"/>
          </w:divBdr>
        </w:div>
        <w:div w:id="1238705482">
          <w:marLeft w:val="0"/>
          <w:marRight w:val="0"/>
          <w:marTop w:val="0"/>
          <w:marBottom w:val="0"/>
          <w:divBdr>
            <w:top w:val="none" w:sz="0" w:space="0" w:color="auto"/>
            <w:left w:val="none" w:sz="0" w:space="0" w:color="auto"/>
            <w:bottom w:val="none" w:sz="0" w:space="0" w:color="auto"/>
            <w:right w:val="none" w:sz="0" w:space="0" w:color="auto"/>
          </w:divBdr>
        </w:div>
        <w:div w:id="610818862">
          <w:marLeft w:val="0"/>
          <w:marRight w:val="0"/>
          <w:marTop w:val="0"/>
          <w:marBottom w:val="0"/>
          <w:divBdr>
            <w:top w:val="none" w:sz="0" w:space="0" w:color="auto"/>
            <w:left w:val="none" w:sz="0" w:space="0" w:color="auto"/>
            <w:bottom w:val="none" w:sz="0" w:space="0" w:color="auto"/>
            <w:right w:val="none" w:sz="0" w:space="0" w:color="auto"/>
          </w:divBdr>
        </w:div>
        <w:div w:id="348799750">
          <w:marLeft w:val="0"/>
          <w:marRight w:val="0"/>
          <w:marTop w:val="0"/>
          <w:marBottom w:val="0"/>
          <w:divBdr>
            <w:top w:val="none" w:sz="0" w:space="0" w:color="auto"/>
            <w:left w:val="none" w:sz="0" w:space="0" w:color="auto"/>
            <w:bottom w:val="none" w:sz="0" w:space="0" w:color="auto"/>
            <w:right w:val="none" w:sz="0" w:space="0" w:color="auto"/>
          </w:divBdr>
        </w:div>
        <w:div w:id="1496872919">
          <w:marLeft w:val="0"/>
          <w:marRight w:val="0"/>
          <w:marTop w:val="0"/>
          <w:marBottom w:val="0"/>
          <w:divBdr>
            <w:top w:val="none" w:sz="0" w:space="0" w:color="auto"/>
            <w:left w:val="none" w:sz="0" w:space="0" w:color="auto"/>
            <w:bottom w:val="none" w:sz="0" w:space="0" w:color="auto"/>
            <w:right w:val="none" w:sz="0" w:space="0" w:color="auto"/>
          </w:divBdr>
        </w:div>
        <w:div w:id="296296743">
          <w:marLeft w:val="0"/>
          <w:marRight w:val="0"/>
          <w:marTop w:val="0"/>
          <w:marBottom w:val="0"/>
          <w:divBdr>
            <w:top w:val="none" w:sz="0" w:space="0" w:color="auto"/>
            <w:left w:val="none" w:sz="0" w:space="0" w:color="auto"/>
            <w:bottom w:val="none" w:sz="0" w:space="0" w:color="auto"/>
            <w:right w:val="none" w:sz="0" w:space="0" w:color="auto"/>
          </w:divBdr>
        </w:div>
        <w:div w:id="1650093437">
          <w:marLeft w:val="0"/>
          <w:marRight w:val="0"/>
          <w:marTop w:val="0"/>
          <w:marBottom w:val="0"/>
          <w:divBdr>
            <w:top w:val="none" w:sz="0" w:space="0" w:color="auto"/>
            <w:left w:val="none" w:sz="0" w:space="0" w:color="auto"/>
            <w:bottom w:val="none" w:sz="0" w:space="0" w:color="auto"/>
            <w:right w:val="none" w:sz="0" w:space="0" w:color="auto"/>
          </w:divBdr>
        </w:div>
        <w:div w:id="258832598">
          <w:marLeft w:val="0"/>
          <w:marRight w:val="0"/>
          <w:marTop w:val="0"/>
          <w:marBottom w:val="0"/>
          <w:divBdr>
            <w:top w:val="none" w:sz="0" w:space="0" w:color="auto"/>
            <w:left w:val="none" w:sz="0" w:space="0" w:color="auto"/>
            <w:bottom w:val="none" w:sz="0" w:space="0" w:color="auto"/>
            <w:right w:val="none" w:sz="0" w:space="0" w:color="auto"/>
          </w:divBdr>
        </w:div>
        <w:div w:id="1292439939">
          <w:marLeft w:val="0"/>
          <w:marRight w:val="0"/>
          <w:marTop w:val="0"/>
          <w:marBottom w:val="0"/>
          <w:divBdr>
            <w:top w:val="none" w:sz="0" w:space="0" w:color="auto"/>
            <w:left w:val="none" w:sz="0" w:space="0" w:color="auto"/>
            <w:bottom w:val="none" w:sz="0" w:space="0" w:color="auto"/>
            <w:right w:val="none" w:sz="0" w:space="0" w:color="auto"/>
          </w:divBdr>
        </w:div>
        <w:div w:id="1296108766">
          <w:marLeft w:val="0"/>
          <w:marRight w:val="0"/>
          <w:marTop w:val="0"/>
          <w:marBottom w:val="0"/>
          <w:divBdr>
            <w:top w:val="none" w:sz="0" w:space="0" w:color="auto"/>
            <w:left w:val="none" w:sz="0" w:space="0" w:color="auto"/>
            <w:bottom w:val="none" w:sz="0" w:space="0" w:color="auto"/>
            <w:right w:val="none" w:sz="0" w:space="0" w:color="auto"/>
          </w:divBdr>
        </w:div>
        <w:div w:id="604004037">
          <w:marLeft w:val="0"/>
          <w:marRight w:val="0"/>
          <w:marTop w:val="0"/>
          <w:marBottom w:val="0"/>
          <w:divBdr>
            <w:top w:val="none" w:sz="0" w:space="0" w:color="auto"/>
            <w:left w:val="none" w:sz="0" w:space="0" w:color="auto"/>
            <w:bottom w:val="none" w:sz="0" w:space="0" w:color="auto"/>
            <w:right w:val="none" w:sz="0" w:space="0" w:color="auto"/>
          </w:divBdr>
        </w:div>
        <w:div w:id="1477188513">
          <w:marLeft w:val="0"/>
          <w:marRight w:val="0"/>
          <w:marTop w:val="0"/>
          <w:marBottom w:val="0"/>
          <w:divBdr>
            <w:top w:val="none" w:sz="0" w:space="0" w:color="auto"/>
            <w:left w:val="none" w:sz="0" w:space="0" w:color="auto"/>
            <w:bottom w:val="none" w:sz="0" w:space="0" w:color="auto"/>
            <w:right w:val="none" w:sz="0" w:space="0" w:color="auto"/>
          </w:divBdr>
        </w:div>
        <w:div w:id="2090926797">
          <w:marLeft w:val="0"/>
          <w:marRight w:val="0"/>
          <w:marTop w:val="0"/>
          <w:marBottom w:val="0"/>
          <w:divBdr>
            <w:top w:val="none" w:sz="0" w:space="0" w:color="auto"/>
            <w:left w:val="none" w:sz="0" w:space="0" w:color="auto"/>
            <w:bottom w:val="none" w:sz="0" w:space="0" w:color="auto"/>
            <w:right w:val="none" w:sz="0" w:space="0" w:color="auto"/>
          </w:divBdr>
        </w:div>
        <w:div w:id="1789349423">
          <w:marLeft w:val="0"/>
          <w:marRight w:val="0"/>
          <w:marTop w:val="0"/>
          <w:marBottom w:val="0"/>
          <w:divBdr>
            <w:top w:val="none" w:sz="0" w:space="0" w:color="auto"/>
            <w:left w:val="none" w:sz="0" w:space="0" w:color="auto"/>
            <w:bottom w:val="none" w:sz="0" w:space="0" w:color="auto"/>
            <w:right w:val="none" w:sz="0" w:space="0" w:color="auto"/>
          </w:divBdr>
        </w:div>
        <w:div w:id="39594022">
          <w:marLeft w:val="0"/>
          <w:marRight w:val="0"/>
          <w:marTop w:val="0"/>
          <w:marBottom w:val="0"/>
          <w:divBdr>
            <w:top w:val="none" w:sz="0" w:space="0" w:color="auto"/>
            <w:left w:val="none" w:sz="0" w:space="0" w:color="auto"/>
            <w:bottom w:val="none" w:sz="0" w:space="0" w:color="auto"/>
            <w:right w:val="none" w:sz="0" w:space="0" w:color="auto"/>
          </w:divBdr>
        </w:div>
        <w:div w:id="1014310408">
          <w:marLeft w:val="0"/>
          <w:marRight w:val="0"/>
          <w:marTop w:val="0"/>
          <w:marBottom w:val="0"/>
          <w:divBdr>
            <w:top w:val="none" w:sz="0" w:space="0" w:color="auto"/>
            <w:left w:val="none" w:sz="0" w:space="0" w:color="auto"/>
            <w:bottom w:val="none" w:sz="0" w:space="0" w:color="auto"/>
            <w:right w:val="none" w:sz="0" w:space="0" w:color="auto"/>
          </w:divBdr>
        </w:div>
        <w:div w:id="110975085">
          <w:marLeft w:val="0"/>
          <w:marRight w:val="0"/>
          <w:marTop w:val="0"/>
          <w:marBottom w:val="0"/>
          <w:divBdr>
            <w:top w:val="none" w:sz="0" w:space="0" w:color="auto"/>
            <w:left w:val="none" w:sz="0" w:space="0" w:color="auto"/>
            <w:bottom w:val="none" w:sz="0" w:space="0" w:color="auto"/>
            <w:right w:val="none" w:sz="0" w:space="0" w:color="auto"/>
          </w:divBdr>
        </w:div>
        <w:div w:id="2126345883">
          <w:marLeft w:val="0"/>
          <w:marRight w:val="0"/>
          <w:marTop w:val="0"/>
          <w:marBottom w:val="0"/>
          <w:divBdr>
            <w:top w:val="none" w:sz="0" w:space="0" w:color="auto"/>
            <w:left w:val="none" w:sz="0" w:space="0" w:color="auto"/>
            <w:bottom w:val="none" w:sz="0" w:space="0" w:color="auto"/>
            <w:right w:val="none" w:sz="0" w:space="0" w:color="auto"/>
          </w:divBdr>
        </w:div>
        <w:div w:id="1086656311">
          <w:marLeft w:val="0"/>
          <w:marRight w:val="0"/>
          <w:marTop w:val="0"/>
          <w:marBottom w:val="0"/>
          <w:divBdr>
            <w:top w:val="none" w:sz="0" w:space="0" w:color="auto"/>
            <w:left w:val="none" w:sz="0" w:space="0" w:color="auto"/>
            <w:bottom w:val="none" w:sz="0" w:space="0" w:color="auto"/>
            <w:right w:val="none" w:sz="0" w:space="0" w:color="auto"/>
          </w:divBdr>
        </w:div>
        <w:div w:id="744498589">
          <w:marLeft w:val="0"/>
          <w:marRight w:val="0"/>
          <w:marTop w:val="0"/>
          <w:marBottom w:val="0"/>
          <w:divBdr>
            <w:top w:val="none" w:sz="0" w:space="0" w:color="auto"/>
            <w:left w:val="none" w:sz="0" w:space="0" w:color="auto"/>
            <w:bottom w:val="none" w:sz="0" w:space="0" w:color="auto"/>
            <w:right w:val="none" w:sz="0" w:space="0" w:color="auto"/>
          </w:divBdr>
        </w:div>
        <w:div w:id="473570153">
          <w:marLeft w:val="0"/>
          <w:marRight w:val="0"/>
          <w:marTop w:val="0"/>
          <w:marBottom w:val="0"/>
          <w:divBdr>
            <w:top w:val="none" w:sz="0" w:space="0" w:color="auto"/>
            <w:left w:val="none" w:sz="0" w:space="0" w:color="auto"/>
            <w:bottom w:val="none" w:sz="0" w:space="0" w:color="auto"/>
            <w:right w:val="none" w:sz="0" w:space="0" w:color="auto"/>
          </w:divBdr>
        </w:div>
        <w:div w:id="686563669">
          <w:marLeft w:val="0"/>
          <w:marRight w:val="0"/>
          <w:marTop w:val="0"/>
          <w:marBottom w:val="0"/>
          <w:divBdr>
            <w:top w:val="none" w:sz="0" w:space="0" w:color="auto"/>
            <w:left w:val="none" w:sz="0" w:space="0" w:color="auto"/>
            <w:bottom w:val="none" w:sz="0" w:space="0" w:color="auto"/>
            <w:right w:val="none" w:sz="0" w:space="0" w:color="auto"/>
          </w:divBdr>
        </w:div>
        <w:div w:id="1443380890">
          <w:marLeft w:val="0"/>
          <w:marRight w:val="0"/>
          <w:marTop w:val="0"/>
          <w:marBottom w:val="0"/>
          <w:divBdr>
            <w:top w:val="none" w:sz="0" w:space="0" w:color="auto"/>
            <w:left w:val="none" w:sz="0" w:space="0" w:color="auto"/>
            <w:bottom w:val="none" w:sz="0" w:space="0" w:color="auto"/>
            <w:right w:val="none" w:sz="0" w:space="0" w:color="auto"/>
          </w:divBdr>
        </w:div>
        <w:div w:id="875386163">
          <w:marLeft w:val="0"/>
          <w:marRight w:val="0"/>
          <w:marTop w:val="0"/>
          <w:marBottom w:val="0"/>
          <w:divBdr>
            <w:top w:val="none" w:sz="0" w:space="0" w:color="auto"/>
            <w:left w:val="none" w:sz="0" w:space="0" w:color="auto"/>
            <w:bottom w:val="none" w:sz="0" w:space="0" w:color="auto"/>
            <w:right w:val="none" w:sz="0" w:space="0" w:color="auto"/>
          </w:divBdr>
        </w:div>
        <w:div w:id="627668105">
          <w:marLeft w:val="0"/>
          <w:marRight w:val="0"/>
          <w:marTop w:val="0"/>
          <w:marBottom w:val="0"/>
          <w:divBdr>
            <w:top w:val="none" w:sz="0" w:space="0" w:color="auto"/>
            <w:left w:val="none" w:sz="0" w:space="0" w:color="auto"/>
            <w:bottom w:val="none" w:sz="0" w:space="0" w:color="auto"/>
            <w:right w:val="none" w:sz="0" w:space="0" w:color="auto"/>
          </w:divBdr>
        </w:div>
        <w:div w:id="1469202627">
          <w:marLeft w:val="0"/>
          <w:marRight w:val="0"/>
          <w:marTop w:val="0"/>
          <w:marBottom w:val="0"/>
          <w:divBdr>
            <w:top w:val="none" w:sz="0" w:space="0" w:color="auto"/>
            <w:left w:val="none" w:sz="0" w:space="0" w:color="auto"/>
            <w:bottom w:val="none" w:sz="0" w:space="0" w:color="auto"/>
            <w:right w:val="none" w:sz="0" w:space="0" w:color="auto"/>
          </w:divBdr>
        </w:div>
      </w:divsChild>
    </w:div>
    <w:div w:id="598761368">
      <w:bodyDiv w:val="1"/>
      <w:marLeft w:val="0"/>
      <w:marRight w:val="0"/>
      <w:marTop w:val="0"/>
      <w:marBottom w:val="0"/>
      <w:divBdr>
        <w:top w:val="none" w:sz="0" w:space="0" w:color="auto"/>
        <w:left w:val="none" w:sz="0" w:space="0" w:color="auto"/>
        <w:bottom w:val="none" w:sz="0" w:space="0" w:color="auto"/>
        <w:right w:val="none" w:sz="0" w:space="0" w:color="auto"/>
      </w:divBdr>
    </w:div>
    <w:div w:id="632836223">
      <w:bodyDiv w:val="1"/>
      <w:marLeft w:val="0"/>
      <w:marRight w:val="0"/>
      <w:marTop w:val="0"/>
      <w:marBottom w:val="0"/>
      <w:divBdr>
        <w:top w:val="none" w:sz="0" w:space="0" w:color="auto"/>
        <w:left w:val="none" w:sz="0" w:space="0" w:color="auto"/>
        <w:bottom w:val="none" w:sz="0" w:space="0" w:color="auto"/>
        <w:right w:val="none" w:sz="0" w:space="0" w:color="auto"/>
      </w:divBdr>
    </w:div>
    <w:div w:id="776951356">
      <w:bodyDiv w:val="1"/>
      <w:marLeft w:val="0"/>
      <w:marRight w:val="0"/>
      <w:marTop w:val="0"/>
      <w:marBottom w:val="0"/>
      <w:divBdr>
        <w:top w:val="none" w:sz="0" w:space="0" w:color="auto"/>
        <w:left w:val="none" w:sz="0" w:space="0" w:color="auto"/>
        <w:bottom w:val="none" w:sz="0" w:space="0" w:color="auto"/>
        <w:right w:val="none" w:sz="0" w:space="0" w:color="auto"/>
      </w:divBdr>
    </w:div>
    <w:div w:id="796873574">
      <w:bodyDiv w:val="1"/>
      <w:marLeft w:val="0"/>
      <w:marRight w:val="0"/>
      <w:marTop w:val="0"/>
      <w:marBottom w:val="0"/>
      <w:divBdr>
        <w:top w:val="none" w:sz="0" w:space="0" w:color="auto"/>
        <w:left w:val="none" w:sz="0" w:space="0" w:color="auto"/>
        <w:bottom w:val="none" w:sz="0" w:space="0" w:color="auto"/>
        <w:right w:val="none" w:sz="0" w:space="0" w:color="auto"/>
      </w:divBdr>
    </w:div>
    <w:div w:id="1045299693">
      <w:bodyDiv w:val="1"/>
      <w:marLeft w:val="0"/>
      <w:marRight w:val="0"/>
      <w:marTop w:val="0"/>
      <w:marBottom w:val="0"/>
      <w:divBdr>
        <w:top w:val="none" w:sz="0" w:space="0" w:color="auto"/>
        <w:left w:val="none" w:sz="0" w:space="0" w:color="auto"/>
        <w:bottom w:val="none" w:sz="0" w:space="0" w:color="auto"/>
        <w:right w:val="none" w:sz="0" w:space="0" w:color="auto"/>
      </w:divBdr>
      <w:divsChild>
        <w:div w:id="676688473">
          <w:marLeft w:val="0"/>
          <w:marRight w:val="0"/>
          <w:marTop w:val="0"/>
          <w:marBottom w:val="0"/>
          <w:divBdr>
            <w:top w:val="none" w:sz="0" w:space="0" w:color="auto"/>
            <w:left w:val="none" w:sz="0" w:space="0" w:color="auto"/>
            <w:bottom w:val="none" w:sz="0" w:space="0" w:color="auto"/>
            <w:right w:val="none" w:sz="0" w:space="0" w:color="auto"/>
          </w:divBdr>
        </w:div>
        <w:div w:id="2048069472">
          <w:marLeft w:val="0"/>
          <w:marRight w:val="0"/>
          <w:marTop w:val="0"/>
          <w:marBottom w:val="0"/>
          <w:divBdr>
            <w:top w:val="none" w:sz="0" w:space="0" w:color="auto"/>
            <w:left w:val="none" w:sz="0" w:space="0" w:color="auto"/>
            <w:bottom w:val="none" w:sz="0" w:space="0" w:color="auto"/>
            <w:right w:val="none" w:sz="0" w:space="0" w:color="auto"/>
          </w:divBdr>
        </w:div>
        <w:div w:id="1598096863">
          <w:marLeft w:val="0"/>
          <w:marRight w:val="0"/>
          <w:marTop w:val="0"/>
          <w:marBottom w:val="0"/>
          <w:divBdr>
            <w:top w:val="none" w:sz="0" w:space="0" w:color="auto"/>
            <w:left w:val="none" w:sz="0" w:space="0" w:color="auto"/>
            <w:bottom w:val="none" w:sz="0" w:space="0" w:color="auto"/>
            <w:right w:val="none" w:sz="0" w:space="0" w:color="auto"/>
          </w:divBdr>
        </w:div>
        <w:div w:id="892237262">
          <w:marLeft w:val="0"/>
          <w:marRight w:val="0"/>
          <w:marTop w:val="0"/>
          <w:marBottom w:val="0"/>
          <w:divBdr>
            <w:top w:val="none" w:sz="0" w:space="0" w:color="auto"/>
            <w:left w:val="none" w:sz="0" w:space="0" w:color="auto"/>
            <w:bottom w:val="none" w:sz="0" w:space="0" w:color="auto"/>
            <w:right w:val="none" w:sz="0" w:space="0" w:color="auto"/>
          </w:divBdr>
        </w:div>
        <w:div w:id="81413070">
          <w:marLeft w:val="0"/>
          <w:marRight w:val="0"/>
          <w:marTop w:val="0"/>
          <w:marBottom w:val="0"/>
          <w:divBdr>
            <w:top w:val="none" w:sz="0" w:space="0" w:color="auto"/>
            <w:left w:val="none" w:sz="0" w:space="0" w:color="auto"/>
            <w:bottom w:val="none" w:sz="0" w:space="0" w:color="auto"/>
            <w:right w:val="none" w:sz="0" w:space="0" w:color="auto"/>
          </w:divBdr>
        </w:div>
        <w:div w:id="1144078512">
          <w:marLeft w:val="0"/>
          <w:marRight w:val="0"/>
          <w:marTop w:val="0"/>
          <w:marBottom w:val="0"/>
          <w:divBdr>
            <w:top w:val="none" w:sz="0" w:space="0" w:color="auto"/>
            <w:left w:val="none" w:sz="0" w:space="0" w:color="auto"/>
            <w:bottom w:val="none" w:sz="0" w:space="0" w:color="auto"/>
            <w:right w:val="none" w:sz="0" w:space="0" w:color="auto"/>
          </w:divBdr>
        </w:div>
        <w:div w:id="706679098">
          <w:marLeft w:val="0"/>
          <w:marRight w:val="0"/>
          <w:marTop w:val="0"/>
          <w:marBottom w:val="0"/>
          <w:divBdr>
            <w:top w:val="none" w:sz="0" w:space="0" w:color="auto"/>
            <w:left w:val="none" w:sz="0" w:space="0" w:color="auto"/>
            <w:bottom w:val="none" w:sz="0" w:space="0" w:color="auto"/>
            <w:right w:val="none" w:sz="0" w:space="0" w:color="auto"/>
          </w:divBdr>
        </w:div>
        <w:div w:id="1494485590">
          <w:marLeft w:val="0"/>
          <w:marRight w:val="0"/>
          <w:marTop w:val="0"/>
          <w:marBottom w:val="0"/>
          <w:divBdr>
            <w:top w:val="none" w:sz="0" w:space="0" w:color="auto"/>
            <w:left w:val="none" w:sz="0" w:space="0" w:color="auto"/>
            <w:bottom w:val="none" w:sz="0" w:space="0" w:color="auto"/>
            <w:right w:val="none" w:sz="0" w:space="0" w:color="auto"/>
          </w:divBdr>
        </w:div>
        <w:div w:id="452865114">
          <w:marLeft w:val="0"/>
          <w:marRight w:val="0"/>
          <w:marTop w:val="0"/>
          <w:marBottom w:val="0"/>
          <w:divBdr>
            <w:top w:val="none" w:sz="0" w:space="0" w:color="auto"/>
            <w:left w:val="none" w:sz="0" w:space="0" w:color="auto"/>
            <w:bottom w:val="none" w:sz="0" w:space="0" w:color="auto"/>
            <w:right w:val="none" w:sz="0" w:space="0" w:color="auto"/>
          </w:divBdr>
        </w:div>
        <w:div w:id="323168363">
          <w:marLeft w:val="0"/>
          <w:marRight w:val="0"/>
          <w:marTop w:val="0"/>
          <w:marBottom w:val="0"/>
          <w:divBdr>
            <w:top w:val="none" w:sz="0" w:space="0" w:color="auto"/>
            <w:left w:val="none" w:sz="0" w:space="0" w:color="auto"/>
            <w:bottom w:val="none" w:sz="0" w:space="0" w:color="auto"/>
            <w:right w:val="none" w:sz="0" w:space="0" w:color="auto"/>
          </w:divBdr>
        </w:div>
        <w:div w:id="737089574">
          <w:marLeft w:val="0"/>
          <w:marRight w:val="0"/>
          <w:marTop w:val="0"/>
          <w:marBottom w:val="0"/>
          <w:divBdr>
            <w:top w:val="none" w:sz="0" w:space="0" w:color="auto"/>
            <w:left w:val="none" w:sz="0" w:space="0" w:color="auto"/>
            <w:bottom w:val="none" w:sz="0" w:space="0" w:color="auto"/>
            <w:right w:val="none" w:sz="0" w:space="0" w:color="auto"/>
          </w:divBdr>
        </w:div>
        <w:div w:id="1722247878">
          <w:marLeft w:val="0"/>
          <w:marRight w:val="0"/>
          <w:marTop w:val="0"/>
          <w:marBottom w:val="0"/>
          <w:divBdr>
            <w:top w:val="none" w:sz="0" w:space="0" w:color="auto"/>
            <w:left w:val="none" w:sz="0" w:space="0" w:color="auto"/>
            <w:bottom w:val="none" w:sz="0" w:space="0" w:color="auto"/>
            <w:right w:val="none" w:sz="0" w:space="0" w:color="auto"/>
          </w:divBdr>
        </w:div>
        <w:div w:id="1531145151">
          <w:marLeft w:val="0"/>
          <w:marRight w:val="0"/>
          <w:marTop w:val="0"/>
          <w:marBottom w:val="0"/>
          <w:divBdr>
            <w:top w:val="none" w:sz="0" w:space="0" w:color="auto"/>
            <w:left w:val="none" w:sz="0" w:space="0" w:color="auto"/>
            <w:bottom w:val="none" w:sz="0" w:space="0" w:color="auto"/>
            <w:right w:val="none" w:sz="0" w:space="0" w:color="auto"/>
          </w:divBdr>
        </w:div>
        <w:div w:id="645089583">
          <w:marLeft w:val="0"/>
          <w:marRight w:val="0"/>
          <w:marTop w:val="0"/>
          <w:marBottom w:val="0"/>
          <w:divBdr>
            <w:top w:val="none" w:sz="0" w:space="0" w:color="auto"/>
            <w:left w:val="none" w:sz="0" w:space="0" w:color="auto"/>
            <w:bottom w:val="none" w:sz="0" w:space="0" w:color="auto"/>
            <w:right w:val="none" w:sz="0" w:space="0" w:color="auto"/>
          </w:divBdr>
        </w:div>
        <w:div w:id="924532242">
          <w:marLeft w:val="0"/>
          <w:marRight w:val="0"/>
          <w:marTop w:val="0"/>
          <w:marBottom w:val="0"/>
          <w:divBdr>
            <w:top w:val="none" w:sz="0" w:space="0" w:color="auto"/>
            <w:left w:val="none" w:sz="0" w:space="0" w:color="auto"/>
            <w:bottom w:val="none" w:sz="0" w:space="0" w:color="auto"/>
            <w:right w:val="none" w:sz="0" w:space="0" w:color="auto"/>
          </w:divBdr>
        </w:div>
        <w:div w:id="1300067785">
          <w:marLeft w:val="0"/>
          <w:marRight w:val="0"/>
          <w:marTop w:val="0"/>
          <w:marBottom w:val="0"/>
          <w:divBdr>
            <w:top w:val="none" w:sz="0" w:space="0" w:color="auto"/>
            <w:left w:val="none" w:sz="0" w:space="0" w:color="auto"/>
            <w:bottom w:val="none" w:sz="0" w:space="0" w:color="auto"/>
            <w:right w:val="none" w:sz="0" w:space="0" w:color="auto"/>
          </w:divBdr>
        </w:div>
        <w:div w:id="1485395498">
          <w:marLeft w:val="0"/>
          <w:marRight w:val="0"/>
          <w:marTop w:val="0"/>
          <w:marBottom w:val="0"/>
          <w:divBdr>
            <w:top w:val="none" w:sz="0" w:space="0" w:color="auto"/>
            <w:left w:val="none" w:sz="0" w:space="0" w:color="auto"/>
            <w:bottom w:val="none" w:sz="0" w:space="0" w:color="auto"/>
            <w:right w:val="none" w:sz="0" w:space="0" w:color="auto"/>
          </w:divBdr>
        </w:div>
        <w:div w:id="857430288">
          <w:marLeft w:val="0"/>
          <w:marRight w:val="0"/>
          <w:marTop w:val="0"/>
          <w:marBottom w:val="0"/>
          <w:divBdr>
            <w:top w:val="none" w:sz="0" w:space="0" w:color="auto"/>
            <w:left w:val="none" w:sz="0" w:space="0" w:color="auto"/>
            <w:bottom w:val="none" w:sz="0" w:space="0" w:color="auto"/>
            <w:right w:val="none" w:sz="0" w:space="0" w:color="auto"/>
          </w:divBdr>
        </w:div>
        <w:div w:id="1262833921">
          <w:marLeft w:val="0"/>
          <w:marRight w:val="0"/>
          <w:marTop w:val="0"/>
          <w:marBottom w:val="0"/>
          <w:divBdr>
            <w:top w:val="none" w:sz="0" w:space="0" w:color="auto"/>
            <w:left w:val="none" w:sz="0" w:space="0" w:color="auto"/>
            <w:bottom w:val="none" w:sz="0" w:space="0" w:color="auto"/>
            <w:right w:val="none" w:sz="0" w:space="0" w:color="auto"/>
          </w:divBdr>
        </w:div>
        <w:div w:id="748186988">
          <w:marLeft w:val="0"/>
          <w:marRight w:val="0"/>
          <w:marTop w:val="0"/>
          <w:marBottom w:val="0"/>
          <w:divBdr>
            <w:top w:val="none" w:sz="0" w:space="0" w:color="auto"/>
            <w:left w:val="none" w:sz="0" w:space="0" w:color="auto"/>
            <w:bottom w:val="none" w:sz="0" w:space="0" w:color="auto"/>
            <w:right w:val="none" w:sz="0" w:space="0" w:color="auto"/>
          </w:divBdr>
        </w:div>
        <w:div w:id="1581987322">
          <w:marLeft w:val="0"/>
          <w:marRight w:val="0"/>
          <w:marTop w:val="0"/>
          <w:marBottom w:val="0"/>
          <w:divBdr>
            <w:top w:val="none" w:sz="0" w:space="0" w:color="auto"/>
            <w:left w:val="none" w:sz="0" w:space="0" w:color="auto"/>
            <w:bottom w:val="none" w:sz="0" w:space="0" w:color="auto"/>
            <w:right w:val="none" w:sz="0" w:space="0" w:color="auto"/>
          </w:divBdr>
        </w:div>
        <w:div w:id="1586454256">
          <w:marLeft w:val="0"/>
          <w:marRight w:val="0"/>
          <w:marTop w:val="0"/>
          <w:marBottom w:val="0"/>
          <w:divBdr>
            <w:top w:val="none" w:sz="0" w:space="0" w:color="auto"/>
            <w:left w:val="none" w:sz="0" w:space="0" w:color="auto"/>
            <w:bottom w:val="none" w:sz="0" w:space="0" w:color="auto"/>
            <w:right w:val="none" w:sz="0" w:space="0" w:color="auto"/>
          </w:divBdr>
        </w:div>
        <w:div w:id="1202935284">
          <w:marLeft w:val="0"/>
          <w:marRight w:val="0"/>
          <w:marTop w:val="0"/>
          <w:marBottom w:val="0"/>
          <w:divBdr>
            <w:top w:val="none" w:sz="0" w:space="0" w:color="auto"/>
            <w:left w:val="none" w:sz="0" w:space="0" w:color="auto"/>
            <w:bottom w:val="none" w:sz="0" w:space="0" w:color="auto"/>
            <w:right w:val="none" w:sz="0" w:space="0" w:color="auto"/>
          </w:divBdr>
        </w:div>
        <w:div w:id="19401887">
          <w:marLeft w:val="0"/>
          <w:marRight w:val="0"/>
          <w:marTop w:val="0"/>
          <w:marBottom w:val="0"/>
          <w:divBdr>
            <w:top w:val="none" w:sz="0" w:space="0" w:color="auto"/>
            <w:left w:val="none" w:sz="0" w:space="0" w:color="auto"/>
            <w:bottom w:val="none" w:sz="0" w:space="0" w:color="auto"/>
            <w:right w:val="none" w:sz="0" w:space="0" w:color="auto"/>
          </w:divBdr>
        </w:div>
        <w:div w:id="682707272">
          <w:marLeft w:val="0"/>
          <w:marRight w:val="0"/>
          <w:marTop w:val="0"/>
          <w:marBottom w:val="0"/>
          <w:divBdr>
            <w:top w:val="none" w:sz="0" w:space="0" w:color="auto"/>
            <w:left w:val="none" w:sz="0" w:space="0" w:color="auto"/>
            <w:bottom w:val="none" w:sz="0" w:space="0" w:color="auto"/>
            <w:right w:val="none" w:sz="0" w:space="0" w:color="auto"/>
          </w:divBdr>
        </w:div>
        <w:div w:id="1888183983">
          <w:marLeft w:val="0"/>
          <w:marRight w:val="0"/>
          <w:marTop w:val="0"/>
          <w:marBottom w:val="0"/>
          <w:divBdr>
            <w:top w:val="none" w:sz="0" w:space="0" w:color="auto"/>
            <w:left w:val="none" w:sz="0" w:space="0" w:color="auto"/>
            <w:bottom w:val="none" w:sz="0" w:space="0" w:color="auto"/>
            <w:right w:val="none" w:sz="0" w:space="0" w:color="auto"/>
          </w:divBdr>
        </w:div>
        <w:div w:id="1677341230">
          <w:marLeft w:val="0"/>
          <w:marRight w:val="0"/>
          <w:marTop w:val="0"/>
          <w:marBottom w:val="0"/>
          <w:divBdr>
            <w:top w:val="none" w:sz="0" w:space="0" w:color="auto"/>
            <w:left w:val="none" w:sz="0" w:space="0" w:color="auto"/>
            <w:bottom w:val="none" w:sz="0" w:space="0" w:color="auto"/>
            <w:right w:val="none" w:sz="0" w:space="0" w:color="auto"/>
          </w:divBdr>
        </w:div>
        <w:div w:id="739182038">
          <w:marLeft w:val="0"/>
          <w:marRight w:val="0"/>
          <w:marTop w:val="0"/>
          <w:marBottom w:val="0"/>
          <w:divBdr>
            <w:top w:val="none" w:sz="0" w:space="0" w:color="auto"/>
            <w:left w:val="none" w:sz="0" w:space="0" w:color="auto"/>
            <w:bottom w:val="none" w:sz="0" w:space="0" w:color="auto"/>
            <w:right w:val="none" w:sz="0" w:space="0" w:color="auto"/>
          </w:divBdr>
        </w:div>
        <w:div w:id="2012559552">
          <w:marLeft w:val="0"/>
          <w:marRight w:val="0"/>
          <w:marTop w:val="0"/>
          <w:marBottom w:val="0"/>
          <w:divBdr>
            <w:top w:val="none" w:sz="0" w:space="0" w:color="auto"/>
            <w:left w:val="none" w:sz="0" w:space="0" w:color="auto"/>
            <w:bottom w:val="none" w:sz="0" w:space="0" w:color="auto"/>
            <w:right w:val="none" w:sz="0" w:space="0" w:color="auto"/>
          </w:divBdr>
        </w:div>
        <w:div w:id="1135678897">
          <w:marLeft w:val="0"/>
          <w:marRight w:val="0"/>
          <w:marTop w:val="0"/>
          <w:marBottom w:val="0"/>
          <w:divBdr>
            <w:top w:val="none" w:sz="0" w:space="0" w:color="auto"/>
            <w:left w:val="none" w:sz="0" w:space="0" w:color="auto"/>
            <w:bottom w:val="none" w:sz="0" w:space="0" w:color="auto"/>
            <w:right w:val="none" w:sz="0" w:space="0" w:color="auto"/>
          </w:divBdr>
        </w:div>
        <w:div w:id="931594743">
          <w:marLeft w:val="0"/>
          <w:marRight w:val="0"/>
          <w:marTop w:val="0"/>
          <w:marBottom w:val="0"/>
          <w:divBdr>
            <w:top w:val="none" w:sz="0" w:space="0" w:color="auto"/>
            <w:left w:val="none" w:sz="0" w:space="0" w:color="auto"/>
            <w:bottom w:val="none" w:sz="0" w:space="0" w:color="auto"/>
            <w:right w:val="none" w:sz="0" w:space="0" w:color="auto"/>
          </w:divBdr>
        </w:div>
        <w:div w:id="1688679202">
          <w:marLeft w:val="0"/>
          <w:marRight w:val="0"/>
          <w:marTop w:val="0"/>
          <w:marBottom w:val="0"/>
          <w:divBdr>
            <w:top w:val="none" w:sz="0" w:space="0" w:color="auto"/>
            <w:left w:val="none" w:sz="0" w:space="0" w:color="auto"/>
            <w:bottom w:val="none" w:sz="0" w:space="0" w:color="auto"/>
            <w:right w:val="none" w:sz="0" w:space="0" w:color="auto"/>
          </w:divBdr>
        </w:div>
        <w:div w:id="637497011">
          <w:marLeft w:val="0"/>
          <w:marRight w:val="0"/>
          <w:marTop w:val="0"/>
          <w:marBottom w:val="0"/>
          <w:divBdr>
            <w:top w:val="none" w:sz="0" w:space="0" w:color="auto"/>
            <w:left w:val="none" w:sz="0" w:space="0" w:color="auto"/>
            <w:bottom w:val="none" w:sz="0" w:space="0" w:color="auto"/>
            <w:right w:val="none" w:sz="0" w:space="0" w:color="auto"/>
          </w:divBdr>
        </w:div>
        <w:div w:id="2069762340">
          <w:marLeft w:val="0"/>
          <w:marRight w:val="0"/>
          <w:marTop w:val="0"/>
          <w:marBottom w:val="0"/>
          <w:divBdr>
            <w:top w:val="none" w:sz="0" w:space="0" w:color="auto"/>
            <w:left w:val="none" w:sz="0" w:space="0" w:color="auto"/>
            <w:bottom w:val="none" w:sz="0" w:space="0" w:color="auto"/>
            <w:right w:val="none" w:sz="0" w:space="0" w:color="auto"/>
          </w:divBdr>
        </w:div>
        <w:div w:id="211701222">
          <w:marLeft w:val="0"/>
          <w:marRight w:val="0"/>
          <w:marTop w:val="0"/>
          <w:marBottom w:val="0"/>
          <w:divBdr>
            <w:top w:val="none" w:sz="0" w:space="0" w:color="auto"/>
            <w:left w:val="none" w:sz="0" w:space="0" w:color="auto"/>
            <w:bottom w:val="none" w:sz="0" w:space="0" w:color="auto"/>
            <w:right w:val="none" w:sz="0" w:space="0" w:color="auto"/>
          </w:divBdr>
        </w:div>
        <w:div w:id="6179923">
          <w:marLeft w:val="0"/>
          <w:marRight w:val="0"/>
          <w:marTop w:val="0"/>
          <w:marBottom w:val="0"/>
          <w:divBdr>
            <w:top w:val="none" w:sz="0" w:space="0" w:color="auto"/>
            <w:left w:val="none" w:sz="0" w:space="0" w:color="auto"/>
            <w:bottom w:val="none" w:sz="0" w:space="0" w:color="auto"/>
            <w:right w:val="none" w:sz="0" w:space="0" w:color="auto"/>
          </w:divBdr>
        </w:div>
        <w:div w:id="870723794">
          <w:marLeft w:val="0"/>
          <w:marRight w:val="0"/>
          <w:marTop w:val="0"/>
          <w:marBottom w:val="0"/>
          <w:divBdr>
            <w:top w:val="none" w:sz="0" w:space="0" w:color="auto"/>
            <w:left w:val="none" w:sz="0" w:space="0" w:color="auto"/>
            <w:bottom w:val="none" w:sz="0" w:space="0" w:color="auto"/>
            <w:right w:val="none" w:sz="0" w:space="0" w:color="auto"/>
          </w:divBdr>
        </w:div>
        <w:div w:id="146017288">
          <w:marLeft w:val="0"/>
          <w:marRight w:val="0"/>
          <w:marTop w:val="0"/>
          <w:marBottom w:val="0"/>
          <w:divBdr>
            <w:top w:val="none" w:sz="0" w:space="0" w:color="auto"/>
            <w:left w:val="none" w:sz="0" w:space="0" w:color="auto"/>
            <w:bottom w:val="none" w:sz="0" w:space="0" w:color="auto"/>
            <w:right w:val="none" w:sz="0" w:space="0" w:color="auto"/>
          </w:divBdr>
        </w:div>
        <w:div w:id="620187681">
          <w:marLeft w:val="0"/>
          <w:marRight w:val="0"/>
          <w:marTop w:val="0"/>
          <w:marBottom w:val="0"/>
          <w:divBdr>
            <w:top w:val="none" w:sz="0" w:space="0" w:color="auto"/>
            <w:left w:val="none" w:sz="0" w:space="0" w:color="auto"/>
            <w:bottom w:val="none" w:sz="0" w:space="0" w:color="auto"/>
            <w:right w:val="none" w:sz="0" w:space="0" w:color="auto"/>
          </w:divBdr>
        </w:div>
        <w:div w:id="882600513">
          <w:marLeft w:val="0"/>
          <w:marRight w:val="0"/>
          <w:marTop w:val="0"/>
          <w:marBottom w:val="0"/>
          <w:divBdr>
            <w:top w:val="none" w:sz="0" w:space="0" w:color="auto"/>
            <w:left w:val="none" w:sz="0" w:space="0" w:color="auto"/>
            <w:bottom w:val="none" w:sz="0" w:space="0" w:color="auto"/>
            <w:right w:val="none" w:sz="0" w:space="0" w:color="auto"/>
          </w:divBdr>
        </w:div>
        <w:div w:id="1992974965">
          <w:marLeft w:val="0"/>
          <w:marRight w:val="0"/>
          <w:marTop w:val="0"/>
          <w:marBottom w:val="0"/>
          <w:divBdr>
            <w:top w:val="none" w:sz="0" w:space="0" w:color="auto"/>
            <w:left w:val="none" w:sz="0" w:space="0" w:color="auto"/>
            <w:bottom w:val="none" w:sz="0" w:space="0" w:color="auto"/>
            <w:right w:val="none" w:sz="0" w:space="0" w:color="auto"/>
          </w:divBdr>
        </w:div>
        <w:div w:id="920607273">
          <w:marLeft w:val="0"/>
          <w:marRight w:val="0"/>
          <w:marTop w:val="0"/>
          <w:marBottom w:val="0"/>
          <w:divBdr>
            <w:top w:val="none" w:sz="0" w:space="0" w:color="auto"/>
            <w:left w:val="none" w:sz="0" w:space="0" w:color="auto"/>
            <w:bottom w:val="none" w:sz="0" w:space="0" w:color="auto"/>
            <w:right w:val="none" w:sz="0" w:space="0" w:color="auto"/>
          </w:divBdr>
        </w:div>
        <w:div w:id="1819572600">
          <w:marLeft w:val="0"/>
          <w:marRight w:val="0"/>
          <w:marTop w:val="0"/>
          <w:marBottom w:val="0"/>
          <w:divBdr>
            <w:top w:val="none" w:sz="0" w:space="0" w:color="auto"/>
            <w:left w:val="none" w:sz="0" w:space="0" w:color="auto"/>
            <w:bottom w:val="none" w:sz="0" w:space="0" w:color="auto"/>
            <w:right w:val="none" w:sz="0" w:space="0" w:color="auto"/>
          </w:divBdr>
        </w:div>
        <w:div w:id="658925959">
          <w:marLeft w:val="0"/>
          <w:marRight w:val="0"/>
          <w:marTop w:val="0"/>
          <w:marBottom w:val="0"/>
          <w:divBdr>
            <w:top w:val="none" w:sz="0" w:space="0" w:color="auto"/>
            <w:left w:val="none" w:sz="0" w:space="0" w:color="auto"/>
            <w:bottom w:val="none" w:sz="0" w:space="0" w:color="auto"/>
            <w:right w:val="none" w:sz="0" w:space="0" w:color="auto"/>
          </w:divBdr>
        </w:div>
        <w:div w:id="2024277893">
          <w:marLeft w:val="0"/>
          <w:marRight w:val="0"/>
          <w:marTop w:val="0"/>
          <w:marBottom w:val="0"/>
          <w:divBdr>
            <w:top w:val="none" w:sz="0" w:space="0" w:color="auto"/>
            <w:left w:val="none" w:sz="0" w:space="0" w:color="auto"/>
            <w:bottom w:val="none" w:sz="0" w:space="0" w:color="auto"/>
            <w:right w:val="none" w:sz="0" w:space="0" w:color="auto"/>
          </w:divBdr>
        </w:div>
        <w:div w:id="331832726">
          <w:marLeft w:val="0"/>
          <w:marRight w:val="0"/>
          <w:marTop w:val="0"/>
          <w:marBottom w:val="0"/>
          <w:divBdr>
            <w:top w:val="none" w:sz="0" w:space="0" w:color="auto"/>
            <w:left w:val="none" w:sz="0" w:space="0" w:color="auto"/>
            <w:bottom w:val="none" w:sz="0" w:space="0" w:color="auto"/>
            <w:right w:val="none" w:sz="0" w:space="0" w:color="auto"/>
          </w:divBdr>
        </w:div>
        <w:div w:id="1954435715">
          <w:marLeft w:val="0"/>
          <w:marRight w:val="0"/>
          <w:marTop w:val="0"/>
          <w:marBottom w:val="0"/>
          <w:divBdr>
            <w:top w:val="none" w:sz="0" w:space="0" w:color="auto"/>
            <w:left w:val="none" w:sz="0" w:space="0" w:color="auto"/>
            <w:bottom w:val="none" w:sz="0" w:space="0" w:color="auto"/>
            <w:right w:val="none" w:sz="0" w:space="0" w:color="auto"/>
          </w:divBdr>
        </w:div>
        <w:div w:id="439381110">
          <w:marLeft w:val="0"/>
          <w:marRight w:val="0"/>
          <w:marTop w:val="0"/>
          <w:marBottom w:val="0"/>
          <w:divBdr>
            <w:top w:val="none" w:sz="0" w:space="0" w:color="auto"/>
            <w:left w:val="none" w:sz="0" w:space="0" w:color="auto"/>
            <w:bottom w:val="none" w:sz="0" w:space="0" w:color="auto"/>
            <w:right w:val="none" w:sz="0" w:space="0" w:color="auto"/>
          </w:divBdr>
        </w:div>
        <w:div w:id="526528098">
          <w:marLeft w:val="0"/>
          <w:marRight w:val="0"/>
          <w:marTop w:val="0"/>
          <w:marBottom w:val="0"/>
          <w:divBdr>
            <w:top w:val="none" w:sz="0" w:space="0" w:color="auto"/>
            <w:left w:val="none" w:sz="0" w:space="0" w:color="auto"/>
            <w:bottom w:val="none" w:sz="0" w:space="0" w:color="auto"/>
            <w:right w:val="none" w:sz="0" w:space="0" w:color="auto"/>
          </w:divBdr>
        </w:div>
        <w:div w:id="92748641">
          <w:marLeft w:val="0"/>
          <w:marRight w:val="0"/>
          <w:marTop w:val="0"/>
          <w:marBottom w:val="0"/>
          <w:divBdr>
            <w:top w:val="none" w:sz="0" w:space="0" w:color="auto"/>
            <w:left w:val="none" w:sz="0" w:space="0" w:color="auto"/>
            <w:bottom w:val="none" w:sz="0" w:space="0" w:color="auto"/>
            <w:right w:val="none" w:sz="0" w:space="0" w:color="auto"/>
          </w:divBdr>
        </w:div>
        <w:div w:id="23137730">
          <w:marLeft w:val="0"/>
          <w:marRight w:val="0"/>
          <w:marTop w:val="0"/>
          <w:marBottom w:val="0"/>
          <w:divBdr>
            <w:top w:val="none" w:sz="0" w:space="0" w:color="auto"/>
            <w:left w:val="none" w:sz="0" w:space="0" w:color="auto"/>
            <w:bottom w:val="none" w:sz="0" w:space="0" w:color="auto"/>
            <w:right w:val="none" w:sz="0" w:space="0" w:color="auto"/>
          </w:divBdr>
        </w:div>
        <w:div w:id="1311712664">
          <w:marLeft w:val="0"/>
          <w:marRight w:val="0"/>
          <w:marTop w:val="0"/>
          <w:marBottom w:val="0"/>
          <w:divBdr>
            <w:top w:val="none" w:sz="0" w:space="0" w:color="auto"/>
            <w:left w:val="none" w:sz="0" w:space="0" w:color="auto"/>
            <w:bottom w:val="none" w:sz="0" w:space="0" w:color="auto"/>
            <w:right w:val="none" w:sz="0" w:space="0" w:color="auto"/>
          </w:divBdr>
        </w:div>
        <w:div w:id="1120223497">
          <w:marLeft w:val="0"/>
          <w:marRight w:val="0"/>
          <w:marTop w:val="0"/>
          <w:marBottom w:val="0"/>
          <w:divBdr>
            <w:top w:val="none" w:sz="0" w:space="0" w:color="auto"/>
            <w:left w:val="none" w:sz="0" w:space="0" w:color="auto"/>
            <w:bottom w:val="none" w:sz="0" w:space="0" w:color="auto"/>
            <w:right w:val="none" w:sz="0" w:space="0" w:color="auto"/>
          </w:divBdr>
        </w:div>
        <w:div w:id="363679583">
          <w:marLeft w:val="0"/>
          <w:marRight w:val="0"/>
          <w:marTop w:val="0"/>
          <w:marBottom w:val="0"/>
          <w:divBdr>
            <w:top w:val="none" w:sz="0" w:space="0" w:color="auto"/>
            <w:left w:val="none" w:sz="0" w:space="0" w:color="auto"/>
            <w:bottom w:val="none" w:sz="0" w:space="0" w:color="auto"/>
            <w:right w:val="none" w:sz="0" w:space="0" w:color="auto"/>
          </w:divBdr>
        </w:div>
        <w:div w:id="30612874">
          <w:marLeft w:val="0"/>
          <w:marRight w:val="0"/>
          <w:marTop w:val="0"/>
          <w:marBottom w:val="0"/>
          <w:divBdr>
            <w:top w:val="none" w:sz="0" w:space="0" w:color="auto"/>
            <w:left w:val="none" w:sz="0" w:space="0" w:color="auto"/>
            <w:bottom w:val="none" w:sz="0" w:space="0" w:color="auto"/>
            <w:right w:val="none" w:sz="0" w:space="0" w:color="auto"/>
          </w:divBdr>
        </w:div>
      </w:divsChild>
    </w:div>
    <w:div w:id="1277450553">
      <w:bodyDiv w:val="1"/>
      <w:marLeft w:val="0"/>
      <w:marRight w:val="0"/>
      <w:marTop w:val="0"/>
      <w:marBottom w:val="0"/>
      <w:divBdr>
        <w:top w:val="none" w:sz="0" w:space="0" w:color="auto"/>
        <w:left w:val="none" w:sz="0" w:space="0" w:color="auto"/>
        <w:bottom w:val="none" w:sz="0" w:space="0" w:color="auto"/>
        <w:right w:val="none" w:sz="0" w:space="0" w:color="auto"/>
      </w:divBdr>
    </w:div>
    <w:div w:id="1478378280">
      <w:bodyDiv w:val="1"/>
      <w:marLeft w:val="0"/>
      <w:marRight w:val="0"/>
      <w:marTop w:val="0"/>
      <w:marBottom w:val="0"/>
      <w:divBdr>
        <w:top w:val="none" w:sz="0" w:space="0" w:color="auto"/>
        <w:left w:val="none" w:sz="0" w:space="0" w:color="auto"/>
        <w:bottom w:val="none" w:sz="0" w:space="0" w:color="auto"/>
        <w:right w:val="none" w:sz="0" w:space="0" w:color="auto"/>
      </w:divBdr>
    </w:div>
    <w:div w:id="1501196702">
      <w:bodyDiv w:val="1"/>
      <w:marLeft w:val="0"/>
      <w:marRight w:val="0"/>
      <w:marTop w:val="0"/>
      <w:marBottom w:val="0"/>
      <w:divBdr>
        <w:top w:val="none" w:sz="0" w:space="0" w:color="auto"/>
        <w:left w:val="none" w:sz="0" w:space="0" w:color="auto"/>
        <w:bottom w:val="none" w:sz="0" w:space="0" w:color="auto"/>
        <w:right w:val="none" w:sz="0" w:space="0" w:color="auto"/>
      </w:divBdr>
      <w:divsChild>
        <w:div w:id="116219048">
          <w:marLeft w:val="0"/>
          <w:marRight w:val="0"/>
          <w:marTop w:val="0"/>
          <w:marBottom w:val="0"/>
          <w:divBdr>
            <w:top w:val="none" w:sz="0" w:space="0" w:color="auto"/>
            <w:left w:val="none" w:sz="0" w:space="0" w:color="auto"/>
            <w:bottom w:val="none" w:sz="0" w:space="0" w:color="auto"/>
            <w:right w:val="none" w:sz="0" w:space="0" w:color="auto"/>
          </w:divBdr>
        </w:div>
        <w:div w:id="1107964605">
          <w:marLeft w:val="0"/>
          <w:marRight w:val="0"/>
          <w:marTop w:val="0"/>
          <w:marBottom w:val="0"/>
          <w:divBdr>
            <w:top w:val="none" w:sz="0" w:space="0" w:color="auto"/>
            <w:left w:val="none" w:sz="0" w:space="0" w:color="auto"/>
            <w:bottom w:val="none" w:sz="0" w:space="0" w:color="auto"/>
            <w:right w:val="none" w:sz="0" w:space="0" w:color="auto"/>
          </w:divBdr>
        </w:div>
        <w:div w:id="336273578">
          <w:marLeft w:val="0"/>
          <w:marRight w:val="0"/>
          <w:marTop w:val="0"/>
          <w:marBottom w:val="0"/>
          <w:divBdr>
            <w:top w:val="none" w:sz="0" w:space="0" w:color="auto"/>
            <w:left w:val="none" w:sz="0" w:space="0" w:color="auto"/>
            <w:bottom w:val="none" w:sz="0" w:space="0" w:color="auto"/>
            <w:right w:val="none" w:sz="0" w:space="0" w:color="auto"/>
          </w:divBdr>
        </w:div>
        <w:div w:id="535234098">
          <w:marLeft w:val="0"/>
          <w:marRight w:val="0"/>
          <w:marTop w:val="0"/>
          <w:marBottom w:val="0"/>
          <w:divBdr>
            <w:top w:val="none" w:sz="0" w:space="0" w:color="auto"/>
            <w:left w:val="none" w:sz="0" w:space="0" w:color="auto"/>
            <w:bottom w:val="none" w:sz="0" w:space="0" w:color="auto"/>
            <w:right w:val="none" w:sz="0" w:space="0" w:color="auto"/>
          </w:divBdr>
        </w:div>
        <w:div w:id="1069108258">
          <w:marLeft w:val="0"/>
          <w:marRight w:val="0"/>
          <w:marTop w:val="0"/>
          <w:marBottom w:val="0"/>
          <w:divBdr>
            <w:top w:val="none" w:sz="0" w:space="0" w:color="auto"/>
            <w:left w:val="none" w:sz="0" w:space="0" w:color="auto"/>
            <w:bottom w:val="none" w:sz="0" w:space="0" w:color="auto"/>
            <w:right w:val="none" w:sz="0" w:space="0" w:color="auto"/>
          </w:divBdr>
        </w:div>
        <w:div w:id="1337072768">
          <w:marLeft w:val="0"/>
          <w:marRight w:val="0"/>
          <w:marTop w:val="0"/>
          <w:marBottom w:val="0"/>
          <w:divBdr>
            <w:top w:val="none" w:sz="0" w:space="0" w:color="auto"/>
            <w:left w:val="none" w:sz="0" w:space="0" w:color="auto"/>
            <w:bottom w:val="none" w:sz="0" w:space="0" w:color="auto"/>
            <w:right w:val="none" w:sz="0" w:space="0" w:color="auto"/>
          </w:divBdr>
        </w:div>
      </w:divsChild>
    </w:div>
    <w:div w:id="1515220178">
      <w:bodyDiv w:val="1"/>
      <w:marLeft w:val="0"/>
      <w:marRight w:val="0"/>
      <w:marTop w:val="0"/>
      <w:marBottom w:val="0"/>
      <w:divBdr>
        <w:top w:val="none" w:sz="0" w:space="0" w:color="auto"/>
        <w:left w:val="none" w:sz="0" w:space="0" w:color="auto"/>
        <w:bottom w:val="none" w:sz="0" w:space="0" w:color="auto"/>
        <w:right w:val="none" w:sz="0" w:space="0" w:color="auto"/>
      </w:divBdr>
      <w:divsChild>
        <w:div w:id="1494562161">
          <w:marLeft w:val="0"/>
          <w:marRight w:val="0"/>
          <w:marTop w:val="0"/>
          <w:marBottom w:val="0"/>
          <w:divBdr>
            <w:top w:val="none" w:sz="0" w:space="0" w:color="auto"/>
            <w:left w:val="none" w:sz="0" w:space="0" w:color="auto"/>
            <w:bottom w:val="none" w:sz="0" w:space="0" w:color="auto"/>
            <w:right w:val="none" w:sz="0" w:space="0" w:color="auto"/>
          </w:divBdr>
        </w:div>
        <w:div w:id="1219827868">
          <w:marLeft w:val="0"/>
          <w:marRight w:val="0"/>
          <w:marTop w:val="0"/>
          <w:marBottom w:val="0"/>
          <w:divBdr>
            <w:top w:val="none" w:sz="0" w:space="0" w:color="auto"/>
            <w:left w:val="none" w:sz="0" w:space="0" w:color="auto"/>
            <w:bottom w:val="none" w:sz="0" w:space="0" w:color="auto"/>
            <w:right w:val="none" w:sz="0" w:space="0" w:color="auto"/>
          </w:divBdr>
        </w:div>
        <w:div w:id="611788885">
          <w:marLeft w:val="0"/>
          <w:marRight w:val="0"/>
          <w:marTop w:val="0"/>
          <w:marBottom w:val="0"/>
          <w:divBdr>
            <w:top w:val="none" w:sz="0" w:space="0" w:color="auto"/>
            <w:left w:val="none" w:sz="0" w:space="0" w:color="auto"/>
            <w:bottom w:val="none" w:sz="0" w:space="0" w:color="auto"/>
            <w:right w:val="none" w:sz="0" w:space="0" w:color="auto"/>
          </w:divBdr>
        </w:div>
      </w:divsChild>
    </w:div>
    <w:div w:id="17360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232CB0-DE9B-49B5-AA3A-AEEB080BA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5231</Words>
  <Characters>26283</Characters>
  <Application>Microsoft Office Word</Application>
  <DocSecurity>0</DocSecurity>
  <Lines>483</Lines>
  <Paragraphs>126</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 Government</dc:creator>
  <cp:lastModifiedBy>PCODCS</cp:lastModifiedBy>
  <cp:revision>4</cp:revision>
  <cp:lastPrinted>2019-09-10T00:21:00Z</cp:lastPrinted>
  <dcterms:created xsi:type="dcterms:W3CDTF">2019-09-25T23:59:00Z</dcterms:created>
  <dcterms:modified xsi:type="dcterms:W3CDTF">2019-09-25T23:59:00Z</dcterms:modified>
</cp:coreProperties>
</file>