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77" w:rsidRPr="00E17977" w:rsidRDefault="00E17977" w:rsidP="00E17977">
      <w:pPr>
        <w:spacing w:before="120"/>
        <w:rPr>
          <w:rFonts w:ascii="Arial" w:hAnsi="Arial" w:cs="Arial"/>
        </w:rPr>
      </w:pPr>
      <w:bookmarkStart w:id="0" w:name="_GoBack"/>
      <w:bookmarkEnd w:id="0"/>
      <w:r w:rsidRPr="00E17977">
        <w:rPr>
          <w:rFonts w:ascii="Arial" w:hAnsi="Arial" w:cs="Arial"/>
        </w:rPr>
        <w:t>Australian Capital Territory</w:t>
      </w:r>
    </w:p>
    <w:p w:rsidR="00E17977" w:rsidRPr="00E17977" w:rsidRDefault="00E17977" w:rsidP="00E17977">
      <w:pPr>
        <w:tabs>
          <w:tab w:val="left" w:pos="2400"/>
          <w:tab w:val="left" w:pos="2880"/>
        </w:tabs>
        <w:spacing w:before="700" w:after="100"/>
        <w:outlineLvl w:val="0"/>
        <w:rPr>
          <w:rFonts w:ascii="Arial" w:hAnsi="Arial" w:cs="Arial"/>
          <w:b/>
          <w:sz w:val="40"/>
        </w:rPr>
      </w:pPr>
      <w:r w:rsidRPr="00E17977">
        <w:rPr>
          <w:rFonts w:ascii="Arial" w:hAnsi="Arial" w:cs="Arial"/>
          <w:b/>
          <w:sz w:val="40"/>
        </w:rPr>
        <w:t xml:space="preserve">Utilities </w:t>
      </w:r>
      <w:r w:rsidR="007B2F12">
        <w:rPr>
          <w:rFonts w:ascii="Arial" w:hAnsi="Arial" w:cs="Arial"/>
          <w:b/>
          <w:sz w:val="40"/>
        </w:rPr>
        <w:t>(</w:t>
      </w:r>
      <w:r w:rsidRPr="00E17977">
        <w:rPr>
          <w:rFonts w:ascii="Arial" w:hAnsi="Arial" w:cs="Arial"/>
          <w:b/>
          <w:sz w:val="40"/>
        </w:rPr>
        <w:t>Technical Regulation</w:t>
      </w:r>
      <w:r w:rsidR="007B2F12">
        <w:rPr>
          <w:rFonts w:ascii="Arial" w:hAnsi="Arial" w:cs="Arial"/>
          <w:b/>
          <w:sz w:val="40"/>
        </w:rPr>
        <w:t>)</w:t>
      </w:r>
      <w:r w:rsidRPr="00E17977">
        <w:rPr>
          <w:rFonts w:ascii="Arial" w:hAnsi="Arial" w:cs="Arial"/>
          <w:b/>
          <w:sz w:val="40"/>
        </w:rPr>
        <w:t xml:space="preserve"> Operating Certificate Fees Determination 201</w:t>
      </w:r>
      <w:r w:rsidR="00CB1BEA">
        <w:rPr>
          <w:rFonts w:ascii="Arial" w:hAnsi="Arial" w:cs="Arial"/>
          <w:b/>
          <w:sz w:val="40"/>
        </w:rPr>
        <w:t>9</w:t>
      </w:r>
    </w:p>
    <w:p w:rsidR="00E17977" w:rsidRPr="00E17977" w:rsidRDefault="00E17977" w:rsidP="00935399">
      <w:pPr>
        <w:spacing w:before="340"/>
        <w:outlineLvl w:val="1"/>
        <w:rPr>
          <w:rFonts w:ascii="Arial" w:hAnsi="Arial" w:cs="Arial"/>
          <w:b/>
          <w:bCs/>
        </w:rPr>
      </w:pPr>
      <w:r w:rsidRPr="00E17977">
        <w:rPr>
          <w:rFonts w:ascii="Arial" w:hAnsi="Arial" w:cs="Arial"/>
          <w:b/>
          <w:bCs/>
        </w:rPr>
        <w:t>Disallowable instrument DI201</w:t>
      </w:r>
      <w:r w:rsidR="00CB1BEA">
        <w:rPr>
          <w:rFonts w:ascii="Arial" w:hAnsi="Arial" w:cs="Arial"/>
          <w:b/>
          <w:bCs/>
        </w:rPr>
        <w:t>9</w:t>
      </w:r>
      <w:r w:rsidRPr="00E17977">
        <w:rPr>
          <w:rFonts w:ascii="Arial" w:hAnsi="Arial" w:cs="Arial"/>
          <w:b/>
          <w:bCs/>
        </w:rPr>
        <w:t>–</w:t>
      </w:r>
      <w:r w:rsidR="003D3AEC">
        <w:rPr>
          <w:rFonts w:ascii="Arial" w:hAnsi="Arial" w:cs="Arial"/>
          <w:b/>
          <w:bCs/>
        </w:rPr>
        <w:t>204</w:t>
      </w:r>
    </w:p>
    <w:p w:rsidR="00E17977" w:rsidRPr="00935399" w:rsidRDefault="00E17977" w:rsidP="00935399">
      <w:pPr>
        <w:spacing w:before="300"/>
        <w:jc w:val="both"/>
        <w:rPr>
          <w:szCs w:val="24"/>
        </w:rPr>
      </w:pPr>
      <w:r w:rsidRPr="00935399">
        <w:rPr>
          <w:szCs w:val="24"/>
        </w:rPr>
        <w:t xml:space="preserve">made under the  </w:t>
      </w:r>
    </w:p>
    <w:p w:rsidR="00E17977" w:rsidRPr="00935399" w:rsidRDefault="00E17977" w:rsidP="00935399">
      <w:pPr>
        <w:tabs>
          <w:tab w:val="left" w:pos="2600"/>
        </w:tabs>
        <w:spacing w:before="320"/>
        <w:jc w:val="both"/>
        <w:rPr>
          <w:rFonts w:ascii="Arial" w:hAnsi="Arial" w:cs="Arial"/>
          <w:b/>
          <w:sz w:val="20"/>
        </w:rPr>
      </w:pPr>
      <w:r w:rsidRPr="00935399">
        <w:rPr>
          <w:rFonts w:ascii="Arial" w:hAnsi="Arial" w:cs="Arial"/>
          <w:b/>
          <w:sz w:val="20"/>
        </w:rPr>
        <w:t xml:space="preserve">Utilities (Technical Regulation) Act 2014, s 110 (Determination of fees) </w:t>
      </w:r>
    </w:p>
    <w:p w:rsidR="00E17977" w:rsidRDefault="00E17977" w:rsidP="00935399">
      <w:pPr>
        <w:tabs>
          <w:tab w:val="left" w:pos="2400"/>
          <w:tab w:val="left" w:pos="2880"/>
        </w:tabs>
        <w:spacing w:before="360"/>
        <w:outlineLvl w:val="0"/>
        <w:rPr>
          <w:rFonts w:ascii="Arial" w:hAnsi="Arial" w:cs="Arial"/>
          <w:b/>
          <w:sz w:val="28"/>
          <w:szCs w:val="28"/>
        </w:rPr>
      </w:pPr>
      <w:r w:rsidRPr="00935399">
        <w:rPr>
          <w:rFonts w:ascii="Arial" w:hAnsi="Arial" w:cs="Arial"/>
          <w:b/>
          <w:sz w:val="28"/>
          <w:szCs w:val="28"/>
        </w:rPr>
        <w:t>EXPLANATORY STATEMENT</w:t>
      </w:r>
    </w:p>
    <w:p w:rsidR="00935399" w:rsidRPr="00935399" w:rsidRDefault="00935399" w:rsidP="00935399">
      <w:pPr>
        <w:tabs>
          <w:tab w:val="left" w:pos="2400"/>
          <w:tab w:val="left" w:pos="2880"/>
        </w:tabs>
        <w:outlineLvl w:val="0"/>
        <w:rPr>
          <w:rFonts w:ascii="Arial" w:hAnsi="Arial" w:cs="Arial"/>
          <w:b/>
          <w:sz w:val="28"/>
          <w:szCs w:val="28"/>
        </w:rPr>
      </w:pPr>
    </w:p>
    <w:p w:rsidR="00E17977" w:rsidRPr="00E17977" w:rsidRDefault="00E17977" w:rsidP="00E17977">
      <w:pPr>
        <w:pBdr>
          <w:top w:val="single" w:sz="12" w:space="1" w:color="auto"/>
        </w:pBdr>
        <w:jc w:val="both"/>
        <w:rPr>
          <w:rFonts w:ascii="Arial" w:hAnsi="Arial" w:cs="Arial"/>
        </w:rPr>
      </w:pPr>
    </w:p>
    <w:p w:rsidR="00E17977" w:rsidRPr="00935399" w:rsidRDefault="00E17977" w:rsidP="00E17977">
      <w:pPr>
        <w:spacing w:after="120"/>
      </w:pPr>
      <w:r w:rsidRPr="00935399">
        <w:t xml:space="preserve">This explanatory statement relates to the </w:t>
      </w:r>
      <w:r w:rsidR="00935399">
        <w:t>disallowable i</w:t>
      </w:r>
      <w:r w:rsidRPr="00935399">
        <w:t xml:space="preserve">nstrument. It has been prepared in order to assist the reader of the </w:t>
      </w:r>
      <w:r w:rsidR="00935399">
        <w:t>i</w:t>
      </w:r>
      <w:r w:rsidRPr="00935399">
        <w:t xml:space="preserve">nstrument. It does not form part of the </w:t>
      </w:r>
      <w:r w:rsidR="00935399">
        <w:t>i</w:t>
      </w:r>
      <w:r w:rsidRPr="00935399">
        <w:t>nstrument.</w:t>
      </w:r>
      <w:r w:rsidR="00200C4C" w:rsidRPr="00935399">
        <w:t xml:space="preserve"> </w:t>
      </w:r>
      <w:r w:rsidRPr="00935399">
        <w:t>Th</w:t>
      </w:r>
      <w:r w:rsidR="00935399">
        <w:t>is explanatory s</w:t>
      </w:r>
      <w:r w:rsidRPr="00935399">
        <w:t xml:space="preserve">tatement must be read in conjunction with the </w:t>
      </w:r>
      <w:r w:rsidR="00935399">
        <w:t>i</w:t>
      </w:r>
      <w:r w:rsidRPr="00935399">
        <w:t>nstrument. It is not, and is not meant to be, a comprehensive description of the Instrument. What is said about a provision is not to be taken as an authoritative guide to the meaning of a provision, this being a task for the courts.</w:t>
      </w:r>
    </w:p>
    <w:p w:rsidR="00E17977" w:rsidRPr="00E17977" w:rsidRDefault="00E17977" w:rsidP="00B12CB8">
      <w:pPr>
        <w:spacing w:before="120" w:after="120"/>
        <w:ind w:left="720" w:hanging="720"/>
        <w:outlineLvl w:val="2"/>
        <w:rPr>
          <w:rFonts w:ascii="Arial" w:hAnsi="Arial" w:cs="Arial"/>
          <w:b/>
          <w:bCs/>
        </w:rPr>
      </w:pPr>
      <w:r w:rsidRPr="00E17977">
        <w:rPr>
          <w:rFonts w:ascii="Arial" w:hAnsi="Arial" w:cs="Arial"/>
          <w:b/>
          <w:bCs/>
        </w:rPr>
        <w:t>Background</w:t>
      </w:r>
    </w:p>
    <w:p w:rsidR="00E17977" w:rsidRPr="00935399" w:rsidRDefault="00E17977" w:rsidP="00E17977">
      <w:pPr>
        <w:spacing w:after="120"/>
      </w:pPr>
      <w:r w:rsidRPr="00935399">
        <w:t xml:space="preserve">This </w:t>
      </w:r>
      <w:r w:rsidR="00935399">
        <w:t>d</w:t>
      </w:r>
      <w:r w:rsidRPr="00935399">
        <w:t xml:space="preserve">etermination is a disallowable instrument under the </w:t>
      </w:r>
      <w:r w:rsidRPr="00935399">
        <w:rPr>
          <w:i/>
        </w:rPr>
        <w:t xml:space="preserve">Utilities (Technical Regulation) Act 2014 </w:t>
      </w:r>
      <w:r w:rsidRPr="00935399">
        <w:t xml:space="preserve">(the </w:t>
      </w:r>
      <w:r w:rsidRPr="00935399">
        <w:rPr>
          <w:b/>
          <w:i/>
        </w:rPr>
        <w:t>Act</w:t>
      </w:r>
      <w:r w:rsidRPr="00935399">
        <w:t xml:space="preserve">). The Act provides a technical regulatory framework for regulated utilities in the Australian Capital Territory. Section 110 of the Act authorises the Technical Regulator to determine fees. </w:t>
      </w:r>
    </w:p>
    <w:p w:rsidR="00E17977" w:rsidRPr="00E17977" w:rsidRDefault="00E17977" w:rsidP="00B12CB8">
      <w:pPr>
        <w:spacing w:before="120" w:after="120"/>
        <w:ind w:left="720" w:hanging="720"/>
        <w:outlineLvl w:val="2"/>
        <w:rPr>
          <w:rFonts w:ascii="Arial" w:hAnsi="Arial" w:cs="Arial"/>
          <w:b/>
          <w:bCs/>
        </w:rPr>
      </w:pPr>
      <w:r w:rsidRPr="00E17977">
        <w:rPr>
          <w:rFonts w:ascii="Arial" w:hAnsi="Arial" w:cs="Arial"/>
          <w:b/>
          <w:bCs/>
        </w:rPr>
        <w:t>Determination</w:t>
      </w:r>
    </w:p>
    <w:p w:rsidR="00E17977" w:rsidRPr="00935399" w:rsidRDefault="00E17977" w:rsidP="00E17977">
      <w:pPr>
        <w:spacing w:after="120"/>
      </w:pPr>
      <w:r w:rsidRPr="00935399">
        <w:t xml:space="preserve">This </w:t>
      </w:r>
      <w:r w:rsidR="00935399">
        <w:t>d</w:t>
      </w:r>
      <w:r w:rsidRPr="00935399">
        <w:t xml:space="preserve">isallowable </w:t>
      </w:r>
      <w:r w:rsidR="00935399">
        <w:t>i</w:t>
      </w:r>
      <w:r w:rsidRPr="00935399">
        <w:t xml:space="preserve">nstrument is the </w:t>
      </w:r>
      <w:r w:rsidRPr="00935399">
        <w:rPr>
          <w:i/>
        </w:rPr>
        <w:t xml:space="preserve">Utilities </w:t>
      </w:r>
      <w:r w:rsidR="007B2F12">
        <w:rPr>
          <w:i/>
        </w:rPr>
        <w:t>(</w:t>
      </w:r>
      <w:r w:rsidRPr="00935399">
        <w:rPr>
          <w:i/>
        </w:rPr>
        <w:t>Technical Regulation</w:t>
      </w:r>
      <w:r w:rsidR="007B2F12">
        <w:rPr>
          <w:i/>
        </w:rPr>
        <w:t>)</w:t>
      </w:r>
      <w:r w:rsidRPr="00935399">
        <w:rPr>
          <w:i/>
        </w:rPr>
        <w:t xml:space="preserve"> Operating Certificate Fees Determination 201</w:t>
      </w:r>
      <w:r w:rsidR="00780F14" w:rsidRPr="00935399">
        <w:rPr>
          <w:i/>
        </w:rPr>
        <w:t>9</w:t>
      </w:r>
      <w:r w:rsidRPr="00935399">
        <w:rPr>
          <w:i/>
        </w:rPr>
        <w:t xml:space="preserve"> </w:t>
      </w:r>
      <w:r w:rsidRPr="00935399">
        <w:t xml:space="preserve">(the </w:t>
      </w:r>
      <w:r w:rsidR="00935399">
        <w:t>i</w:t>
      </w:r>
      <w:r w:rsidRPr="00935399">
        <w:t>nstrument) and determines fees the Technical Regulator may impose on an unlicensed regulated utility service when applying for the grant of an operating certificate and ongoing audit and compliance.</w:t>
      </w:r>
      <w:r w:rsidR="00780F14" w:rsidRPr="00935399">
        <w:t xml:space="preserve"> This </w:t>
      </w:r>
      <w:r w:rsidR="007B2F12">
        <w:t>i</w:t>
      </w:r>
      <w:r w:rsidR="00780F14" w:rsidRPr="00935399">
        <w:t xml:space="preserve">nstrument revokes the </w:t>
      </w:r>
      <w:r w:rsidR="00780F14" w:rsidRPr="00935399">
        <w:rPr>
          <w:i/>
        </w:rPr>
        <w:t xml:space="preserve">Utilities </w:t>
      </w:r>
      <w:r w:rsidR="007B2F12">
        <w:rPr>
          <w:i/>
        </w:rPr>
        <w:t>(</w:t>
      </w:r>
      <w:r w:rsidR="00780F14" w:rsidRPr="00935399">
        <w:rPr>
          <w:i/>
        </w:rPr>
        <w:t>Technical Regulation</w:t>
      </w:r>
      <w:r w:rsidR="007B2F12">
        <w:rPr>
          <w:i/>
        </w:rPr>
        <w:t>)</w:t>
      </w:r>
      <w:r w:rsidR="00780F14" w:rsidRPr="00935399">
        <w:rPr>
          <w:i/>
        </w:rPr>
        <w:t xml:space="preserve"> Operating Certificate Fees Determination 2016</w:t>
      </w:r>
      <w:r w:rsidR="00780F14" w:rsidRPr="00935399">
        <w:t xml:space="preserve">. </w:t>
      </w:r>
    </w:p>
    <w:p w:rsidR="00E17977" w:rsidRPr="00E17977" w:rsidRDefault="00E17977" w:rsidP="00B12CB8">
      <w:pPr>
        <w:spacing w:before="120" w:after="120"/>
        <w:ind w:left="720" w:hanging="720"/>
        <w:outlineLvl w:val="2"/>
        <w:rPr>
          <w:rFonts w:ascii="Arial" w:hAnsi="Arial" w:cs="Arial"/>
          <w:b/>
          <w:bCs/>
        </w:rPr>
      </w:pPr>
      <w:r w:rsidRPr="00E17977">
        <w:rPr>
          <w:rFonts w:ascii="Arial" w:hAnsi="Arial" w:cs="Arial"/>
          <w:b/>
          <w:bCs/>
        </w:rPr>
        <w:t>Overview</w:t>
      </w:r>
    </w:p>
    <w:p w:rsidR="006A1F8A" w:rsidRDefault="00E17977" w:rsidP="00B12CB8">
      <w:pPr>
        <w:spacing w:after="240"/>
      </w:pPr>
      <w:r w:rsidRPr="00B12CB8">
        <w:t xml:space="preserve">The purpose of this </w:t>
      </w:r>
      <w:r w:rsidR="00CF0896">
        <w:t>i</w:t>
      </w:r>
      <w:r w:rsidRPr="00B12CB8">
        <w:t xml:space="preserve">nstrument is to determine the fees payable for applying for the grant of an operating certificate to an unlicensed regulated utility service and ongoing audit and compliance fees. The fees will assist in recovering the costs incurred by the Technical Regulator in meeting the Regulator’s obligations under the Act. Cost recovery is not sought for policy development or for reasonable initial advice. </w:t>
      </w:r>
    </w:p>
    <w:p w:rsidR="001907AC" w:rsidRPr="00CA5680" w:rsidRDefault="001907AC" w:rsidP="00CA5680">
      <w:pPr>
        <w:spacing w:after="240"/>
      </w:pPr>
      <w:r>
        <w:t>The fee</w:t>
      </w:r>
      <w:r w:rsidR="0015735B">
        <w:t xml:space="preserve"> structure</w:t>
      </w:r>
      <w:r>
        <w:t xml:space="preserve"> in schedule 1 of this instrument </w:t>
      </w:r>
      <w:r w:rsidR="0015735B">
        <w:t>was initially</w:t>
      </w:r>
      <w:r w:rsidRPr="00CA5680">
        <w:t xml:space="preserve"> introduced in 2016 and </w:t>
      </w:r>
      <w:r w:rsidR="0015735B" w:rsidRPr="00CA5680">
        <w:t>applied</w:t>
      </w:r>
      <w:r w:rsidRPr="00CA5680">
        <w:t xml:space="preserve"> to all operating certificate applications.  Th</w:t>
      </w:r>
      <w:r w:rsidR="0015735B" w:rsidRPr="00CA5680">
        <w:t>is structure is</w:t>
      </w:r>
      <w:r w:rsidRPr="00CA5680">
        <w:t xml:space="preserve"> retained in the </w:t>
      </w:r>
      <w:r w:rsidRPr="00CA5680">
        <w:lastRenderedPageBreak/>
        <w:t xml:space="preserve">current fee instrument and </w:t>
      </w:r>
      <w:r w:rsidR="0015735B" w:rsidRPr="00CA5680">
        <w:t>now applies</w:t>
      </w:r>
      <w:r w:rsidRPr="00CA5680">
        <w:t xml:space="preserve"> to all unlicensed regulated utilities requiring an operating certificate other than solar installations 200kW to 1 MW.  The fees are based on the hourly cost for the office of the Technical Regulator and electrical inspectors. This fee structure is intended to represent full cost recovery for the ACT Government for each unlicensed regulated utility service that is assessed and inspected. The annual increase of 2.5% is imposed to each fee as it is the standard increase of Wage Price Index from 2019 to 2020.  </w:t>
      </w:r>
    </w:p>
    <w:p w:rsidR="00CE7AE4" w:rsidRPr="00B12CB8" w:rsidRDefault="00201547" w:rsidP="00B12CB8">
      <w:pPr>
        <w:spacing w:after="240"/>
      </w:pPr>
      <w:r w:rsidRPr="00B12CB8">
        <w:t xml:space="preserve">The </w:t>
      </w:r>
      <w:r w:rsidR="00F35F87">
        <w:t>i</w:t>
      </w:r>
      <w:r w:rsidRPr="00B12CB8">
        <w:t xml:space="preserve">nstrument </w:t>
      </w:r>
      <w:r w:rsidR="006A1F8A" w:rsidRPr="00B12CB8">
        <w:t>establishes</w:t>
      </w:r>
      <w:r w:rsidRPr="00B12CB8">
        <w:t xml:space="preserve"> </w:t>
      </w:r>
      <w:r w:rsidR="00CE7AE4" w:rsidRPr="00B12CB8">
        <w:t>a separate fee system</w:t>
      </w:r>
      <w:r w:rsidRPr="00B12CB8">
        <w:t xml:space="preserve"> </w:t>
      </w:r>
      <w:r w:rsidR="00CE7AE4" w:rsidRPr="00B12CB8">
        <w:t xml:space="preserve">in </w:t>
      </w:r>
      <w:r w:rsidR="004F62DA" w:rsidRPr="00B12CB8">
        <w:t>s</w:t>
      </w:r>
      <w:r w:rsidR="00CE7AE4" w:rsidRPr="00B12CB8">
        <w:t xml:space="preserve">chedule 2 </w:t>
      </w:r>
      <w:r w:rsidRPr="00B12CB8">
        <w:t>for solar installation</w:t>
      </w:r>
      <w:r w:rsidR="00BE0D2E" w:rsidRPr="00B12CB8">
        <w:t>s</w:t>
      </w:r>
      <w:r w:rsidRPr="00B12CB8">
        <w:t xml:space="preserve"> </w:t>
      </w:r>
      <w:r w:rsidR="00BE0D2E" w:rsidRPr="00B12CB8">
        <w:t xml:space="preserve">200kW-1MW </w:t>
      </w:r>
      <w:r w:rsidR="00200C4C" w:rsidRPr="00B12CB8">
        <w:t>(</w:t>
      </w:r>
      <w:r w:rsidR="00443A90" w:rsidRPr="00B12CB8">
        <w:t>200kW</w:t>
      </w:r>
      <w:r w:rsidR="00200C4C" w:rsidRPr="00B12CB8">
        <w:t xml:space="preserve"> </w:t>
      </w:r>
      <w:r w:rsidR="00443A90" w:rsidRPr="00B12CB8">
        <w:t xml:space="preserve">and above but </w:t>
      </w:r>
      <w:r w:rsidR="00200C4C" w:rsidRPr="00B12CB8">
        <w:t xml:space="preserve">less than 1MW) </w:t>
      </w:r>
      <w:r w:rsidR="00BE0D2E" w:rsidRPr="00B12CB8">
        <w:t xml:space="preserve">to </w:t>
      </w:r>
      <w:r w:rsidRPr="00B12CB8">
        <w:t xml:space="preserve">reflect </w:t>
      </w:r>
      <w:r w:rsidR="00BE0D2E" w:rsidRPr="00B12CB8">
        <w:t>costs for in</w:t>
      </w:r>
      <w:r w:rsidR="006A1F8A" w:rsidRPr="00B12CB8">
        <w:t>spections by licensed electrical</w:t>
      </w:r>
      <w:r w:rsidR="00BE0D2E" w:rsidRPr="00B12CB8">
        <w:t xml:space="preserve"> inspectors</w:t>
      </w:r>
      <w:r w:rsidRPr="00B12CB8">
        <w:t>.</w:t>
      </w:r>
      <w:r w:rsidR="00BE0D2E" w:rsidRPr="00B12CB8">
        <w:t xml:space="preserve"> To issue operating certificates, all solar installations of 200kW or above require ins</w:t>
      </w:r>
      <w:r w:rsidR="006A1F8A" w:rsidRPr="00B12CB8">
        <w:t>pections by licensed electrical</w:t>
      </w:r>
      <w:r w:rsidR="00BE0D2E" w:rsidRPr="00B12CB8">
        <w:t xml:space="preserve"> inspectors. The Government provides the inspection regime for solar installations 200kW-1MW and inspection costs are included in the operating certificate fees.</w:t>
      </w:r>
      <w:r w:rsidR="00CE7AE4" w:rsidRPr="00B12CB8">
        <w:t xml:space="preserve"> Solar installati</w:t>
      </w:r>
      <w:r w:rsidR="006A1F8A" w:rsidRPr="00B12CB8">
        <w:t xml:space="preserve">ons of 1MW and above require </w:t>
      </w:r>
      <w:r w:rsidR="00CE7AE4" w:rsidRPr="00B12CB8">
        <w:t>engage</w:t>
      </w:r>
      <w:r w:rsidR="006A1F8A" w:rsidRPr="00B12CB8">
        <w:t>ment</w:t>
      </w:r>
      <w:r w:rsidR="00CE7AE4" w:rsidRPr="00B12CB8">
        <w:t xml:space="preserve"> with independent certifiers for the inspections and pay</w:t>
      </w:r>
      <w:r w:rsidR="00D93678">
        <w:t>ment of</w:t>
      </w:r>
      <w:r w:rsidR="00CE7AE4" w:rsidRPr="00B12CB8">
        <w:t xml:space="preserve"> the fees shown in </w:t>
      </w:r>
      <w:r w:rsidR="004F62DA" w:rsidRPr="00B12CB8">
        <w:t>s</w:t>
      </w:r>
      <w:r w:rsidR="00CE7AE4" w:rsidRPr="00B12CB8">
        <w:t xml:space="preserve">chedule 1. </w:t>
      </w:r>
    </w:p>
    <w:p w:rsidR="00E17977" w:rsidRPr="00B12CB8" w:rsidRDefault="00E17977" w:rsidP="00B12CB8">
      <w:pPr>
        <w:spacing w:after="240"/>
      </w:pPr>
      <w:r w:rsidRPr="00B12CB8">
        <w:t xml:space="preserve">The type of operating certificate that may be required depends on the kind and size of the regulated utility service being provided. These could include a Design and Construct Operating Certificate for larger installations issued prior to the construction of infrastructure or a Provision of Service Operating Certificate issued when the unlicensed regulated utility service is ready to commence providing the service. A Compliance Operating Certificate may be issued to smaller installations designed, built and inspected in compliance with the </w:t>
      </w:r>
      <w:r w:rsidRPr="00B12CB8">
        <w:rPr>
          <w:i/>
        </w:rPr>
        <w:t xml:space="preserve">Electrical Safety Act 1971, </w:t>
      </w:r>
      <w:r w:rsidRPr="00B12CB8">
        <w:t xml:space="preserve">the </w:t>
      </w:r>
      <w:r w:rsidRPr="00B12CB8">
        <w:rPr>
          <w:i/>
        </w:rPr>
        <w:t>Water and Sewerage Act 2000</w:t>
      </w:r>
      <w:r w:rsidRPr="00B12CB8">
        <w:t xml:space="preserve"> or the </w:t>
      </w:r>
      <w:r w:rsidRPr="00B12CB8">
        <w:rPr>
          <w:i/>
        </w:rPr>
        <w:t>Gas Safety Act 2000</w:t>
      </w:r>
      <w:r w:rsidRPr="00B12CB8">
        <w:t>.</w:t>
      </w:r>
    </w:p>
    <w:p w:rsidR="00E17977" w:rsidRPr="00B12CB8" w:rsidRDefault="00E17977" w:rsidP="00E17977">
      <w:pPr>
        <w:spacing w:after="120"/>
      </w:pPr>
      <w:r w:rsidRPr="00B12CB8">
        <w:t xml:space="preserve">Further information on operating certificates can be found in </w:t>
      </w:r>
      <w:r w:rsidRPr="00B12CB8">
        <w:rPr>
          <w:i/>
        </w:rPr>
        <w:t>Operating Certificates: A guide for unlicensed regulated utility services in the ACT</w:t>
      </w:r>
      <w:r w:rsidRPr="00B12CB8">
        <w:t xml:space="preserve"> available from the Access Canberra website</w:t>
      </w:r>
      <w:r w:rsidR="00BD1A8D">
        <w:t xml:space="preserve"> at</w:t>
      </w:r>
      <w:r w:rsidRPr="00B12CB8">
        <w:t xml:space="preserve"> </w:t>
      </w:r>
      <w:hyperlink r:id="rId8" w:history="1">
        <w:r w:rsidRPr="00B12CB8">
          <w:rPr>
            <w:color w:val="0000FF"/>
            <w:u w:val="single"/>
          </w:rPr>
          <w:t>www.accesscanberra.act.gov.au</w:t>
        </w:r>
      </w:hyperlink>
      <w:r w:rsidR="00BD1A8D">
        <w:t>.</w:t>
      </w:r>
      <w:r w:rsidRPr="00B12CB8">
        <w:t xml:space="preserve"> </w:t>
      </w:r>
    </w:p>
    <w:p w:rsidR="00E17977" w:rsidRPr="00E17977" w:rsidRDefault="00E17977" w:rsidP="00B12CB8">
      <w:pPr>
        <w:spacing w:before="120" w:after="120"/>
        <w:ind w:left="720" w:hanging="720"/>
        <w:outlineLvl w:val="2"/>
        <w:rPr>
          <w:rFonts w:ascii="Arial" w:hAnsi="Arial" w:cs="Arial"/>
          <w:b/>
          <w:bCs/>
        </w:rPr>
      </w:pPr>
      <w:r w:rsidRPr="00E17977">
        <w:rPr>
          <w:rFonts w:ascii="Arial" w:hAnsi="Arial" w:cs="Arial"/>
          <w:b/>
          <w:bCs/>
        </w:rPr>
        <w:t>Consultation</w:t>
      </w:r>
    </w:p>
    <w:p w:rsidR="00E17977" w:rsidRPr="00B12CB8" w:rsidRDefault="00201547" w:rsidP="00E17977">
      <w:pPr>
        <w:spacing w:before="60" w:after="120"/>
      </w:pPr>
      <w:r w:rsidRPr="00B12CB8">
        <w:t>Since 2016 t</w:t>
      </w:r>
      <w:r w:rsidR="00E17977" w:rsidRPr="00B12CB8">
        <w:t>he Utilities Technical Regulation team has consulted with the current known u</w:t>
      </w:r>
      <w:r w:rsidRPr="00B12CB8">
        <w:t xml:space="preserve">nlicensed regulated utilities: </w:t>
      </w:r>
      <w:r w:rsidR="00E17977" w:rsidRPr="00B12CB8">
        <w:t>solar farms (developers and engineering contractors building the facilities), and Transport Canberra and City Services (for the light rail, inner north reticulation network, and dams).</w:t>
      </w:r>
    </w:p>
    <w:p w:rsidR="00E17977" w:rsidRPr="00E17977" w:rsidRDefault="00E17977" w:rsidP="00B12CB8">
      <w:pPr>
        <w:keepNext/>
        <w:spacing w:before="120" w:after="120"/>
        <w:ind w:left="720" w:hanging="720"/>
        <w:outlineLvl w:val="2"/>
        <w:rPr>
          <w:rFonts w:ascii="Arial" w:hAnsi="Arial" w:cs="Arial"/>
          <w:b/>
          <w:bCs/>
        </w:rPr>
      </w:pPr>
      <w:r w:rsidRPr="00E17977">
        <w:rPr>
          <w:rFonts w:ascii="Arial" w:hAnsi="Arial" w:cs="Arial"/>
          <w:b/>
          <w:bCs/>
        </w:rPr>
        <w:t xml:space="preserve">Regulatory </w:t>
      </w:r>
      <w:r w:rsidR="00B12CB8">
        <w:rPr>
          <w:rFonts w:ascii="Arial" w:hAnsi="Arial" w:cs="Arial"/>
          <w:b/>
          <w:bCs/>
        </w:rPr>
        <w:t>i</w:t>
      </w:r>
      <w:r w:rsidRPr="00E17977">
        <w:rPr>
          <w:rFonts w:ascii="Arial" w:hAnsi="Arial" w:cs="Arial"/>
          <w:b/>
          <w:bCs/>
        </w:rPr>
        <w:t xml:space="preserve">mpact </w:t>
      </w:r>
      <w:r w:rsidR="00B12CB8">
        <w:rPr>
          <w:rFonts w:ascii="Arial" w:hAnsi="Arial" w:cs="Arial"/>
          <w:b/>
          <w:bCs/>
        </w:rPr>
        <w:t>s</w:t>
      </w:r>
      <w:r w:rsidRPr="00E17977">
        <w:rPr>
          <w:rFonts w:ascii="Arial" w:hAnsi="Arial" w:cs="Arial"/>
          <w:b/>
          <w:bCs/>
        </w:rPr>
        <w:t>tatement</w:t>
      </w:r>
    </w:p>
    <w:p w:rsidR="00115BFC" w:rsidRPr="00B12CB8" w:rsidRDefault="00E17977" w:rsidP="00BE0D2E">
      <w:pPr>
        <w:spacing w:before="60" w:after="120"/>
      </w:pPr>
      <w:r w:rsidRPr="00B12CB8">
        <w:t xml:space="preserve">A </w:t>
      </w:r>
      <w:r w:rsidR="00B12CB8">
        <w:t>r</w:t>
      </w:r>
      <w:r w:rsidRPr="00B12CB8">
        <w:t xml:space="preserve">egulatory </w:t>
      </w:r>
      <w:r w:rsidR="00B12CB8">
        <w:t>i</w:t>
      </w:r>
      <w:r w:rsidRPr="00B12CB8">
        <w:t xml:space="preserve">mpact </w:t>
      </w:r>
      <w:r w:rsidR="00B12CB8">
        <w:t>s</w:t>
      </w:r>
      <w:r w:rsidRPr="00B12CB8">
        <w:t>tatement has been provided for this disallowable instrument.</w:t>
      </w:r>
    </w:p>
    <w:sectPr w:rsidR="00115BFC" w:rsidRPr="00B12CB8" w:rsidSect="00935399">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E1E" w:rsidRDefault="00E55E1E">
      <w:r>
        <w:separator/>
      </w:r>
    </w:p>
  </w:endnote>
  <w:endnote w:type="continuationSeparator" w:id="0">
    <w:p w:rsidR="00E55E1E" w:rsidRDefault="00E5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967" w:rsidRDefault="0007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88" w:rsidRPr="00072967" w:rsidRDefault="00072967" w:rsidP="00072967">
    <w:pPr>
      <w:pStyle w:val="Footer"/>
      <w:jc w:val="center"/>
      <w:rPr>
        <w:rFonts w:cs="Arial"/>
        <w:sz w:val="14"/>
        <w:szCs w:val="18"/>
      </w:rPr>
    </w:pPr>
    <w:r w:rsidRPr="00072967">
      <w:rPr>
        <w:rFonts w:cs="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967" w:rsidRDefault="0007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E1E" w:rsidRDefault="00E55E1E">
      <w:r>
        <w:separator/>
      </w:r>
    </w:p>
  </w:footnote>
  <w:footnote w:type="continuationSeparator" w:id="0">
    <w:p w:rsidR="00E55E1E" w:rsidRDefault="00E55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967" w:rsidRDefault="00072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0AD" w:rsidRDefault="00B60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967" w:rsidRDefault="00072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D0774EE"/>
    <w:multiLevelType w:val="multilevel"/>
    <w:tmpl w:val="279276B6"/>
    <w:lvl w:ilvl="0">
      <w:start w:val="1"/>
      <w:numFmt w:val="lowerRoman"/>
      <w:lvlText w:val="(%1)"/>
      <w:lvlJc w:val="left"/>
      <w:pPr>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67522D"/>
    <w:multiLevelType w:val="hybridMultilevel"/>
    <w:tmpl w:val="FC48E0C0"/>
    <w:lvl w:ilvl="0" w:tplc="260A969C">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260A969C">
      <w:start w:val="1"/>
      <w:numFmt w:val="lowerLetter"/>
      <w:lvlText w:val="(%3)"/>
      <w:lvlJc w:val="lef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087347"/>
    <w:multiLevelType w:val="hybridMultilevel"/>
    <w:tmpl w:val="B5C85C2E"/>
    <w:lvl w:ilvl="0" w:tplc="E034D336">
      <w:start w:val="1"/>
      <w:numFmt w:val="lowerRoman"/>
      <w:lvlText w:val="(%1)"/>
      <w:lvlJc w:val="left"/>
      <w:pPr>
        <w:ind w:left="1146" w:hanging="720"/>
      </w:pPr>
      <w:rPr>
        <w:lang w:val="en-US"/>
      </w:rPr>
    </w:lvl>
    <w:lvl w:ilvl="1" w:tplc="0C090019" w:tentative="1">
      <w:start w:val="1"/>
      <w:numFmt w:val="lowerLetter"/>
      <w:lvlText w:val="%2."/>
      <w:lvlJc w:val="left"/>
      <w:pPr>
        <w:tabs>
          <w:tab w:val="num" w:pos="1146"/>
        </w:tabs>
        <w:ind w:left="1146" w:hanging="360"/>
      </w:pPr>
    </w:lvl>
    <w:lvl w:ilvl="2" w:tplc="0C09001B" w:tentative="1">
      <w:start w:val="1"/>
      <w:numFmt w:val="lowerRoman"/>
      <w:lvlText w:val="%3."/>
      <w:lvlJc w:val="right"/>
      <w:pPr>
        <w:tabs>
          <w:tab w:val="num" w:pos="1866"/>
        </w:tabs>
        <w:ind w:left="1866" w:hanging="180"/>
      </w:pPr>
    </w:lvl>
    <w:lvl w:ilvl="3" w:tplc="0C09000F" w:tentative="1">
      <w:start w:val="1"/>
      <w:numFmt w:val="decimal"/>
      <w:lvlText w:val="%4."/>
      <w:lvlJc w:val="left"/>
      <w:pPr>
        <w:tabs>
          <w:tab w:val="num" w:pos="2586"/>
        </w:tabs>
        <w:ind w:left="2586" w:hanging="360"/>
      </w:pPr>
    </w:lvl>
    <w:lvl w:ilvl="4" w:tplc="0C090019" w:tentative="1">
      <w:start w:val="1"/>
      <w:numFmt w:val="lowerLetter"/>
      <w:lvlText w:val="%5."/>
      <w:lvlJc w:val="left"/>
      <w:pPr>
        <w:tabs>
          <w:tab w:val="num" w:pos="3306"/>
        </w:tabs>
        <w:ind w:left="3306" w:hanging="360"/>
      </w:pPr>
    </w:lvl>
    <w:lvl w:ilvl="5" w:tplc="0C09001B" w:tentative="1">
      <w:start w:val="1"/>
      <w:numFmt w:val="lowerRoman"/>
      <w:lvlText w:val="%6."/>
      <w:lvlJc w:val="right"/>
      <w:pPr>
        <w:tabs>
          <w:tab w:val="num" w:pos="4026"/>
        </w:tabs>
        <w:ind w:left="4026" w:hanging="180"/>
      </w:pPr>
    </w:lvl>
    <w:lvl w:ilvl="6" w:tplc="0C09000F" w:tentative="1">
      <w:start w:val="1"/>
      <w:numFmt w:val="decimal"/>
      <w:lvlText w:val="%7."/>
      <w:lvlJc w:val="left"/>
      <w:pPr>
        <w:tabs>
          <w:tab w:val="num" w:pos="4746"/>
        </w:tabs>
        <w:ind w:left="4746" w:hanging="360"/>
      </w:pPr>
    </w:lvl>
    <w:lvl w:ilvl="7" w:tplc="0C090019" w:tentative="1">
      <w:start w:val="1"/>
      <w:numFmt w:val="lowerLetter"/>
      <w:lvlText w:val="%8."/>
      <w:lvlJc w:val="left"/>
      <w:pPr>
        <w:tabs>
          <w:tab w:val="num" w:pos="5466"/>
        </w:tabs>
        <w:ind w:left="5466" w:hanging="360"/>
      </w:pPr>
    </w:lvl>
    <w:lvl w:ilvl="8" w:tplc="0C09001B" w:tentative="1">
      <w:start w:val="1"/>
      <w:numFmt w:val="lowerRoman"/>
      <w:lvlText w:val="%9."/>
      <w:lvlJc w:val="right"/>
      <w:pPr>
        <w:tabs>
          <w:tab w:val="num" w:pos="6186"/>
        </w:tabs>
        <w:ind w:left="6186" w:hanging="180"/>
      </w:pPr>
    </w:lvl>
  </w:abstractNum>
  <w:abstractNum w:abstractNumId="7" w15:restartNumberingAfterBreak="0">
    <w:nsid w:val="1B787C30"/>
    <w:multiLevelType w:val="hybridMultilevel"/>
    <w:tmpl w:val="CE70453A"/>
    <w:lvl w:ilvl="0" w:tplc="91CCDB90">
      <w:start w:val="1"/>
      <w:numFmt w:val="lowerRoman"/>
      <w:lvlText w:val="(%1)"/>
      <w:lvlJc w:val="left"/>
      <w:pPr>
        <w:ind w:left="1004" w:hanging="72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8" w15:restartNumberingAfterBreak="0">
    <w:nsid w:val="2DAE2C82"/>
    <w:multiLevelType w:val="multilevel"/>
    <w:tmpl w:val="FC48E0C0"/>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A5319B"/>
    <w:multiLevelType w:val="multilevel"/>
    <w:tmpl w:val="6916017E"/>
    <w:lvl w:ilvl="0">
      <w:start w:val="1"/>
      <w:numFmt w:val="lowerRoman"/>
      <w:lvlText w:val="(%1)"/>
      <w:lvlJc w:val="left"/>
      <w:pPr>
        <w:ind w:left="180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1" w15:restartNumberingAfterBreak="0">
    <w:nsid w:val="34927C75"/>
    <w:multiLevelType w:val="multilevel"/>
    <w:tmpl w:val="82348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D91679"/>
    <w:multiLevelType w:val="hybridMultilevel"/>
    <w:tmpl w:val="A8E85208"/>
    <w:lvl w:ilvl="0" w:tplc="260A969C">
      <w:start w:val="1"/>
      <w:numFmt w:val="lowerLetter"/>
      <w:lvlText w:val="(%1)"/>
      <w:lvlJc w:val="left"/>
      <w:pPr>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4"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5" w15:restartNumberingAfterBreak="0">
    <w:nsid w:val="3A7B36C0"/>
    <w:multiLevelType w:val="hybridMultilevel"/>
    <w:tmpl w:val="2B863D6E"/>
    <w:lvl w:ilvl="0" w:tplc="0C090017">
      <w:start w:val="1"/>
      <w:numFmt w:val="lowerLetter"/>
      <w:lvlText w:val="%1)"/>
      <w:lvlJc w:val="left"/>
      <w:pPr>
        <w:tabs>
          <w:tab w:val="num" w:pos="1080"/>
        </w:tabs>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3FD21517"/>
    <w:multiLevelType w:val="hybridMultilevel"/>
    <w:tmpl w:val="8234895A"/>
    <w:lvl w:ilvl="0" w:tplc="260A969C">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7" w15:restartNumberingAfterBreak="0">
    <w:nsid w:val="46130512"/>
    <w:multiLevelType w:val="hybridMultilevel"/>
    <w:tmpl w:val="511AE5E2"/>
    <w:lvl w:ilvl="0" w:tplc="C2DAD7F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254A5"/>
    <w:multiLevelType w:val="hybridMultilevel"/>
    <w:tmpl w:val="1CA44684"/>
    <w:lvl w:ilvl="0" w:tplc="91CCDB90">
      <w:start w:val="1"/>
      <w:numFmt w:val="lowerRoman"/>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FD73245"/>
    <w:multiLevelType w:val="hybridMultilevel"/>
    <w:tmpl w:val="BA666E26"/>
    <w:lvl w:ilvl="0" w:tplc="260A969C">
      <w:start w:val="1"/>
      <w:numFmt w:val="lowerLetter"/>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20" w15:restartNumberingAfterBreak="0">
    <w:nsid w:val="608D4A16"/>
    <w:multiLevelType w:val="hybridMultilevel"/>
    <w:tmpl w:val="59881D88"/>
    <w:lvl w:ilvl="0" w:tplc="260A969C">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61BC2B5E"/>
    <w:multiLevelType w:val="multilevel"/>
    <w:tmpl w:val="A8E8520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876307"/>
    <w:multiLevelType w:val="multilevel"/>
    <w:tmpl w:val="FC48E0C0"/>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BF78E5"/>
    <w:multiLevelType w:val="hybridMultilevel"/>
    <w:tmpl w:val="6366D87E"/>
    <w:lvl w:ilvl="0" w:tplc="260A969C">
      <w:start w:val="1"/>
      <w:numFmt w:val="lowerLetter"/>
      <w:lvlText w:val="(%1)"/>
      <w:lvlJc w:val="left"/>
      <w:pPr>
        <w:ind w:left="360" w:hanging="360"/>
      </w:pPr>
    </w:lvl>
    <w:lvl w:ilvl="1" w:tplc="69B4A2E2">
      <w:start w:val="1"/>
      <w:numFmt w:val="lowerRoman"/>
      <w:lvlText w:val="(%2)"/>
      <w:lvlJc w:val="left"/>
      <w:pPr>
        <w:ind w:left="1440" w:hanging="72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74E37D88"/>
    <w:multiLevelType w:val="multilevel"/>
    <w:tmpl w:val="2B863D6E"/>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4"/>
  </w:num>
  <w:num w:numId="5">
    <w:abstractNumId w:val="24"/>
  </w:num>
  <w:num w:numId="6">
    <w:abstractNumId w:val="1"/>
  </w:num>
  <w:num w:numId="7">
    <w:abstractNumId w:val="10"/>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7"/>
  </w:num>
  <w:num w:numId="17">
    <w:abstractNumId w:val="15"/>
  </w:num>
  <w:num w:numId="18">
    <w:abstractNumId w:val="6"/>
  </w:num>
  <w:num w:numId="19">
    <w:abstractNumId w:val="22"/>
  </w:num>
  <w:num w:numId="20">
    <w:abstractNumId w:val="11"/>
  </w:num>
  <w:num w:numId="21">
    <w:abstractNumId w:val="3"/>
  </w:num>
  <w:num w:numId="22">
    <w:abstractNumId w:val="25"/>
  </w:num>
  <w:num w:numId="23">
    <w:abstractNumId w:val="8"/>
  </w:num>
  <w:num w:numId="24">
    <w:abstractNumId w:val="12"/>
  </w:num>
  <w:num w:numId="25">
    <w:abstractNumId w:val="21"/>
  </w:num>
  <w:num w:numId="26">
    <w:abstractNumId w:val="23"/>
  </w:num>
  <w:num w:numId="27">
    <w:abstractNumId w:val="9"/>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3A30"/>
    <w:rsid w:val="00023A66"/>
    <w:rsid w:val="00024CB1"/>
    <w:rsid w:val="00025CB4"/>
    <w:rsid w:val="00026F7F"/>
    <w:rsid w:val="00032031"/>
    <w:rsid w:val="00040CC5"/>
    <w:rsid w:val="00042053"/>
    <w:rsid w:val="00057854"/>
    <w:rsid w:val="00061A1D"/>
    <w:rsid w:val="000678C3"/>
    <w:rsid w:val="00072967"/>
    <w:rsid w:val="00072D87"/>
    <w:rsid w:val="000930A7"/>
    <w:rsid w:val="000A5F87"/>
    <w:rsid w:val="000B54A3"/>
    <w:rsid w:val="000C1E5E"/>
    <w:rsid w:val="000C439A"/>
    <w:rsid w:val="000E3B12"/>
    <w:rsid w:val="000E4071"/>
    <w:rsid w:val="000F1617"/>
    <w:rsid w:val="00113034"/>
    <w:rsid w:val="00115BFC"/>
    <w:rsid w:val="00115E83"/>
    <w:rsid w:val="001174E4"/>
    <w:rsid w:val="0013521D"/>
    <w:rsid w:val="0015735B"/>
    <w:rsid w:val="001902F7"/>
    <w:rsid w:val="001907AC"/>
    <w:rsid w:val="001A678F"/>
    <w:rsid w:val="001B181C"/>
    <w:rsid w:val="001C2ABC"/>
    <w:rsid w:val="001C7264"/>
    <w:rsid w:val="001C742C"/>
    <w:rsid w:val="001F3A30"/>
    <w:rsid w:val="001F61DF"/>
    <w:rsid w:val="00200C4C"/>
    <w:rsid w:val="00201547"/>
    <w:rsid w:val="00202ECB"/>
    <w:rsid w:val="00214880"/>
    <w:rsid w:val="00223CD2"/>
    <w:rsid w:val="00225838"/>
    <w:rsid w:val="00236361"/>
    <w:rsid w:val="0024705F"/>
    <w:rsid w:val="0025439B"/>
    <w:rsid w:val="00270B3D"/>
    <w:rsid w:val="00272EAF"/>
    <w:rsid w:val="00276FE7"/>
    <w:rsid w:val="0029051A"/>
    <w:rsid w:val="00293BFC"/>
    <w:rsid w:val="002A1C81"/>
    <w:rsid w:val="002A73AA"/>
    <w:rsid w:val="002B6ADE"/>
    <w:rsid w:val="002E00B1"/>
    <w:rsid w:val="002E648E"/>
    <w:rsid w:val="00324226"/>
    <w:rsid w:val="0033095C"/>
    <w:rsid w:val="00360716"/>
    <w:rsid w:val="00364A66"/>
    <w:rsid w:val="003715AC"/>
    <w:rsid w:val="003876C8"/>
    <w:rsid w:val="003B00E2"/>
    <w:rsid w:val="003B712C"/>
    <w:rsid w:val="003B79FD"/>
    <w:rsid w:val="003C7045"/>
    <w:rsid w:val="003D3AEC"/>
    <w:rsid w:val="003D4088"/>
    <w:rsid w:val="003D5CDE"/>
    <w:rsid w:val="003F3956"/>
    <w:rsid w:val="003F44CC"/>
    <w:rsid w:val="00405EF1"/>
    <w:rsid w:val="00411F5A"/>
    <w:rsid w:val="00414F4A"/>
    <w:rsid w:val="004406E8"/>
    <w:rsid w:val="00443A90"/>
    <w:rsid w:val="00445DFA"/>
    <w:rsid w:val="0048019E"/>
    <w:rsid w:val="00484550"/>
    <w:rsid w:val="004A58E0"/>
    <w:rsid w:val="004B444B"/>
    <w:rsid w:val="004C45FD"/>
    <w:rsid w:val="004F22E7"/>
    <w:rsid w:val="004F62DA"/>
    <w:rsid w:val="005168F2"/>
    <w:rsid w:val="00516DD2"/>
    <w:rsid w:val="00522BBE"/>
    <w:rsid w:val="00531358"/>
    <w:rsid w:val="00531E09"/>
    <w:rsid w:val="00536CA7"/>
    <w:rsid w:val="0056685C"/>
    <w:rsid w:val="00567432"/>
    <w:rsid w:val="00571331"/>
    <w:rsid w:val="00571A53"/>
    <w:rsid w:val="00581394"/>
    <w:rsid w:val="00587CCD"/>
    <w:rsid w:val="00587E8F"/>
    <w:rsid w:val="0059358E"/>
    <w:rsid w:val="005935D2"/>
    <w:rsid w:val="005A05F8"/>
    <w:rsid w:val="005B3277"/>
    <w:rsid w:val="005B490B"/>
    <w:rsid w:val="005C097A"/>
    <w:rsid w:val="005C25F7"/>
    <w:rsid w:val="005C663B"/>
    <w:rsid w:val="005E05E6"/>
    <w:rsid w:val="005F70D1"/>
    <w:rsid w:val="00635D77"/>
    <w:rsid w:val="006364BB"/>
    <w:rsid w:val="00642221"/>
    <w:rsid w:val="00651AA6"/>
    <w:rsid w:val="00665A25"/>
    <w:rsid w:val="0067274E"/>
    <w:rsid w:val="006736DF"/>
    <w:rsid w:val="00676CBA"/>
    <w:rsid w:val="00687DC2"/>
    <w:rsid w:val="00697DE1"/>
    <w:rsid w:val="006A1F8A"/>
    <w:rsid w:val="006A4284"/>
    <w:rsid w:val="006A4B3A"/>
    <w:rsid w:val="006A6DBC"/>
    <w:rsid w:val="006B1CD5"/>
    <w:rsid w:val="006B7E11"/>
    <w:rsid w:val="006D1DC5"/>
    <w:rsid w:val="006E3F61"/>
    <w:rsid w:val="006F4E6F"/>
    <w:rsid w:val="00703056"/>
    <w:rsid w:val="00730F24"/>
    <w:rsid w:val="00733DC6"/>
    <w:rsid w:val="00735525"/>
    <w:rsid w:val="007737EE"/>
    <w:rsid w:val="00780F14"/>
    <w:rsid w:val="007974D1"/>
    <w:rsid w:val="007A5095"/>
    <w:rsid w:val="007B2F12"/>
    <w:rsid w:val="007B625E"/>
    <w:rsid w:val="007B7D5E"/>
    <w:rsid w:val="007E64C1"/>
    <w:rsid w:val="007F631C"/>
    <w:rsid w:val="0080395C"/>
    <w:rsid w:val="0080417D"/>
    <w:rsid w:val="008262D4"/>
    <w:rsid w:val="008376BA"/>
    <w:rsid w:val="00837C99"/>
    <w:rsid w:val="00885470"/>
    <w:rsid w:val="00891714"/>
    <w:rsid w:val="008936B5"/>
    <w:rsid w:val="008A104A"/>
    <w:rsid w:val="008D22C2"/>
    <w:rsid w:val="008E0BDE"/>
    <w:rsid w:val="00912CC9"/>
    <w:rsid w:val="00932FEB"/>
    <w:rsid w:val="00935399"/>
    <w:rsid w:val="00937F04"/>
    <w:rsid w:val="00943018"/>
    <w:rsid w:val="00943A9D"/>
    <w:rsid w:val="00960C39"/>
    <w:rsid w:val="009A6A39"/>
    <w:rsid w:val="009B4C3E"/>
    <w:rsid w:val="009C345A"/>
    <w:rsid w:val="009D37B7"/>
    <w:rsid w:val="009D648C"/>
    <w:rsid w:val="009D7A53"/>
    <w:rsid w:val="009E7389"/>
    <w:rsid w:val="009F2275"/>
    <w:rsid w:val="009F327F"/>
    <w:rsid w:val="009F6912"/>
    <w:rsid w:val="009F78EC"/>
    <w:rsid w:val="00A2183D"/>
    <w:rsid w:val="00A44B80"/>
    <w:rsid w:val="00A74CBF"/>
    <w:rsid w:val="00A90981"/>
    <w:rsid w:val="00AA162F"/>
    <w:rsid w:val="00AA1AAD"/>
    <w:rsid w:val="00AB5E62"/>
    <w:rsid w:val="00AC0B82"/>
    <w:rsid w:val="00AF2AFD"/>
    <w:rsid w:val="00B12CB8"/>
    <w:rsid w:val="00B22A2F"/>
    <w:rsid w:val="00B36A7E"/>
    <w:rsid w:val="00B600AD"/>
    <w:rsid w:val="00B62EE3"/>
    <w:rsid w:val="00B65103"/>
    <w:rsid w:val="00B6786D"/>
    <w:rsid w:val="00B864BE"/>
    <w:rsid w:val="00B86AA5"/>
    <w:rsid w:val="00BD1A8D"/>
    <w:rsid w:val="00BD608F"/>
    <w:rsid w:val="00BD722E"/>
    <w:rsid w:val="00BE0D2E"/>
    <w:rsid w:val="00BE1D9F"/>
    <w:rsid w:val="00BF4D96"/>
    <w:rsid w:val="00C146F1"/>
    <w:rsid w:val="00C17891"/>
    <w:rsid w:val="00C234BB"/>
    <w:rsid w:val="00C31FA9"/>
    <w:rsid w:val="00C71D82"/>
    <w:rsid w:val="00C73EE2"/>
    <w:rsid w:val="00C85A08"/>
    <w:rsid w:val="00C93941"/>
    <w:rsid w:val="00CA17E9"/>
    <w:rsid w:val="00CA411A"/>
    <w:rsid w:val="00CA5680"/>
    <w:rsid w:val="00CB1BEA"/>
    <w:rsid w:val="00CC6621"/>
    <w:rsid w:val="00CD3A90"/>
    <w:rsid w:val="00CE1616"/>
    <w:rsid w:val="00CE402A"/>
    <w:rsid w:val="00CE6140"/>
    <w:rsid w:val="00CE7AE4"/>
    <w:rsid w:val="00CF0896"/>
    <w:rsid w:val="00D26256"/>
    <w:rsid w:val="00D531FD"/>
    <w:rsid w:val="00D54530"/>
    <w:rsid w:val="00D55B2B"/>
    <w:rsid w:val="00D65BF8"/>
    <w:rsid w:val="00D91526"/>
    <w:rsid w:val="00D93678"/>
    <w:rsid w:val="00DB2BF4"/>
    <w:rsid w:val="00DC2186"/>
    <w:rsid w:val="00DD44B0"/>
    <w:rsid w:val="00DE121A"/>
    <w:rsid w:val="00DF4109"/>
    <w:rsid w:val="00DF7884"/>
    <w:rsid w:val="00E02414"/>
    <w:rsid w:val="00E17977"/>
    <w:rsid w:val="00E30804"/>
    <w:rsid w:val="00E325FB"/>
    <w:rsid w:val="00E36D76"/>
    <w:rsid w:val="00E41472"/>
    <w:rsid w:val="00E55E1E"/>
    <w:rsid w:val="00E63614"/>
    <w:rsid w:val="00E7099C"/>
    <w:rsid w:val="00E726E0"/>
    <w:rsid w:val="00E7423B"/>
    <w:rsid w:val="00E80992"/>
    <w:rsid w:val="00E8779F"/>
    <w:rsid w:val="00EA4D20"/>
    <w:rsid w:val="00EB0DED"/>
    <w:rsid w:val="00EB4006"/>
    <w:rsid w:val="00EB5E32"/>
    <w:rsid w:val="00EC0F42"/>
    <w:rsid w:val="00EC61C2"/>
    <w:rsid w:val="00ED4F21"/>
    <w:rsid w:val="00EE0276"/>
    <w:rsid w:val="00EF0E1E"/>
    <w:rsid w:val="00F1730B"/>
    <w:rsid w:val="00F22EFE"/>
    <w:rsid w:val="00F23005"/>
    <w:rsid w:val="00F35F87"/>
    <w:rsid w:val="00F47DDF"/>
    <w:rsid w:val="00F613A9"/>
    <w:rsid w:val="00F61B6A"/>
    <w:rsid w:val="00F754C1"/>
    <w:rsid w:val="00F872ED"/>
    <w:rsid w:val="00FA1821"/>
    <w:rsid w:val="00FA604B"/>
    <w:rsid w:val="00FA6A03"/>
    <w:rsid w:val="00FA6A8B"/>
    <w:rsid w:val="00FC7EAF"/>
    <w:rsid w:val="00FD4F06"/>
    <w:rsid w:val="00FD5C81"/>
    <w:rsid w:val="00FE0664"/>
    <w:rsid w:val="00FE3859"/>
    <w:rsid w:val="00FF6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BB9711E-F9C1-4269-98BA-FF1FCBDC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227"/>
      </w:numPr>
      <w:spacing w:before="80" w:after="60"/>
      <w:jc w:val="both"/>
      <w:outlineLvl w:val="6"/>
    </w:pPr>
  </w:style>
  <w:style w:type="paragraph" w:customStyle="1" w:styleId="Asubpara">
    <w:name w:val="A subpara"/>
    <w:basedOn w:val="Normal"/>
    <w:pPr>
      <w:numPr>
        <w:ilvl w:val="7"/>
        <w:numId w:val="227"/>
      </w:numPr>
      <w:spacing w:before="80" w:after="60"/>
      <w:jc w:val="both"/>
      <w:outlineLvl w:val="7"/>
    </w:pPr>
  </w:style>
  <w:style w:type="paragraph" w:customStyle="1" w:styleId="Asubsubpara">
    <w:name w:val="A subsubpara"/>
    <w:basedOn w:val="Normal"/>
    <w:pPr>
      <w:numPr>
        <w:ilvl w:val="8"/>
        <w:numId w:val="227"/>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odyTextIndent2">
    <w:name w:val="Body Text Indent 2"/>
    <w:basedOn w:val="Normal"/>
    <w:rsid w:val="00CE402A"/>
    <w:pPr>
      <w:spacing w:after="120" w:line="480" w:lineRule="auto"/>
      <w:ind w:left="283"/>
    </w:pPr>
  </w:style>
  <w:style w:type="paragraph" w:customStyle="1" w:styleId="msolistparagraph0">
    <w:name w:val="msolistparagraph"/>
    <w:basedOn w:val="Normal"/>
    <w:rsid w:val="00023A66"/>
    <w:pPr>
      <w:ind w:left="720"/>
    </w:pPr>
    <w:rPr>
      <w:szCs w:val="24"/>
      <w:lang w:eastAsia="en-AU"/>
    </w:rPr>
  </w:style>
  <w:style w:type="table" w:styleId="TableGrid">
    <w:name w:val="Table Grid"/>
    <w:basedOn w:val="TableNormal"/>
    <w:rsid w:val="0067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F0896"/>
    <w:rPr>
      <w:sz w:val="16"/>
      <w:szCs w:val="16"/>
    </w:rPr>
  </w:style>
  <w:style w:type="paragraph" w:styleId="CommentText">
    <w:name w:val="annotation text"/>
    <w:basedOn w:val="Normal"/>
    <w:link w:val="CommentTextChar"/>
    <w:rsid w:val="00CF0896"/>
    <w:rPr>
      <w:sz w:val="20"/>
    </w:rPr>
  </w:style>
  <w:style w:type="character" w:customStyle="1" w:styleId="CommentTextChar">
    <w:name w:val="Comment Text Char"/>
    <w:link w:val="CommentText"/>
    <w:rsid w:val="00CF0896"/>
    <w:rPr>
      <w:lang w:eastAsia="en-US"/>
    </w:rPr>
  </w:style>
  <w:style w:type="paragraph" w:styleId="CommentSubject">
    <w:name w:val="annotation subject"/>
    <w:basedOn w:val="CommentText"/>
    <w:next w:val="CommentText"/>
    <w:link w:val="CommentSubjectChar"/>
    <w:rsid w:val="00CF0896"/>
    <w:rPr>
      <w:b/>
      <w:bCs/>
    </w:rPr>
  </w:style>
  <w:style w:type="character" w:customStyle="1" w:styleId="CommentSubjectChar">
    <w:name w:val="Comment Subject Char"/>
    <w:link w:val="CommentSubject"/>
    <w:rsid w:val="00CF0896"/>
    <w:rPr>
      <w:b/>
      <w:bCs/>
      <w:lang w:eastAsia="en-US"/>
    </w:rPr>
  </w:style>
  <w:style w:type="paragraph" w:styleId="BalloonText">
    <w:name w:val="Balloon Text"/>
    <w:basedOn w:val="Normal"/>
    <w:link w:val="BalloonTextChar"/>
    <w:rsid w:val="00CF0896"/>
    <w:rPr>
      <w:rFonts w:ascii="Segoe UI" w:hAnsi="Segoe UI" w:cs="Segoe UI"/>
      <w:sz w:val="18"/>
      <w:szCs w:val="18"/>
    </w:rPr>
  </w:style>
  <w:style w:type="character" w:customStyle="1" w:styleId="BalloonTextChar">
    <w:name w:val="Balloon Text Char"/>
    <w:link w:val="BalloonText"/>
    <w:rsid w:val="00CF089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9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ccesscanberra.act.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0533-9592-4F1C-B917-9724A898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3884</Characters>
  <Application>Microsoft Office Word</Application>
  <DocSecurity>0</DocSecurity>
  <Lines>68</Lines>
  <Paragraphs>21</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4541</CharactersWithSpaces>
  <SharedDoc>false</SharedDoc>
  <HLinks>
    <vt:vector size="6" baseType="variant">
      <vt:variant>
        <vt:i4>1507408</vt:i4>
      </vt:variant>
      <vt:variant>
        <vt:i4>0</vt:i4>
      </vt:variant>
      <vt:variant>
        <vt:i4>0</vt:i4>
      </vt:variant>
      <vt:variant>
        <vt:i4>5</vt:i4>
      </vt:variant>
      <vt:variant>
        <vt:lpwstr>http://www.accesscanberra.act.gov.au/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5</cp:revision>
  <cp:lastPrinted>2011-01-19T03:37:00Z</cp:lastPrinted>
  <dcterms:created xsi:type="dcterms:W3CDTF">2019-09-25T04:52:00Z</dcterms:created>
  <dcterms:modified xsi:type="dcterms:W3CDTF">2019-09-25T04:52:00Z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A21239128</vt:lpwstr>
  </property>
  <property fmtid="{D5CDD505-2E9C-101B-9397-08002B2CF9AE}" pid="3" name="Objective-Title">
    <vt:lpwstr>19/28058 - Attachment B - DI2019-204 Explanatory Statement for Fee Determination 2019 (Amended 6/9/2019)</vt:lpwstr>
  </property>
  <property fmtid="{D5CDD505-2E9C-101B-9397-08002B2CF9AE}" pid="4" name="Objective-Comment">
    <vt:lpwstr>Technical Inspector Qualifications</vt:lpwstr>
  </property>
  <property fmtid="{D5CDD505-2E9C-101B-9397-08002B2CF9AE}" pid="5" name="Objective-CreationStamp">
    <vt:filetime>2019-09-05T01:52:16Z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2019-09-25T04:47:15Z</vt:filetime>
  </property>
  <property fmtid="{D5CDD505-2E9C-101B-9397-08002B2CF9AE}" pid="9" name="Objective-ModificationStamp">
    <vt:filetime>2019-09-25T04:47:15Z</vt:filetime>
  </property>
  <property fmtid="{D5CDD505-2E9C-101B-9397-08002B2CF9AE}" pid="10" name="Objective-Owner">
    <vt:lpwstr>Vanessa Margules</vt:lpwstr>
  </property>
  <property fmtid="{D5CDD505-2E9C-101B-9397-08002B2CF9AE}" pid="11" name="Objective-Path">
    <vt:lpwstr>Whole of ACT Government:EPSDD - Environment Planning and Sustainable Development Directorate:07. Ministerial, Cabinet and Government Relations:07. Executive Correspondence:Director-General:2019 - Director General Correspondence:Access Canberra - Technical Regulator (DG):19/28058 - DG Brief - Approval of amended Fee Instrument and Explanatory Statement for new Operating Certificate Process under Utilities (Technical Regulation) Act 2014) Amendments:</vt:lpwstr>
  </property>
  <property fmtid="{D5CDD505-2E9C-101B-9397-08002B2CF9AE}" pid="12" name="Objective-Parent">
    <vt:lpwstr>19/28058 - DG Brief - Approval of amended Fee Instrument and Explanatory Statement for new Operating Certificate Process under Utilities (Technical Regulation) Act 2014) Amendments</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1-2019/28058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