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6F2C" w14:textId="77777777" w:rsidR="00280596" w:rsidRPr="004C7730" w:rsidRDefault="00280596" w:rsidP="00280596">
      <w:pPr>
        <w:spacing w:before="120"/>
        <w:rPr>
          <w:rFonts w:ascii="Arial" w:hAnsi="Arial" w:cs="Arial"/>
        </w:rPr>
      </w:pPr>
      <w:bookmarkStart w:id="0" w:name="_GoBack"/>
      <w:bookmarkEnd w:id="0"/>
      <w:r w:rsidRPr="004C7730">
        <w:rPr>
          <w:rFonts w:ascii="Arial" w:hAnsi="Arial" w:cs="Arial"/>
        </w:rPr>
        <w:t>Australian Capital Territory</w:t>
      </w:r>
    </w:p>
    <w:p w14:paraId="1DDF8D4E" w14:textId="0A8FF30B" w:rsidR="00280596" w:rsidRPr="004C7730" w:rsidRDefault="0059335E" w:rsidP="00280596">
      <w:pPr>
        <w:pStyle w:val="Billname"/>
        <w:spacing w:before="700"/>
        <w:ind w:right="-193"/>
      </w:pPr>
      <w:r w:rsidRPr="0059335E">
        <w:t>Planning and Development (Remission of Lease Variation Charges—Affordable Rental Development Concession) Determination 2019</w:t>
      </w:r>
    </w:p>
    <w:p w14:paraId="243CA428" w14:textId="0CAEF16E" w:rsidR="00280596" w:rsidRPr="004C7730" w:rsidRDefault="00280596" w:rsidP="00280596">
      <w:pPr>
        <w:spacing w:before="300"/>
        <w:rPr>
          <w:rFonts w:ascii="Arial" w:hAnsi="Arial" w:cs="Arial"/>
          <w:b/>
          <w:bCs/>
          <w:vertAlign w:val="superscript"/>
        </w:rPr>
      </w:pPr>
      <w:r w:rsidRPr="004C7730">
        <w:rPr>
          <w:rFonts w:ascii="Arial" w:hAnsi="Arial" w:cs="Arial"/>
          <w:b/>
          <w:bCs/>
        </w:rPr>
        <w:t>Disallowable instrument DI</w:t>
      </w:r>
      <w:r w:rsidRPr="004C7730">
        <w:rPr>
          <w:rFonts w:ascii="Arial" w:hAnsi="Arial" w:cs="Arial"/>
          <w:b/>
          <w:bCs/>
          <w:iCs/>
        </w:rPr>
        <w:t>201</w:t>
      </w:r>
      <w:r w:rsidR="005436D2" w:rsidRPr="004C7730">
        <w:rPr>
          <w:rFonts w:ascii="Arial" w:hAnsi="Arial" w:cs="Arial"/>
          <w:b/>
          <w:bCs/>
          <w:iCs/>
        </w:rPr>
        <w:t>9</w:t>
      </w:r>
      <w:r w:rsidRPr="004C7730">
        <w:rPr>
          <w:rFonts w:ascii="Arial" w:hAnsi="Arial" w:cs="Arial"/>
          <w:b/>
          <w:bCs/>
        </w:rPr>
        <w:t>–</w:t>
      </w:r>
      <w:r w:rsidR="009248A5">
        <w:rPr>
          <w:rFonts w:ascii="Arial" w:hAnsi="Arial" w:cs="Arial"/>
          <w:b/>
          <w:bCs/>
        </w:rPr>
        <w:t>229</w:t>
      </w:r>
    </w:p>
    <w:p w14:paraId="45725C8F" w14:textId="77777777" w:rsidR="00280596" w:rsidRPr="004C7730" w:rsidRDefault="00280596" w:rsidP="00280596">
      <w:pPr>
        <w:pStyle w:val="madeunder"/>
        <w:spacing w:before="300" w:after="0"/>
      </w:pPr>
      <w:r w:rsidRPr="004C7730">
        <w:t xml:space="preserve">made under the  </w:t>
      </w:r>
    </w:p>
    <w:p w14:paraId="4F55C579" w14:textId="59481A30" w:rsidR="00280596" w:rsidRPr="004C7730" w:rsidRDefault="00280596" w:rsidP="00280596">
      <w:pPr>
        <w:pStyle w:val="CoverActName"/>
        <w:spacing w:before="300" w:after="0"/>
        <w:rPr>
          <w:rFonts w:cs="Arial"/>
          <w:bCs/>
          <w:sz w:val="20"/>
        </w:rPr>
      </w:pPr>
      <w:r w:rsidRPr="004C7730">
        <w:rPr>
          <w:rFonts w:cs="Arial"/>
          <w:bCs/>
          <w:i/>
          <w:sz w:val="20"/>
        </w:rPr>
        <w:t>Planning and Development Act 2007</w:t>
      </w:r>
      <w:r w:rsidRPr="004C7730">
        <w:rPr>
          <w:rFonts w:cs="Arial"/>
          <w:bCs/>
          <w:sz w:val="20"/>
        </w:rPr>
        <w:t>, s 278 (Remission of lease variation charges)</w:t>
      </w:r>
    </w:p>
    <w:p w14:paraId="3E218A2A" w14:textId="41714A93" w:rsidR="002C3783" w:rsidRPr="004C7730" w:rsidRDefault="002C3783" w:rsidP="00280596">
      <w:pPr>
        <w:pStyle w:val="CoverActName"/>
        <w:spacing w:before="300" w:after="0"/>
        <w:rPr>
          <w:rFonts w:cs="Arial"/>
          <w:sz w:val="20"/>
        </w:rPr>
      </w:pPr>
      <w:r w:rsidRPr="004C7730">
        <w:rPr>
          <w:rFonts w:cs="Arial"/>
          <w:bCs/>
          <w:sz w:val="20"/>
        </w:rPr>
        <w:t>EXPLANATORY STATEMENT</w:t>
      </w:r>
    </w:p>
    <w:p w14:paraId="28857F89" w14:textId="77777777" w:rsidR="00280596" w:rsidRPr="004C7730" w:rsidRDefault="00280596" w:rsidP="00280596">
      <w:pPr>
        <w:pStyle w:val="N-line3"/>
        <w:pBdr>
          <w:bottom w:val="none" w:sz="0" w:space="0" w:color="auto"/>
        </w:pBdr>
      </w:pPr>
    </w:p>
    <w:p w14:paraId="247A76AD" w14:textId="77777777" w:rsidR="00280596" w:rsidRPr="004C7730" w:rsidRDefault="00280596" w:rsidP="00280596">
      <w:pPr>
        <w:pStyle w:val="N-line3"/>
        <w:pBdr>
          <w:top w:val="single" w:sz="12" w:space="1" w:color="auto"/>
          <w:bottom w:val="none" w:sz="0" w:space="0" w:color="auto"/>
        </w:pBdr>
      </w:pPr>
    </w:p>
    <w:p w14:paraId="13AA9834" w14:textId="77777777" w:rsidR="00380FCC" w:rsidRPr="004C7730" w:rsidRDefault="00380FCC" w:rsidP="00380FCC">
      <w:pPr>
        <w:spacing w:before="300"/>
        <w:ind w:left="720" w:hanging="720"/>
        <w:rPr>
          <w:rFonts w:ascii="Arial" w:hAnsi="Arial" w:cs="Arial"/>
          <w:b/>
          <w:bCs/>
        </w:rPr>
      </w:pPr>
      <w:r w:rsidRPr="004C7730">
        <w:rPr>
          <w:rFonts w:ascii="Arial" w:hAnsi="Arial" w:cs="Arial"/>
          <w:b/>
          <w:bCs/>
        </w:rPr>
        <w:t>Background</w:t>
      </w:r>
    </w:p>
    <w:p w14:paraId="33B570C5" w14:textId="04A03AB0" w:rsidR="009D0037" w:rsidRPr="004C7730" w:rsidRDefault="009D0037" w:rsidP="00380FCC">
      <w:pPr>
        <w:spacing w:before="140" w:after="0" w:line="240" w:lineRule="auto"/>
        <w:rPr>
          <w:rFonts w:ascii="Times New Roman" w:hAnsi="Times New Roman"/>
          <w:sz w:val="24"/>
          <w:szCs w:val="20"/>
        </w:rPr>
      </w:pPr>
      <w:r w:rsidRPr="004C7730">
        <w:rPr>
          <w:rFonts w:ascii="Times New Roman" w:hAnsi="Times New Roman"/>
          <w:sz w:val="24"/>
          <w:szCs w:val="20"/>
        </w:rPr>
        <w:t>The Government undertook a review of the Lease Variation Charge (LVC) in 2018-19, its aims and alignment with other Government policies and objectives. Based on the findings of that review Government announced that it would</w:t>
      </w:r>
      <w:r w:rsidR="007D0902" w:rsidRPr="004C7730">
        <w:rPr>
          <w:rFonts w:ascii="Times New Roman" w:hAnsi="Times New Roman"/>
          <w:sz w:val="24"/>
          <w:szCs w:val="20"/>
        </w:rPr>
        <w:t>,</w:t>
      </w:r>
      <w:r w:rsidRPr="004C7730">
        <w:rPr>
          <w:rFonts w:ascii="Times New Roman" w:hAnsi="Times New Roman"/>
          <w:sz w:val="24"/>
          <w:szCs w:val="20"/>
        </w:rPr>
        <w:t xml:space="preserve"> amongst other things, introduce a </w:t>
      </w:r>
      <w:r w:rsidR="00650CB7" w:rsidRPr="004C7730">
        <w:rPr>
          <w:rFonts w:ascii="Times New Roman" w:hAnsi="Times New Roman"/>
          <w:sz w:val="24"/>
          <w:szCs w:val="20"/>
        </w:rPr>
        <w:t>25 per </w:t>
      </w:r>
      <w:r w:rsidRPr="004C7730">
        <w:rPr>
          <w:rFonts w:ascii="Times New Roman" w:hAnsi="Times New Roman"/>
          <w:sz w:val="24"/>
          <w:szCs w:val="20"/>
        </w:rPr>
        <w:t>cent LVC remission for registered community providers to encourage the development of more affordable rental housing</w:t>
      </w:r>
      <w:r w:rsidR="007D0902" w:rsidRPr="004C7730">
        <w:rPr>
          <w:rFonts w:ascii="Times New Roman" w:hAnsi="Times New Roman"/>
          <w:sz w:val="24"/>
          <w:szCs w:val="20"/>
        </w:rPr>
        <w:t xml:space="preserve"> for low to moderate income households</w:t>
      </w:r>
      <w:r w:rsidRPr="004C7730">
        <w:rPr>
          <w:rFonts w:ascii="Times New Roman" w:hAnsi="Times New Roman"/>
          <w:sz w:val="24"/>
          <w:szCs w:val="20"/>
        </w:rPr>
        <w:t xml:space="preserve">. </w:t>
      </w:r>
    </w:p>
    <w:p w14:paraId="2BBDA9F5" w14:textId="314BC8E0" w:rsidR="007D0902" w:rsidRPr="004C7730" w:rsidRDefault="007D0902" w:rsidP="00380FCC">
      <w:pPr>
        <w:spacing w:before="140" w:after="0" w:line="240" w:lineRule="auto"/>
        <w:rPr>
          <w:rFonts w:ascii="Times New Roman" w:hAnsi="Times New Roman"/>
          <w:sz w:val="24"/>
          <w:szCs w:val="20"/>
        </w:rPr>
      </w:pPr>
      <w:r w:rsidRPr="004C7730">
        <w:rPr>
          <w:rFonts w:ascii="Times New Roman" w:hAnsi="Times New Roman"/>
          <w:sz w:val="24"/>
          <w:szCs w:val="20"/>
        </w:rPr>
        <w:t>The remission is</w:t>
      </w:r>
      <w:r w:rsidR="0049657B">
        <w:rPr>
          <w:rFonts w:ascii="Times New Roman" w:hAnsi="Times New Roman"/>
          <w:sz w:val="24"/>
          <w:szCs w:val="20"/>
        </w:rPr>
        <w:t xml:space="preserve"> </w:t>
      </w:r>
      <w:r w:rsidR="0049657B" w:rsidRPr="00AE5432">
        <w:rPr>
          <w:rFonts w:ascii="Times New Roman" w:hAnsi="Times New Roman"/>
          <w:sz w:val="24"/>
          <w:szCs w:val="20"/>
        </w:rPr>
        <w:t xml:space="preserve">taken </w:t>
      </w:r>
      <w:r w:rsidRPr="00AE5432">
        <w:rPr>
          <w:rFonts w:ascii="Times New Roman" w:hAnsi="Times New Roman"/>
          <w:sz w:val="24"/>
          <w:szCs w:val="20"/>
        </w:rPr>
        <w:t>to</w:t>
      </w:r>
      <w:r w:rsidR="0049657B" w:rsidRPr="00AE5432">
        <w:rPr>
          <w:rFonts w:ascii="Times New Roman" w:hAnsi="Times New Roman"/>
          <w:sz w:val="24"/>
          <w:szCs w:val="20"/>
        </w:rPr>
        <w:t xml:space="preserve"> have</w:t>
      </w:r>
      <w:r w:rsidRPr="00AE5432">
        <w:rPr>
          <w:rFonts w:ascii="Times New Roman" w:hAnsi="Times New Roman"/>
          <w:sz w:val="24"/>
          <w:szCs w:val="20"/>
        </w:rPr>
        <w:t xml:space="preserve"> commence</w:t>
      </w:r>
      <w:r w:rsidR="0049657B" w:rsidRPr="00AE5432">
        <w:rPr>
          <w:rFonts w:ascii="Times New Roman" w:hAnsi="Times New Roman"/>
          <w:sz w:val="24"/>
          <w:szCs w:val="20"/>
        </w:rPr>
        <w:t>d</w:t>
      </w:r>
      <w:r w:rsidRPr="00AE5432">
        <w:rPr>
          <w:rFonts w:ascii="Times New Roman" w:hAnsi="Times New Roman"/>
          <w:sz w:val="24"/>
          <w:szCs w:val="20"/>
        </w:rPr>
        <w:t xml:space="preserve"> on 1 October 2019</w:t>
      </w:r>
      <w:r w:rsidRPr="004C7730">
        <w:rPr>
          <w:rFonts w:ascii="Times New Roman" w:hAnsi="Times New Roman"/>
          <w:sz w:val="24"/>
          <w:szCs w:val="20"/>
        </w:rPr>
        <w:t xml:space="preserve"> and will be available</w:t>
      </w:r>
      <w:r w:rsidR="00D05AA3" w:rsidRPr="004C7730">
        <w:rPr>
          <w:rFonts w:ascii="Times New Roman" w:hAnsi="Times New Roman"/>
          <w:sz w:val="24"/>
          <w:szCs w:val="20"/>
        </w:rPr>
        <w:t xml:space="preserve"> </w:t>
      </w:r>
      <w:r w:rsidRPr="004C7730">
        <w:rPr>
          <w:rFonts w:ascii="Times New Roman" w:hAnsi="Times New Roman"/>
          <w:sz w:val="24"/>
          <w:szCs w:val="20"/>
        </w:rPr>
        <w:t>for a</w:t>
      </w:r>
      <w:r w:rsidR="00D05AA3" w:rsidRPr="004C7730">
        <w:rPr>
          <w:rFonts w:ascii="Times New Roman" w:hAnsi="Times New Roman"/>
          <w:sz w:val="24"/>
          <w:szCs w:val="20"/>
        </w:rPr>
        <w:t>n initial</w:t>
      </w:r>
      <w:r w:rsidRPr="004C7730">
        <w:rPr>
          <w:rFonts w:ascii="Times New Roman" w:hAnsi="Times New Roman"/>
          <w:sz w:val="24"/>
          <w:szCs w:val="20"/>
        </w:rPr>
        <w:t xml:space="preserve"> period expiring </w:t>
      </w:r>
      <w:r w:rsidR="00D05AA3" w:rsidRPr="004C7730">
        <w:rPr>
          <w:rFonts w:ascii="Times New Roman" w:hAnsi="Times New Roman"/>
          <w:sz w:val="24"/>
          <w:szCs w:val="20"/>
        </w:rPr>
        <w:t xml:space="preserve">on </w:t>
      </w:r>
      <w:r w:rsidRPr="004C7730">
        <w:rPr>
          <w:rFonts w:ascii="Times New Roman" w:hAnsi="Times New Roman"/>
          <w:sz w:val="24"/>
          <w:szCs w:val="20"/>
        </w:rPr>
        <w:t xml:space="preserve">30 June 2022. </w:t>
      </w:r>
    </w:p>
    <w:p w14:paraId="46B7CDD7" w14:textId="10D0F657" w:rsidR="00380FCC" w:rsidRPr="004C7730" w:rsidRDefault="00380FCC" w:rsidP="00380FCC">
      <w:pPr>
        <w:spacing w:before="140" w:after="0" w:line="240" w:lineRule="auto"/>
        <w:rPr>
          <w:rFonts w:ascii="Times New Roman" w:hAnsi="Times New Roman"/>
          <w:sz w:val="24"/>
          <w:szCs w:val="20"/>
        </w:rPr>
      </w:pPr>
      <w:r w:rsidRPr="004C7730">
        <w:rPr>
          <w:rFonts w:ascii="Times New Roman" w:hAnsi="Times New Roman"/>
          <w:sz w:val="24"/>
          <w:szCs w:val="20"/>
        </w:rPr>
        <w:t xml:space="preserve">The LVC is charged when </w:t>
      </w:r>
      <w:r w:rsidR="009D0037" w:rsidRPr="004C7730">
        <w:rPr>
          <w:rFonts w:ascii="Times New Roman" w:hAnsi="Times New Roman"/>
          <w:sz w:val="24"/>
          <w:szCs w:val="20"/>
        </w:rPr>
        <w:t>a</w:t>
      </w:r>
      <w:r w:rsidRPr="004C7730">
        <w:rPr>
          <w:rFonts w:ascii="Times New Roman" w:hAnsi="Times New Roman"/>
          <w:sz w:val="24"/>
          <w:szCs w:val="20"/>
        </w:rPr>
        <w:t xml:space="preserve"> lessee seeks to vary their lease and </w:t>
      </w:r>
      <w:r w:rsidR="009D0037" w:rsidRPr="004C7730">
        <w:rPr>
          <w:rFonts w:ascii="Times New Roman" w:hAnsi="Times New Roman"/>
          <w:sz w:val="24"/>
          <w:szCs w:val="20"/>
        </w:rPr>
        <w:t>the variation</w:t>
      </w:r>
      <w:r w:rsidRPr="004C7730">
        <w:rPr>
          <w:rFonts w:ascii="Times New Roman" w:hAnsi="Times New Roman"/>
          <w:sz w:val="24"/>
          <w:szCs w:val="20"/>
        </w:rPr>
        <w:t xml:space="preserve"> is approved.</w:t>
      </w:r>
      <w:r w:rsidR="009D0037" w:rsidRPr="004C7730">
        <w:rPr>
          <w:rFonts w:ascii="Times New Roman" w:hAnsi="Times New Roman"/>
          <w:sz w:val="24"/>
          <w:szCs w:val="20"/>
        </w:rPr>
        <w:t xml:space="preserve"> </w:t>
      </w:r>
      <w:r w:rsidRPr="004C7730">
        <w:rPr>
          <w:rFonts w:ascii="Times New Roman" w:hAnsi="Times New Roman"/>
          <w:sz w:val="24"/>
          <w:szCs w:val="20"/>
        </w:rPr>
        <w:t>There are three main categories of lease variations for the purposes of the LVC. These include variations of:</w:t>
      </w:r>
    </w:p>
    <w:p w14:paraId="14607D76" w14:textId="027C794A" w:rsidR="00380FCC" w:rsidRPr="004C7730" w:rsidRDefault="00380FCC" w:rsidP="00380FCC">
      <w:pPr>
        <w:pStyle w:val="ListParagraph"/>
        <w:numPr>
          <w:ilvl w:val="0"/>
          <w:numId w:val="30"/>
        </w:numPr>
        <w:autoSpaceDE w:val="0"/>
        <w:autoSpaceDN w:val="0"/>
        <w:adjustRightInd w:val="0"/>
        <w:spacing w:before="120" w:after="120"/>
        <w:ind w:left="567" w:hanging="567"/>
        <w:contextualSpacing w:val="0"/>
        <w:rPr>
          <w:color w:val="000000"/>
          <w:szCs w:val="24"/>
        </w:rPr>
      </w:pPr>
      <w:r w:rsidRPr="004C7730">
        <w:rPr>
          <w:color w:val="000000"/>
          <w:szCs w:val="24"/>
        </w:rPr>
        <w:t>leases for which no LVC is payable. Such leases are identified in the s</w:t>
      </w:r>
      <w:r w:rsidR="007D0902" w:rsidRPr="004C7730">
        <w:rPr>
          <w:color w:val="000000"/>
          <w:szCs w:val="24"/>
        </w:rPr>
        <w:t>ection</w:t>
      </w:r>
      <w:r w:rsidRPr="004C7730">
        <w:rPr>
          <w:color w:val="000000"/>
          <w:szCs w:val="24"/>
        </w:rPr>
        <w:t xml:space="preserve"> 276 definition of “chargeable variation”. For example, variations of two adjoining leases whose only effect is to alter the boundary between them</w:t>
      </w:r>
      <w:r w:rsidR="007B7971" w:rsidRPr="004C7730">
        <w:rPr>
          <w:color w:val="000000"/>
          <w:szCs w:val="24"/>
        </w:rPr>
        <w:t>;</w:t>
      </w:r>
    </w:p>
    <w:p w14:paraId="54B9CEDD" w14:textId="7C45B2EB" w:rsidR="00380FCC" w:rsidRPr="004C7730" w:rsidRDefault="00380FCC" w:rsidP="00380FCC">
      <w:pPr>
        <w:pStyle w:val="ListParagraph"/>
        <w:numPr>
          <w:ilvl w:val="0"/>
          <w:numId w:val="30"/>
        </w:numPr>
        <w:autoSpaceDE w:val="0"/>
        <w:autoSpaceDN w:val="0"/>
        <w:adjustRightInd w:val="0"/>
        <w:spacing w:before="120" w:after="120"/>
        <w:ind w:left="567" w:hanging="567"/>
        <w:contextualSpacing w:val="0"/>
        <w:rPr>
          <w:color w:val="000000"/>
          <w:szCs w:val="24"/>
        </w:rPr>
      </w:pPr>
      <w:r w:rsidRPr="004C7730">
        <w:rPr>
          <w:color w:val="000000"/>
          <w:szCs w:val="24"/>
        </w:rPr>
        <w:t>leases where the variation is a s</w:t>
      </w:r>
      <w:r w:rsidR="007D0902" w:rsidRPr="004C7730">
        <w:rPr>
          <w:color w:val="000000"/>
          <w:szCs w:val="24"/>
        </w:rPr>
        <w:t xml:space="preserve">ection </w:t>
      </w:r>
      <w:r w:rsidRPr="004C7730">
        <w:rPr>
          <w:color w:val="000000"/>
          <w:szCs w:val="24"/>
        </w:rPr>
        <w:t>276E chargeable variation; and</w:t>
      </w:r>
    </w:p>
    <w:p w14:paraId="7741DA8F" w14:textId="18EDD391" w:rsidR="00380FCC" w:rsidRPr="004C7730" w:rsidRDefault="00380FCC" w:rsidP="00380FCC">
      <w:pPr>
        <w:pStyle w:val="ListParagraph"/>
        <w:numPr>
          <w:ilvl w:val="0"/>
          <w:numId w:val="30"/>
        </w:numPr>
        <w:autoSpaceDE w:val="0"/>
        <w:autoSpaceDN w:val="0"/>
        <w:adjustRightInd w:val="0"/>
        <w:spacing w:before="120" w:after="120"/>
        <w:ind w:left="567" w:hanging="567"/>
        <w:contextualSpacing w:val="0"/>
        <w:rPr>
          <w:color w:val="000000"/>
          <w:szCs w:val="24"/>
        </w:rPr>
      </w:pPr>
      <w:r w:rsidRPr="004C7730">
        <w:rPr>
          <w:color w:val="000000"/>
          <w:szCs w:val="24"/>
        </w:rPr>
        <w:t>leases where the variation is a s</w:t>
      </w:r>
      <w:r w:rsidR="007D0902" w:rsidRPr="004C7730">
        <w:rPr>
          <w:color w:val="000000"/>
          <w:szCs w:val="24"/>
        </w:rPr>
        <w:t xml:space="preserve">ection </w:t>
      </w:r>
      <w:r w:rsidRPr="004C7730">
        <w:rPr>
          <w:color w:val="000000"/>
          <w:szCs w:val="24"/>
        </w:rPr>
        <w:t>277 chargeable variation.</w:t>
      </w:r>
    </w:p>
    <w:p w14:paraId="2C6FB0E3" w14:textId="3E9D6145" w:rsidR="00D05AA3" w:rsidRPr="004C7730" w:rsidRDefault="00D05AA3" w:rsidP="00D05AA3">
      <w:pPr>
        <w:spacing w:before="140"/>
        <w:rPr>
          <w:rFonts w:ascii="Times New Roman" w:hAnsi="Times New Roman"/>
          <w:color w:val="000000"/>
          <w:sz w:val="24"/>
          <w:szCs w:val="24"/>
        </w:rPr>
      </w:pPr>
      <w:r w:rsidRPr="004C7730">
        <w:rPr>
          <w:rFonts w:ascii="Times New Roman" w:hAnsi="Times New Roman"/>
          <w:color w:val="000000"/>
          <w:sz w:val="24"/>
          <w:szCs w:val="24"/>
        </w:rPr>
        <w:t>A “section 276E chargeable variation” is defined in the Act as meaning a chargeable variation prescribed by regulation. These are the chargeable lease variations that are codified under DI2017-208 Planning and Development (Lease Variation Charges) Determination 2017 (No 2) (LVC Determination).</w:t>
      </w:r>
    </w:p>
    <w:p w14:paraId="53E1CC0E" w14:textId="77777777" w:rsidR="00D05AA3" w:rsidRPr="004C7730" w:rsidRDefault="00D05AA3" w:rsidP="00D05AA3">
      <w:pPr>
        <w:spacing w:before="140"/>
        <w:rPr>
          <w:rFonts w:ascii="Times New Roman" w:hAnsi="Times New Roman"/>
          <w:color w:val="000000"/>
          <w:sz w:val="24"/>
          <w:szCs w:val="24"/>
        </w:rPr>
      </w:pPr>
      <w:r w:rsidRPr="004C7730">
        <w:rPr>
          <w:rFonts w:ascii="Times New Roman" w:hAnsi="Times New Roman"/>
          <w:color w:val="000000"/>
          <w:sz w:val="24"/>
          <w:szCs w:val="24"/>
        </w:rPr>
        <w:t>A “section 277 chargeable variation” is a lease variation other than a section 276E chargeable variation, or a section 276E chargeable variation for which no LVC is set in the LVC Determination. The LVC for these variations is determined under section 277 of the Act.</w:t>
      </w:r>
    </w:p>
    <w:p w14:paraId="36BA843C" w14:textId="77777777" w:rsidR="00D05AA3" w:rsidRPr="004C7730" w:rsidRDefault="00D05AA3" w:rsidP="00380FCC">
      <w:pPr>
        <w:spacing w:before="140" w:after="0" w:line="240" w:lineRule="auto"/>
        <w:rPr>
          <w:rFonts w:ascii="Times New Roman" w:hAnsi="Times New Roman"/>
          <w:sz w:val="24"/>
          <w:szCs w:val="20"/>
        </w:rPr>
      </w:pPr>
    </w:p>
    <w:p w14:paraId="7935ADD9" w14:textId="0320883F" w:rsidR="00380FCC" w:rsidRPr="004C7730" w:rsidRDefault="00380FCC" w:rsidP="00380FCC">
      <w:pPr>
        <w:spacing w:before="140" w:after="0" w:line="240" w:lineRule="auto"/>
        <w:rPr>
          <w:rFonts w:ascii="Times New Roman" w:hAnsi="Times New Roman"/>
          <w:sz w:val="24"/>
          <w:szCs w:val="20"/>
        </w:rPr>
      </w:pPr>
      <w:r w:rsidRPr="004C7730">
        <w:rPr>
          <w:rFonts w:ascii="Times New Roman" w:hAnsi="Times New Roman"/>
          <w:sz w:val="24"/>
          <w:szCs w:val="20"/>
        </w:rPr>
        <w:lastRenderedPageBreak/>
        <w:t xml:space="preserve">Section 278 of the </w:t>
      </w:r>
      <w:r w:rsidR="007D0902" w:rsidRPr="004C7730">
        <w:rPr>
          <w:rFonts w:ascii="Times New Roman" w:hAnsi="Times New Roman"/>
          <w:i/>
          <w:sz w:val="24"/>
          <w:szCs w:val="20"/>
        </w:rPr>
        <w:t xml:space="preserve">Planning and Development </w:t>
      </w:r>
      <w:r w:rsidRPr="004C7730">
        <w:rPr>
          <w:rFonts w:ascii="Times New Roman" w:hAnsi="Times New Roman"/>
          <w:i/>
          <w:sz w:val="24"/>
          <w:szCs w:val="20"/>
        </w:rPr>
        <w:t xml:space="preserve">Act </w:t>
      </w:r>
      <w:r w:rsidR="007D0902" w:rsidRPr="004C7730">
        <w:rPr>
          <w:rFonts w:ascii="Times New Roman" w:hAnsi="Times New Roman"/>
          <w:i/>
          <w:sz w:val="24"/>
          <w:szCs w:val="20"/>
        </w:rPr>
        <w:t>2007</w:t>
      </w:r>
      <w:r w:rsidR="007D0902" w:rsidRPr="004C7730">
        <w:rPr>
          <w:rFonts w:ascii="Times New Roman" w:hAnsi="Times New Roman"/>
          <w:sz w:val="24"/>
          <w:szCs w:val="20"/>
        </w:rPr>
        <w:t xml:space="preserve"> (Act) </w:t>
      </w:r>
      <w:r w:rsidRPr="004C7730">
        <w:rPr>
          <w:rFonts w:ascii="Times New Roman" w:hAnsi="Times New Roman"/>
          <w:sz w:val="24"/>
          <w:szCs w:val="20"/>
        </w:rPr>
        <w:t xml:space="preserve">permits the LVC to be remitted (reduced) in whole or in part by a disallowable determination. </w:t>
      </w:r>
    </w:p>
    <w:p w14:paraId="1B5B43E3" w14:textId="14AEA60A" w:rsidR="00380FCC" w:rsidRPr="004C7730" w:rsidRDefault="00380FCC" w:rsidP="00380FCC">
      <w:pPr>
        <w:spacing w:before="140" w:after="0" w:line="240" w:lineRule="auto"/>
        <w:rPr>
          <w:rFonts w:ascii="Times New Roman" w:hAnsi="Times New Roman"/>
          <w:sz w:val="24"/>
          <w:szCs w:val="20"/>
        </w:rPr>
      </w:pPr>
      <w:r w:rsidRPr="004C7730">
        <w:rPr>
          <w:rFonts w:ascii="Times New Roman" w:hAnsi="Times New Roman"/>
          <w:sz w:val="24"/>
          <w:szCs w:val="20"/>
        </w:rPr>
        <w:t xml:space="preserve">Only the amount remaining after the remission needs to be paid before the lease variation can take effect (s276B (1) of the Act). For example, if the LVC was $100 and the amount to be remitted was </w:t>
      </w:r>
      <w:r w:rsidR="00DF2E65" w:rsidRPr="004C7730">
        <w:rPr>
          <w:rFonts w:ascii="Times New Roman" w:hAnsi="Times New Roman"/>
          <w:sz w:val="24"/>
          <w:szCs w:val="20"/>
        </w:rPr>
        <w:t>2</w:t>
      </w:r>
      <w:r w:rsidR="00DF2E65">
        <w:rPr>
          <w:rFonts w:ascii="Times New Roman" w:hAnsi="Times New Roman"/>
          <w:sz w:val="24"/>
          <w:szCs w:val="20"/>
        </w:rPr>
        <w:t>5</w:t>
      </w:r>
      <w:r w:rsidRPr="004C7730">
        <w:rPr>
          <w:rFonts w:ascii="Times New Roman" w:hAnsi="Times New Roman"/>
          <w:sz w:val="24"/>
          <w:szCs w:val="20"/>
        </w:rPr>
        <w:t>% then only $</w:t>
      </w:r>
      <w:r w:rsidR="00DF2E65">
        <w:rPr>
          <w:rFonts w:ascii="Times New Roman" w:hAnsi="Times New Roman"/>
          <w:sz w:val="24"/>
          <w:szCs w:val="20"/>
        </w:rPr>
        <w:t>75</w:t>
      </w:r>
      <w:r w:rsidR="00DF2E65" w:rsidRPr="004C7730">
        <w:rPr>
          <w:rFonts w:ascii="Times New Roman" w:hAnsi="Times New Roman"/>
          <w:sz w:val="24"/>
          <w:szCs w:val="20"/>
        </w:rPr>
        <w:t xml:space="preserve"> </w:t>
      </w:r>
      <w:r w:rsidRPr="004C7730">
        <w:rPr>
          <w:rFonts w:ascii="Times New Roman" w:hAnsi="Times New Roman"/>
          <w:sz w:val="24"/>
          <w:szCs w:val="20"/>
        </w:rPr>
        <w:t>needs to be paid. When the amount is paid (or deferred) the lease variation, approved through the development application process, can be executed and registered on the Register of Land Titles.</w:t>
      </w:r>
    </w:p>
    <w:p w14:paraId="17481E3B" w14:textId="29784C6B" w:rsidR="00380FCC" w:rsidRPr="004C7730" w:rsidRDefault="00380FCC" w:rsidP="00380FCC">
      <w:pPr>
        <w:spacing w:before="300"/>
        <w:ind w:left="720" w:hanging="720"/>
        <w:rPr>
          <w:rFonts w:ascii="Arial" w:hAnsi="Arial" w:cs="Arial"/>
          <w:b/>
          <w:bCs/>
        </w:rPr>
      </w:pPr>
      <w:r w:rsidRPr="004C7730">
        <w:rPr>
          <w:rFonts w:ascii="Arial" w:hAnsi="Arial" w:cs="Arial"/>
          <w:b/>
          <w:bCs/>
        </w:rPr>
        <w:t>Overview</w:t>
      </w:r>
    </w:p>
    <w:p w14:paraId="02BD0B90" w14:textId="0B247785" w:rsidR="00D05AA3" w:rsidRPr="004C7730" w:rsidRDefault="00380FCC" w:rsidP="00380FCC">
      <w:pPr>
        <w:spacing w:before="140" w:after="0" w:line="240" w:lineRule="auto"/>
        <w:rPr>
          <w:rFonts w:ascii="Times New Roman" w:hAnsi="Times New Roman"/>
          <w:sz w:val="24"/>
          <w:szCs w:val="20"/>
        </w:rPr>
      </w:pPr>
      <w:r w:rsidRPr="004C7730">
        <w:rPr>
          <w:rFonts w:ascii="Times New Roman" w:hAnsi="Times New Roman"/>
          <w:sz w:val="24"/>
          <w:szCs w:val="20"/>
        </w:rPr>
        <w:t>Th</w:t>
      </w:r>
      <w:r w:rsidR="00242A6B" w:rsidRPr="004C7730">
        <w:rPr>
          <w:rFonts w:ascii="Times New Roman" w:hAnsi="Times New Roman"/>
          <w:sz w:val="24"/>
          <w:szCs w:val="20"/>
        </w:rPr>
        <w:t>is</w:t>
      </w:r>
      <w:r w:rsidRPr="004C7730">
        <w:rPr>
          <w:rFonts w:ascii="Times New Roman" w:hAnsi="Times New Roman"/>
          <w:sz w:val="24"/>
          <w:szCs w:val="20"/>
        </w:rPr>
        <w:t xml:space="preserve"> instrument is made under s 278 of the Act. Section 278 provides that a determination can do two things: firstly</w:t>
      </w:r>
      <w:r w:rsidR="00D05AA3" w:rsidRPr="004C7730">
        <w:rPr>
          <w:rFonts w:ascii="Times New Roman" w:hAnsi="Times New Roman"/>
          <w:sz w:val="24"/>
          <w:szCs w:val="20"/>
        </w:rPr>
        <w:t>,</w:t>
      </w:r>
      <w:r w:rsidRPr="004C7730">
        <w:rPr>
          <w:rFonts w:ascii="Times New Roman" w:hAnsi="Times New Roman"/>
          <w:sz w:val="24"/>
          <w:szCs w:val="20"/>
        </w:rPr>
        <w:t xml:space="preserve"> it can determine the circumstances in which an amount of LVC for a chargeable variation of a lease must be remitted. </w:t>
      </w:r>
    </w:p>
    <w:p w14:paraId="4AE7510F" w14:textId="77777777" w:rsidR="00887197" w:rsidRPr="004C7730" w:rsidRDefault="00380FCC" w:rsidP="00380FCC">
      <w:pPr>
        <w:spacing w:before="140" w:after="0" w:line="240" w:lineRule="auto"/>
        <w:rPr>
          <w:rFonts w:ascii="Times New Roman" w:hAnsi="Times New Roman"/>
          <w:sz w:val="24"/>
          <w:szCs w:val="20"/>
        </w:rPr>
      </w:pPr>
      <w:r w:rsidRPr="004C7730">
        <w:rPr>
          <w:rFonts w:ascii="Times New Roman" w:hAnsi="Times New Roman"/>
          <w:sz w:val="24"/>
          <w:szCs w:val="20"/>
        </w:rPr>
        <w:t>In this instance</w:t>
      </w:r>
      <w:r w:rsidR="00887197" w:rsidRPr="004C7730">
        <w:rPr>
          <w:rFonts w:ascii="Times New Roman" w:hAnsi="Times New Roman"/>
          <w:sz w:val="24"/>
          <w:szCs w:val="20"/>
        </w:rPr>
        <w:t>,</w:t>
      </w:r>
      <w:r w:rsidRPr="004C7730">
        <w:rPr>
          <w:rFonts w:ascii="Times New Roman" w:hAnsi="Times New Roman"/>
          <w:sz w:val="24"/>
          <w:szCs w:val="20"/>
        </w:rPr>
        <w:t xml:space="preserve"> the circumstances are that</w:t>
      </w:r>
      <w:r w:rsidR="00887197" w:rsidRPr="004C7730">
        <w:rPr>
          <w:rFonts w:ascii="Times New Roman" w:hAnsi="Times New Roman"/>
          <w:sz w:val="24"/>
          <w:szCs w:val="20"/>
        </w:rPr>
        <w:t>:</w:t>
      </w:r>
    </w:p>
    <w:p w14:paraId="5BE0853A" w14:textId="489F8357" w:rsidR="00887197" w:rsidRPr="004C7730" w:rsidRDefault="00380FCC" w:rsidP="004C7730">
      <w:pPr>
        <w:pStyle w:val="ListParagraph"/>
        <w:numPr>
          <w:ilvl w:val="0"/>
          <w:numId w:val="31"/>
        </w:numPr>
        <w:spacing w:before="140"/>
        <w:ind w:left="714" w:hanging="357"/>
        <w:contextualSpacing w:val="0"/>
      </w:pPr>
      <w:r w:rsidRPr="004C7730">
        <w:t>the l</w:t>
      </w:r>
      <w:r w:rsidR="00887197" w:rsidRPr="004C7730">
        <w:t xml:space="preserve">and (the subject of the LVC) </w:t>
      </w:r>
      <w:r w:rsidRPr="004C7730">
        <w:t>must</w:t>
      </w:r>
      <w:r w:rsidR="00887197" w:rsidRPr="004C7730">
        <w:t xml:space="preserve"> </w:t>
      </w:r>
      <w:r w:rsidR="00CB6008" w:rsidRPr="004C7730">
        <w:t xml:space="preserve">be </w:t>
      </w:r>
      <w:r w:rsidR="00887197" w:rsidRPr="004C7730">
        <w:t>leased by a registered community housing provider;</w:t>
      </w:r>
    </w:p>
    <w:p w14:paraId="51DDCBA7" w14:textId="5AF7D452" w:rsidR="00887197" w:rsidRPr="004C7730" w:rsidRDefault="00887197" w:rsidP="004C7730">
      <w:pPr>
        <w:pStyle w:val="ListParagraph"/>
        <w:numPr>
          <w:ilvl w:val="0"/>
          <w:numId w:val="31"/>
        </w:numPr>
        <w:spacing w:before="140"/>
        <w:ind w:left="714" w:hanging="357"/>
        <w:contextualSpacing w:val="0"/>
      </w:pPr>
      <w:r w:rsidRPr="004C7730">
        <w:t>the development application for the chargeable variation (be it a section 276E or section 277 chargeable variation) is approved by the grant of a development approval by the Planning and Land Authority;</w:t>
      </w:r>
    </w:p>
    <w:p w14:paraId="659D61AD" w14:textId="548699E3" w:rsidR="00887197" w:rsidRPr="004C7730" w:rsidRDefault="00887197" w:rsidP="004C7730">
      <w:pPr>
        <w:pStyle w:val="ListParagraph"/>
        <w:numPr>
          <w:ilvl w:val="0"/>
          <w:numId w:val="31"/>
        </w:numPr>
        <w:spacing w:before="140"/>
        <w:ind w:left="714" w:hanging="357"/>
        <w:contextualSpacing w:val="0"/>
      </w:pPr>
      <w:r w:rsidRPr="004C7730">
        <w:t xml:space="preserve">the development approval </w:t>
      </w:r>
      <w:r w:rsidR="00DF2E65">
        <w:t xml:space="preserve">and varied lease </w:t>
      </w:r>
      <w:r w:rsidRPr="004C7730">
        <w:t xml:space="preserve">will include a condition that the lessee develop and use the land, or part of the land, for affordable rental for a minimum 7-year period from the date of the grant of a certificate of occupancy under the </w:t>
      </w:r>
      <w:r w:rsidRPr="004C7730">
        <w:rPr>
          <w:i/>
        </w:rPr>
        <w:t>Building Act 2004</w:t>
      </w:r>
      <w:r w:rsidRPr="004C7730">
        <w:t xml:space="preserve">.  </w:t>
      </w:r>
      <w:r w:rsidR="00380FCC" w:rsidRPr="004C7730">
        <w:t xml:space="preserve"> </w:t>
      </w:r>
    </w:p>
    <w:p w14:paraId="15671F3A" w14:textId="162A3CAB" w:rsidR="00887197" w:rsidRPr="004C7730" w:rsidRDefault="00887197" w:rsidP="00887197">
      <w:pPr>
        <w:spacing w:before="140"/>
        <w:rPr>
          <w:rFonts w:ascii="Times New Roman" w:hAnsi="Times New Roman"/>
          <w:sz w:val="24"/>
          <w:szCs w:val="20"/>
        </w:rPr>
      </w:pPr>
      <w:r w:rsidRPr="004C7730">
        <w:rPr>
          <w:rFonts w:ascii="Times New Roman" w:hAnsi="Times New Roman"/>
          <w:sz w:val="24"/>
          <w:szCs w:val="20"/>
        </w:rPr>
        <w:t xml:space="preserve">A “registered community housing provider” </w:t>
      </w:r>
      <w:r w:rsidR="00CB6008" w:rsidRPr="004C7730">
        <w:rPr>
          <w:rFonts w:ascii="Times New Roman" w:hAnsi="Times New Roman"/>
          <w:sz w:val="24"/>
          <w:szCs w:val="20"/>
        </w:rPr>
        <w:t>is defined in this instrument as meaning</w:t>
      </w:r>
      <w:r w:rsidRPr="004C7730">
        <w:rPr>
          <w:rFonts w:ascii="Times New Roman" w:hAnsi="Times New Roman"/>
          <w:sz w:val="24"/>
          <w:szCs w:val="20"/>
        </w:rPr>
        <w:t xml:space="preserve"> a provider that is registered under the Community Housing Providers National Law 2013 (ACT).</w:t>
      </w:r>
    </w:p>
    <w:p w14:paraId="238ADF79" w14:textId="02255A0C" w:rsidR="00CB6008" w:rsidRPr="004C7730" w:rsidRDefault="00CB6008" w:rsidP="00887197">
      <w:pPr>
        <w:spacing w:before="140"/>
        <w:rPr>
          <w:rFonts w:ascii="Times New Roman" w:hAnsi="Times New Roman"/>
          <w:sz w:val="24"/>
          <w:szCs w:val="20"/>
        </w:rPr>
      </w:pPr>
      <w:r w:rsidRPr="004C7730">
        <w:rPr>
          <w:rFonts w:ascii="Times New Roman" w:hAnsi="Times New Roman"/>
          <w:sz w:val="24"/>
          <w:szCs w:val="20"/>
        </w:rPr>
        <w:t xml:space="preserve">In this instrument “affordable rental” means housing that is rented at a rate that is less than </w:t>
      </w:r>
      <w:r w:rsidR="00FD0665" w:rsidRPr="004C7730">
        <w:rPr>
          <w:rFonts w:ascii="Times New Roman" w:hAnsi="Times New Roman"/>
          <w:sz w:val="24"/>
          <w:szCs w:val="20"/>
        </w:rPr>
        <w:t>75 </w:t>
      </w:r>
      <w:r w:rsidRPr="004C7730">
        <w:rPr>
          <w:rFonts w:ascii="Times New Roman" w:hAnsi="Times New Roman"/>
          <w:sz w:val="24"/>
          <w:szCs w:val="20"/>
        </w:rPr>
        <w:t xml:space="preserve">per cent of the current market rent by an eligible household comprising of a person or persons whose combined gross income is (at the time </w:t>
      </w:r>
      <w:r w:rsidR="00E161A1" w:rsidRPr="004C7730">
        <w:rPr>
          <w:rFonts w:ascii="Times New Roman" w:hAnsi="Times New Roman"/>
          <w:sz w:val="24"/>
          <w:szCs w:val="20"/>
        </w:rPr>
        <w:t>of</w:t>
      </w:r>
      <w:r w:rsidRPr="004C7730">
        <w:rPr>
          <w:rFonts w:ascii="Times New Roman" w:hAnsi="Times New Roman"/>
          <w:sz w:val="24"/>
          <w:szCs w:val="20"/>
        </w:rPr>
        <w:t xml:space="preserve"> </w:t>
      </w:r>
      <w:r w:rsidR="00E161A1" w:rsidRPr="004C7730">
        <w:rPr>
          <w:rFonts w:ascii="Times New Roman" w:hAnsi="Times New Roman"/>
          <w:sz w:val="24"/>
          <w:szCs w:val="20"/>
        </w:rPr>
        <w:t xml:space="preserve">first </w:t>
      </w:r>
      <w:r w:rsidRPr="004C7730">
        <w:rPr>
          <w:rFonts w:ascii="Times New Roman" w:hAnsi="Times New Roman"/>
          <w:sz w:val="24"/>
          <w:szCs w:val="20"/>
        </w:rPr>
        <w:t>rent</w:t>
      </w:r>
      <w:r w:rsidR="00E161A1" w:rsidRPr="004C7730">
        <w:rPr>
          <w:rFonts w:ascii="Times New Roman" w:hAnsi="Times New Roman"/>
          <w:sz w:val="24"/>
          <w:szCs w:val="20"/>
        </w:rPr>
        <w:t>al</w:t>
      </w:r>
      <w:r w:rsidRPr="004C7730">
        <w:rPr>
          <w:rFonts w:ascii="Times New Roman" w:hAnsi="Times New Roman"/>
          <w:sz w:val="24"/>
          <w:szCs w:val="20"/>
        </w:rPr>
        <w:t>) less than or equal to certain income limits. These income limits are specified in the instrument as being the greater:</w:t>
      </w:r>
    </w:p>
    <w:p w14:paraId="7EAF659A" w14:textId="6DFC29AA" w:rsidR="00CB6008" w:rsidRPr="004C7730" w:rsidRDefault="00CB6008" w:rsidP="00E161A1">
      <w:pPr>
        <w:pStyle w:val="Amain"/>
        <w:numPr>
          <w:ilvl w:val="0"/>
          <w:numId w:val="31"/>
        </w:numPr>
        <w:tabs>
          <w:tab w:val="clear" w:pos="500"/>
          <w:tab w:val="clear" w:pos="700"/>
          <w:tab w:val="right" w:pos="-284"/>
        </w:tabs>
        <w:spacing w:before="0" w:after="0"/>
        <w:jc w:val="left"/>
        <w:outlineLvl w:val="9"/>
      </w:pPr>
      <w:r w:rsidRPr="004C7730">
        <w:t xml:space="preserve">$100,000 per annum (based on </w:t>
      </w:r>
      <w:r w:rsidRPr="004C7730">
        <w:rPr>
          <w:i/>
        </w:rPr>
        <w:t>ACT Housing Strategy</w:t>
      </w:r>
      <w:r w:rsidRPr="004C7730">
        <w:t>, October 2018), or</w:t>
      </w:r>
    </w:p>
    <w:p w14:paraId="266BE83E" w14:textId="192F32F3" w:rsidR="00887197" w:rsidRPr="004C7730" w:rsidRDefault="00CB6008" w:rsidP="00E161A1">
      <w:pPr>
        <w:pStyle w:val="ListParagraph"/>
        <w:numPr>
          <w:ilvl w:val="0"/>
          <w:numId w:val="31"/>
        </w:numPr>
        <w:spacing w:before="140"/>
      </w:pPr>
      <w:r w:rsidRPr="004C7730">
        <w:t xml:space="preserve">the annual income limits for a household </w:t>
      </w:r>
      <w:r w:rsidR="00E161A1" w:rsidRPr="004C7730">
        <w:t xml:space="preserve">tabled </w:t>
      </w:r>
      <w:r w:rsidRPr="004C7730">
        <w:t>(</w:t>
      </w:r>
      <w:r w:rsidR="00E161A1" w:rsidRPr="004C7730">
        <w:t xml:space="preserve">based on </w:t>
      </w:r>
      <w:r w:rsidRPr="004C7730">
        <w:t xml:space="preserve">Commonwealth National Rental Affordability Scheme (NRAS) </w:t>
      </w:r>
      <w:r w:rsidR="00E161A1" w:rsidRPr="004C7730">
        <w:t>thresholds</w:t>
      </w:r>
      <w:r w:rsidRPr="004C7730">
        <w:t>)</w:t>
      </w:r>
      <w:r w:rsidR="00E161A1" w:rsidRPr="004C7730">
        <w:t>.</w:t>
      </w:r>
      <w:r w:rsidRPr="004C7730">
        <w:t xml:space="preserve"> </w:t>
      </w:r>
    </w:p>
    <w:p w14:paraId="44BC6AD7" w14:textId="1DEDC418" w:rsidR="00380FCC" w:rsidRPr="004C7730" w:rsidRDefault="00E161A1" w:rsidP="00887197">
      <w:pPr>
        <w:spacing w:before="140"/>
        <w:rPr>
          <w:rFonts w:ascii="Times New Roman" w:hAnsi="Times New Roman"/>
          <w:sz w:val="24"/>
          <w:szCs w:val="20"/>
        </w:rPr>
      </w:pPr>
      <w:r w:rsidRPr="004C7730">
        <w:rPr>
          <w:rFonts w:ascii="Times New Roman" w:hAnsi="Times New Roman"/>
          <w:sz w:val="24"/>
          <w:szCs w:val="20"/>
        </w:rPr>
        <w:t>Secondly, a determination</w:t>
      </w:r>
      <w:r w:rsidR="00242A6B" w:rsidRPr="004C7730">
        <w:rPr>
          <w:rFonts w:ascii="Times New Roman" w:hAnsi="Times New Roman"/>
          <w:sz w:val="24"/>
          <w:szCs w:val="20"/>
        </w:rPr>
        <w:t xml:space="preserve"> under section 278 of the Act</w:t>
      </w:r>
      <w:r w:rsidRPr="004C7730">
        <w:rPr>
          <w:rFonts w:ascii="Times New Roman" w:hAnsi="Times New Roman"/>
          <w:sz w:val="24"/>
          <w:szCs w:val="20"/>
        </w:rPr>
        <w:t xml:space="preserve"> can provide for an</w:t>
      </w:r>
      <w:r w:rsidR="00380FCC" w:rsidRPr="004C7730">
        <w:rPr>
          <w:rFonts w:ascii="Times New Roman" w:hAnsi="Times New Roman"/>
          <w:sz w:val="24"/>
          <w:szCs w:val="20"/>
        </w:rPr>
        <w:t xml:space="preserve"> amount to be remitted for a</w:t>
      </w:r>
      <w:r w:rsidR="00FD0665" w:rsidRPr="004C7730">
        <w:rPr>
          <w:rFonts w:ascii="Times New Roman" w:hAnsi="Times New Roman"/>
          <w:sz w:val="24"/>
          <w:szCs w:val="20"/>
        </w:rPr>
        <w:t>n</w:t>
      </w:r>
      <w:r w:rsidR="00380FCC" w:rsidRPr="004C7730">
        <w:rPr>
          <w:rFonts w:ascii="Times New Roman" w:hAnsi="Times New Roman"/>
          <w:sz w:val="24"/>
          <w:szCs w:val="20"/>
        </w:rPr>
        <w:t xml:space="preserve"> </w:t>
      </w:r>
      <w:r w:rsidRPr="004C7730">
        <w:rPr>
          <w:rFonts w:ascii="Times New Roman" w:hAnsi="Times New Roman"/>
          <w:sz w:val="24"/>
          <w:szCs w:val="20"/>
        </w:rPr>
        <w:t xml:space="preserve">LVC </w:t>
      </w:r>
      <w:r w:rsidR="00380FCC" w:rsidRPr="004C7730">
        <w:rPr>
          <w:rFonts w:ascii="Times New Roman" w:hAnsi="Times New Roman"/>
          <w:sz w:val="24"/>
          <w:szCs w:val="20"/>
        </w:rPr>
        <w:t>for the determined circumstances</w:t>
      </w:r>
      <w:r w:rsidRPr="004C7730">
        <w:rPr>
          <w:rFonts w:ascii="Times New Roman" w:hAnsi="Times New Roman"/>
          <w:sz w:val="24"/>
          <w:szCs w:val="20"/>
        </w:rPr>
        <w:t>, expressed as a percentage of the LVC</w:t>
      </w:r>
      <w:r w:rsidR="00380FCC" w:rsidRPr="004C7730">
        <w:rPr>
          <w:rFonts w:ascii="Times New Roman" w:hAnsi="Times New Roman"/>
          <w:sz w:val="24"/>
          <w:szCs w:val="20"/>
        </w:rPr>
        <w:t>.</w:t>
      </w:r>
    </w:p>
    <w:p w14:paraId="0B5B96CC" w14:textId="4A51ACD1" w:rsidR="00380FCC" w:rsidRPr="004C7730" w:rsidRDefault="00380FCC" w:rsidP="00380FCC">
      <w:pPr>
        <w:spacing w:before="140" w:after="0" w:line="240" w:lineRule="auto"/>
        <w:rPr>
          <w:rFonts w:ascii="Times New Roman" w:hAnsi="Times New Roman"/>
          <w:sz w:val="24"/>
          <w:szCs w:val="20"/>
        </w:rPr>
      </w:pPr>
      <w:r w:rsidRPr="004C7730">
        <w:rPr>
          <w:rFonts w:ascii="Times New Roman" w:hAnsi="Times New Roman"/>
          <w:sz w:val="24"/>
          <w:szCs w:val="20"/>
        </w:rPr>
        <w:t>Th</w:t>
      </w:r>
      <w:r w:rsidR="00E161A1" w:rsidRPr="004C7730">
        <w:rPr>
          <w:rFonts w:ascii="Times New Roman" w:hAnsi="Times New Roman"/>
          <w:sz w:val="24"/>
          <w:szCs w:val="20"/>
        </w:rPr>
        <w:t>e</w:t>
      </w:r>
      <w:r w:rsidRPr="004C7730">
        <w:rPr>
          <w:rFonts w:ascii="Times New Roman" w:hAnsi="Times New Roman"/>
          <w:sz w:val="24"/>
          <w:szCs w:val="20"/>
        </w:rPr>
        <w:t xml:space="preserve"> determination is made by two Ministers</w:t>
      </w:r>
      <w:r w:rsidR="00FD0665" w:rsidRPr="004C7730">
        <w:rPr>
          <w:rFonts w:ascii="Times New Roman" w:hAnsi="Times New Roman"/>
          <w:color w:val="000000"/>
          <w:sz w:val="24"/>
          <w:szCs w:val="24"/>
        </w:rPr>
        <w:t>—</w:t>
      </w:r>
      <w:r w:rsidRPr="004C7730">
        <w:rPr>
          <w:rFonts w:ascii="Times New Roman" w:hAnsi="Times New Roman"/>
          <w:sz w:val="24"/>
          <w:szCs w:val="20"/>
        </w:rPr>
        <w:t>the Minister for Planning and Land Management determines the circumstances (s</w:t>
      </w:r>
      <w:r w:rsidR="00E161A1" w:rsidRPr="004C7730">
        <w:rPr>
          <w:rFonts w:ascii="Times New Roman" w:hAnsi="Times New Roman"/>
          <w:sz w:val="24"/>
          <w:szCs w:val="20"/>
        </w:rPr>
        <w:t>ection</w:t>
      </w:r>
      <w:r w:rsidRPr="004C7730">
        <w:rPr>
          <w:rFonts w:ascii="Times New Roman" w:hAnsi="Times New Roman"/>
          <w:sz w:val="24"/>
          <w:szCs w:val="20"/>
        </w:rPr>
        <w:t xml:space="preserve"> 278 (1)) and the Treasurer determines the amount to be remitted</w:t>
      </w:r>
      <w:r w:rsidR="00E161A1" w:rsidRPr="004C7730">
        <w:rPr>
          <w:rFonts w:ascii="Times New Roman" w:hAnsi="Times New Roman"/>
          <w:sz w:val="24"/>
          <w:szCs w:val="20"/>
        </w:rPr>
        <w:t xml:space="preserve"> (section 278 (2))</w:t>
      </w:r>
      <w:r w:rsidRPr="004C7730">
        <w:rPr>
          <w:rFonts w:ascii="Times New Roman" w:hAnsi="Times New Roman"/>
          <w:sz w:val="24"/>
          <w:szCs w:val="20"/>
        </w:rPr>
        <w:t>.</w:t>
      </w:r>
    </w:p>
    <w:p w14:paraId="53B4B7AC" w14:textId="4F5E2384" w:rsidR="00380FCC" w:rsidRPr="004C7730" w:rsidRDefault="00380FCC" w:rsidP="00380FCC">
      <w:pPr>
        <w:spacing w:before="140" w:after="0" w:line="240" w:lineRule="auto"/>
        <w:rPr>
          <w:rFonts w:ascii="Times New Roman" w:hAnsi="Times New Roman"/>
          <w:sz w:val="24"/>
          <w:szCs w:val="20"/>
        </w:rPr>
      </w:pPr>
      <w:r w:rsidRPr="004C7730">
        <w:rPr>
          <w:rFonts w:ascii="Times New Roman" w:hAnsi="Times New Roman"/>
          <w:sz w:val="24"/>
          <w:szCs w:val="20"/>
        </w:rPr>
        <w:t>Th</w:t>
      </w:r>
      <w:r w:rsidR="00E161A1" w:rsidRPr="004C7730">
        <w:rPr>
          <w:rFonts w:ascii="Times New Roman" w:hAnsi="Times New Roman"/>
          <w:sz w:val="24"/>
          <w:szCs w:val="20"/>
        </w:rPr>
        <w:t xml:space="preserve">is instrument </w:t>
      </w:r>
      <w:r w:rsidRPr="004C7730">
        <w:rPr>
          <w:rFonts w:ascii="Times New Roman" w:hAnsi="Times New Roman"/>
          <w:sz w:val="24"/>
          <w:szCs w:val="20"/>
        </w:rPr>
        <w:t>provides for</w:t>
      </w:r>
      <w:r w:rsidR="00E161A1" w:rsidRPr="004C7730">
        <w:rPr>
          <w:rFonts w:ascii="Times New Roman" w:hAnsi="Times New Roman"/>
          <w:sz w:val="24"/>
          <w:szCs w:val="20"/>
        </w:rPr>
        <w:t xml:space="preserve"> a 25 per cent</w:t>
      </w:r>
      <w:r w:rsidRPr="004C7730">
        <w:rPr>
          <w:rFonts w:ascii="Times New Roman" w:hAnsi="Times New Roman"/>
          <w:sz w:val="24"/>
          <w:szCs w:val="20"/>
        </w:rPr>
        <w:t xml:space="preserve"> remission </w:t>
      </w:r>
      <w:r w:rsidR="00E161A1" w:rsidRPr="004C7730">
        <w:rPr>
          <w:rFonts w:ascii="Times New Roman" w:hAnsi="Times New Roman"/>
          <w:sz w:val="24"/>
          <w:szCs w:val="20"/>
        </w:rPr>
        <w:t>on</w:t>
      </w:r>
      <w:r w:rsidRPr="004C7730">
        <w:rPr>
          <w:rFonts w:ascii="Times New Roman" w:hAnsi="Times New Roman"/>
          <w:sz w:val="24"/>
          <w:szCs w:val="20"/>
        </w:rPr>
        <w:t xml:space="preserve"> LVC</w:t>
      </w:r>
      <w:r w:rsidR="00E161A1" w:rsidRPr="004C7730">
        <w:rPr>
          <w:rFonts w:ascii="Times New Roman" w:hAnsi="Times New Roman"/>
          <w:sz w:val="24"/>
          <w:szCs w:val="20"/>
        </w:rPr>
        <w:t xml:space="preserve"> for a </w:t>
      </w:r>
      <w:r w:rsidRPr="004C7730">
        <w:rPr>
          <w:rFonts w:ascii="Times New Roman" w:hAnsi="Times New Roman"/>
          <w:sz w:val="24"/>
          <w:szCs w:val="20"/>
        </w:rPr>
        <w:t>s</w:t>
      </w:r>
      <w:r w:rsidR="00E161A1" w:rsidRPr="004C7730">
        <w:rPr>
          <w:rFonts w:ascii="Times New Roman" w:hAnsi="Times New Roman"/>
          <w:sz w:val="24"/>
          <w:szCs w:val="20"/>
        </w:rPr>
        <w:t>ection</w:t>
      </w:r>
      <w:r w:rsidRPr="004C7730">
        <w:rPr>
          <w:rFonts w:ascii="Times New Roman" w:hAnsi="Times New Roman"/>
          <w:sz w:val="24"/>
          <w:szCs w:val="20"/>
        </w:rPr>
        <w:t xml:space="preserve"> 276E or</w:t>
      </w:r>
      <w:r w:rsidR="00E161A1" w:rsidRPr="004C7730">
        <w:rPr>
          <w:rFonts w:ascii="Times New Roman" w:hAnsi="Times New Roman"/>
          <w:sz w:val="24"/>
          <w:szCs w:val="20"/>
        </w:rPr>
        <w:t xml:space="preserve"> a</w:t>
      </w:r>
      <w:r w:rsidRPr="004C7730">
        <w:rPr>
          <w:rFonts w:ascii="Times New Roman" w:hAnsi="Times New Roman"/>
          <w:sz w:val="24"/>
          <w:szCs w:val="20"/>
        </w:rPr>
        <w:t xml:space="preserve"> s</w:t>
      </w:r>
      <w:r w:rsidR="00E161A1" w:rsidRPr="004C7730">
        <w:rPr>
          <w:rFonts w:ascii="Times New Roman" w:hAnsi="Times New Roman"/>
          <w:sz w:val="24"/>
          <w:szCs w:val="20"/>
        </w:rPr>
        <w:t>ection</w:t>
      </w:r>
      <w:r w:rsidRPr="004C7730">
        <w:rPr>
          <w:rFonts w:ascii="Times New Roman" w:hAnsi="Times New Roman"/>
          <w:sz w:val="24"/>
          <w:szCs w:val="20"/>
        </w:rPr>
        <w:t xml:space="preserve"> 277 </w:t>
      </w:r>
      <w:r w:rsidR="00E161A1" w:rsidRPr="004C7730">
        <w:rPr>
          <w:rFonts w:ascii="Times New Roman" w:hAnsi="Times New Roman"/>
          <w:sz w:val="24"/>
          <w:szCs w:val="20"/>
        </w:rPr>
        <w:t>chargeable variation</w:t>
      </w:r>
      <w:r w:rsidRPr="004C7730">
        <w:rPr>
          <w:rFonts w:ascii="Times New Roman" w:hAnsi="Times New Roman"/>
          <w:sz w:val="24"/>
          <w:szCs w:val="20"/>
        </w:rPr>
        <w:t xml:space="preserve">. The overall effect of the determination is to remit (or reduce) the LVC for certain lease variations where the purpose of the variation is </w:t>
      </w:r>
      <w:r w:rsidR="00E161A1" w:rsidRPr="004C7730">
        <w:rPr>
          <w:rFonts w:ascii="Times New Roman" w:hAnsi="Times New Roman"/>
          <w:sz w:val="24"/>
          <w:szCs w:val="20"/>
        </w:rPr>
        <w:t xml:space="preserve">to develop and use the land </w:t>
      </w:r>
      <w:r w:rsidRPr="004C7730">
        <w:rPr>
          <w:rFonts w:ascii="Times New Roman" w:hAnsi="Times New Roman"/>
          <w:sz w:val="24"/>
          <w:szCs w:val="20"/>
        </w:rPr>
        <w:t>for</w:t>
      </w:r>
      <w:r w:rsidR="00E161A1" w:rsidRPr="004C7730">
        <w:rPr>
          <w:rFonts w:ascii="Times New Roman" w:hAnsi="Times New Roman"/>
          <w:sz w:val="24"/>
          <w:szCs w:val="20"/>
        </w:rPr>
        <w:t xml:space="preserve"> affordable rental</w:t>
      </w:r>
      <w:r w:rsidRPr="004C7730">
        <w:rPr>
          <w:rFonts w:ascii="Times New Roman" w:hAnsi="Times New Roman"/>
          <w:sz w:val="24"/>
          <w:szCs w:val="20"/>
        </w:rPr>
        <w:t xml:space="preserve"> housing.</w:t>
      </w:r>
    </w:p>
    <w:p w14:paraId="56F717BA" w14:textId="462AF1BE" w:rsidR="00380FCC" w:rsidRPr="004C7730" w:rsidRDefault="00380FCC" w:rsidP="00380FCC">
      <w:pPr>
        <w:spacing w:before="140" w:after="0" w:line="240" w:lineRule="auto"/>
        <w:rPr>
          <w:rFonts w:ascii="Times New Roman" w:hAnsi="Times New Roman"/>
          <w:sz w:val="24"/>
          <w:szCs w:val="20"/>
        </w:rPr>
      </w:pPr>
      <w:r w:rsidRPr="004C7730">
        <w:rPr>
          <w:rFonts w:ascii="Times New Roman" w:hAnsi="Times New Roman"/>
          <w:sz w:val="24"/>
          <w:szCs w:val="20"/>
        </w:rPr>
        <w:lastRenderedPageBreak/>
        <w:t xml:space="preserve">The Commissioner for </w:t>
      </w:r>
      <w:r w:rsidR="00FD0665" w:rsidRPr="004C7730">
        <w:rPr>
          <w:rFonts w:ascii="Times New Roman" w:hAnsi="Times New Roman"/>
          <w:sz w:val="24"/>
          <w:szCs w:val="20"/>
        </w:rPr>
        <w:t xml:space="preserve">ACT </w:t>
      </w:r>
      <w:r w:rsidRPr="004C7730">
        <w:rPr>
          <w:rFonts w:ascii="Times New Roman" w:hAnsi="Times New Roman"/>
          <w:sz w:val="24"/>
          <w:szCs w:val="20"/>
        </w:rPr>
        <w:t>Revenue must remit the amount of the LVC that is required to be remitted by this determination (s</w:t>
      </w:r>
      <w:r w:rsidR="00E161A1" w:rsidRPr="004C7730">
        <w:rPr>
          <w:rFonts w:ascii="Times New Roman" w:hAnsi="Times New Roman"/>
          <w:sz w:val="24"/>
          <w:szCs w:val="20"/>
        </w:rPr>
        <w:t>ection</w:t>
      </w:r>
      <w:r w:rsidRPr="004C7730">
        <w:rPr>
          <w:rFonts w:ascii="Times New Roman" w:hAnsi="Times New Roman"/>
          <w:sz w:val="24"/>
          <w:szCs w:val="20"/>
        </w:rPr>
        <w:t xml:space="preserve"> 278 (4)).</w:t>
      </w:r>
    </w:p>
    <w:p w14:paraId="60561708" w14:textId="77777777" w:rsidR="00380FCC" w:rsidRPr="004C7730" w:rsidRDefault="00380FCC" w:rsidP="00380FCC">
      <w:pPr>
        <w:spacing w:before="300"/>
        <w:ind w:left="720" w:hanging="720"/>
        <w:rPr>
          <w:rFonts w:ascii="Arial" w:hAnsi="Arial" w:cs="Arial"/>
          <w:b/>
          <w:bCs/>
        </w:rPr>
      </w:pPr>
      <w:r w:rsidRPr="004C7730">
        <w:rPr>
          <w:rFonts w:ascii="Arial" w:hAnsi="Arial" w:cs="Arial"/>
          <w:b/>
          <w:bCs/>
        </w:rPr>
        <w:t>Regulatory impact statement</w:t>
      </w:r>
    </w:p>
    <w:p w14:paraId="4D3C7BB2" w14:textId="467E9484" w:rsidR="00FD0665" w:rsidRDefault="00FD0665" w:rsidP="00FD0665">
      <w:pPr>
        <w:autoSpaceDE w:val="0"/>
        <w:autoSpaceDN w:val="0"/>
        <w:adjustRightInd w:val="0"/>
        <w:spacing w:after="0" w:line="240" w:lineRule="auto"/>
        <w:rPr>
          <w:rFonts w:ascii="Times New Roman" w:eastAsia="SymbolMT" w:hAnsi="Times New Roman"/>
          <w:color w:val="000000"/>
          <w:sz w:val="24"/>
          <w:szCs w:val="24"/>
        </w:rPr>
      </w:pPr>
      <w:r w:rsidRPr="004C7730">
        <w:rPr>
          <w:rFonts w:ascii="Times New Roman" w:hAnsi="Times New Roman"/>
          <w:color w:val="000000"/>
          <w:sz w:val="24"/>
          <w:szCs w:val="24"/>
        </w:rPr>
        <w:t xml:space="preserve">A regulatory impact statement is not required under Part 5.2 of the </w:t>
      </w:r>
      <w:r w:rsidRPr="004C7730">
        <w:rPr>
          <w:rFonts w:ascii="Times New Roman" w:hAnsi="Times New Roman"/>
          <w:i/>
          <w:iCs/>
          <w:color w:val="000000"/>
          <w:sz w:val="24"/>
          <w:szCs w:val="24"/>
        </w:rPr>
        <w:t xml:space="preserve">Legislation Act 2001 </w:t>
      </w:r>
      <w:r w:rsidRPr="004C7730">
        <w:rPr>
          <w:rFonts w:ascii="Times New Roman" w:hAnsi="Times New Roman"/>
          <w:iCs/>
          <w:color w:val="000000"/>
          <w:sz w:val="24"/>
          <w:szCs w:val="24"/>
        </w:rPr>
        <w:t xml:space="preserve">as this instrument </w:t>
      </w:r>
      <w:r w:rsidRPr="004C7730">
        <w:rPr>
          <w:rFonts w:ascii="Times New Roman" w:hAnsi="Times New Roman"/>
          <w:color w:val="000000"/>
          <w:sz w:val="24"/>
          <w:szCs w:val="24"/>
        </w:rPr>
        <w:t>does not impose appreciable costs on the community, or a part of the community. This instrument i</w:t>
      </w:r>
      <w:r w:rsidRPr="004C7730">
        <w:rPr>
          <w:rFonts w:ascii="Times New Roman" w:eastAsia="SymbolMT" w:hAnsi="Times New Roman"/>
          <w:color w:val="000000"/>
          <w:sz w:val="24"/>
          <w:szCs w:val="24"/>
        </w:rPr>
        <w:t>ntroduces a process for administering a development concession to promote affordable rental housing.</w:t>
      </w:r>
    </w:p>
    <w:p w14:paraId="52EE753A" w14:textId="77777777" w:rsidR="0049657B" w:rsidRPr="00AE5432" w:rsidRDefault="0049657B" w:rsidP="0049657B">
      <w:pPr>
        <w:spacing w:before="300"/>
        <w:ind w:left="720" w:hanging="720"/>
        <w:rPr>
          <w:rFonts w:ascii="Arial" w:hAnsi="Arial" w:cs="Arial"/>
          <w:b/>
          <w:bCs/>
        </w:rPr>
      </w:pPr>
      <w:r w:rsidRPr="00AE5432">
        <w:rPr>
          <w:rFonts w:ascii="Arial" w:hAnsi="Arial" w:cs="Arial"/>
          <w:b/>
          <w:bCs/>
        </w:rPr>
        <w:t>Retrospectivity</w:t>
      </w:r>
    </w:p>
    <w:p w14:paraId="21141A7C" w14:textId="77777777" w:rsidR="0049657B" w:rsidRPr="00AE5432" w:rsidRDefault="0049657B" w:rsidP="0049657B">
      <w:pPr>
        <w:pStyle w:val="Amain"/>
        <w:tabs>
          <w:tab w:val="clear" w:pos="500"/>
          <w:tab w:val="right" w:pos="-284"/>
          <w:tab w:val="left" w:pos="567"/>
        </w:tabs>
        <w:spacing w:before="0" w:after="0"/>
        <w:ind w:left="0" w:firstLine="0"/>
        <w:jc w:val="left"/>
        <w:outlineLvl w:val="9"/>
      </w:pPr>
      <w:r w:rsidRPr="00AE5432">
        <w:t>This instrument has retrospective commencement from 1 October 2019.</w:t>
      </w:r>
    </w:p>
    <w:p w14:paraId="1B48D221" w14:textId="77777777" w:rsidR="0049657B" w:rsidRPr="00AE5432" w:rsidRDefault="0049657B" w:rsidP="0049657B">
      <w:pPr>
        <w:pStyle w:val="Amain"/>
        <w:tabs>
          <w:tab w:val="clear" w:pos="500"/>
          <w:tab w:val="right" w:pos="-284"/>
          <w:tab w:val="left" w:pos="567"/>
        </w:tabs>
        <w:spacing w:before="0" w:after="0"/>
        <w:ind w:left="0" w:firstLine="0"/>
        <w:jc w:val="left"/>
        <w:outlineLvl w:val="9"/>
      </w:pPr>
    </w:p>
    <w:p w14:paraId="194A5012" w14:textId="71EE1661" w:rsidR="0049657B" w:rsidRPr="00AE5432" w:rsidRDefault="00B26B13" w:rsidP="0049657B">
      <w:pPr>
        <w:autoSpaceDE w:val="0"/>
        <w:autoSpaceDN w:val="0"/>
        <w:adjustRightInd w:val="0"/>
        <w:spacing w:after="0" w:line="240" w:lineRule="auto"/>
        <w:rPr>
          <w:rFonts w:ascii="Times New Roman" w:hAnsi="Times New Roman"/>
          <w:sz w:val="24"/>
          <w:szCs w:val="20"/>
        </w:rPr>
      </w:pPr>
      <w:r w:rsidRPr="00AE5432">
        <w:rPr>
          <w:rFonts w:ascii="Times New Roman" w:hAnsi="Times New Roman"/>
          <w:sz w:val="24"/>
          <w:szCs w:val="20"/>
        </w:rPr>
        <w:t xml:space="preserve">Section 76(1) of the </w:t>
      </w:r>
      <w:r w:rsidRPr="00AE5432">
        <w:rPr>
          <w:rFonts w:ascii="Times New Roman" w:hAnsi="Times New Roman"/>
          <w:i/>
          <w:iCs/>
          <w:sz w:val="24"/>
          <w:szCs w:val="20"/>
        </w:rPr>
        <w:t>Legislation Act 2001</w:t>
      </w:r>
      <w:r w:rsidRPr="00AE5432">
        <w:rPr>
          <w:rFonts w:ascii="Times New Roman" w:hAnsi="Times New Roman"/>
          <w:sz w:val="24"/>
          <w:szCs w:val="20"/>
        </w:rPr>
        <w:t xml:space="preserve"> provides that a</w:t>
      </w:r>
      <w:r w:rsidR="0049657B" w:rsidRPr="00AE5432">
        <w:rPr>
          <w:rFonts w:ascii="Times New Roman" w:hAnsi="Times New Roman"/>
          <w:sz w:val="24"/>
          <w:szCs w:val="20"/>
        </w:rPr>
        <w:t xml:space="preserve"> statutory instrument may commence retrospectively provided it is non</w:t>
      </w:r>
      <w:r w:rsidR="0049657B" w:rsidRPr="00AE5432">
        <w:rPr>
          <w:rFonts w:ascii="Times New Roman" w:hAnsi="Times New Roman"/>
          <w:sz w:val="24"/>
          <w:szCs w:val="20"/>
        </w:rPr>
        <w:noBreakHyphen/>
        <w:t>prejudicial, that is it does not operate to the disadvantage of a person by adversely affecting the person’s rights or imposing liabilities on the person. This instrument provides a concession on the LVC payable for land that is developed and used for affordable rental housing. It promotes a purpose which will be of overall benefit to the ACT community.</w:t>
      </w:r>
    </w:p>
    <w:p w14:paraId="499A9D62" w14:textId="4FAE0B19" w:rsidR="00380FCC" w:rsidRPr="004C7730" w:rsidRDefault="00FD0665" w:rsidP="00380FCC">
      <w:pPr>
        <w:spacing w:before="300"/>
        <w:ind w:left="720" w:hanging="720"/>
        <w:rPr>
          <w:rFonts w:ascii="Arial" w:hAnsi="Arial" w:cs="Arial"/>
          <w:b/>
          <w:bCs/>
        </w:rPr>
      </w:pPr>
      <w:r w:rsidRPr="004C7730">
        <w:rPr>
          <w:rFonts w:ascii="Arial" w:hAnsi="Arial" w:cs="Arial"/>
          <w:b/>
          <w:bCs/>
        </w:rPr>
        <w:t>Specific provisions</w:t>
      </w:r>
    </w:p>
    <w:p w14:paraId="4B949896" w14:textId="77777777" w:rsidR="00380FCC" w:rsidRPr="004C7730" w:rsidRDefault="00380FCC" w:rsidP="00380FCC">
      <w:pPr>
        <w:spacing w:before="300"/>
        <w:ind w:left="720" w:hanging="720"/>
        <w:rPr>
          <w:rFonts w:ascii="Arial" w:hAnsi="Arial" w:cs="Arial"/>
          <w:b/>
          <w:bCs/>
        </w:rPr>
      </w:pPr>
      <w:r w:rsidRPr="004C7730">
        <w:rPr>
          <w:rFonts w:ascii="Arial" w:hAnsi="Arial" w:cs="Arial"/>
          <w:b/>
          <w:bCs/>
        </w:rPr>
        <w:t xml:space="preserve">Section 1 </w:t>
      </w:r>
      <w:r w:rsidRPr="004C7730">
        <w:rPr>
          <w:rFonts w:ascii="Arial" w:hAnsi="Arial" w:cs="Arial"/>
          <w:b/>
          <w:bCs/>
        </w:rPr>
        <w:tab/>
        <w:t>Name of Instrument</w:t>
      </w:r>
    </w:p>
    <w:p w14:paraId="1EAE801F" w14:textId="62EC9E37" w:rsidR="00380FCC" w:rsidRPr="004C7730" w:rsidRDefault="00242A6B" w:rsidP="00380FCC">
      <w:pPr>
        <w:spacing w:before="140" w:after="0" w:line="240" w:lineRule="auto"/>
        <w:rPr>
          <w:rFonts w:ascii="Times New Roman" w:hAnsi="Times New Roman"/>
          <w:sz w:val="24"/>
          <w:szCs w:val="20"/>
        </w:rPr>
      </w:pPr>
      <w:r w:rsidRPr="004C7730">
        <w:rPr>
          <w:rFonts w:ascii="Times New Roman" w:hAnsi="Times New Roman"/>
          <w:sz w:val="24"/>
          <w:szCs w:val="20"/>
        </w:rPr>
        <w:t xml:space="preserve">This instrument is known as </w:t>
      </w:r>
      <w:r w:rsidR="00380FCC" w:rsidRPr="004C7730">
        <w:rPr>
          <w:rFonts w:ascii="Times New Roman" w:hAnsi="Times New Roman"/>
          <w:sz w:val="24"/>
          <w:szCs w:val="20"/>
        </w:rPr>
        <w:t>the Planning and Development (Remission of Lease Variation Charges</w:t>
      </w:r>
      <w:r w:rsidR="00FD0665" w:rsidRPr="004C7730">
        <w:rPr>
          <w:rFonts w:ascii="Times New Roman" w:hAnsi="Times New Roman"/>
          <w:color w:val="000000"/>
          <w:sz w:val="24"/>
          <w:szCs w:val="24"/>
        </w:rPr>
        <w:t>—</w:t>
      </w:r>
      <w:r w:rsidRPr="004C7730">
        <w:rPr>
          <w:rFonts w:ascii="Times New Roman" w:hAnsi="Times New Roman"/>
          <w:sz w:val="24"/>
          <w:szCs w:val="20"/>
        </w:rPr>
        <w:t xml:space="preserve">Affordable Rental Development Concession) </w:t>
      </w:r>
      <w:r w:rsidR="00380FCC" w:rsidRPr="004C7730">
        <w:rPr>
          <w:rFonts w:ascii="Times New Roman" w:hAnsi="Times New Roman"/>
          <w:sz w:val="24"/>
          <w:szCs w:val="20"/>
        </w:rPr>
        <w:t>Determination 201</w:t>
      </w:r>
      <w:r w:rsidRPr="004C7730">
        <w:rPr>
          <w:rFonts w:ascii="Times New Roman" w:hAnsi="Times New Roman"/>
          <w:sz w:val="24"/>
          <w:szCs w:val="20"/>
        </w:rPr>
        <w:t>9</w:t>
      </w:r>
      <w:r w:rsidR="00380FCC" w:rsidRPr="004C7730">
        <w:rPr>
          <w:rFonts w:ascii="Times New Roman" w:hAnsi="Times New Roman"/>
          <w:sz w:val="24"/>
          <w:szCs w:val="20"/>
        </w:rPr>
        <w:t>.</w:t>
      </w:r>
    </w:p>
    <w:p w14:paraId="2775DFA2" w14:textId="51EFCFFC" w:rsidR="00380FCC" w:rsidRPr="004C7730" w:rsidRDefault="00380FCC" w:rsidP="00380FCC">
      <w:pPr>
        <w:spacing w:before="140" w:after="0" w:line="240" w:lineRule="auto"/>
        <w:rPr>
          <w:rFonts w:ascii="Times New Roman" w:hAnsi="Times New Roman"/>
          <w:sz w:val="24"/>
          <w:szCs w:val="20"/>
        </w:rPr>
      </w:pPr>
      <w:r w:rsidRPr="004C7730">
        <w:rPr>
          <w:rFonts w:ascii="Times New Roman" w:hAnsi="Times New Roman"/>
          <w:sz w:val="24"/>
          <w:szCs w:val="20"/>
        </w:rPr>
        <w:t>The section also reference</w:t>
      </w:r>
      <w:r w:rsidR="00FD0665" w:rsidRPr="004C7730">
        <w:rPr>
          <w:rFonts w:ascii="Times New Roman" w:hAnsi="Times New Roman"/>
          <w:sz w:val="24"/>
          <w:szCs w:val="20"/>
        </w:rPr>
        <w:t>s</w:t>
      </w:r>
      <w:r w:rsidRPr="004C7730">
        <w:rPr>
          <w:rFonts w:ascii="Times New Roman" w:hAnsi="Times New Roman"/>
          <w:sz w:val="24"/>
          <w:szCs w:val="20"/>
        </w:rPr>
        <w:t xml:space="preserve"> terms used in the instrument and provides that the terms have the same meaning as they have in the Act.</w:t>
      </w:r>
      <w:r w:rsidR="00FD0665" w:rsidRPr="004C7730">
        <w:rPr>
          <w:rFonts w:ascii="Times New Roman" w:hAnsi="Times New Roman"/>
          <w:sz w:val="24"/>
          <w:szCs w:val="20"/>
        </w:rPr>
        <w:t xml:space="preserve"> </w:t>
      </w:r>
    </w:p>
    <w:p w14:paraId="7011106E" w14:textId="77777777" w:rsidR="00380FCC" w:rsidRPr="004C7730" w:rsidRDefault="00380FCC" w:rsidP="00380FCC">
      <w:pPr>
        <w:spacing w:before="300"/>
        <w:ind w:left="720" w:hanging="720"/>
        <w:rPr>
          <w:rFonts w:ascii="Arial" w:hAnsi="Arial" w:cs="Arial"/>
          <w:b/>
          <w:bCs/>
        </w:rPr>
      </w:pPr>
      <w:r w:rsidRPr="004C7730">
        <w:rPr>
          <w:rFonts w:ascii="Arial" w:hAnsi="Arial" w:cs="Arial"/>
          <w:b/>
          <w:bCs/>
        </w:rPr>
        <w:t xml:space="preserve">Section 2 </w:t>
      </w:r>
      <w:r w:rsidRPr="004C7730">
        <w:rPr>
          <w:rFonts w:ascii="Arial" w:hAnsi="Arial" w:cs="Arial"/>
          <w:b/>
          <w:bCs/>
        </w:rPr>
        <w:tab/>
        <w:t>Commencement</w:t>
      </w:r>
    </w:p>
    <w:p w14:paraId="59B05035" w14:textId="76B3BFE9" w:rsidR="00380FCC" w:rsidRPr="004C7730" w:rsidRDefault="00380FCC" w:rsidP="00380FCC">
      <w:pPr>
        <w:spacing w:before="140" w:after="0" w:line="240" w:lineRule="auto"/>
        <w:rPr>
          <w:rFonts w:ascii="Times New Roman" w:hAnsi="Times New Roman"/>
          <w:sz w:val="24"/>
          <w:szCs w:val="20"/>
        </w:rPr>
      </w:pPr>
      <w:r w:rsidRPr="004C7730">
        <w:rPr>
          <w:rFonts w:ascii="Times New Roman" w:hAnsi="Times New Roman"/>
          <w:sz w:val="24"/>
          <w:szCs w:val="20"/>
        </w:rPr>
        <w:t xml:space="preserve">This section provides that the </w:t>
      </w:r>
      <w:r w:rsidRPr="00AE5432">
        <w:rPr>
          <w:rFonts w:ascii="Times New Roman" w:hAnsi="Times New Roman"/>
          <w:sz w:val="24"/>
          <w:szCs w:val="20"/>
        </w:rPr>
        <w:t xml:space="preserve">instrument </w:t>
      </w:r>
      <w:r w:rsidR="00B26B13" w:rsidRPr="00AE5432">
        <w:rPr>
          <w:rFonts w:ascii="Times New Roman" w:hAnsi="Times New Roman"/>
          <w:sz w:val="24"/>
          <w:szCs w:val="20"/>
        </w:rPr>
        <w:t xml:space="preserve">is taken to have </w:t>
      </w:r>
      <w:r w:rsidRPr="00AE5432">
        <w:rPr>
          <w:rFonts w:ascii="Times New Roman" w:hAnsi="Times New Roman"/>
          <w:sz w:val="24"/>
          <w:szCs w:val="20"/>
        </w:rPr>
        <w:t>commence</w:t>
      </w:r>
      <w:r w:rsidR="00B26B13" w:rsidRPr="00AE5432">
        <w:rPr>
          <w:rFonts w:ascii="Times New Roman" w:hAnsi="Times New Roman"/>
          <w:sz w:val="24"/>
          <w:szCs w:val="20"/>
        </w:rPr>
        <w:t>d</w:t>
      </w:r>
      <w:r w:rsidRPr="00AE5432">
        <w:rPr>
          <w:rFonts w:ascii="Times New Roman" w:hAnsi="Times New Roman"/>
          <w:sz w:val="24"/>
          <w:szCs w:val="20"/>
        </w:rPr>
        <w:t xml:space="preserve"> on </w:t>
      </w:r>
      <w:r w:rsidR="00242A6B" w:rsidRPr="00AE5432">
        <w:rPr>
          <w:rFonts w:ascii="Times New Roman" w:hAnsi="Times New Roman"/>
          <w:sz w:val="24"/>
          <w:szCs w:val="24"/>
        </w:rPr>
        <w:t>1 October 2019</w:t>
      </w:r>
      <w:r w:rsidRPr="00AE5432">
        <w:rPr>
          <w:rFonts w:ascii="Times New Roman" w:hAnsi="Times New Roman"/>
          <w:sz w:val="24"/>
          <w:szCs w:val="20"/>
        </w:rPr>
        <w:t>.</w:t>
      </w:r>
    </w:p>
    <w:p w14:paraId="5C01F205" w14:textId="2DBF1F20" w:rsidR="00380FCC" w:rsidRPr="004C7730" w:rsidRDefault="00380FCC" w:rsidP="00380FCC">
      <w:pPr>
        <w:spacing w:before="300"/>
        <w:ind w:left="1440" w:hanging="1451"/>
        <w:rPr>
          <w:rFonts w:ascii="Arial" w:hAnsi="Arial" w:cs="Arial"/>
          <w:b/>
          <w:bCs/>
        </w:rPr>
      </w:pPr>
      <w:r w:rsidRPr="004C7730">
        <w:rPr>
          <w:rFonts w:ascii="Arial" w:hAnsi="Arial" w:cs="Arial"/>
          <w:b/>
          <w:bCs/>
        </w:rPr>
        <w:t>Section 3</w:t>
      </w:r>
      <w:r w:rsidRPr="004C7730">
        <w:rPr>
          <w:rFonts w:ascii="Arial" w:hAnsi="Arial" w:cs="Arial"/>
          <w:b/>
          <w:bCs/>
        </w:rPr>
        <w:tab/>
        <w:t>De</w:t>
      </w:r>
      <w:r w:rsidR="00242A6B" w:rsidRPr="004C7730">
        <w:rPr>
          <w:rFonts w:ascii="Arial" w:hAnsi="Arial" w:cs="Arial"/>
          <w:b/>
          <w:bCs/>
        </w:rPr>
        <w:t>finitions</w:t>
      </w:r>
    </w:p>
    <w:p w14:paraId="3A199387" w14:textId="13223167" w:rsidR="00242A6B" w:rsidRPr="004C7730" w:rsidRDefault="00380FCC" w:rsidP="00380FCC">
      <w:pPr>
        <w:spacing w:before="140" w:after="0" w:line="240" w:lineRule="auto"/>
        <w:rPr>
          <w:rFonts w:ascii="Times New Roman" w:hAnsi="Times New Roman"/>
          <w:sz w:val="24"/>
          <w:szCs w:val="20"/>
        </w:rPr>
      </w:pPr>
      <w:r w:rsidRPr="004C7730">
        <w:rPr>
          <w:rFonts w:ascii="Times New Roman" w:hAnsi="Times New Roman"/>
          <w:sz w:val="24"/>
          <w:szCs w:val="20"/>
        </w:rPr>
        <w:t xml:space="preserve">Section 3 (1) </w:t>
      </w:r>
      <w:r w:rsidR="00242A6B" w:rsidRPr="004C7730">
        <w:rPr>
          <w:rFonts w:ascii="Times New Roman" w:hAnsi="Times New Roman"/>
          <w:sz w:val="24"/>
          <w:szCs w:val="20"/>
        </w:rPr>
        <w:t>sets out the meaning of various terms used in the instrument such as ‘affordable rental’ and ‘registered community housing provider’.</w:t>
      </w:r>
    </w:p>
    <w:p w14:paraId="6A3407D6" w14:textId="2919DC77" w:rsidR="00242A6B" w:rsidRPr="004C7730" w:rsidRDefault="00242A6B" w:rsidP="00380FCC">
      <w:pPr>
        <w:spacing w:before="140" w:after="0" w:line="240" w:lineRule="auto"/>
        <w:rPr>
          <w:rFonts w:ascii="Times New Roman" w:hAnsi="Times New Roman"/>
          <w:sz w:val="24"/>
          <w:szCs w:val="20"/>
        </w:rPr>
      </w:pPr>
      <w:r w:rsidRPr="004C7730">
        <w:rPr>
          <w:rFonts w:ascii="Times New Roman" w:hAnsi="Times New Roman"/>
          <w:sz w:val="24"/>
          <w:szCs w:val="20"/>
        </w:rPr>
        <w:t xml:space="preserve">Section 3 (2) outlines the affordable rental income limits being the greater of $100,000 per annum or the annual income limits for a household described in Table 1. </w:t>
      </w:r>
    </w:p>
    <w:p w14:paraId="4FDB1610" w14:textId="780AE43D" w:rsidR="00D5622B" w:rsidRPr="004C7730" w:rsidRDefault="00D5622B" w:rsidP="00D5622B">
      <w:pPr>
        <w:spacing w:before="300"/>
        <w:ind w:left="1440" w:hanging="1451"/>
        <w:rPr>
          <w:rFonts w:ascii="Arial" w:hAnsi="Arial" w:cs="Arial"/>
          <w:b/>
          <w:bCs/>
        </w:rPr>
      </w:pPr>
      <w:r w:rsidRPr="004C7730">
        <w:rPr>
          <w:rFonts w:ascii="Arial" w:hAnsi="Arial" w:cs="Arial"/>
          <w:b/>
          <w:bCs/>
        </w:rPr>
        <w:t>Section 4</w:t>
      </w:r>
      <w:r w:rsidRPr="004C7730">
        <w:rPr>
          <w:rFonts w:ascii="Arial" w:hAnsi="Arial" w:cs="Arial"/>
          <w:b/>
          <w:bCs/>
        </w:rPr>
        <w:tab/>
        <w:t>Determination of the circumstances for affordable rental development concession</w:t>
      </w:r>
      <w:r w:rsidR="00FD0665" w:rsidRPr="004C7730">
        <w:rPr>
          <w:rFonts w:ascii="Times New Roman" w:hAnsi="Times New Roman"/>
          <w:b/>
          <w:color w:val="000000"/>
          <w:sz w:val="24"/>
          <w:szCs w:val="24"/>
        </w:rPr>
        <w:t>—</w:t>
      </w:r>
      <w:r w:rsidRPr="004C7730">
        <w:rPr>
          <w:rFonts w:ascii="Arial" w:hAnsi="Arial" w:cs="Arial"/>
          <w:b/>
          <w:bCs/>
        </w:rPr>
        <w:t>s 278 (1)</w:t>
      </w:r>
    </w:p>
    <w:p w14:paraId="1B2D2CC0" w14:textId="77777777" w:rsidR="00D5622B" w:rsidRPr="004C7730" w:rsidRDefault="00D5622B" w:rsidP="00D5622B">
      <w:pPr>
        <w:spacing w:before="140" w:after="0" w:line="240" w:lineRule="auto"/>
        <w:rPr>
          <w:rFonts w:ascii="Times New Roman" w:hAnsi="Times New Roman"/>
          <w:sz w:val="24"/>
          <w:szCs w:val="20"/>
        </w:rPr>
      </w:pPr>
      <w:r w:rsidRPr="004C7730">
        <w:rPr>
          <w:rFonts w:ascii="Times New Roman" w:hAnsi="Times New Roman"/>
          <w:sz w:val="24"/>
          <w:szCs w:val="20"/>
        </w:rPr>
        <w:t xml:space="preserve">This instrument </w:t>
      </w:r>
      <w:r w:rsidR="00380FCC" w:rsidRPr="004C7730">
        <w:rPr>
          <w:rFonts w:ascii="Times New Roman" w:hAnsi="Times New Roman"/>
          <w:sz w:val="24"/>
          <w:szCs w:val="20"/>
        </w:rPr>
        <w:t>applies if</w:t>
      </w:r>
      <w:r w:rsidRPr="004C7730">
        <w:rPr>
          <w:rFonts w:ascii="Times New Roman" w:hAnsi="Times New Roman"/>
          <w:sz w:val="24"/>
          <w:szCs w:val="20"/>
        </w:rPr>
        <w:t>:</w:t>
      </w:r>
    </w:p>
    <w:p w14:paraId="46CCA35A" w14:textId="77777777" w:rsidR="00D5622B" w:rsidRPr="004C7730" w:rsidRDefault="00380FCC" w:rsidP="004C7730">
      <w:pPr>
        <w:pStyle w:val="ListParagraph"/>
        <w:numPr>
          <w:ilvl w:val="0"/>
          <w:numId w:val="33"/>
        </w:numPr>
        <w:spacing w:before="140"/>
        <w:ind w:left="714" w:hanging="357"/>
        <w:contextualSpacing w:val="0"/>
      </w:pPr>
      <w:r w:rsidRPr="004C7730">
        <w:t xml:space="preserve">the </w:t>
      </w:r>
      <w:r w:rsidR="00D5622B" w:rsidRPr="004C7730">
        <w:t xml:space="preserve">land, the subject of the LVC is </w:t>
      </w:r>
      <w:r w:rsidRPr="004C7730">
        <w:t>lease</w:t>
      </w:r>
      <w:r w:rsidR="00D5622B" w:rsidRPr="004C7730">
        <w:t>d to a registered community</w:t>
      </w:r>
      <w:r w:rsidRPr="004C7730">
        <w:t xml:space="preserve"> housing </w:t>
      </w:r>
      <w:r w:rsidR="00D5622B" w:rsidRPr="004C7730">
        <w:t>provider;</w:t>
      </w:r>
    </w:p>
    <w:p w14:paraId="772509EE" w14:textId="1EB0BB1C" w:rsidR="00D5622B" w:rsidRPr="004C7730" w:rsidRDefault="00D5622B" w:rsidP="004C7730">
      <w:pPr>
        <w:pStyle w:val="ListParagraph"/>
        <w:numPr>
          <w:ilvl w:val="0"/>
          <w:numId w:val="33"/>
        </w:numPr>
        <w:spacing w:before="140"/>
        <w:ind w:left="714" w:hanging="357"/>
        <w:contextualSpacing w:val="0"/>
      </w:pPr>
      <w:r w:rsidRPr="004C7730">
        <w:t>a development application for the chargeable variation is approved by the grant of a development approval on or after 1 October 2019; and</w:t>
      </w:r>
    </w:p>
    <w:p w14:paraId="6947BBBD" w14:textId="5ED48540" w:rsidR="00D5622B" w:rsidRPr="004C7730" w:rsidRDefault="00D5622B" w:rsidP="004C7730">
      <w:pPr>
        <w:pStyle w:val="ListParagraph"/>
        <w:numPr>
          <w:ilvl w:val="0"/>
          <w:numId w:val="33"/>
        </w:numPr>
        <w:spacing w:before="140"/>
        <w:ind w:left="714" w:hanging="357"/>
        <w:contextualSpacing w:val="0"/>
      </w:pPr>
      <w:r w:rsidRPr="004C7730">
        <w:lastRenderedPageBreak/>
        <w:t xml:space="preserve">the development approval and the </w:t>
      </w:r>
      <w:r w:rsidR="00EB06BD" w:rsidRPr="004C7730">
        <w:t>lease that is varied</w:t>
      </w:r>
      <w:r w:rsidRPr="004C7730">
        <w:t xml:space="preserve"> includes a condition that the lessee develop and use the land, or part of the land, for affordable rental for a minimum of 7 years from the date of the grant of certificate of occupancy (for </w:t>
      </w:r>
      <w:r w:rsidR="00EB06BD" w:rsidRPr="004C7730">
        <w:t xml:space="preserve">the </w:t>
      </w:r>
      <w:r w:rsidRPr="004C7730">
        <w:t>affordable rental housing).</w:t>
      </w:r>
    </w:p>
    <w:p w14:paraId="311CDD43" w14:textId="54E2F55D" w:rsidR="00380FCC" w:rsidRPr="004C7730" w:rsidRDefault="00380FCC" w:rsidP="00380FCC">
      <w:pPr>
        <w:spacing w:before="300"/>
        <w:ind w:left="1440" w:hanging="1451"/>
        <w:rPr>
          <w:rFonts w:ascii="Arial" w:hAnsi="Arial" w:cs="Arial"/>
          <w:b/>
          <w:bCs/>
        </w:rPr>
      </w:pPr>
      <w:r w:rsidRPr="004C7730">
        <w:rPr>
          <w:rFonts w:ascii="Arial" w:hAnsi="Arial" w:cs="Arial"/>
          <w:b/>
          <w:bCs/>
        </w:rPr>
        <w:t xml:space="preserve">Section </w:t>
      </w:r>
      <w:r w:rsidR="00EB06BD" w:rsidRPr="004C7730">
        <w:rPr>
          <w:rFonts w:ascii="Arial" w:hAnsi="Arial" w:cs="Arial"/>
          <w:b/>
          <w:bCs/>
        </w:rPr>
        <w:t>5</w:t>
      </w:r>
      <w:r w:rsidRPr="004C7730">
        <w:rPr>
          <w:rFonts w:ascii="Arial" w:hAnsi="Arial" w:cs="Arial"/>
          <w:b/>
          <w:bCs/>
        </w:rPr>
        <w:tab/>
        <w:t xml:space="preserve">Determination of the </w:t>
      </w:r>
      <w:r w:rsidR="00EB06BD" w:rsidRPr="004C7730">
        <w:rPr>
          <w:rFonts w:ascii="Arial" w:hAnsi="Arial" w:cs="Arial"/>
          <w:b/>
          <w:bCs/>
        </w:rPr>
        <w:t xml:space="preserve">concession </w:t>
      </w:r>
      <w:r w:rsidRPr="004C7730">
        <w:rPr>
          <w:rFonts w:ascii="Arial" w:hAnsi="Arial" w:cs="Arial"/>
          <w:b/>
          <w:bCs/>
        </w:rPr>
        <w:t>amount</w:t>
      </w:r>
      <w:r w:rsidR="00FD0665" w:rsidRPr="004C7730">
        <w:rPr>
          <w:rFonts w:ascii="Times New Roman" w:hAnsi="Times New Roman"/>
          <w:b/>
          <w:color w:val="000000"/>
          <w:sz w:val="24"/>
          <w:szCs w:val="24"/>
        </w:rPr>
        <w:t>—</w:t>
      </w:r>
      <w:r w:rsidRPr="004C7730">
        <w:rPr>
          <w:rFonts w:ascii="Arial" w:hAnsi="Arial" w:cs="Arial"/>
          <w:b/>
          <w:bCs/>
        </w:rPr>
        <w:t>s 278 (2)</w:t>
      </w:r>
    </w:p>
    <w:p w14:paraId="3B61211E" w14:textId="48B73BE5" w:rsidR="00380FCC" w:rsidRPr="004C7730" w:rsidRDefault="0002606D" w:rsidP="00380FCC">
      <w:pPr>
        <w:spacing w:before="140" w:after="0" w:line="240" w:lineRule="auto"/>
        <w:rPr>
          <w:rFonts w:ascii="Times New Roman" w:hAnsi="Times New Roman"/>
          <w:sz w:val="24"/>
          <w:szCs w:val="20"/>
        </w:rPr>
      </w:pPr>
      <w:r w:rsidRPr="004C7730">
        <w:rPr>
          <w:rFonts w:ascii="Times New Roman" w:hAnsi="Times New Roman"/>
          <w:sz w:val="24"/>
          <w:szCs w:val="20"/>
        </w:rPr>
        <w:t>T</w:t>
      </w:r>
      <w:r w:rsidR="00380FCC" w:rsidRPr="004C7730">
        <w:rPr>
          <w:rFonts w:ascii="Times New Roman" w:hAnsi="Times New Roman"/>
          <w:sz w:val="24"/>
          <w:szCs w:val="20"/>
        </w:rPr>
        <w:t>he remission amount</w:t>
      </w:r>
      <w:r w:rsidRPr="004C7730">
        <w:rPr>
          <w:rFonts w:ascii="Times New Roman" w:hAnsi="Times New Roman"/>
          <w:sz w:val="24"/>
          <w:szCs w:val="20"/>
        </w:rPr>
        <w:t xml:space="preserve"> and how it is calculated is s</w:t>
      </w:r>
      <w:r w:rsidR="00380FCC" w:rsidRPr="004C7730">
        <w:rPr>
          <w:rFonts w:ascii="Times New Roman" w:hAnsi="Times New Roman"/>
          <w:sz w:val="24"/>
          <w:szCs w:val="20"/>
        </w:rPr>
        <w:t xml:space="preserve">et out in sub-sections (1) and (2). </w:t>
      </w:r>
    </w:p>
    <w:p w14:paraId="6D71FF16" w14:textId="22726D19" w:rsidR="0002606D" w:rsidRPr="004C7730" w:rsidRDefault="00380FCC" w:rsidP="00380FCC">
      <w:pPr>
        <w:spacing w:before="140" w:after="0" w:line="240" w:lineRule="auto"/>
        <w:rPr>
          <w:rFonts w:ascii="Times New Roman" w:hAnsi="Times New Roman"/>
          <w:sz w:val="24"/>
          <w:szCs w:val="20"/>
        </w:rPr>
      </w:pPr>
      <w:r w:rsidRPr="004C7730">
        <w:rPr>
          <w:rFonts w:ascii="Times New Roman" w:hAnsi="Times New Roman"/>
          <w:sz w:val="24"/>
          <w:szCs w:val="20"/>
        </w:rPr>
        <w:t xml:space="preserve">Sub-Section (1) </w:t>
      </w:r>
      <w:r w:rsidR="0002606D" w:rsidRPr="004C7730">
        <w:rPr>
          <w:rFonts w:ascii="Times New Roman" w:hAnsi="Times New Roman"/>
          <w:sz w:val="24"/>
          <w:szCs w:val="20"/>
        </w:rPr>
        <w:t>provides that the amount of the remission is 25</w:t>
      </w:r>
      <w:r w:rsidR="0002606D" w:rsidRPr="004C7730">
        <w:t xml:space="preserve"> </w:t>
      </w:r>
      <w:r w:rsidR="0002606D" w:rsidRPr="004C7730">
        <w:rPr>
          <w:rFonts w:ascii="Times New Roman" w:hAnsi="Times New Roman"/>
          <w:sz w:val="24"/>
          <w:szCs w:val="20"/>
        </w:rPr>
        <w:t>per cent of the lease variation charge for the land, or that part of the land, to be developed and used for affordable rental.</w:t>
      </w:r>
    </w:p>
    <w:p w14:paraId="59918E8C" w14:textId="31E20282" w:rsidR="0002606D" w:rsidRPr="004C7730" w:rsidRDefault="0002606D" w:rsidP="0051340D">
      <w:pPr>
        <w:spacing w:before="140" w:after="0" w:line="240" w:lineRule="auto"/>
        <w:rPr>
          <w:rFonts w:ascii="Times New Roman" w:hAnsi="Times New Roman"/>
          <w:sz w:val="24"/>
          <w:szCs w:val="20"/>
        </w:rPr>
      </w:pPr>
      <w:r w:rsidRPr="004C7730">
        <w:rPr>
          <w:rFonts w:ascii="Times New Roman" w:hAnsi="Times New Roman"/>
          <w:sz w:val="24"/>
          <w:szCs w:val="20"/>
        </w:rPr>
        <w:t xml:space="preserve">Sub-section (2) provides </w:t>
      </w:r>
      <w:r w:rsidR="00FD0665" w:rsidRPr="004C7730">
        <w:rPr>
          <w:rFonts w:ascii="Times New Roman" w:hAnsi="Times New Roman"/>
          <w:sz w:val="24"/>
          <w:szCs w:val="20"/>
        </w:rPr>
        <w:t xml:space="preserve">the supporting formulae </w:t>
      </w:r>
      <w:r w:rsidR="000E04F3" w:rsidRPr="004C7730">
        <w:rPr>
          <w:rFonts w:ascii="Times New Roman" w:hAnsi="Times New Roman"/>
          <w:sz w:val="24"/>
          <w:szCs w:val="20"/>
        </w:rPr>
        <w:t xml:space="preserve">for the calculation of </w:t>
      </w:r>
      <w:r w:rsidRPr="004C7730">
        <w:rPr>
          <w:rFonts w:ascii="Times New Roman" w:hAnsi="Times New Roman"/>
          <w:sz w:val="24"/>
          <w:szCs w:val="20"/>
        </w:rPr>
        <w:t>the LVC remission</w:t>
      </w:r>
      <w:r w:rsidR="008A63F0" w:rsidRPr="004C7730">
        <w:rPr>
          <w:rFonts w:ascii="Times New Roman" w:hAnsi="Times New Roman"/>
          <w:sz w:val="24"/>
          <w:szCs w:val="20"/>
        </w:rPr>
        <w:t>.</w:t>
      </w:r>
    </w:p>
    <w:p w14:paraId="565E31D6" w14:textId="4DEE4F13" w:rsidR="008A63F0" w:rsidRPr="004C7730" w:rsidRDefault="008A63F0" w:rsidP="008A63F0">
      <w:pPr>
        <w:spacing w:before="300"/>
        <w:ind w:left="1440" w:hanging="1451"/>
        <w:rPr>
          <w:rFonts w:ascii="Arial" w:hAnsi="Arial" w:cs="Arial"/>
          <w:b/>
          <w:bCs/>
        </w:rPr>
      </w:pPr>
      <w:r w:rsidRPr="004C7730">
        <w:rPr>
          <w:rFonts w:ascii="Arial" w:hAnsi="Arial" w:cs="Arial"/>
          <w:b/>
          <w:bCs/>
        </w:rPr>
        <w:t>Section 6</w:t>
      </w:r>
      <w:r w:rsidRPr="004C7730">
        <w:rPr>
          <w:rFonts w:ascii="Arial" w:hAnsi="Arial" w:cs="Arial"/>
          <w:b/>
          <w:bCs/>
        </w:rPr>
        <w:tab/>
        <w:t>Expiry</w:t>
      </w:r>
    </w:p>
    <w:p w14:paraId="2048A5D8" w14:textId="271DB5E5" w:rsidR="008A63F0" w:rsidRPr="004C7730" w:rsidRDefault="00065B81" w:rsidP="00380FCC">
      <w:pPr>
        <w:spacing w:before="140" w:after="0" w:line="240" w:lineRule="auto"/>
        <w:rPr>
          <w:rFonts w:ascii="Times New Roman" w:hAnsi="Times New Roman"/>
          <w:sz w:val="24"/>
          <w:szCs w:val="20"/>
        </w:rPr>
      </w:pPr>
      <w:r w:rsidRPr="004C7730">
        <w:rPr>
          <w:rFonts w:ascii="Times New Roman" w:hAnsi="Times New Roman"/>
          <w:sz w:val="24"/>
          <w:szCs w:val="20"/>
        </w:rPr>
        <w:t xml:space="preserve">This instrument expires on 30 June 2022. </w:t>
      </w:r>
    </w:p>
    <w:p w14:paraId="142562C4" w14:textId="77777777" w:rsidR="00380FCC" w:rsidRPr="004C7730" w:rsidRDefault="00380FCC" w:rsidP="00380FCC">
      <w:pPr>
        <w:autoSpaceDE w:val="0"/>
        <w:autoSpaceDN w:val="0"/>
        <w:adjustRightInd w:val="0"/>
        <w:spacing w:after="0" w:line="240" w:lineRule="auto"/>
        <w:rPr>
          <w:rFonts w:ascii="Times New Roman" w:hAnsi="Times New Roman"/>
          <w:color w:val="000000"/>
          <w:sz w:val="24"/>
          <w:szCs w:val="24"/>
        </w:rPr>
      </w:pPr>
    </w:p>
    <w:p w14:paraId="33DBD5EC" w14:textId="700F971F" w:rsidR="00380FCC" w:rsidRPr="004C7730" w:rsidRDefault="00380FCC" w:rsidP="00D77266">
      <w:pPr>
        <w:autoSpaceDE w:val="0"/>
        <w:autoSpaceDN w:val="0"/>
        <w:adjustRightInd w:val="0"/>
        <w:spacing w:after="0" w:line="240" w:lineRule="auto"/>
        <w:rPr>
          <w:rFonts w:ascii="Times New Roman" w:hAnsi="Times New Roman"/>
          <w:sz w:val="24"/>
          <w:szCs w:val="24"/>
        </w:rPr>
      </w:pPr>
    </w:p>
    <w:p w14:paraId="21258556" w14:textId="3778FE7F" w:rsidR="00065B81" w:rsidRPr="004C7730" w:rsidRDefault="00065B81" w:rsidP="00D77266">
      <w:pPr>
        <w:autoSpaceDE w:val="0"/>
        <w:autoSpaceDN w:val="0"/>
        <w:adjustRightInd w:val="0"/>
        <w:spacing w:after="0" w:line="240" w:lineRule="auto"/>
        <w:rPr>
          <w:rFonts w:ascii="Times New Roman" w:hAnsi="Times New Roman"/>
          <w:sz w:val="24"/>
          <w:szCs w:val="24"/>
        </w:rPr>
      </w:pPr>
    </w:p>
    <w:p w14:paraId="15A3BBEB" w14:textId="0F41BC07" w:rsidR="00065B81" w:rsidRPr="004C7730" w:rsidRDefault="00065B81" w:rsidP="00D77266">
      <w:pPr>
        <w:autoSpaceDE w:val="0"/>
        <w:autoSpaceDN w:val="0"/>
        <w:adjustRightInd w:val="0"/>
        <w:spacing w:after="0" w:line="240" w:lineRule="auto"/>
        <w:rPr>
          <w:rFonts w:ascii="Times New Roman" w:hAnsi="Times New Roman"/>
          <w:sz w:val="24"/>
          <w:szCs w:val="24"/>
        </w:rPr>
      </w:pPr>
      <w:r w:rsidRPr="004C7730">
        <w:rPr>
          <w:rFonts w:ascii="Times New Roman" w:hAnsi="Times New Roman"/>
          <w:sz w:val="24"/>
          <w:szCs w:val="24"/>
        </w:rPr>
        <w:t xml:space="preserve">Authorised by the </w:t>
      </w:r>
      <w:r w:rsidR="001358C1">
        <w:rPr>
          <w:rFonts w:ascii="Times New Roman" w:hAnsi="Times New Roman"/>
          <w:sz w:val="24"/>
          <w:szCs w:val="24"/>
        </w:rPr>
        <w:t xml:space="preserve">Acting </w:t>
      </w:r>
      <w:r w:rsidRPr="004C7730">
        <w:rPr>
          <w:rFonts w:ascii="Times New Roman" w:hAnsi="Times New Roman"/>
          <w:sz w:val="24"/>
          <w:szCs w:val="24"/>
        </w:rPr>
        <w:t>Minister of Planning and Land Management</w:t>
      </w:r>
    </w:p>
    <w:p w14:paraId="7C8F2442" w14:textId="3AE7B76F" w:rsidR="00065B81" w:rsidRDefault="001358C1" w:rsidP="00D772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Chris Steel </w:t>
      </w:r>
      <w:r w:rsidR="00065B81" w:rsidRPr="004C7730">
        <w:rPr>
          <w:rFonts w:ascii="Times New Roman" w:hAnsi="Times New Roman"/>
          <w:sz w:val="24"/>
          <w:szCs w:val="24"/>
        </w:rPr>
        <w:t>MLA</w:t>
      </w:r>
    </w:p>
    <w:p w14:paraId="6674E7F3" w14:textId="2DF3522F" w:rsidR="001358C1" w:rsidRDefault="001358C1" w:rsidP="00D77266">
      <w:pPr>
        <w:autoSpaceDE w:val="0"/>
        <w:autoSpaceDN w:val="0"/>
        <w:adjustRightInd w:val="0"/>
        <w:spacing w:after="0" w:line="240" w:lineRule="auto"/>
        <w:rPr>
          <w:rFonts w:ascii="Times New Roman" w:hAnsi="Times New Roman"/>
          <w:sz w:val="24"/>
          <w:szCs w:val="24"/>
        </w:rPr>
      </w:pPr>
    </w:p>
    <w:p w14:paraId="6AA4A70B" w14:textId="77777777" w:rsidR="001358C1" w:rsidRPr="004C7730" w:rsidRDefault="001358C1" w:rsidP="00D77266">
      <w:pPr>
        <w:autoSpaceDE w:val="0"/>
        <w:autoSpaceDN w:val="0"/>
        <w:adjustRightInd w:val="0"/>
        <w:spacing w:after="0" w:line="240" w:lineRule="auto"/>
        <w:rPr>
          <w:rFonts w:ascii="Times New Roman" w:hAnsi="Times New Roman"/>
          <w:sz w:val="24"/>
          <w:szCs w:val="24"/>
        </w:rPr>
      </w:pPr>
    </w:p>
    <w:p w14:paraId="2E0B9045" w14:textId="77777777" w:rsidR="00065B81" w:rsidRPr="004C7730" w:rsidRDefault="00065B81" w:rsidP="00D77266">
      <w:pPr>
        <w:autoSpaceDE w:val="0"/>
        <w:autoSpaceDN w:val="0"/>
        <w:adjustRightInd w:val="0"/>
        <w:spacing w:after="0" w:line="240" w:lineRule="auto"/>
        <w:rPr>
          <w:rFonts w:ascii="Times New Roman" w:hAnsi="Times New Roman"/>
          <w:sz w:val="24"/>
          <w:szCs w:val="24"/>
        </w:rPr>
      </w:pPr>
    </w:p>
    <w:p w14:paraId="37C82834" w14:textId="798520D7" w:rsidR="00065B81" w:rsidRPr="004C7730" w:rsidRDefault="00065B81" w:rsidP="00D77266">
      <w:pPr>
        <w:autoSpaceDE w:val="0"/>
        <w:autoSpaceDN w:val="0"/>
        <w:adjustRightInd w:val="0"/>
        <w:spacing w:after="0" w:line="240" w:lineRule="auto"/>
        <w:rPr>
          <w:rFonts w:ascii="Times New Roman" w:hAnsi="Times New Roman"/>
          <w:sz w:val="24"/>
          <w:szCs w:val="24"/>
        </w:rPr>
      </w:pPr>
      <w:r w:rsidRPr="004C7730">
        <w:rPr>
          <w:rFonts w:ascii="Times New Roman" w:hAnsi="Times New Roman"/>
          <w:sz w:val="24"/>
          <w:szCs w:val="24"/>
        </w:rPr>
        <w:t xml:space="preserve">Authorised by the </w:t>
      </w:r>
      <w:r w:rsidR="00FC70D5">
        <w:rPr>
          <w:rFonts w:ascii="Times New Roman" w:hAnsi="Times New Roman"/>
          <w:sz w:val="24"/>
          <w:szCs w:val="24"/>
        </w:rPr>
        <w:t xml:space="preserve">Acting </w:t>
      </w:r>
      <w:r w:rsidRPr="004C7730">
        <w:rPr>
          <w:rFonts w:ascii="Times New Roman" w:hAnsi="Times New Roman"/>
          <w:sz w:val="24"/>
          <w:szCs w:val="24"/>
        </w:rPr>
        <w:t>Treasurer</w:t>
      </w:r>
    </w:p>
    <w:p w14:paraId="53969B27" w14:textId="445AD0AB" w:rsidR="00065B81" w:rsidRDefault="00FC70D5" w:rsidP="00D772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Yvette Berry</w:t>
      </w:r>
      <w:r w:rsidR="00065B81" w:rsidRPr="004C7730">
        <w:rPr>
          <w:rFonts w:ascii="Times New Roman" w:hAnsi="Times New Roman"/>
          <w:sz w:val="24"/>
          <w:szCs w:val="24"/>
        </w:rPr>
        <w:t xml:space="preserve"> MLA</w:t>
      </w:r>
    </w:p>
    <w:sectPr w:rsidR="00065B81" w:rsidSect="00B042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E985" w14:textId="77777777" w:rsidR="00FC2FD2" w:rsidRDefault="00FC2FD2" w:rsidP="00546D87">
      <w:pPr>
        <w:spacing w:after="0" w:line="240" w:lineRule="auto"/>
      </w:pPr>
      <w:r>
        <w:separator/>
      </w:r>
    </w:p>
  </w:endnote>
  <w:endnote w:type="continuationSeparator" w:id="0">
    <w:p w14:paraId="4CB47590" w14:textId="77777777" w:rsidR="00FC2FD2" w:rsidRDefault="00FC2FD2" w:rsidP="0054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B733" w14:textId="77777777" w:rsidR="002D0772" w:rsidRDefault="002D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1EA1" w14:textId="5FB1673A" w:rsidR="002D0772" w:rsidRPr="006D767D" w:rsidRDefault="006D767D" w:rsidP="006D767D">
    <w:pPr>
      <w:pStyle w:val="Footer"/>
      <w:jc w:val="center"/>
      <w:rPr>
        <w:rFonts w:ascii="Arial" w:hAnsi="Arial" w:cs="Arial"/>
        <w:sz w:val="14"/>
      </w:rPr>
    </w:pPr>
    <w:r w:rsidRPr="006D767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9A3A" w14:textId="77777777" w:rsidR="002D0772" w:rsidRDefault="002D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B0E23" w14:textId="77777777" w:rsidR="00FC2FD2" w:rsidRDefault="00FC2FD2" w:rsidP="00546D87">
      <w:pPr>
        <w:spacing w:after="0" w:line="240" w:lineRule="auto"/>
      </w:pPr>
      <w:r>
        <w:separator/>
      </w:r>
    </w:p>
  </w:footnote>
  <w:footnote w:type="continuationSeparator" w:id="0">
    <w:p w14:paraId="1E7D0329" w14:textId="77777777" w:rsidR="00FC2FD2" w:rsidRDefault="00FC2FD2" w:rsidP="00546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8EA7" w14:textId="77777777" w:rsidR="002D0772" w:rsidRDefault="002D0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6F5B" w14:textId="77777777" w:rsidR="002D0772" w:rsidRDefault="002D0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27AC" w14:textId="77777777" w:rsidR="002D0772" w:rsidRDefault="002D0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942"/>
    <w:multiLevelType w:val="hybridMultilevel"/>
    <w:tmpl w:val="31FE2F0A"/>
    <w:lvl w:ilvl="0" w:tplc="033425AA">
      <w:start w:val="1"/>
      <w:numFmt w:val="lowerLetter"/>
      <w:lvlText w:val="(%1)"/>
      <w:lvlJc w:val="left"/>
      <w:pPr>
        <w:ind w:left="1778" w:hanging="360"/>
      </w:pPr>
      <w:rPr>
        <w:rFonts w:cs="Times New Roman" w:hint="default"/>
      </w:rPr>
    </w:lvl>
    <w:lvl w:ilvl="1" w:tplc="0C090019">
      <w:start w:val="1"/>
      <w:numFmt w:val="lowerLetter"/>
      <w:lvlText w:val="%2."/>
      <w:lvlJc w:val="left"/>
      <w:pPr>
        <w:ind w:left="2498" w:hanging="360"/>
      </w:pPr>
      <w:rPr>
        <w:rFonts w:cs="Times New Roman"/>
      </w:rPr>
    </w:lvl>
    <w:lvl w:ilvl="2" w:tplc="0C09001B" w:tentative="1">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1" w15:restartNumberingAfterBreak="0">
    <w:nsid w:val="060A5388"/>
    <w:multiLevelType w:val="hybridMultilevel"/>
    <w:tmpl w:val="453A315C"/>
    <w:lvl w:ilvl="0" w:tplc="81F6289C">
      <w:start w:val="1"/>
      <w:numFmt w:val="decimal"/>
      <w:lvlText w:val="(%1)"/>
      <w:lvlJc w:val="left"/>
      <w:pPr>
        <w:ind w:left="1114" w:hanging="40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6940F76"/>
    <w:multiLevelType w:val="hybridMultilevel"/>
    <w:tmpl w:val="D6AE4FD8"/>
    <w:lvl w:ilvl="0" w:tplc="84FC2E2C">
      <w:start w:val="1"/>
      <w:numFmt w:val="lowerLetter"/>
      <w:lvlText w:val="(%1)"/>
      <w:lvlJc w:val="left"/>
      <w:pPr>
        <w:ind w:left="1353" w:hanging="360"/>
      </w:pPr>
      <w:rPr>
        <w:rFonts w:hint="default"/>
        <w:b w:val="0"/>
        <w:i w: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15:restartNumberingAfterBreak="0">
    <w:nsid w:val="0C3615BA"/>
    <w:multiLevelType w:val="hybridMultilevel"/>
    <w:tmpl w:val="4CE2D8C8"/>
    <w:lvl w:ilvl="0" w:tplc="477E314E">
      <w:start w:val="1"/>
      <w:numFmt w:val="lowerLetter"/>
      <w:lvlText w:val="(%1)"/>
      <w:lvlJc w:val="left"/>
      <w:pPr>
        <w:ind w:left="1099" w:hanging="39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4" w15:restartNumberingAfterBreak="0">
    <w:nsid w:val="12A86572"/>
    <w:multiLevelType w:val="hybridMultilevel"/>
    <w:tmpl w:val="E3A028E8"/>
    <w:lvl w:ilvl="0" w:tplc="EB4C4CF0">
      <w:start w:val="1"/>
      <w:numFmt w:val="lowerRoman"/>
      <w:lvlText w:val="(%1)"/>
      <w:lvlJc w:val="left"/>
      <w:pPr>
        <w:ind w:left="2847" w:hanging="720"/>
      </w:pPr>
      <w:rPr>
        <w:rFonts w:cs="Times New Roman" w:hint="default"/>
      </w:rPr>
    </w:lvl>
    <w:lvl w:ilvl="1" w:tplc="0C090019" w:tentative="1">
      <w:start w:val="1"/>
      <w:numFmt w:val="lowerLetter"/>
      <w:lvlText w:val="%2."/>
      <w:lvlJc w:val="left"/>
      <w:pPr>
        <w:ind w:left="3207" w:hanging="360"/>
      </w:pPr>
      <w:rPr>
        <w:rFonts w:cs="Times New Roman"/>
      </w:rPr>
    </w:lvl>
    <w:lvl w:ilvl="2" w:tplc="0C09001B" w:tentative="1">
      <w:start w:val="1"/>
      <w:numFmt w:val="lowerRoman"/>
      <w:lvlText w:val="%3."/>
      <w:lvlJc w:val="right"/>
      <w:pPr>
        <w:ind w:left="3927" w:hanging="180"/>
      </w:pPr>
      <w:rPr>
        <w:rFonts w:cs="Times New Roman"/>
      </w:rPr>
    </w:lvl>
    <w:lvl w:ilvl="3" w:tplc="0C09000F" w:tentative="1">
      <w:start w:val="1"/>
      <w:numFmt w:val="decimal"/>
      <w:lvlText w:val="%4."/>
      <w:lvlJc w:val="left"/>
      <w:pPr>
        <w:ind w:left="4647" w:hanging="360"/>
      </w:pPr>
      <w:rPr>
        <w:rFonts w:cs="Times New Roman"/>
      </w:rPr>
    </w:lvl>
    <w:lvl w:ilvl="4" w:tplc="0C090019" w:tentative="1">
      <w:start w:val="1"/>
      <w:numFmt w:val="lowerLetter"/>
      <w:lvlText w:val="%5."/>
      <w:lvlJc w:val="left"/>
      <w:pPr>
        <w:ind w:left="5367" w:hanging="360"/>
      </w:pPr>
      <w:rPr>
        <w:rFonts w:cs="Times New Roman"/>
      </w:rPr>
    </w:lvl>
    <w:lvl w:ilvl="5" w:tplc="0C09001B" w:tentative="1">
      <w:start w:val="1"/>
      <w:numFmt w:val="lowerRoman"/>
      <w:lvlText w:val="%6."/>
      <w:lvlJc w:val="right"/>
      <w:pPr>
        <w:ind w:left="6087" w:hanging="180"/>
      </w:pPr>
      <w:rPr>
        <w:rFonts w:cs="Times New Roman"/>
      </w:rPr>
    </w:lvl>
    <w:lvl w:ilvl="6" w:tplc="0C09000F" w:tentative="1">
      <w:start w:val="1"/>
      <w:numFmt w:val="decimal"/>
      <w:lvlText w:val="%7."/>
      <w:lvlJc w:val="left"/>
      <w:pPr>
        <w:ind w:left="6807" w:hanging="360"/>
      </w:pPr>
      <w:rPr>
        <w:rFonts w:cs="Times New Roman"/>
      </w:rPr>
    </w:lvl>
    <w:lvl w:ilvl="7" w:tplc="0C090019" w:tentative="1">
      <w:start w:val="1"/>
      <w:numFmt w:val="lowerLetter"/>
      <w:lvlText w:val="%8."/>
      <w:lvlJc w:val="left"/>
      <w:pPr>
        <w:ind w:left="7527" w:hanging="360"/>
      </w:pPr>
      <w:rPr>
        <w:rFonts w:cs="Times New Roman"/>
      </w:rPr>
    </w:lvl>
    <w:lvl w:ilvl="8" w:tplc="0C09001B" w:tentative="1">
      <w:start w:val="1"/>
      <w:numFmt w:val="lowerRoman"/>
      <w:lvlText w:val="%9."/>
      <w:lvlJc w:val="right"/>
      <w:pPr>
        <w:ind w:left="8247" w:hanging="180"/>
      </w:pPr>
      <w:rPr>
        <w:rFonts w:cs="Times New Roman"/>
      </w:rPr>
    </w:lvl>
  </w:abstractNum>
  <w:abstractNum w:abstractNumId="5" w15:restartNumberingAfterBreak="0">
    <w:nsid w:val="12AF01E6"/>
    <w:multiLevelType w:val="hybridMultilevel"/>
    <w:tmpl w:val="2C788332"/>
    <w:lvl w:ilvl="0" w:tplc="0EEE18FE">
      <w:start w:val="1"/>
      <w:numFmt w:val="lowerRoman"/>
      <w:lvlText w:val="(%1)"/>
      <w:lvlJc w:val="left"/>
      <w:pPr>
        <w:ind w:left="2138" w:hanging="720"/>
      </w:pPr>
      <w:rPr>
        <w:rFonts w:cs="Times New Roman" w:hint="default"/>
      </w:rPr>
    </w:lvl>
    <w:lvl w:ilvl="1" w:tplc="0C090019" w:tentative="1">
      <w:start w:val="1"/>
      <w:numFmt w:val="lowerLetter"/>
      <w:lvlText w:val="%2."/>
      <w:lvlJc w:val="left"/>
      <w:pPr>
        <w:ind w:left="2498" w:hanging="360"/>
      </w:pPr>
      <w:rPr>
        <w:rFonts w:cs="Times New Roman"/>
      </w:rPr>
    </w:lvl>
    <w:lvl w:ilvl="2" w:tplc="0C09001B" w:tentative="1">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6" w15:restartNumberingAfterBreak="0">
    <w:nsid w:val="12B13DE8"/>
    <w:multiLevelType w:val="hybridMultilevel"/>
    <w:tmpl w:val="D126153C"/>
    <w:lvl w:ilvl="0" w:tplc="F5F08FD2">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7" w15:restartNumberingAfterBreak="0">
    <w:nsid w:val="1E710466"/>
    <w:multiLevelType w:val="hybridMultilevel"/>
    <w:tmpl w:val="37C296A8"/>
    <w:lvl w:ilvl="0" w:tplc="009248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167B4E"/>
    <w:multiLevelType w:val="hybridMultilevel"/>
    <w:tmpl w:val="08E0F6C4"/>
    <w:lvl w:ilvl="0" w:tplc="2676DB78">
      <w:start w:val="1"/>
      <w:numFmt w:val="lowerLetter"/>
      <w:lvlText w:val="(%1)"/>
      <w:lvlJc w:val="left"/>
      <w:pPr>
        <w:ind w:left="1110" w:hanging="39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15:restartNumberingAfterBreak="0">
    <w:nsid w:val="2A000B86"/>
    <w:multiLevelType w:val="hybridMultilevel"/>
    <w:tmpl w:val="042679B4"/>
    <w:lvl w:ilvl="0" w:tplc="C1E4E6E2">
      <w:start w:val="1"/>
      <w:numFmt w:val="lowerLetter"/>
      <w:lvlText w:val="(%1)"/>
      <w:lvlJc w:val="left"/>
      <w:pPr>
        <w:ind w:left="1091" w:hanging="360"/>
      </w:pPr>
      <w:rPr>
        <w:rFonts w:cs="Times New Roman" w:hint="default"/>
      </w:rPr>
    </w:lvl>
    <w:lvl w:ilvl="1" w:tplc="0C090019" w:tentative="1">
      <w:start w:val="1"/>
      <w:numFmt w:val="lowerLetter"/>
      <w:lvlText w:val="%2."/>
      <w:lvlJc w:val="left"/>
      <w:pPr>
        <w:ind w:left="1811" w:hanging="360"/>
      </w:pPr>
      <w:rPr>
        <w:rFonts w:cs="Times New Roman"/>
      </w:rPr>
    </w:lvl>
    <w:lvl w:ilvl="2" w:tplc="0C09001B" w:tentative="1">
      <w:start w:val="1"/>
      <w:numFmt w:val="lowerRoman"/>
      <w:lvlText w:val="%3."/>
      <w:lvlJc w:val="right"/>
      <w:pPr>
        <w:ind w:left="2531" w:hanging="180"/>
      </w:pPr>
      <w:rPr>
        <w:rFonts w:cs="Times New Roman"/>
      </w:rPr>
    </w:lvl>
    <w:lvl w:ilvl="3" w:tplc="0C09000F" w:tentative="1">
      <w:start w:val="1"/>
      <w:numFmt w:val="decimal"/>
      <w:lvlText w:val="%4."/>
      <w:lvlJc w:val="left"/>
      <w:pPr>
        <w:ind w:left="3251" w:hanging="360"/>
      </w:pPr>
      <w:rPr>
        <w:rFonts w:cs="Times New Roman"/>
      </w:rPr>
    </w:lvl>
    <w:lvl w:ilvl="4" w:tplc="0C090019" w:tentative="1">
      <w:start w:val="1"/>
      <w:numFmt w:val="lowerLetter"/>
      <w:lvlText w:val="%5."/>
      <w:lvlJc w:val="left"/>
      <w:pPr>
        <w:ind w:left="3971" w:hanging="360"/>
      </w:pPr>
      <w:rPr>
        <w:rFonts w:cs="Times New Roman"/>
      </w:rPr>
    </w:lvl>
    <w:lvl w:ilvl="5" w:tplc="0C09001B" w:tentative="1">
      <w:start w:val="1"/>
      <w:numFmt w:val="lowerRoman"/>
      <w:lvlText w:val="%6."/>
      <w:lvlJc w:val="right"/>
      <w:pPr>
        <w:ind w:left="4691" w:hanging="180"/>
      </w:pPr>
      <w:rPr>
        <w:rFonts w:cs="Times New Roman"/>
      </w:rPr>
    </w:lvl>
    <w:lvl w:ilvl="6" w:tplc="0C09000F" w:tentative="1">
      <w:start w:val="1"/>
      <w:numFmt w:val="decimal"/>
      <w:lvlText w:val="%7."/>
      <w:lvlJc w:val="left"/>
      <w:pPr>
        <w:ind w:left="5411" w:hanging="360"/>
      </w:pPr>
      <w:rPr>
        <w:rFonts w:cs="Times New Roman"/>
      </w:rPr>
    </w:lvl>
    <w:lvl w:ilvl="7" w:tplc="0C090019" w:tentative="1">
      <w:start w:val="1"/>
      <w:numFmt w:val="lowerLetter"/>
      <w:lvlText w:val="%8."/>
      <w:lvlJc w:val="left"/>
      <w:pPr>
        <w:ind w:left="6131" w:hanging="360"/>
      </w:pPr>
      <w:rPr>
        <w:rFonts w:cs="Times New Roman"/>
      </w:rPr>
    </w:lvl>
    <w:lvl w:ilvl="8" w:tplc="0C09001B" w:tentative="1">
      <w:start w:val="1"/>
      <w:numFmt w:val="lowerRoman"/>
      <w:lvlText w:val="%9."/>
      <w:lvlJc w:val="right"/>
      <w:pPr>
        <w:ind w:left="6851" w:hanging="180"/>
      </w:pPr>
      <w:rPr>
        <w:rFonts w:cs="Times New Roman"/>
      </w:rPr>
    </w:lvl>
  </w:abstractNum>
  <w:abstractNum w:abstractNumId="10" w15:restartNumberingAfterBreak="0">
    <w:nsid w:val="2BE80FE4"/>
    <w:multiLevelType w:val="hybridMultilevel"/>
    <w:tmpl w:val="4AC49B62"/>
    <w:lvl w:ilvl="0" w:tplc="477E314E">
      <w:start w:val="1"/>
      <w:numFmt w:val="lowerLetter"/>
      <w:lvlText w:val="(%1)"/>
      <w:lvlJc w:val="left"/>
      <w:pPr>
        <w:ind w:left="2629"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425820"/>
    <w:multiLevelType w:val="hybridMultilevel"/>
    <w:tmpl w:val="4988549A"/>
    <w:lvl w:ilvl="0" w:tplc="E53E1CD4">
      <w:start w:val="27"/>
      <w:numFmt w:val="lowerLetter"/>
      <w:lvlText w:val="(%1)"/>
      <w:lvlJc w:val="left"/>
      <w:pPr>
        <w:ind w:left="2498" w:hanging="360"/>
      </w:pPr>
      <w:rPr>
        <w:rFonts w:cs="Times New Roman" w:hint="default"/>
      </w:rPr>
    </w:lvl>
    <w:lvl w:ilvl="1" w:tplc="0C090019" w:tentative="1">
      <w:start w:val="1"/>
      <w:numFmt w:val="lowerLetter"/>
      <w:lvlText w:val="%2."/>
      <w:lvlJc w:val="left"/>
      <w:pPr>
        <w:ind w:left="3218" w:hanging="360"/>
      </w:pPr>
      <w:rPr>
        <w:rFonts w:cs="Times New Roman"/>
      </w:rPr>
    </w:lvl>
    <w:lvl w:ilvl="2" w:tplc="0C09001B" w:tentative="1">
      <w:start w:val="1"/>
      <w:numFmt w:val="lowerRoman"/>
      <w:lvlText w:val="%3."/>
      <w:lvlJc w:val="right"/>
      <w:pPr>
        <w:ind w:left="3938" w:hanging="180"/>
      </w:pPr>
      <w:rPr>
        <w:rFonts w:cs="Times New Roman"/>
      </w:rPr>
    </w:lvl>
    <w:lvl w:ilvl="3" w:tplc="0C09000F" w:tentative="1">
      <w:start w:val="1"/>
      <w:numFmt w:val="decimal"/>
      <w:lvlText w:val="%4."/>
      <w:lvlJc w:val="left"/>
      <w:pPr>
        <w:ind w:left="4658" w:hanging="360"/>
      </w:pPr>
      <w:rPr>
        <w:rFonts w:cs="Times New Roman"/>
      </w:rPr>
    </w:lvl>
    <w:lvl w:ilvl="4" w:tplc="0C090019" w:tentative="1">
      <w:start w:val="1"/>
      <w:numFmt w:val="lowerLetter"/>
      <w:lvlText w:val="%5."/>
      <w:lvlJc w:val="left"/>
      <w:pPr>
        <w:ind w:left="5378" w:hanging="360"/>
      </w:pPr>
      <w:rPr>
        <w:rFonts w:cs="Times New Roman"/>
      </w:rPr>
    </w:lvl>
    <w:lvl w:ilvl="5" w:tplc="0C09001B" w:tentative="1">
      <w:start w:val="1"/>
      <w:numFmt w:val="lowerRoman"/>
      <w:lvlText w:val="%6."/>
      <w:lvlJc w:val="right"/>
      <w:pPr>
        <w:ind w:left="6098" w:hanging="180"/>
      </w:pPr>
      <w:rPr>
        <w:rFonts w:cs="Times New Roman"/>
      </w:rPr>
    </w:lvl>
    <w:lvl w:ilvl="6" w:tplc="0C09000F" w:tentative="1">
      <w:start w:val="1"/>
      <w:numFmt w:val="decimal"/>
      <w:lvlText w:val="%7."/>
      <w:lvlJc w:val="left"/>
      <w:pPr>
        <w:ind w:left="6818" w:hanging="360"/>
      </w:pPr>
      <w:rPr>
        <w:rFonts w:cs="Times New Roman"/>
      </w:rPr>
    </w:lvl>
    <w:lvl w:ilvl="7" w:tplc="0C090019" w:tentative="1">
      <w:start w:val="1"/>
      <w:numFmt w:val="lowerLetter"/>
      <w:lvlText w:val="%8."/>
      <w:lvlJc w:val="left"/>
      <w:pPr>
        <w:ind w:left="7538" w:hanging="360"/>
      </w:pPr>
      <w:rPr>
        <w:rFonts w:cs="Times New Roman"/>
      </w:rPr>
    </w:lvl>
    <w:lvl w:ilvl="8" w:tplc="0C09001B" w:tentative="1">
      <w:start w:val="1"/>
      <w:numFmt w:val="lowerRoman"/>
      <w:lvlText w:val="%9."/>
      <w:lvlJc w:val="right"/>
      <w:pPr>
        <w:ind w:left="8258" w:hanging="180"/>
      </w:pPr>
      <w:rPr>
        <w:rFonts w:cs="Times New Roman"/>
      </w:rPr>
    </w:lvl>
  </w:abstractNum>
  <w:abstractNum w:abstractNumId="12" w15:restartNumberingAfterBreak="0">
    <w:nsid w:val="2F6742CB"/>
    <w:multiLevelType w:val="hybridMultilevel"/>
    <w:tmpl w:val="D126153C"/>
    <w:lvl w:ilvl="0" w:tplc="F5F08FD2">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3" w15:restartNumberingAfterBreak="0">
    <w:nsid w:val="2FBA2182"/>
    <w:multiLevelType w:val="hybridMultilevel"/>
    <w:tmpl w:val="66E49548"/>
    <w:lvl w:ilvl="0" w:tplc="34A2A09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FCC66B5"/>
    <w:multiLevelType w:val="hybridMultilevel"/>
    <w:tmpl w:val="CFFEF32A"/>
    <w:lvl w:ilvl="0" w:tplc="10DC1362">
      <w:start w:val="1"/>
      <w:numFmt w:val="upperLetter"/>
      <w:lvlText w:val="(%1)"/>
      <w:lvlJc w:val="left"/>
      <w:pPr>
        <w:ind w:left="2629"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501F1A"/>
    <w:multiLevelType w:val="hybridMultilevel"/>
    <w:tmpl w:val="E3165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8B4A21"/>
    <w:multiLevelType w:val="hybridMultilevel"/>
    <w:tmpl w:val="8534BA4C"/>
    <w:lvl w:ilvl="0" w:tplc="BDB43EB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385B4B30"/>
    <w:multiLevelType w:val="hybridMultilevel"/>
    <w:tmpl w:val="18AA7DDE"/>
    <w:lvl w:ilvl="0" w:tplc="EBD840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3222D1"/>
    <w:multiLevelType w:val="hybridMultilevel"/>
    <w:tmpl w:val="19844482"/>
    <w:lvl w:ilvl="0" w:tplc="0C090001">
      <w:start w:val="27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F2A0F"/>
    <w:multiLevelType w:val="hybridMultilevel"/>
    <w:tmpl w:val="6A388568"/>
    <w:lvl w:ilvl="0" w:tplc="422880F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2F1CFB"/>
    <w:multiLevelType w:val="hybridMultilevel"/>
    <w:tmpl w:val="08E0F6C4"/>
    <w:lvl w:ilvl="0" w:tplc="2676DB78">
      <w:start w:val="1"/>
      <w:numFmt w:val="lowerLetter"/>
      <w:lvlText w:val="(%1)"/>
      <w:lvlJc w:val="left"/>
      <w:pPr>
        <w:ind w:left="1099" w:hanging="39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1" w15:restartNumberingAfterBreak="0">
    <w:nsid w:val="4494140B"/>
    <w:multiLevelType w:val="hybridMultilevel"/>
    <w:tmpl w:val="412EF788"/>
    <w:lvl w:ilvl="0" w:tplc="FE0809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9B55659"/>
    <w:multiLevelType w:val="hybridMultilevel"/>
    <w:tmpl w:val="4B02D8A6"/>
    <w:lvl w:ilvl="0" w:tplc="BAE2E1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A335D64"/>
    <w:multiLevelType w:val="hybridMultilevel"/>
    <w:tmpl w:val="50342ECA"/>
    <w:lvl w:ilvl="0" w:tplc="93106344">
      <w:start w:val="1"/>
      <w:numFmt w:val="lowerRoman"/>
      <w:lvlText w:val="(%1)"/>
      <w:lvlJc w:val="left"/>
      <w:pPr>
        <w:ind w:left="1920" w:hanging="360"/>
      </w:pPr>
      <w:rPr>
        <w:rFonts w:ascii="Times New Roman" w:eastAsia="Times New Roman" w:hAnsi="Times New Roman" w:cs="Times New Roman" w:hint="default"/>
        <w:b w:val="0"/>
        <w:i w:val="0"/>
      </w:rPr>
    </w:lvl>
    <w:lvl w:ilvl="1" w:tplc="AEB60838">
      <w:start w:val="1"/>
      <w:numFmt w:val="lowerRoman"/>
      <w:lvlText w:val="(%2)"/>
      <w:lvlJc w:val="left"/>
      <w:pPr>
        <w:ind w:left="2629" w:hanging="360"/>
      </w:pPr>
      <w:rPr>
        <w:rFonts w:cs="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3904D6"/>
    <w:multiLevelType w:val="hybridMultilevel"/>
    <w:tmpl w:val="4014928C"/>
    <w:lvl w:ilvl="0" w:tplc="670A65FC">
      <w:start w:val="1"/>
      <w:numFmt w:val="lowerLetter"/>
      <w:lvlText w:val="(%1)"/>
      <w:lvlJc w:val="left"/>
      <w:pPr>
        <w:ind w:left="1080" w:hanging="360"/>
      </w:pPr>
      <w:rPr>
        <w:rFonts w:hint="default"/>
      </w:rPr>
    </w:lvl>
    <w:lvl w:ilvl="1" w:tplc="E4E0E88A">
      <w:start w:val="1"/>
      <w:numFmt w:val="lowerRoman"/>
      <w:lvlText w:val="(%2)"/>
      <w:lvlJc w:val="left"/>
      <w:pPr>
        <w:ind w:left="1800" w:hanging="360"/>
      </w:pPr>
      <w:rPr>
        <w:rFonts w:ascii="Times New Roman" w:eastAsia="Times New Roman" w:hAnsi="Times New Roman" w:cs="Times New Roman"/>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FCA3B8F"/>
    <w:multiLevelType w:val="hybridMultilevel"/>
    <w:tmpl w:val="40A8ED1C"/>
    <w:lvl w:ilvl="0" w:tplc="8CDEC490">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6" w15:restartNumberingAfterBreak="0">
    <w:nsid w:val="50453074"/>
    <w:multiLevelType w:val="hybridMultilevel"/>
    <w:tmpl w:val="73BEC400"/>
    <w:lvl w:ilvl="0" w:tplc="E4E0E88A">
      <w:start w:val="1"/>
      <w:numFmt w:val="lowerRoman"/>
      <w:lvlText w:val="(%1)"/>
      <w:lvlJc w:val="left"/>
      <w:pPr>
        <w:ind w:left="445" w:hanging="390"/>
      </w:pPr>
      <w:rPr>
        <w:rFonts w:ascii="Times New Roman" w:eastAsia="Times New Roman" w:hAnsi="Times New Roman" w:cs="Times New Roman"/>
      </w:rPr>
    </w:lvl>
    <w:lvl w:ilvl="1" w:tplc="0C090019" w:tentative="1">
      <w:start w:val="1"/>
      <w:numFmt w:val="lowerLetter"/>
      <w:lvlText w:val="%2."/>
      <w:lvlJc w:val="left"/>
      <w:pPr>
        <w:ind w:left="1135" w:hanging="360"/>
      </w:pPr>
      <w:rPr>
        <w:rFonts w:cs="Times New Roman"/>
      </w:rPr>
    </w:lvl>
    <w:lvl w:ilvl="2" w:tplc="0C09001B" w:tentative="1">
      <w:start w:val="1"/>
      <w:numFmt w:val="lowerRoman"/>
      <w:lvlText w:val="%3."/>
      <w:lvlJc w:val="right"/>
      <w:pPr>
        <w:ind w:left="1855" w:hanging="180"/>
      </w:pPr>
      <w:rPr>
        <w:rFonts w:cs="Times New Roman"/>
      </w:rPr>
    </w:lvl>
    <w:lvl w:ilvl="3" w:tplc="0C09000F" w:tentative="1">
      <w:start w:val="1"/>
      <w:numFmt w:val="decimal"/>
      <w:lvlText w:val="%4."/>
      <w:lvlJc w:val="left"/>
      <w:pPr>
        <w:ind w:left="2575" w:hanging="360"/>
      </w:pPr>
      <w:rPr>
        <w:rFonts w:cs="Times New Roman"/>
      </w:rPr>
    </w:lvl>
    <w:lvl w:ilvl="4" w:tplc="0C090019" w:tentative="1">
      <w:start w:val="1"/>
      <w:numFmt w:val="lowerLetter"/>
      <w:lvlText w:val="%5."/>
      <w:lvlJc w:val="left"/>
      <w:pPr>
        <w:ind w:left="3295" w:hanging="360"/>
      </w:pPr>
      <w:rPr>
        <w:rFonts w:cs="Times New Roman"/>
      </w:rPr>
    </w:lvl>
    <w:lvl w:ilvl="5" w:tplc="0C09001B" w:tentative="1">
      <w:start w:val="1"/>
      <w:numFmt w:val="lowerRoman"/>
      <w:lvlText w:val="%6."/>
      <w:lvlJc w:val="right"/>
      <w:pPr>
        <w:ind w:left="4015" w:hanging="180"/>
      </w:pPr>
      <w:rPr>
        <w:rFonts w:cs="Times New Roman"/>
      </w:rPr>
    </w:lvl>
    <w:lvl w:ilvl="6" w:tplc="0C09000F" w:tentative="1">
      <w:start w:val="1"/>
      <w:numFmt w:val="decimal"/>
      <w:lvlText w:val="%7."/>
      <w:lvlJc w:val="left"/>
      <w:pPr>
        <w:ind w:left="4735" w:hanging="360"/>
      </w:pPr>
      <w:rPr>
        <w:rFonts w:cs="Times New Roman"/>
      </w:rPr>
    </w:lvl>
    <w:lvl w:ilvl="7" w:tplc="0C090019" w:tentative="1">
      <w:start w:val="1"/>
      <w:numFmt w:val="lowerLetter"/>
      <w:lvlText w:val="%8."/>
      <w:lvlJc w:val="left"/>
      <w:pPr>
        <w:ind w:left="5455" w:hanging="360"/>
      </w:pPr>
      <w:rPr>
        <w:rFonts w:cs="Times New Roman"/>
      </w:rPr>
    </w:lvl>
    <w:lvl w:ilvl="8" w:tplc="0C09001B" w:tentative="1">
      <w:start w:val="1"/>
      <w:numFmt w:val="lowerRoman"/>
      <w:lvlText w:val="%9."/>
      <w:lvlJc w:val="right"/>
      <w:pPr>
        <w:ind w:left="6175" w:hanging="180"/>
      </w:pPr>
      <w:rPr>
        <w:rFonts w:cs="Times New Roman"/>
      </w:rPr>
    </w:lvl>
  </w:abstractNum>
  <w:abstractNum w:abstractNumId="27" w15:restartNumberingAfterBreak="0">
    <w:nsid w:val="5073075E"/>
    <w:multiLevelType w:val="hybridMultilevel"/>
    <w:tmpl w:val="D944BC68"/>
    <w:lvl w:ilvl="0" w:tplc="F5B6DAA8">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D926400"/>
    <w:multiLevelType w:val="hybridMultilevel"/>
    <w:tmpl w:val="0A2A3CFE"/>
    <w:lvl w:ilvl="0" w:tplc="38EE4BFA">
      <w:start w:val="1"/>
      <w:numFmt w:val="lowerLetter"/>
      <w:lvlText w:val="(%1)"/>
      <w:lvlJc w:val="left"/>
      <w:pPr>
        <w:ind w:left="1778" w:hanging="360"/>
      </w:pPr>
      <w:rPr>
        <w:rFonts w:cs="Times New Roman" w:hint="default"/>
      </w:rPr>
    </w:lvl>
    <w:lvl w:ilvl="1" w:tplc="0C090019" w:tentative="1">
      <w:start w:val="1"/>
      <w:numFmt w:val="lowerLetter"/>
      <w:lvlText w:val="%2."/>
      <w:lvlJc w:val="left"/>
      <w:pPr>
        <w:ind w:left="2498" w:hanging="360"/>
      </w:pPr>
      <w:rPr>
        <w:rFonts w:cs="Times New Roman"/>
      </w:rPr>
    </w:lvl>
    <w:lvl w:ilvl="2" w:tplc="0C09001B" w:tentative="1">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29" w15:restartNumberingAfterBreak="0">
    <w:nsid w:val="5F6B63A9"/>
    <w:multiLevelType w:val="hybridMultilevel"/>
    <w:tmpl w:val="DCEA9A2E"/>
    <w:lvl w:ilvl="0" w:tplc="54C0C206">
      <w:start w:val="1"/>
      <w:numFmt w:val="lowerLetter"/>
      <w:lvlText w:val="(%1)"/>
      <w:lvlJc w:val="left"/>
      <w:pPr>
        <w:ind w:left="1058" w:hanging="360"/>
      </w:pPr>
      <w:rPr>
        <w:rFonts w:cs="Times New Roman" w:hint="default"/>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abstractNum w:abstractNumId="30" w15:restartNumberingAfterBreak="0">
    <w:nsid w:val="62E7127E"/>
    <w:multiLevelType w:val="hybridMultilevel"/>
    <w:tmpl w:val="D6AE4FD8"/>
    <w:lvl w:ilvl="0" w:tplc="84FC2E2C">
      <w:start w:val="1"/>
      <w:numFmt w:val="lowerLetter"/>
      <w:lvlText w:val="(%1)"/>
      <w:lvlJc w:val="left"/>
      <w:pPr>
        <w:ind w:left="1353" w:hanging="360"/>
      </w:pPr>
      <w:rPr>
        <w:rFonts w:hint="default"/>
        <w:b w:val="0"/>
        <w:i w: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1" w15:restartNumberingAfterBreak="0">
    <w:nsid w:val="68B83022"/>
    <w:multiLevelType w:val="hybridMultilevel"/>
    <w:tmpl w:val="768652FC"/>
    <w:lvl w:ilvl="0" w:tplc="CB448BC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7D7A4B"/>
    <w:multiLevelType w:val="hybridMultilevel"/>
    <w:tmpl w:val="D4C62994"/>
    <w:lvl w:ilvl="0" w:tplc="477E314E">
      <w:start w:val="1"/>
      <w:numFmt w:val="lowerLetter"/>
      <w:lvlText w:val="(%1)"/>
      <w:lvlJc w:val="left"/>
      <w:pPr>
        <w:ind w:left="1099" w:hanging="39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33" w15:restartNumberingAfterBreak="0">
    <w:nsid w:val="7CB46170"/>
    <w:multiLevelType w:val="hybridMultilevel"/>
    <w:tmpl w:val="9C8A0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6"/>
  </w:num>
  <w:num w:numId="4">
    <w:abstractNumId w:val="5"/>
  </w:num>
  <w:num w:numId="5">
    <w:abstractNumId w:val="13"/>
  </w:num>
  <w:num w:numId="6">
    <w:abstractNumId w:val="29"/>
  </w:num>
  <w:num w:numId="7">
    <w:abstractNumId w:val="8"/>
  </w:num>
  <w:num w:numId="8">
    <w:abstractNumId w:val="6"/>
  </w:num>
  <w:num w:numId="9">
    <w:abstractNumId w:val="9"/>
  </w:num>
  <w:num w:numId="10">
    <w:abstractNumId w:val="0"/>
  </w:num>
  <w:num w:numId="11">
    <w:abstractNumId w:val="28"/>
  </w:num>
  <w:num w:numId="12">
    <w:abstractNumId w:val="11"/>
  </w:num>
  <w:num w:numId="13">
    <w:abstractNumId w:val="4"/>
  </w:num>
  <w:num w:numId="14">
    <w:abstractNumId w:val="22"/>
  </w:num>
  <w:num w:numId="15">
    <w:abstractNumId w:val="12"/>
  </w:num>
  <w:num w:numId="16">
    <w:abstractNumId w:val="23"/>
  </w:num>
  <w:num w:numId="17">
    <w:abstractNumId w:val="14"/>
  </w:num>
  <w:num w:numId="18">
    <w:abstractNumId w:val="10"/>
  </w:num>
  <w:num w:numId="19">
    <w:abstractNumId w:val="32"/>
  </w:num>
  <w:num w:numId="20">
    <w:abstractNumId w:val="21"/>
  </w:num>
  <w:num w:numId="21">
    <w:abstractNumId w:val="2"/>
  </w:num>
  <w:num w:numId="22">
    <w:abstractNumId w:val="16"/>
  </w:num>
  <w:num w:numId="23">
    <w:abstractNumId w:val="27"/>
  </w:num>
  <w:num w:numId="24">
    <w:abstractNumId w:val="24"/>
  </w:num>
  <w:num w:numId="25">
    <w:abstractNumId w:val="25"/>
  </w:num>
  <w:num w:numId="26">
    <w:abstractNumId w:val="1"/>
  </w:num>
  <w:num w:numId="27">
    <w:abstractNumId w:val="30"/>
  </w:num>
  <w:num w:numId="28">
    <w:abstractNumId w:val="31"/>
  </w:num>
  <w:num w:numId="29">
    <w:abstractNumId w:val="15"/>
  </w:num>
  <w:num w:numId="30">
    <w:abstractNumId w:val="19"/>
  </w:num>
  <w:num w:numId="31">
    <w:abstractNumId w:val="18"/>
  </w:num>
  <w:num w:numId="32">
    <w:abstractNumId w:val="33"/>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105"/>
    <w:rsid w:val="00003CA7"/>
    <w:rsid w:val="000102B7"/>
    <w:rsid w:val="0002606D"/>
    <w:rsid w:val="000336AD"/>
    <w:rsid w:val="00034890"/>
    <w:rsid w:val="0004053F"/>
    <w:rsid w:val="00050EC8"/>
    <w:rsid w:val="00064A02"/>
    <w:rsid w:val="00065B81"/>
    <w:rsid w:val="00081E16"/>
    <w:rsid w:val="000D6BDF"/>
    <w:rsid w:val="000E04F3"/>
    <w:rsid w:val="000F55F9"/>
    <w:rsid w:val="001358C1"/>
    <w:rsid w:val="00170904"/>
    <w:rsid w:val="00173EB5"/>
    <w:rsid w:val="00176FE1"/>
    <w:rsid w:val="001A310A"/>
    <w:rsid w:val="001D1F6C"/>
    <w:rsid w:val="001D6C59"/>
    <w:rsid w:val="001E1BB6"/>
    <w:rsid w:val="00214C02"/>
    <w:rsid w:val="0023694A"/>
    <w:rsid w:val="00241BE2"/>
    <w:rsid w:val="00242A6B"/>
    <w:rsid w:val="00252BE1"/>
    <w:rsid w:val="002572ED"/>
    <w:rsid w:val="00280596"/>
    <w:rsid w:val="00280CD5"/>
    <w:rsid w:val="00294451"/>
    <w:rsid w:val="002B166A"/>
    <w:rsid w:val="002C3783"/>
    <w:rsid w:val="002C6F12"/>
    <w:rsid w:val="002D0772"/>
    <w:rsid w:val="00304092"/>
    <w:rsid w:val="0032184B"/>
    <w:rsid w:val="00361D2C"/>
    <w:rsid w:val="00374A1B"/>
    <w:rsid w:val="00380FCC"/>
    <w:rsid w:val="0039073F"/>
    <w:rsid w:val="00390DD2"/>
    <w:rsid w:val="003950FB"/>
    <w:rsid w:val="003A39B9"/>
    <w:rsid w:val="003B2843"/>
    <w:rsid w:val="003C40A8"/>
    <w:rsid w:val="003C46DA"/>
    <w:rsid w:val="004331FB"/>
    <w:rsid w:val="00434582"/>
    <w:rsid w:val="0046420F"/>
    <w:rsid w:val="0049657B"/>
    <w:rsid w:val="004C7730"/>
    <w:rsid w:val="004E4177"/>
    <w:rsid w:val="00500440"/>
    <w:rsid w:val="0051340D"/>
    <w:rsid w:val="0053328C"/>
    <w:rsid w:val="0053408A"/>
    <w:rsid w:val="005436D2"/>
    <w:rsid w:val="00546D87"/>
    <w:rsid w:val="00547053"/>
    <w:rsid w:val="005836B3"/>
    <w:rsid w:val="0059335E"/>
    <w:rsid w:val="005B381C"/>
    <w:rsid w:val="005C5F76"/>
    <w:rsid w:val="005D131F"/>
    <w:rsid w:val="005D6AB9"/>
    <w:rsid w:val="005F28E5"/>
    <w:rsid w:val="0060604A"/>
    <w:rsid w:val="00607DFE"/>
    <w:rsid w:val="00620F84"/>
    <w:rsid w:val="00622B69"/>
    <w:rsid w:val="00624780"/>
    <w:rsid w:val="00627105"/>
    <w:rsid w:val="00645868"/>
    <w:rsid w:val="00650CB7"/>
    <w:rsid w:val="00653693"/>
    <w:rsid w:val="006C5E4E"/>
    <w:rsid w:val="006D197C"/>
    <w:rsid w:val="006D1B76"/>
    <w:rsid w:val="006D767D"/>
    <w:rsid w:val="006E1FCC"/>
    <w:rsid w:val="006F7067"/>
    <w:rsid w:val="007027F7"/>
    <w:rsid w:val="00736C95"/>
    <w:rsid w:val="007549F1"/>
    <w:rsid w:val="00765F09"/>
    <w:rsid w:val="00772FCE"/>
    <w:rsid w:val="0077404C"/>
    <w:rsid w:val="007A6F43"/>
    <w:rsid w:val="007B1FDD"/>
    <w:rsid w:val="007B6AD6"/>
    <w:rsid w:val="007B7971"/>
    <w:rsid w:val="007D0902"/>
    <w:rsid w:val="007D74F2"/>
    <w:rsid w:val="007E1480"/>
    <w:rsid w:val="008034B9"/>
    <w:rsid w:val="00823C03"/>
    <w:rsid w:val="0083427D"/>
    <w:rsid w:val="0086234C"/>
    <w:rsid w:val="0088306C"/>
    <w:rsid w:val="00887197"/>
    <w:rsid w:val="008A12AA"/>
    <w:rsid w:val="008A63F0"/>
    <w:rsid w:val="008D015B"/>
    <w:rsid w:val="008F2043"/>
    <w:rsid w:val="009000AD"/>
    <w:rsid w:val="009248A5"/>
    <w:rsid w:val="009379AA"/>
    <w:rsid w:val="00942D63"/>
    <w:rsid w:val="00953971"/>
    <w:rsid w:val="00970A0C"/>
    <w:rsid w:val="00980ADC"/>
    <w:rsid w:val="00982CE2"/>
    <w:rsid w:val="009A24E2"/>
    <w:rsid w:val="009A25C6"/>
    <w:rsid w:val="009B3D51"/>
    <w:rsid w:val="009B75C7"/>
    <w:rsid w:val="009D0037"/>
    <w:rsid w:val="009E1130"/>
    <w:rsid w:val="009F08A6"/>
    <w:rsid w:val="00A04D2D"/>
    <w:rsid w:val="00A05982"/>
    <w:rsid w:val="00A119BA"/>
    <w:rsid w:val="00A50FFF"/>
    <w:rsid w:val="00A606A3"/>
    <w:rsid w:val="00A96836"/>
    <w:rsid w:val="00A9743A"/>
    <w:rsid w:val="00AA065B"/>
    <w:rsid w:val="00AC35FE"/>
    <w:rsid w:val="00AC57AA"/>
    <w:rsid w:val="00AE16C1"/>
    <w:rsid w:val="00AE5432"/>
    <w:rsid w:val="00AF7372"/>
    <w:rsid w:val="00B04260"/>
    <w:rsid w:val="00B26B13"/>
    <w:rsid w:val="00B33ADA"/>
    <w:rsid w:val="00B552CD"/>
    <w:rsid w:val="00B56C32"/>
    <w:rsid w:val="00B7092D"/>
    <w:rsid w:val="00B724C0"/>
    <w:rsid w:val="00B83882"/>
    <w:rsid w:val="00B934F3"/>
    <w:rsid w:val="00BF66A3"/>
    <w:rsid w:val="00C37D28"/>
    <w:rsid w:val="00C41947"/>
    <w:rsid w:val="00C60883"/>
    <w:rsid w:val="00C635C9"/>
    <w:rsid w:val="00C73BDB"/>
    <w:rsid w:val="00CB6008"/>
    <w:rsid w:val="00CB6A02"/>
    <w:rsid w:val="00CC6CF5"/>
    <w:rsid w:val="00CD6EE3"/>
    <w:rsid w:val="00CD757A"/>
    <w:rsid w:val="00CE1B23"/>
    <w:rsid w:val="00D05AA3"/>
    <w:rsid w:val="00D16EC6"/>
    <w:rsid w:val="00D20312"/>
    <w:rsid w:val="00D3120C"/>
    <w:rsid w:val="00D5622B"/>
    <w:rsid w:val="00D66B5E"/>
    <w:rsid w:val="00D74DEB"/>
    <w:rsid w:val="00D77266"/>
    <w:rsid w:val="00DA1FF6"/>
    <w:rsid w:val="00DC5FDA"/>
    <w:rsid w:val="00DD1B0D"/>
    <w:rsid w:val="00DD6DC2"/>
    <w:rsid w:val="00DE3CD1"/>
    <w:rsid w:val="00DF2E65"/>
    <w:rsid w:val="00E161A1"/>
    <w:rsid w:val="00E20643"/>
    <w:rsid w:val="00E276AC"/>
    <w:rsid w:val="00E54F61"/>
    <w:rsid w:val="00E55B79"/>
    <w:rsid w:val="00E66A3B"/>
    <w:rsid w:val="00E87B5E"/>
    <w:rsid w:val="00EA0C25"/>
    <w:rsid w:val="00EB06BD"/>
    <w:rsid w:val="00EC36E1"/>
    <w:rsid w:val="00EC3B84"/>
    <w:rsid w:val="00ED407A"/>
    <w:rsid w:val="00EE116F"/>
    <w:rsid w:val="00EF2B5E"/>
    <w:rsid w:val="00EF6E23"/>
    <w:rsid w:val="00F26D32"/>
    <w:rsid w:val="00F51067"/>
    <w:rsid w:val="00F762DF"/>
    <w:rsid w:val="00FA049E"/>
    <w:rsid w:val="00FB4041"/>
    <w:rsid w:val="00FB5385"/>
    <w:rsid w:val="00FC2FD2"/>
    <w:rsid w:val="00FC5032"/>
    <w:rsid w:val="00FC70D5"/>
    <w:rsid w:val="00FD0665"/>
    <w:rsid w:val="00FE076B"/>
    <w:rsid w:val="00FF4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E0376"/>
  <w14:defaultImageDpi w14:val="0"/>
  <w15:docId w15:val="{7577BBCB-EE9A-4C32-9375-DCA2F9D5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426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280596"/>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280596"/>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280596"/>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280596"/>
    <w:pPr>
      <w:tabs>
        <w:tab w:val="left" w:pos="2600"/>
      </w:tabs>
      <w:spacing w:before="200" w:after="60" w:line="240" w:lineRule="auto"/>
      <w:jc w:val="both"/>
    </w:pPr>
    <w:rPr>
      <w:rFonts w:ascii="Arial" w:hAnsi="Arial"/>
      <w:b/>
      <w:sz w:val="24"/>
      <w:szCs w:val="20"/>
    </w:rPr>
  </w:style>
  <w:style w:type="character" w:styleId="Hyperlink">
    <w:name w:val="Hyperlink"/>
    <w:basedOn w:val="DefaultParagraphFont"/>
    <w:uiPriority w:val="99"/>
    <w:unhideWhenUsed/>
    <w:rsid w:val="00280596"/>
    <w:rPr>
      <w:rFonts w:cs="Times New Roman"/>
      <w:color w:val="0563C1" w:themeColor="hyperlink"/>
      <w:u w:val="single"/>
    </w:rPr>
  </w:style>
  <w:style w:type="paragraph" w:styleId="ListParagraph">
    <w:name w:val="List Paragraph"/>
    <w:basedOn w:val="Normal"/>
    <w:link w:val="ListParagraphChar"/>
    <w:uiPriority w:val="34"/>
    <w:qFormat/>
    <w:rsid w:val="00622B69"/>
    <w:pPr>
      <w:spacing w:after="0" w:line="240" w:lineRule="auto"/>
      <w:ind w:left="720"/>
      <w:contextualSpacing/>
    </w:pPr>
    <w:rPr>
      <w:rFonts w:ascii="Times New Roman" w:hAnsi="Times New Roman"/>
      <w:sz w:val="24"/>
      <w:szCs w:val="20"/>
    </w:rPr>
  </w:style>
  <w:style w:type="character" w:customStyle="1" w:styleId="ListParagraphChar">
    <w:name w:val="List Paragraph Char"/>
    <w:basedOn w:val="DefaultParagraphFont"/>
    <w:link w:val="ListParagraph"/>
    <w:uiPriority w:val="34"/>
    <w:locked/>
    <w:rsid w:val="00622B6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80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0ADC"/>
    <w:rPr>
      <w:rFonts w:ascii="Segoe UI" w:hAnsi="Segoe UI" w:cs="Segoe UI"/>
      <w:sz w:val="18"/>
      <w:szCs w:val="18"/>
    </w:rPr>
  </w:style>
  <w:style w:type="paragraph" w:styleId="Header">
    <w:name w:val="header"/>
    <w:basedOn w:val="Normal"/>
    <w:link w:val="HeaderChar"/>
    <w:uiPriority w:val="99"/>
    <w:unhideWhenUsed/>
    <w:rsid w:val="00546D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46D87"/>
    <w:rPr>
      <w:rFonts w:cs="Times New Roman"/>
    </w:rPr>
  </w:style>
  <w:style w:type="paragraph" w:styleId="Footer">
    <w:name w:val="footer"/>
    <w:basedOn w:val="Normal"/>
    <w:link w:val="FooterChar"/>
    <w:uiPriority w:val="99"/>
    <w:unhideWhenUsed/>
    <w:rsid w:val="00546D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46D87"/>
    <w:rPr>
      <w:rFonts w:cs="Times New Roman"/>
    </w:rPr>
  </w:style>
  <w:style w:type="table" w:styleId="TableGrid">
    <w:name w:val="Table Grid"/>
    <w:basedOn w:val="TableNormal"/>
    <w:uiPriority w:val="59"/>
    <w:rsid w:val="0003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41947"/>
    <w:rPr>
      <w:sz w:val="16"/>
      <w:szCs w:val="16"/>
    </w:rPr>
  </w:style>
  <w:style w:type="paragraph" w:styleId="CommentText">
    <w:name w:val="annotation text"/>
    <w:basedOn w:val="Normal"/>
    <w:link w:val="CommentTextChar"/>
    <w:uiPriority w:val="99"/>
    <w:rsid w:val="00C41947"/>
    <w:pPr>
      <w:spacing w:line="240" w:lineRule="auto"/>
    </w:pPr>
    <w:rPr>
      <w:sz w:val="20"/>
      <w:szCs w:val="20"/>
    </w:rPr>
  </w:style>
  <w:style w:type="character" w:customStyle="1" w:styleId="CommentTextChar">
    <w:name w:val="Comment Text Char"/>
    <w:basedOn w:val="DefaultParagraphFont"/>
    <w:link w:val="CommentText"/>
    <w:uiPriority w:val="99"/>
    <w:rsid w:val="00C41947"/>
    <w:rPr>
      <w:rFonts w:cs="Times New Roman"/>
      <w:sz w:val="20"/>
      <w:szCs w:val="20"/>
    </w:rPr>
  </w:style>
  <w:style w:type="paragraph" w:styleId="CommentSubject">
    <w:name w:val="annotation subject"/>
    <w:basedOn w:val="CommentText"/>
    <w:next w:val="CommentText"/>
    <w:link w:val="CommentSubjectChar"/>
    <w:uiPriority w:val="99"/>
    <w:rsid w:val="00C41947"/>
    <w:rPr>
      <w:b/>
      <w:bCs/>
    </w:rPr>
  </w:style>
  <w:style w:type="character" w:customStyle="1" w:styleId="CommentSubjectChar">
    <w:name w:val="Comment Subject Char"/>
    <w:basedOn w:val="CommentTextChar"/>
    <w:link w:val="CommentSubject"/>
    <w:uiPriority w:val="99"/>
    <w:rsid w:val="00C41947"/>
    <w:rPr>
      <w:rFonts w:cs="Times New Roman"/>
      <w:b/>
      <w:bCs/>
      <w:sz w:val="20"/>
      <w:szCs w:val="20"/>
    </w:rPr>
  </w:style>
  <w:style w:type="character" w:customStyle="1" w:styleId="frag-defterm">
    <w:name w:val="frag-defterm"/>
    <w:basedOn w:val="DefaultParagraphFont"/>
    <w:rsid w:val="00C41947"/>
  </w:style>
  <w:style w:type="paragraph" w:customStyle="1" w:styleId="paragraph">
    <w:name w:val="paragraph"/>
    <w:basedOn w:val="Normal"/>
    <w:rsid w:val="00390DD2"/>
    <w:pPr>
      <w:spacing w:before="100" w:beforeAutospacing="1" w:after="100" w:afterAutospacing="1" w:line="240" w:lineRule="auto"/>
    </w:pPr>
    <w:rPr>
      <w:rFonts w:ascii="Times New Roman" w:eastAsiaTheme="minorHAnsi" w:hAnsi="Times New Roman"/>
      <w:sz w:val="24"/>
      <w:szCs w:val="24"/>
      <w:lang w:eastAsia="en-AU"/>
    </w:rPr>
  </w:style>
  <w:style w:type="paragraph" w:styleId="Revision">
    <w:name w:val="Revision"/>
    <w:hidden/>
    <w:uiPriority w:val="99"/>
    <w:semiHidden/>
    <w:rsid w:val="007B6AD6"/>
    <w:pPr>
      <w:spacing w:after="0" w:line="240" w:lineRule="auto"/>
    </w:pPr>
    <w:rPr>
      <w:rFonts w:cs="Times New Roman"/>
    </w:rPr>
  </w:style>
  <w:style w:type="paragraph" w:customStyle="1" w:styleId="Amain">
    <w:name w:val="A main"/>
    <w:basedOn w:val="Normal"/>
    <w:uiPriority w:val="99"/>
    <w:rsid w:val="00CB6008"/>
    <w:pPr>
      <w:tabs>
        <w:tab w:val="right" w:pos="500"/>
        <w:tab w:val="left" w:pos="700"/>
      </w:tabs>
      <w:spacing w:before="80" w:after="60" w:line="240" w:lineRule="auto"/>
      <w:ind w:left="700" w:hanging="700"/>
      <w:jc w:val="both"/>
      <w:outlineLvl w:val="5"/>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5646A-692B-4DA6-972A-EB1D09D5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6677</Characters>
  <Application>Microsoft Office Word</Application>
  <DocSecurity>0</DocSecurity>
  <Lines>131</Lines>
  <Paragraphs>60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2019-09-15T23:12:00Z</cp:lastPrinted>
  <dcterms:created xsi:type="dcterms:W3CDTF">2019-10-09T23:14:00Z</dcterms:created>
  <dcterms:modified xsi:type="dcterms:W3CDTF">2019-10-09T23:14:00Z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1102996</vt:lpwstr>
  </property>
  <property fmtid="{D5CDD505-2E9C-101B-9397-08002B2CF9AE}" pid="4" name="JMSREQUIREDCHECKIN">
    <vt:lpwstr/>
  </property>
</Properties>
</file>