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B0" w:rsidRDefault="00FD5FB0">
      <w:pPr>
        <w:pStyle w:val="BodyText"/>
        <w:rPr>
          <w:sz w:val="20"/>
        </w:rPr>
      </w:pPr>
      <w:bookmarkStart w:id="0" w:name="_GoBack"/>
      <w:bookmarkEnd w:id="0"/>
    </w:p>
    <w:p w:rsidR="00FD5FB0" w:rsidRDefault="00FD5FB0">
      <w:pPr>
        <w:pStyle w:val="BodyText"/>
        <w:rPr>
          <w:sz w:val="20"/>
        </w:rPr>
      </w:pPr>
    </w:p>
    <w:p w:rsidR="00FD5FB0" w:rsidRDefault="00FD5FB0">
      <w:pPr>
        <w:pStyle w:val="BodyText"/>
        <w:rPr>
          <w:sz w:val="20"/>
        </w:rPr>
      </w:pPr>
    </w:p>
    <w:p w:rsidR="00FD5FB0" w:rsidRDefault="00FD5FB0">
      <w:pPr>
        <w:pStyle w:val="BodyText"/>
        <w:rPr>
          <w:sz w:val="20"/>
        </w:rPr>
      </w:pPr>
    </w:p>
    <w:p w:rsidR="00FD5FB0" w:rsidRDefault="00FD5FB0">
      <w:pPr>
        <w:pStyle w:val="BodyText"/>
        <w:spacing w:before="3"/>
        <w:rPr>
          <w:sz w:val="23"/>
        </w:rPr>
      </w:pPr>
    </w:p>
    <w:p w:rsidR="00FD5FB0" w:rsidRDefault="000C5DDE">
      <w:pPr>
        <w:pStyle w:val="Heading2"/>
        <w:ind w:left="520" w:right="520"/>
        <w:jc w:val="center"/>
      </w:pPr>
      <w:r>
        <w:t>2019</w:t>
      </w: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0C5DDE">
      <w:pPr>
        <w:spacing w:before="154" w:line="487" w:lineRule="auto"/>
        <w:ind w:left="2504" w:right="2503" w:hanging="14"/>
        <w:jc w:val="center"/>
        <w:rPr>
          <w:b/>
          <w:sz w:val="24"/>
        </w:rPr>
      </w:pPr>
      <w:r>
        <w:rPr>
          <w:b/>
          <w:sz w:val="24"/>
        </w:rPr>
        <w:t>LEGISLATIVE ASSEMBLY FOR THE AUSTRALIAN CAPITAL TERRITORY</w:t>
      </w:r>
    </w:p>
    <w:p w:rsidR="00FD5FB0" w:rsidRDefault="00FD5FB0">
      <w:pPr>
        <w:pStyle w:val="BodyText"/>
        <w:rPr>
          <w:b/>
          <w:sz w:val="26"/>
        </w:rPr>
      </w:pPr>
    </w:p>
    <w:p w:rsidR="00FD5FB0" w:rsidRDefault="00FD5FB0">
      <w:pPr>
        <w:pStyle w:val="BodyText"/>
        <w:rPr>
          <w:b/>
          <w:sz w:val="26"/>
        </w:rPr>
      </w:pPr>
    </w:p>
    <w:p w:rsidR="00FD5FB0" w:rsidRDefault="00FD5FB0">
      <w:pPr>
        <w:pStyle w:val="BodyText"/>
        <w:spacing w:before="2"/>
        <w:rPr>
          <w:b/>
          <w:sz w:val="34"/>
        </w:rPr>
      </w:pPr>
    </w:p>
    <w:p w:rsidR="00FD5FB0" w:rsidRDefault="000C5DDE">
      <w:pPr>
        <w:spacing w:before="1" w:line="264" w:lineRule="auto"/>
        <w:ind w:left="520" w:right="532"/>
        <w:jc w:val="center"/>
        <w:rPr>
          <w:b/>
          <w:sz w:val="24"/>
        </w:rPr>
      </w:pPr>
      <w:r>
        <w:rPr>
          <w:b/>
          <w:sz w:val="24"/>
        </w:rPr>
        <w:t>LEGISLATIVE ASSEMBLY (OFFICE OF THE LEGISLATIVE ASSEMBLY) AMENDMENT BILL 2019</w:t>
      </w: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0C5DDE">
      <w:pPr>
        <w:spacing w:before="181"/>
        <w:ind w:left="520" w:right="519"/>
        <w:jc w:val="center"/>
        <w:rPr>
          <w:b/>
          <w:sz w:val="24"/>
        </w:rPr>
      </w:pPr>
      <w:r>
        <w:rPr>
          <w:b/>
          <w:sz w:val="24"/>
        </w:rPr>
        <w:t>EXPLANATORY STATEMENT</w:t>
      </w: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FD5FB0">
      <w:pPr>
        <w:pStyle w:val="BodyText"/>
        <w:rPr>
          <w:b/>
          <w:sz w:val="26"/>
        </w:rPr>
      </w:pPr>
    </w:p>
    <w:p w:rsidR="00FD5FB0" w:rsidRDefault="000C5DDE">
      <w:pPr>
        <w:pStyle w:val="BodyText"/>
        <w:spacing w:before="173" w:line="242" w:lineRule="auto"/>
        <w:ind w:left="7288" w:right="117" w:firstLine="591"/>
        <w:jc w:val="right"/>
      </w:pPr>
      <w:r>
        <w:t>Presented by Andrew Barr MLA Chief Minister</w:t>
      </w:r>
    </w:p>
    <w:p w:rsidR="00FD5FB0" w:rsidRDefault="00FD5FB0">
      <w:pPr>
        <w:spacing w:line="242" w:lineRule="auto"/>
        <w:jc w:val="right"/>
        <w:sectPr w:rsidR="00FD5FB0">
          <w:footerReference w:type="default" r:id="rId7"/>
          <w:type w:val="continuous"/>
          <w:pgSz w:w="11910" w:h="16840"/>
          <w:pgMar w:top="1600" w:right="1320" w:bottom="280" w:left="1320" w:header="720" w:footer="720" w:gutter="0"/>
          <w:cols w:space="720"/>
        </w:sectPr>
      </w:pPr>
    </w:p>
    <w:p w:rsidR="00FD5FB0" w:rsidRDefault="000C5DDE">
      <w:pPr>
        <w:pStyle w:val="Heading1"/>
        <w:spacing w:before="73" w:line="264" w:lineRule="auto"/>
        <w:ind w:left="1656" w:right="1643" w:firstLine="1215"/>
      </w:pPr>
      <w:bookmarkStart w:id="1" w:name="LEGISLATIVE_ASSEMBLY__(OFFICE_OF_THE_LEG"/>
      <w:bookmarkEnd w:id="1"/>
      <w:r>
        <w:lastRenderedPageBreak/>
        <w:t xml:space="preserve">LEGISLATIVE </w:t>
      </w:r>
      <w:r>
        <w:rPr>
          <w:spacing w:val="-7"/>
        </w:rPr>
        <w:t xml:space="preserve">ASSEMBLY </w:t>
      </w:r>
      <w:r>
        <w:t>(OFFICE</w:t>
      </w:r>
      <w:r>
        <w:rPr>
          <w:spacing w:val="-41"/>
        </w:rPr>
        <w:t xml:space="preserve"> </w:t>
      </w:r>
      <w:r>
        <w:rPr>
          <w:spacing w:val="6"/>
        </w:rPr>
        <w:t>OFTHE</w:t>
      </w:r>
      <w:r>
        <w:rPr>
          <w:spacing w:val="-41"/>
        </w:rPr>
        <w:t xml:space="preserve"> </w:t>
      </w:r>
      <w:r>
        <w:t>LEGISLATIVE</w:t>
      </w:r>
      <w:r>
        <w:rPr>
          <w:spacing w:val="-41"/>
        </w:rPr>
        <w:t xml:space="preserve"> </w:t>
      </w:r>
      <w:r>
        <w:rPr>
          <w:spacing w:val="-8"/>
        </w:rPr>
        <w:t>ASSEMBLY)</w:t>
      </w:r>
    </w:p>
    <w:p w:rsidR="00FD5FB0" w:rsidRDefault="000C5DDE">
      <w:pPr>
        <w:spacing w:before="2"/>
        <w:ind w:left="2984"/>
        <w:rPr>
          <w:b/>
          <w:sz w:val="29"/>
        </w:rPr>
      </w:pPr>
      <w:r>
        <w:rPr>
          <w:b/>
          <w:sz w:val="29"/>
        </w:rPr>
        <w:t>AMENDMENT BILL 2019</w:t>
      </w:r>
    </w:p>
    <w:p w:rsidR="00FD5FB0" w:rsidRDefault="00FD5FB0">
      <w:pPr>
        <w:pStyle w:val="BodyText"/>
        <w:spacing w:before="2"/>
        <w:rPr>
          <w:b/>
          <w:sz w:val="25"/>
        </w:rPr>
      </w:pPr>
    </w:p>
    <w:p w:rsidR="00FD5FB0" w:rsidRDefault="000C5DDE">
      <w:pPr>
        <w:pStyle w:val="Heading2"/>
      </w:pPr>
      <w:bookmarkStart w:id="2" w:name="Background"/>
      <w:bookmarkEnd w:id="2"/>
      <w:r>
        <w:rPr>
          <w:u w:val="single"/>
        </w:rPr>
        <w:t>Background</w:t>
      </w:r>
    </w:p>
    <w:p w:rsidR="00FD5FB0" w:rsidRDefault="000C5DDE">
      <w:pPr>
        <w:pStyle w:val="BodyText"/>
        <w:spacing w:before="172" w:line="273" w:lineRule="auto"/>
        <w:ind w:left="119" w:right="112"/>
      </w:pPr>
      <w:r>
        <w:t>This explanatory statement relates to the Legislative Assembly (Office of the Legislative Assembly) Legislation Bill 2019 (the Bill) as presented to the ACT Legislative Assembly. It has been prepared in order to assist the reader of the Bill and to help inform debate on it. It does not form part of the Bill and has not been endorsed by the Assembly.</w:t>
      </w:r>
    </w:p>
    <w:p w:rsidR="00FD5FB0" w:rsidRDefault="000C5DDE">
      <w:pPr>
        <w:pStyle w:val="BodyText"/>
        <w:spacing w:before="134" w:line="271" w:lineRule="auto"/>
        <w:ind w:left="119"/>
      </w:pPr>
      <w: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rsidR="00FD5FB0" w:rsidRDefault="000C5DDE">
      <w:pPr>
        <w:pStyle w:val="Heading2"/>
        <w:spacing w:before="136"/>
        <w:ind w:left="119"/>
      </w:pPr>
      <w:r>
        <w:t>Legislative Assembly (Office of the Legislative Assembly) Amendment Bill 2019</w:t>
      </w:r>
    </w:p>
    <w:p w:rsidR="00FD5FB0" w:rsidRDefault="000C5DDE">
      <w:pPr>
        <w:pStyle w:val="BodyText"/>
        <w:spacing w:before="156" w:line="273" w:lineRule="auto"/>
        <w:ind w:left="120" w:right="112"/>
      </w:pPr>
      <w:r>
        <w:t>On 15 December 2016, the ACT Legislative Assembly passed a resolution which established a Select Committee to review the 2016 ACT election and the Act. The Select Committee released its report in November 2017 and made 23 recommendations. The Government tabled its response on 10 April 2018 agreeing to six recommendations, agreeing in principle to nine, noting six and not supporting two.</w:t>
      </w:r>
    </w:p>
    <w:p w:rsidR="00FD5FB0" w:rsidRDefault="000C5DDE">
      <w:pPr>
        <w:pStyle w:val="BodyText"/>
        <w:spacing w:before="139" w:line="264" w:lineRule="auto"/>
        <w:ind w:left="120" w:right="112"/>
      </w:pPr>
      <w:r>
        <w:t>The Legislative Assembly (Office of the Legislative Assembly) Amendment Bill 2019 contains legislative amendments to progress recommendation 7 of the Select Committee.</w:t>
      </w:r>
    </w:p>
    <w:p w:rsidR="00FD5FB0" w:rsidRDefault="00FD5FB0">
      <w:pPr>
        <w:pStyle w:val="BodyText"/>
        <w:spacing w:before="8"/>
        <w:rPr>
          <w:sz w:val="23"/>
        </w:rPr>
      </w:pPr>
    </w:p>
    <w:p w:rsidR="00FD5FB0" w:rsidRDefault="000C5DDE">
      <w:pPr>
        <w:pStyle w:val="Heading2"/>
      </w:pPr>
      <w:bookmarkStart w:id="3" w:name="Purpose_of_the_Bill"/>
      <w:bookmarkEnd w:id="3"/>
      <w:r>
        <w:rPr>
          <w:u w:val="single"/>
        </w:rPr>
        <w:t>Purpose of the Bill</w:t>
      </w:r>
    </w:p>
    <w:p w:rsidR="00FD5FB0" w:rsidRDefault="00FD5FB0">
      <w:pPr>
        <w:pStyle w:val="BodyText"/>
        <w:spacing w:before="10"/>
        <w:rPr>
          <w:b/>
          <w:sz w:val="16"/>
        </w:rPr>
      </w:pPr>
    </w:p>
    <w:p w:rsidR="00FD5FB0" w:rsidRDefault="000C5DDE">
      <w:pPr>
        <w:pStyle w:val="BodyText"/>
        <w:spacing w:before="90" w:line="264" w:lineRule="auto"/>
        <w:ind w:left="120" w:right="199"/>
      </w:pPr>
      <w:r>
        <w:t>The policy objective of the Bill is to support a transparent and representative electoral system.</w:t>
      </w:r>
    </w:p>
    <w:p w:rsidR="00FD5FB0" w:rsidRDefault="00FD5FB0">
      <w:pPr>
        <w:pStyle w:val="BodyText"/>
        <w:spacing w:before="4"/>
        <w:rPr>
          <w:sz w:val="22"/>
        </w:rPr>
      </w:pPr>
    </w:p>
    <w:p w:rsidR="00FD5FB0" w:rsidRDefault="000C5DDE">
      <w:pPr>
        <w:pStyle w:val="BodyText"/>
        <w:ind w:left="120"/>
      </w:pPr>
      <w:r>
        <w:t>The Bill makes amendments to:</w:t>
      </w:r>
    </w:p>
    <w:p w:rsidR="00FD5FB0" w:rsidRDefault="000C5DDE">
      <w:pPr>
        <w:pStyle w:val="ListParagraph"/>
        <w:numPr>
          <w:ilvl w:val="0"/>
          <w:numId w:val="1"/>
        </w:numPr>
        <w:tabs>
          <w:tab w:val="left" w:pos="840"/>
          <w:tab w:val="left" w:pos="841"/>
        </w:tabs>
        <w:spacing w:before="155" w:line="276" w:lineRule="auto"/>
        <w:ind w:right="152" w:hanging="352"/>
        <w:rPr>
          <w:sz w:val="24"/>
        </w:rPr>
      </w:pPr>
      <w:r>
        <w:rPr>
          <w:sz w:val="24"/>
        </w:rPr>
        <w:t>the</w:t>
      </w:r>
      <w:r>
        <w:rPr>
          <w:spacing w:val="-2"/>
          <w:sz w:val="24"/>
        </w:rPr>
        <w:t xml:space="preserve"> </w:t>
      </w:r>
      <w:r>
        <w:rPr>
          <w:i/>
          <w:sz w:val="24"/>
        </w:rPr>
        <w:t>Legislative</w:t>
      </w:r>
      <w:r>
        <w:rPr>
          <w:i/>
          <w:spacing w:val="-2"/>
          <w:sz w:val="24"/>
        </w:rPr>
        <w:t xml:space="preserve"> </w:t>
      </w:r>
      <w:r>
        <w:rPr>
          <w:i/>
          <w:sz w:val="24"/>
        </w:rPr>
        <w:t>Assembly</w:t>
      </w:r>
      <w:r>
        <w:rPr>
          <w:i/>
          <w:spacing w:val="-1"/>
          <w:sz w:val="24"/>
        </w:rPr>
        <w:t xml:space="preserve"> </w:t>
      </w:r>
      <w:r>
        <w:rPr>
          <w:i/>
          <w:sz w:val="24"/>
        </w:rPr>
        <w:t>(Office</w:t>
      </w:r>
      <w:r>
        <w:rPr>
          <w:i/>
          <w:spacing w:val="-2"/>
          <w:sz w:val="24"/>
        </w:rPr>
        <w:t xml:space="preserve"> </w:t>
      </w:r>
      <w:r>
        <w:rPr>
          <w:i/>
          <w:spacing w:val="4"/>
          <w:sz w:val="24"/>
        </w:rPr>
        <w:t>of</w:t>
      </w:r>
      <w:r>
        <w:rPr>
          <w:i/>
          <w:spacing w:val="-10"/>
          <w:sz w:val="24"/>
        </w:rPr>
        <w:t xml:space="preserve"> </w:t>
      </w:r>
      <w:r>
        <w:rPr>
          <w:i/>
          <w:sz w:val="24"/>
        </w:rPr>
        <w:t>the</w:t>
      </w:r>
      <w:r>
        <w:rPr>
          <w:i/>
          <w:spacing w:val="-2"/>
          <w:sz w:val="24"/>
        </w:rPr>
        <w:t xml:space="preserve"> </w:t>
      </w:r>
      <w:r>
        <w:rPr>
          <w:i/>
          <w:sz w:val="24"/>
        </w:rPr>
        <w:t>Legislative</w:t>
      </w:r>
      <w:r>
        <w:rPr>
          <w:i/>
          <w:spacing w:val="-2"/>
          <w:sz w:val="24"/>
        </w:rPr>
        <w:t xml:space="preserve"> </w:t>
      </w:r>
      <w:r>
        <w:rPr>
          <w:i/>
          <w:sz w:val="24"/>
        </w:rPr>
        <w:t>Assembly)</w:t>
      </w:r>
      <w:r>
        <w:rPr>
          <w:i/>
          <w:spacing w:val="-7"/>
          <w:sz w:val="24"/>
        </w:rPr>
        <w:t xml:space="preserve"> </w:t>
      </w:r>
      <w:r>
        <w:rPr>
          <w:i/>
          <w:sz w:val="24"/>
        </w:rPr>
        <w:t>Act</w:t>
      </w:r>
      <w:r>
        <w:rPr>
          <w:i/>
          <w:spacing w:val="-10"/>
          <w:sz w:val="24"/>
        </w:rPr>
        <w:t xml:space="preserve"> </w:t>
      </w:r>
      <w:r>
        <w:rPr>
          <w:i/>
          <w:spacing w:val="6"/>
          <w:sz w:val="24"/>
        </w:rPr>
        <w:t>2012</w:t>
      </w:r>
      <w:r>
        <w:rPr>
          <w:i/>
          <w:spacing w:val="-1"/>
          <w:sz w:val="24"/>
        </w:rPr>
        <w:t xml:space="preserve"> </w:t>
      </w:r>
      <w:r>
        <w:rPr>
          <w:sz w:val="24"/>
        </w:rPr>
        <w:t>(the</w:t>
      </w:r>
      <w:r>
        <w:rPr>
          <w:spacing w:val="-1"/>
          <w:sz w:val="24"/>
        </w:rPr>
        <w:t xml:space="preserve"> </w:t>
      </w:r>
      <w:r>
        <w:rPr>
          <w:sz w:val="24"/>
        </w:rPr>
        <w:t>OLA</w:t>
      </w:r>
      <w:r>
        <w:rPr>
          <w:spacing w:val="-5"/>
          <w:sz w:val="24"/>
        </w:rPr>
        <w:t xml:space="preserve"> </w:t>
      </w:r>
      <w:r>
        <w:rPr>
          <w:sz w:val="24"/>
        </w:rPr>
        <w:t xml:space="preserve">Act) to </w:t>
      </w:r>
      <w:r>
        <w:rPr>
          <w:spacing w:val="3"/>
          <w:sz w:val="24"/>
        </w:rPr>
        <w:t xml:space="preserve">provide </w:t>
      </w:r>
      <w:r>
        <w:rPr>
          <w:spacing w:val="7"/>
          <w:sz w:val="24"/>
        </w:rPr>
        <w:t xml:space="preserve">for </w:t>
      </w:r>
      <w:r>
        <w:rPr>
          <w:sz w:val="24"/>
        </w:rPr>
        <w:t xml:space="preserve">a communication allowance </w:t>
      </w:r>
      <w:r>
        <w:rPr>
          <w:spacing w:val="8"/>
          <w:sz w:val="24"/>
        </w:rPr>
        <w:t xml:space="preserve">for </w:t>
      </w:r>
      <w:r>
        <w:rPr>
          <w:sz w:val="24"/>
        </w:rPr>
        <w:t xml:space="preserve">Members </w:t>
      </w:r>
      <w:r>
        <w:rPr>
          <w:spacing w:val="4"/>
          <w:sz w:val="24"/>
        </w:rPr>
        <w:t xml:space="preserve">of </w:t>
      </w:r>
      <w:r>
        <w:rPr>
          <w:sz w:val="24"/>
        </w:rPr>
        <w:t xml:space="preserve">the Legislative </w:t>
      </w:r>
      <w:r>
        <w:rPr>
          <w:spacing w:val="2"/>
          <w:sz w:val="24"/>
        </w:rPr>
        <w:t xml:space="preserve">Assembly </w:t>
      </w:r>
      <w:r>
        <w:rPr>
          <w:sz w:val="24"/>
        </w:rPr>
        <w:t xml:space="preserve">(MLAs) to </w:t>
      </w:r>
      <w:r>
        <w:rPr>
          <w:spacing w:val="4"/>
          <w:sz w:val="24"/>
        </w:rPr>
        <w:t>be</w:t>
      </w:r>
      <w:r>
        <w:rPr>
          <w:spacing w:val="-7"/>
          <w:sz w:val="24"/>
        </w:rPr>
        <w:t xml:space="preserve"> </w:t>
      </w:r>
      <w:r>
        <w:rPr>
          <w:spacing w:val="2"/>
          <w:sz w:val="24"/>
        </w:rPr>
        <w:t>established;</w:t>
      </w:r>
    </w:p>
    <w:p w:rsidR="00FD5FB0" w:rsidRDefault="000C5DDE">
      <w:pPr>
        <w:pStyle w:val="ListParagraph"/>
        <w:numPr>
          <w:ilvl w:val="0"/>
          <w:numId w:val="1"/>
        </w:numPr>
        <w:tabs>
          <w:tab w:val="left" w:pos="840"/>
          <w:tab w:val="left" w:pos="841"/>
        </w:tabs>
        <w:spacing w:before="115" w:line="276" w:lineRule="auto"/>
        <w:ind w:right="199" w:hanging="352"/>
        <w:rPr>
          <w:sz w:val="24"/>
        </w:rPr>
      </w:pPr>
      <w:r>
        <w:rPr>
          <w:sz w:val="24"/>
        </w:rPr>
        <w:t>the</w:t>
      </w:r>
      <w:r>
        <w:rPr>
          <w:spacing w:val="-4"/>
          <w:sz w:val="24"/>
        </w:rPr>
        <w:t xml:space="preserve"> </w:t>
      </w:r>
      <w:r>
        <w:rPr>
          <w:i/>
          <w:spacing w:val="2"/>
          <w:sz w:val="24"/>
        </w:rPr>
        <w:t>Electoral</w:t>
      </w:r>
      <w:r>
        <w:rPr>
          <w:i/>
          <w:spacing w:val="-12"/>
          <w:sz w:val="24"/>
        </w:rPr>
        <w:t xml:space="preserve"> </w:t>
      </w:r>
      <w:r>
        <w:rPr>
          <w:i/>
          <w:sz w:val="24"/>
        </w:rPr>
        <w:t>Act</w:t>
      </w:r>
      <w:r>
        <w:rPr>
          <w:i/>
          <w:spacing w:val="-12"/>
          <w:sz w:val="24"/>
        </w:rPr>
        <w:t xml:space="preserve"> </w:t>
      </w:r>
      <w:r>
        <w:rPr>
          <w:i/>
          <w:spacing w:val="5"/>
          <w:sz w:val="24"/>
        </w:rPr>
        <w:t>1992</w:t>
      </w:r>
      <w:r>
        <w:rPr>
          <w:i/>
          <w:spacing w:val="-1"/>
          <w:sz w:val="24"/>
        </w:rPr>
        <w:t xml:space="preserve"> </w:t>
      </w:r>
      <w:r>
        <w:rPr>
          <w:sz w:val="24"/>
        </w:rPr>
        <w:t>to</w:t>
      </w:r>
      <w:r>
        <w:rPr>
          <w:spacing w:val="-1"/>
          <w:sz w:val="24"/>
        </w:rPr>
        <w:t xml:space="preserve"> </w:t>
      </w:r>
      <w:r>
        <w:rPr>
          <w:spacing w:val="2"/>
          <w:sz w:val="24"/>
        </w:rPr>
        <w:t>clarify</w:t>
      </w:r>
      <w:r>
        <w:rPr>
          <w:spacing w:val="-2"/>
          <w:sz w:val="24"/>
        </w:rPr>
        <w:t xml:space="preserve"> </w:t>
      </w:r>
      <w:r>
        <w:rPr>
          <w:spacing w:val="2"/>
          <w:sz w:val="24"/>
        </w:rPr>
        <w:t>that</w:t>
      </w:r>
      <w:r>
        <w:rPr>
          <w:spacing w:val="-12"/>
          <w:sz w:val="24"/>
        </w:rPr>
        <w:t xml:space="preserve"> </w:t>
      </w:r>
      <w:r>
        <w:rPr>
          <w:spacing w:val="2"/>
          <w:sz w:val="24"/>
        </w:rPr>
        <w:t>expenditure</w:t>
      </w:r>
      <w:r>
        <w:rPr>
          <w:spacing w:val="-21"/>
          <w:sz w:val="24"/>
        </w:rPr>
        <w:t xml:space="preserve"> </w:t>
      </w:r>
      <w:r>
        <w:rPr>
          <w:spacing w:val="5"/>
          <w:sz w:val="24"/>
        </w:rPr>
        <w:t>from</w:t>
      </w:r>
      <w:r>
        <w:rPr>
          <w:spacing w:val="-20"/>
          <w:sz w:val="24"/>
        </w:rPr>
        <w:t xml:space="preserve"> </w:t>
      </w:r>
      <w:r>
        <w:rPr>
          <w:spacing w:val="3"/>
          <w:sz w:val="24"/>
        </w:rPr>
        <w:t>such</w:t>
      </w:r>
      <w:r>
        <w:rPr>
          <w:spacing w:val="-2"/>
          <w:sz w:val="24"/>
        </w:rPr>
        <w:t xml:space="preserve"> </w:t>
      </w:r>
      <w:r>
        <w:rPr>
          <w:spacing w:val="2"/>
          <w:sz w:val="24"/>
        </w:rPr>
        <w:t>an</w:t>
      </w:r>
      <w:r>
        <w:rPr>
          <w:spacing w:val="-1"/>
          <w:sz w:val="24"/>
        </w:rPr>
        <w:t xml:space="preserve"> </w:t>
      </w:r>
      <w:r>
        <w:rPr>
          <w:spacing w:val="-3"/>
          <w:sz w:val="24"/>
        </w:rPr>
        <w:t>MLA</w:t>
      </w:r>
      <w:r>
        <w:rPr>
          <w:spacing w:val="-7"/>
          <w:sz w:val="24"/>
        </w:rPr>
        <w:t xml:space="preserve"> </w:t>
      </w:r>
      <w:r>
        <w:rPr>
          <w:sz w:val="24"/>
        </w:rPr>
        <w:t xml:space="preserve">communication </w:t>
      </w:r>
      <w:r>
        <w:rPr>
          <w:spacing w:val="3"/>
          <w:sz w:val="24"/>
        </w:rPr>
        <w:t xml:space="preserve">allowance </w:t>
      </w:r>
      <w:r>
        <w:rPr>
          <w:sz w:val="24"/>
        </w:rPr>
        <w:t xml:space="preserve">is </w:t>
      </w:r>
      <w:r>
        <w:rPr>
          <w:spacing w:val="5"/>
          <w:sz w:val="24"/>
        </w:rPr>
        <w:t xml:space="preserve">not </w:t>
      </w:r>
      <w:r>
        <w:rPr>
          <w:spacing w:val="3"/>
          <w:sz w:val="24"/>
        </w:rPr>
        <w:t xml:space="preserve">subject </w:t>
      </w:r>
      <w:r>
        <w:rPr>
          <w:sz w:val="24"/>
        </w:rPr>
        <w:t xml:space="preserve">to </w:t>
      </w:r>
      <w:r>
        <w:rPr>
          <w:spacing w:val="2"/>
          <w:sz w:val="24"/>
        </w:rPr>
        <w:t xml:space="preserve">electoral </w:t>
      </w:r>
      <w:r>
        <w:rPr>
          <w:sz w:val="24"/>
        </w:rPr>
        <w:t xml:space="preserve">expenditure </w:t>
      </w:r>
      <w:r>
        <w:rPr>
          <w:spacing w:val="4"/>
          <w:sz w:val="24"/>
        </w:rPr>
        <w:t xml:space="preserve">or </w:t>
      </w:r>
      <w:r>
        <w:rPr>
          <w:sz w:val="24"/>
        </w:rPr>
        <w:t xml:space="preserve">the </w:t>
      </w:r>
      <w:r>
        <w:rPr>
          <w:spacing w:val="2"/>
          <w:sz w:val="24"/>
        </w:rPr>
        <w:t xml:space="preserve">annual </w:t>
      </w:r>
      <w:r>
        <w:rPr>
          <w:sz w:val="24"/>
        </w:rPr>
        <w:t xml:space="preserve">expenditure reporting </w:t>
      </w:r>
      <w:r>
        <w:rPr>
          <w:spacing w:val="3"/>
          <w:sz w:val="24"/>
        </w:rPr>
        <w:t>requirements</w:t>
      </w:r>
      <w:r>
        <w:rPr>
          <w:spacing w:val="-10"/>
          <w:sz w:val="24"/>
        </w:rPr>
        <w:t xml:space="preserve"> </w:t>
      </w:r>
      <w:r>
        <w:rPr>
          <w:sz w:val="24"/>
        </w:rPr>
        <w:t>under</w:t>
      </w:r>
      <w:r>
        <w:rPr>
          <w:spacing w:val="-11"/>
          <w:sz w:val="24"/>
        </w:rPr>
        <w:t xml:space="preserve"> </w:t>
      </w:r>
      <w:r>
        <w:rPr>
          <w:sz w:val="24"/>
        </w:rPr>
        <w:t>section</w:t>
      </w:r>
      <w:r>
        <w:rPr>
          <w:spacing w:val="-21"/>
          <w:sz w:val="24"/>
        </w:rPr>
        <w:t xml:space="preserve"> </w:t>
      </w:r>
      <w:r>
        <w:rPr>
          <w:spacing w:val="4"/>
          <w:sz w:val="24"/>
        </w:rPr>
        <w:t>230</w:t>
      </w:r>
      <w:r>
        <w:rPr>
          <w:spacing w:val="-4"/>
          <w:sz w:val="24"/>
        </w:rPr>
        <w:t xml:space="preserve"> </w:t>
      </w:r>
      <w:r>
        <w:rPr>
          <w:spacing w:val="4"/>
          <w:sz w:val="24"/>
        </w:rPr>
        <w:t>of</w:t>
      </w:r>
      <w:r>
        <w:rPr>
          <w:spacing w:val="-11"/>
          <w:sz w:val="24"/>
        </w:rPr>
        <w:t xml:space="preserve"> </w:t>
      </w:r>
      <w:r>
        <w:rPr>
          <w:sz w:val="24"/>
        </w:rPr>
        <w:t>the</w:t>
      </w:r>
      <w:r>
        <w:rPr>
          <w:spacing w:val="-6"/>
          <w:sz w:val="24"/>
        </w:rPr>
        <w:t xml:space="preserve"> </w:t>
      </w:r>
      <w:r>
        <w:rPr>
          <w:sz w:val="24"/>
        </w:rPr>
        <w:t>Electoral</w:t>
      </w:r>
      <w:r>
        <w:rPr>
          <w:spacing w:val="-15"/>
          <w:sz w:val="24"/>
        </w:rPr>
        <w:t xml:space="preserve"> </w:t>
      </w:r>
      <w:r>
        <w:rPr>
          <w:sz w:val="24"/>
        </w:rPr>
        <w:t>Act.</w:t>
      </w:r>
    </w:p>
    <w:p w:rsidR="00FD5FB0" w:rsidRDefault="00FD5FB0">
      <w:pPr>
        <w:pStyle w:val="BodyText"/>
        <w:rPr>
          <w:sz w:val="26"/>
        </w:rPr>
      </w:pPr>
    </w:p>
    <w:p w:rsidR="00FD5FB0" w:rsidRDefault="00FD5FB0">
      <w:pPr>
        <w:pStyle w:val="BodyText"/>
        <w:spacing w:before="5"/>
        <w:rPr>
          <w:sz w:val="31"/>
        </w:rPr>
      </w:pPr>
    </w:p>
    <w:p w:rsidR="00FD5FB0" w:rsidRDefault="000C5DDE">
      <w:pPr>
        <w:pStyle w:val="Heading2"/>
      </w:pPr>
      <w:bookmarkStart w:id="4" w:name="Human_rights_considerations"/>
      <w:bookmarkEnd w:id="4"/>
      <w:r>
        <w:rPr>
          <w:u w:val="single"/>
        </w:rPr>
        <w:t>Human rights considerations</w:t>
      </w:r>
    </w:p>
    <w:p w:rsidR="00FD5FB0" w:rsidRDefault="00FD5FB0">
      <w:pPr>
        <w:pStyle w:val="BodyText"/>
        <w:spacing w:before="10"/>
        <w:rPr>
          <w:b/>
          <w:sz w:val="16"/>
        </w:rPr>
      </w:pPr>
    </w:p>
    <w:p w:rsidR="00FD5FB0" w:rsidRDefault="000C5DDE">
      <w:pPr>
        <w:pStyle w:val="BodyText"/>
        <w:spacing w:before="90" w:line="278" w:lineRule="auto"/>
        <w:ind w:left="120"/>
      </w:pPr>
      <w:r>
        <w:t xml:space="preserve">The preamble to the </w:t>
      </w:r>
      <w:r>
        <w:rPr>
          <w:i/>
        </w:rPr>
        <w:t xml:space="preserve">Human Rights Act 2004 </w:t>
      </w:r>
      <w:r>
        <w:t>(HR Act) notes that few rights are absolute and that they may be subject only to the reasonable limits in law that can be demonstrably</w:t>
      </w:r>
    </w:p>
    <w:p w:rsidR="00FD5FB0" w:rsidRDefault="000C5DDE">
      <w:pPr>
        <w:pStyle w:val="BodyText"/>
        <w:spacing w:line="260" w:lineRule="exact"/>
        <w:ind w:left="120"/>
      </w:pPr>
      <w:r>
        <w:t>justified in a free and democratic society. Section 28 (2) of the HR Act contains the</w:t>
      </w:r>
    </w:p>
    <w:p w:rsidR="00FD5FB0" w:rsidRDefault="00FD5FB0">
      <w:pPr>
        <w:spacing w:line="260" w:lineRule="exact"/>
        <w:sectPr w:rsidR="00FD5FB0">
          <w:footerReference w:type="default" r:id="rId8"/>
          <w:pgSz w:w="11910" w:h="16840"/>
          <w:pgMar w:top="1580" w:right="1320" w:bottom="1420" w:left="1320" w:header="0" w:footer="1227" w:gutter="0"/>
          <w:pgNumType w:start="1"/>
          <w:cols w:space="720"/>
        </w:sectPr>
      </w:pPr>
    </w:p>
    <w:p w:rsidR="00FD5FB0" w:rsidRDefault="000C5DDE">
      <w:pPr>
        <w:pStyle w:val="BodyText"/>
        <w:spacing w:before="67" w:line="278" w:lineRule="auto"/>
        <w:ind w:left="119"/>
      </w:pPr>
      <w:r>
        <w:lastRenderedPageBreak/>
        <w:t>framework that is used to determine the acceptable limitations that may be placed on human rights.</w:t>
      </w:r>
    </w:p>
    <w:p w:rsidR="00FD5FB0" w:rsidRDefault="00FD5FB0">
      <w:pPr>
        <w:pStyle w:val="BodyText"/>
        <w:spacing w:before="10"/>
        <w:rPr>
          <w:sz w:val="20"/>
        </w:rPr>
      </w:pPr>
    </w:p>
    <w:p w:rsidR="00FD5FB0" w:rsidRDefault="000C5DDE">
      <w:pPr>
        <w:pStyle w:val="BodyText"/>
        <w:spacing w:line="276" w:lineRule="auto"/>
        <w:ind w:left="119" w:right="115"/>
        <w:jc w:val="both"/>
        <w:rPr>
          <w:sz w:val="16"/>
        </w:rPr>
      </w:pPr>
      <w:r>
        <w:t xml:space="preserve">The responsibility </w:t>
      </w:r>
      <w:r>
        <w:rPr>
          <w:spacing w:val="3"/>
        </w:rPr>
        <w:t xml:space="preserve">of </w:t>
      </w:r>
      <w:r>
        <w:rPr>
          <w:spacing w:val="2"/>
        </w:rPr>
        <w:t xml:space="preserve">governments </w:t>
      </w:r>
      <w:r>
        <w:t xml:space="preserve">to </w:t>
      </w:r>
      <w:r>
        <w:rPr>
          <w:spacing w:val="3"/>
        </w:rPr>
        <w:t xml:space="preserve">undertake measures </w:t>
      </w:r>
      <w:r>
        <w:t xml:space="preserve">to </w:t>
      </w:r>
      <w:r>
        <w:rPr>
          <w:spacing w:val="3"/>
        </w:rPr>
        <w:t xml:space="preserve">protect </w:t>
      </w:r>
      <w:r>
        <w:t xml:space="preserve">their citizens </w:t>
      </w:r>
      <w:r>
        <w:rPr>
          <w:spacing w:val="4"/>
        </w:rPr>
        <w:t xml:space="preserve">has </w:t>
      </w:r>
      <w:r>
        <w:rPr>
          <w:spacing w:val="-4"/>
        </w:rPr>
        <w:t xml:space="preserve">been </w:t>
      </w:r>
      <w:r>
        <w:rPr>
          <w:spacing w:val="3"/>
        </w:rPr>
        <w:t xml:space="preserve">discussed </w:t>
      </w:r>
      <w:r>
        <w:t xml:space="preserve">in </w:t>
      </w:r>
      <w:r>
        <w:rPr>
          <w:spacing w:val="3"/>
        </w:rPr>
        <w:t xml:space="preserve">European </w:t>
      </w:r>
      <w:r>
        <w:rPr>
          <w:spacing w:val="4"/>
        </w:rPr>
        <w:t xml:space="preserve">human </w:t>
      </w:r>
      <w:r>
        <w:t xml:space="preserve">rights </w:t>
      </w:r>
      <w:r>
        <w:rPr>
          <w:spacing w:val="2"/>
        </w:rPr>
        <w:t xml:space="preserve">jurisprudence. </w:t>
      </w:r>
      <w:r>
        <w:t xml:space="preserve">This responsibility </w:t>
      </w:r>
      <w:r>
        <w:rPr>
          <w:spacing w:val="4"/>
        </w:rPr>
        <w:t xml:space="preserve">has been </w:t>
      </w:r>
      <w:r>
        <w:t xml:space="preserve">described </w:t>
      </w:r>
      <w:r>
        <w:rPr>
          <w:spacing w:val="-6"/>
        </w:rPr>
        <w:t xml:space="preserve">as </w:t>
      </w:r>
      <w:r>
        <w:t>the</w:t>
      </w:r>
      <w:r>
        <w:rPr>
          <w:spacing w:val="-6"/>
        </w:rPr>
        <w:t xml:space="preserve"> </w:t>
      </w:r>
      <w:r>
        <w:rPr>
          <w:spacing w:val="2"/>
        </w:rPr>
        <w:t>‘doctrine</w:t>
      </w:r>
      <w:r>
        <w:rPr>
          <w:spacing w:val="-6"/>
        </w:rPr>
        <w:t xml:space="preserve"> </w:t>
      </w:r>
      <w:r>
        <w:rPr>
          <w:spacing w:val="3"/>
        </w:rPr>
        <w:t>of</w:t>
      </w:r>
      <w:r>
        <w:rPr>
          <w:spacing w:val="6"/>
        </w:rPr>
        <w:t xml:space="preserve"> </w:t>
      </w:r>
      <w:r>
        <w:t>positive</w:t>
      </w:r>
      <w:r>
        <w:rPr>
          <w:spacing w:val="-6"/>
        </w:rPr>
        <w:t xml:space="preserve"> </w:t>
      </w:r>
      <w:r>
        <w:t>obligations’</w:t>
      </w:r>
      <w:r>
        <w:rPr>
          <w:spacing w:val="-11"/>
        </w:rPr>
        <w:t xml:space="preserve"> </w:t>
      </w:r>
      <w:r>
        <w:rPr>
          <w:spacing w:val="2"/>
        </w:rPr>
        <w:t>which</w:t>
      </w:r>
      <w:r>
        <w:rPr>
          <w:spacing w:val="-4"/>
        </w:rPr>
        <w:t xml:space="preserve"> </w:t>
      </w:r>
      <w:r>
        <w:t>encompasses</w:t>
      </w:r>
      <w:r>
        <w:rPr>
          <w:spacing w:val="-25"/>
        </w:rPr>
        <w:t xml:space="preserve"> </w:t>
      </w:r>
      <w:r>
        <w:t>the</w:t>
      </w:r>
      <w:r>
        <w:rPr>
          <w:spacing w:val="-5"/>
        </w:rPr>
        <w:t xml:space="preserve"> </w:t>
      </w:r>
      <w:r>
        <w:rPr>
          <w:spacing w:val="2"/>
        </w:rPr>
        <w:t>notion</w:t>
      </w:r>
      <w:r>
        <w:rPr>
          <w:spacing w:val="-19"/>
        </w:rPr>
        <w:t xml:space="preserve"> </w:t>
      </w:r>
      <w:r>
        <w:rPr>
          <w:spacing w:val="2"/>
        </w:rPr>
        <w:t>that</w:t>
      </w:r>
      <w:r>
        <w:rPr>
          <w:spacing w:val="-14"/>
        </w:rPr>
        <w:t xml:space="preserve"> </w:t>
      </w:r>
      <w:r>
        <w:t>governments</w:t>
      </w:r>
      <w:r>
        <w:rPr>
          <w:spacing w:val="-9"/>
        </w:rPr>
        <w:t xml:space="preserve"> </w:t>
      </w:r>
      <w:r>
        <w:t>not</w:t>
      </w:r>
      <w:r>
        <w:rPr>
          <w:spacing w:val="-14"/>
        </w:rPr>
        <w:t xml:space="preserve"> </w:t>
      </w:r>
      <w:r>
        <w:rPr>
          <w:spacing w:val="-9"/>
        </w:rPr>
        <w:t xml:space="preserve">only </w:t>
      </w:r>
      <w:r>
        <w:rPr>
          <w:spacing w:val="4"/>
        </w:rPr>
        <w:t>have</w:t>
      </w:r>
      <w:r>
        <w:rPr>
          <w:spacing w:val="-20"/>
        </w:rPr>
        <w:t xml:space="preserve"> </w:t>
      </w:r>
      <w:r>
        <w:t>the</w:t>
      </w:r>
      <w:r>
        <w:rPr>
          <w:spacing w:val="-19"/>
        </w:rPr>
        <w:t xml:space="preserve"> </w:t>
      </w:r>
      <w:r>
        <w:t>responsibility</w:t>
      </w:r>
      <w:r>
        <w:rPr>
          <w:spacing w:val="-17"/>
        </w:rPr>
        <w:t xml:space="preserve"> </w:t>
      </w:r>
      <w:r>
        <w:t>to</w:t>
      </w:r>
      <w:r>
        <w:rPr>
          <w:spacing w:val="-18"/>
        </w:rPr>
        <w:t xml:space="preserve"> </w:t>
      </w:r>
      <w:r>
        <w:rPr>
          <w:spacing w:val="3"/>
        </w:rPr>
        <w:t>ensure</w:t>
      </w:r>
      <w:r>
        <w:rPr>
          <w:spacing w:val="-19"/>
        </w:rPr>
        <w:t xml:space="preserve"> </w:t>
      </w:r>
      <w:proofErr w:type="spellStart"/>
      <w:r>
        <w:rPr>
          <w:spacing w:val="6"/>
        </w:rPr>
        <w:t>thathuman</w:t>
      </w:r>
      <w:proofErr w:type="spellEnd"/>
      <w:r>
        <w:rPr>
          <w:spacing w:val="-17"/>
        </w:rPr>
        <w:t xml:space="preserve"> </w:t>
      </w:r>
      <w:r>
        <w:t>rights</w:t>
      </w:r>
      <w:r>
        <w:rPr>
          <w:spacing w:val="-23"/>
        </w:rPr>
        <w:t xml:space="preserve"> </w:t>
      </w:r>
      <w:r>
        <w:rPr>
          <w:spacing w:val="3"/>
        </w:rPr>
        <w:t>be</w:t>
      </w:r>
      <w:r>
        <w:rPr>
          <w:spacing w:val="-19"/>
        </w:rPr>
        <w:t xml:space="preserve"> </w:t>
      </w:r>
      <w:r>
        <w:rPr>
          <w:spacing w:val="5"/>
        </w:rPr>
        <w:t>free</w:t>
      </w:r>
      <w:r>
        <w:rPr>
          <w:spacing w:val="-20"/>
        </w:rPr>
        <w:t xml:space="preserve"> </w:t>
      </w:r>
      <w:r>
        <w:rPr>
          <w:spacing w:val="5"/>
        </w:rPr>
        <w:t>from</w:t>
      </w:r>
      <w:r>
        <w:rPr>
          <w:spacing w:val="-19"/>
        </w:rPr>
        <w:t xml:space="preserve"> </w:t>
      </w:r>
      <w:r>
        <w:rPr>
          <w:spacing w:val="2"/>
        </w:rPr>
        <w:t>violation,</w:t>
      </w:r>
      <w:r>
        <w:rPr>
          <w:spacing w:val="-22"/>
        </w:rPr>
        <w:t xml:space="preserve"> </w:t>
      </w:r>
      <w:proofErr w:type="spellStart"/>
      <w:r>
        <w:rPr>
          <w:spacing w:val="3"/>
        </w:rPr>
        <w:t>butthatgovernments</w:t>
      </w:r>
      <w:proofErr w:type="spellEnd"/>
      <w:r>
        <w:rPr>
          <w:spacing w:val="3"/>
        </w:rPr>
        <w:t xml:space="preserve"> </w:t>
      </w:r>
      <w:r>
        <w:t xml:space="preserve">are </w:t>
      </w:r>
      <w:r>
        <w:rPr>
          <w:spacing w:val="2"/>
        </w:rPr>
        <w:t xml:space="preserve">required </w:t>
      </w:r>
      <w:r>
        <w:t xml:space="preserve">to </w:t>
      </w:r>
      <w:r>
        <w:rPr>
          <w:spacing w:val="3"/>
        </w:rPr>
        <w:t xml:space="preserve">provide </w:t>
      </w:r>
      <w:r>
        <w:rPr>
          <w:spacing w:val="7"/>
        </w:rPr>
        <w:t xml:space="preserve">for </w:t>
      </w:r>
      <w:r>
        <w:t xml:space="preserve">the </w:t>
      </w:r>
      <w:r>
        <w:rPr>
          <w:spacing w:val="5"/>
        </w:rPr>
        <w:t xml:space="preserve">full </w:t>
      </w:r>
      <w:r>
        <w:rPr>
          <w:spacing w:val="4"/>
        </w:rPr>
        <w:t xml:space="preserve">enjoyment </w:t>
      </w:r>
      <w:r>
        <w:rPr>
          <w:spacing w:val="3"/>
        </w:rPr>
        <w:t xml:space="preserve">of </w:t>
      </w:r>
      <w:r>
        <w:rPr>
          <w:spacing w:val="2"/>
        </w:rPr>
        <w:t>rights.</w:t>
      </w:r>
      <w:hyperlink w:anchor="_bookmark0" w:history="1">
        <w:r>
          <w:rPr>
            <w:spacing w:val="2"/>
            <w:position w:val="6"/>
            <w:sz w:val="16"/>
          </w:rPr>
          <w:t xml:space="preserve">1 </w:t>
        </w:r>
      </w:hyperlink>
      <w:r>
        <w:t xml:space="preserve">This </w:t>
      </w:r>
      <w:r>
        <w:rPr>
          <w:spacing w:val="2"/>
        </w:rPr>
        <w:t xml:space="preserve">notion </w:t>
      </w:r>
      <w:r>
        <w:rPr>
          <w:spacing w:val="4"/>
        </w:rPr>
        <w:t xml:space="preserve">has been </w:t>
      </w:r>
      <w:r>
        <w:t xml:space="preserve">interpreted </w:t>
      </w:r>
      <w:r>
        <w:rPr>
          <w:spacing w:val="-6"/>
        </w:rPr>
        <w:t xml:space="preserve">as </w:t>
      </w:r>
      <w:r>
        <w:rPr>
          <w:spacing w:val="2"/>
        </w:rPr>
        <w:t xml:space="preserve">requiring </w:t>
      </w:r>
      <w:r>
        <w:t xml:space="preserve">states to </w:t>
      </w:r>
      <w:r>
        <w:rPr>
          <w:spacing w:val="5"/>
        </w:rPr>
        <w:t xml:space="preserve">put </w:t>
      </w:r>
      <w:r>
        <w:t xml:space="preserve">in </w:t>
      </w:r>
      <w:r>
        <w:rPr>
          <w:spacing w:val="3"/>
        </w:rPr>
        <w:t xml:space="preserve">place </w:t>
      </w:r>
      <w:r>
        <w:t xml:space="preserve">legislative </w:t>
      </w:r>
      <w:r>
        <w:rPr>
          <w:spacing w:val="4"/>
        </w:rPr>
        <w:t xml:space="preserve">and </w:t>
      </w:r>
      <w:r>
        <w:t xml:space="preserve">administrative </w:t>
      </w:r>
      <w:r>
        <w:rPr>
          <w:spacing w:val="3"/>
        </w:rPr>
        <w:t xml:space="preserve">frameworks </w:t>
      </w:r>
      <w:r>
        <w:rPr>
          <w:spacing w:val="2"/>
        </w:rPr>
        <w:t xml:space="preserve">designed </w:t>
      </w:r>
      <w:r>
        <w:t xml:space="preserve">to deter </w:t>
      </w:r>
      <w:r>
        <w:rPr>
          <w:spacing w:val="5"/>
        </w:rPr>
        <w:t xml:space="preserve">conduct </w:t>
      </w:r>
      <w:r>
        <w:rPr>
          <w:spacing w:val="2"/>
        </w:rPr>
        <w:t xml:space="preserve">that infringes </w:t>
      </w:r>
      <w:r>
        <w:rPr>
          <w:spacing w:val="4"/>
        </w:rPr>
        <w:t xml:space="preserve">human </w:t>
      </w:r>
      <w:r>
        <w:t xml:space="preserve">rights </w:t>
      </w:r>
      <w:r>
        <w:rPr>
          <w:spacing w:val="4"/>
        </w:rPr>
        <w:t xml:space="preserve">and </w:t>
      </w:r>
      <w:r>
        <w:t xml:space="preserve">to </w:t>
      </w:r>
      <w:r>
        <w:rPr>
          <w:spacing w:val="3"/>
        </w:rPr>
        <w:t xml:space="preserve">undertake operational measures </w:t>
      </w:r>
      <w:r>
        <w:t xml:space="preserve">to </w:t>
      </w:r>
      <w:r>
        <w:rPr>
          <w:spacing w:val="3"/>
        </w:rPr>
        <w:t xml:space="preserve">protect </w:t>
      </w:r>
      <w:r>
        <w:rPr>
          <w:spacing w:val="-6"/>
        </w:rPr>
        <w:t xml:space="preserve">an </w:t>
      </w:r>
      <w:r>
        <w:rPr>
          <w:spacing w:val="3"/>
        </w:rPr>
        <w:t>individual</w:t>
      </w:r>
      <w:r>
        <w:rPr>
          <w:spacing w:val="-15"/>
        </w:rPr>
        <w:t xml:space="preserve"> </w:t>
      </w:r>
      <w:r>
        <w:rPr>
          <w:spacing w:val="3"/>
        </w:rPr>
        <w:t>who</w:t>
      </w:r>
      <w:r>
        <w:rPr>
          <w:spacing w:val="-3"/>
        </w:rPr>
        <w:t xml:space="preserve"> </w:t>
      </w:r>
      <w:r>
        <w:t>is</w:t>
      </w:r>
      <w:r>
        <w:rPr>
          <w:spacing w:val="-9"/>
        </w:rPr>
        <w:t xml:space="preserve"> </w:t>
      </w:r>
      <w:r>
        <w:rPr>
          <w:spacing w:val="2"/>
        </w:rPr>
        <w:t>at</w:t>
      </w:r>
      <w:r>
        <w:rPr>
          <w:spacing w:val="-14"/>
        </w:rPr>
        <w:t xml:space="preserve"> </w:t>
      </w:r>
      <w:r>
        <w:t>risk</w:t>
      </w:r>
      <w:r>
        <w:rPr>
          <w:spacing w:val="-3"/>
        </w:rPr>
        <w:t xml:space="preserve"> </w:t>
      </w:r>
      <w:r>
        <w:rPr>
          <w:spacing w:val="4"/>
        </w:rPr>
        <w:t>of</w:t>
      </w:r>
      <w:r>
        <w:rPr>
          <w:spacing w:val="5"/>
        </w:rPr>
        <w:t xml:space="preserve"> </w:t>
      </w:r>
      <w:r>
        <w:rPr>
          <w:spacing w:val="4"/>
        </w:rPr>
        <w:t>suffering</w:t>
      </w:r>
      <w:r>
        <w:rPr>
          <w:spacing w:val="-19"/>
        </w:rPr>
        <w:t xml:space="preserve"> </w:t>
      </w:r>
      <w:r>
        <w:t>treatment</w:t>
      </w:r>
      <w:r>
        <w:rPr>
          <w:spacing w:val="-15"/>
        </w:rPr>
        <w:t xml:space="preserve"> </w:t>
      </w:r>
      <w:r>
        <w:rPr>
          <w:spacing w:val="2"/>
        </w:rPr>
        <w:t>that</w:t>
      </w:r>
      <w:r>
        <w:rPr>
          <w:spacing w:val="-14"/>
        </w:rPr>
        <w:t xml:space="preserve"> </w:t>
      </w:r>
      <w:r>
        <w:rPr>
          <w:spacing w:val="3"/>
        </w:rPr>
        <w:t>would</w:t>
      </w:r>
      <w:r>
        <w:rPr>
          <w:spacing w:val="-3"/>
        </w:rPr>
        <w:t xml:space="preserve"> </w:t>
      </w:r>
      <w:r>
        <w:t>infringe</w:t>
      </w:r>
      <w:r>
        <w:rPr>
          <w:spacing w:val="-6"/>
        </w:rPr>
        <w:t xml:space="preserve"> </w:t>
      </w:r>
      <w:r>
        <w:t>their</w:t>
      </w:r>
      <w:r>
        <w:rPr>
          <w:spacing w:val="-11"/>
        </w:rPr>
        <w:t xml:space="preserve"> </w:t>
      </w:r>
      <w:r>
        <w:t>rights.</w:t>
      </w:r>
      <w:hyperlink w:anchor="_bookmark1" w:history="1">
        <w:r>
          <w:rPr>
            <w:position w:val="6"/>
            <w:sz w:val="16"/>
          </w:rPr>
          <w:t>2</w:t>
        </w:r>
      </w:hyperlink>
    </w:p>
    <w:p w:rsidR="00FD5FB0" w:rsidRDefault="00FD5FB0">
      <w:pPr>
        <w:pStyle w:val="BodyText"/>
        <w:spacing w:before="4"/>
        <w:rPr>
          <w:sz w:val="21"/>
        </w:rPr>
      </w:pPr>
    </w:p>
    <w:p w:rsidR="00FD5FB0" w:rsidRDefault="000C5DDE">
      <w:pPr>
        <w:pStyle w:val="BodyText"/>
        <w:spacing w:line="264" w:lineRule="auto"/>
        <w:ind w:left="120" w:right="136"/>
        <w:jc w:val="both"/>
      </w:pPr>
      <w:r>
        <w:t>Section 28 of the HR Act requires that any limitation on a human right must be authorised by a Territory law, be based on evidence, and be reasonable to achieve a legitimate aim.</w:t>
      </w:r>
    </w:p>
    <w:p w:rsidR="00FD5FB0" w:rsidRDefault="000C5DDE">
      <w:pPr>
        <w:pStyle w:val="BodyText"/>
        <w:spacing w:before="17" w:line="278" w:lineRule="auto"/>
        <w:ind w:left="120" w:right="127"/>
        <w:jc w:val="both"/>
      </w:pPr>
      <w:r>
        <w:t xml:space="preserve">Whether a limitation is reasonable depends on whether it is proportionate. Proportionality can be understood and assessed as explained in </w:t>
      </w:r>
      <w:r>
        <w:rPr>
          <w:i/>
        </w:rPr>
        <w:t>R v Oakes</w:t>
      </w:r>
      <w:r>
        <w:t>.</w:t>
      </w:r>
      <w:hyperlink w:anchor="_bookmark2" w:history="1">
        <w:r>
          <w:rPr>
            <w:position w:val="6"/>
            <w:sz w:val="16"/>
          </w:rPr>
          <w:t xml:space="preserve">3 </w:t>
        </w:r>
      </w:hyperlink>
      <w:r>
        <w:t>A party must show that:</w:t>
      </w:r>
    </w:p>
    <w:p w:rsidR="00FD5FB0" w:rsidRDefault="00FD5FB0">
      <w:pPr>
        <w:pStyle w:val="BodyText"/>
        <w:spacing w:before="9"/>
        <w:rPr>
          <w:sz w:val="20"/>
        </w:rPr>
      </w:pPr>
    </w:p>
    <w:p w:rsidR="00FD5FB0" w:rsidRDefault="000C5DDE">
      <w:pPr>
        <w:ind w:left="840"/>
        <w:rPr>
          <w:i/>
          <w:sz w:val="24"/>
        </w:rPr>
      </w:pPr>
      <w:r>
        <w:rPr>
          <w:i/>
          <w:sz w:val="24"/>
        </w:rPr>
        <w:t>[f]</w:t>
      </w:r>
      <w:proofErr w:type="spellStart"/>
      <w:r>
        <w:rPr>
          <w:i/>
          <w:sz w:val="24"/>
        </w:rPr>
        <w:t>irst</w:t>
      </w:r>
      <w:proofErr w:type="spellEnd"/>
      <w:r>
        <w:rPr>
          <w:i/>
          <w:sz w:val="24"/>
        </w:rPr>
        <w:t>, the measures adopted must be carefully designed to achieve the objective in</w:t>
      </w:r>
    </w:p>
    <w:p w:rsidR="00FD5FB0" w:rsidRDefault="000C5DDE">
      <w:pPr>
        <w:spacing w:before="44" w:line="271" w:lineRule="auto"/>
        <w:ind w:left="840"/>
        <w:rPr>
          <w:i/>
          <w:sz w:val="24"/>
        </w:rPr>
      </w:pPr>
      <w:r>
        <w:rPr>
          <w:i/>
          <w:sz w:val="24"/>
        </w:rPr>
        <w:t>question. They must not be arbitrary, unfair or based on irrational considerations. In short, they must be rationally connected to the objective. Second, the means, even if rationally connected to the objective in this first sense, should impair “as little as</w:t>
      </w:r>
    </w:p>
    <w:p w:rsidR="00FD5FB0" w:rsidRDefault="000C5DDE">
      <w:pPr>
        <w:spacing w:before="9" w:line="278" w:lineRule="auto"/>
        <w:ind w:left="840" w:right="112"/>
        <w:rPr>
          <w:i/>
          <w:sz w:val="24"/>
        </w:rPr>
      </w:pPr>
      <w:r>
        <w:rPr>
          <w:i/>
          <w:sz w:val="24"/>
        </w:rPr>
        <w:t>possible” the right or freedom in question. Third, there must be a proportionality between the effects of the measures which are responsible for limiting the Charter right or freedom, and the objective which has been identified as of “sufficient</w:t>
      </w:r>
    </w:p>
    <w:p w:rsidR="00FD5FB0" w:rsidRDefault="000C5DDE">
      <w:pPr>
        <w:spacing w:line="275" w:lineRule="exact"/>
        <w:ind w:left="840"/>
        <w:rPr>
          <w:sz w:val="16"/>
        </w:rPr>
      </w:pPr>
      <w:r>
        <w:rPr>
          <w:i/>
          <w:sz w:val="24"/>
        </w:rPr>
        <w:t>importance”</w:t>
      </w:r>
      <w:r>
        <w:rPr>
          <w:sz w:val="24"/>
        </w:rPr>
        <w:t>.</w:t>
      </w:r>
      <w:hyperlink w:anchor="_bookmark3" w:history="1">
        <w:r>
          <w:rPr>
            <w:position w:val="6"/>
            <w:sz w:val="16"/>
          </w:rPr>
          <w:t>4</w:t>
        </w:r>
      </w:hyperlink>
    </w:p>
    <w:p w:rsidR="00FD5FB0" w:rsidRDefault="00FD5FB0">
      <w:pPr>
        <w:pStyle w:val="BodyText"/>
        <w:spacing w:before="8"/>
      </w:pPr>
    </w:p>
    <w:p w:rsidR="00FD5FB0" w:rsidRDefault="000C5DDE">
      <w:pPr>
        <w:pStyle w:val="Heading2"/>
        <w:jc w:val="both"/>
      </w:pPr>
      <w:bookmarkStart w:id="5" w:name="Detailed_human_rights_discussion"/>
      <w:bookmarkEnd w:id="5"/>
      <w:r>
        <w:rPr>
          <w:u w:val="single"/>
        </w:rPr>
        <w:t>Detailed human rights discussion</w:t>
      </w:r>
    </w:p>
    <w:p w:rsidR="00FD5FB0" w:rsidRDefault="00FD5FB0">
      <w:pPr>
        <w:pStyle w:val="BodyText"/>
        <w:spacing w:before="10"/>
        <w:rPr>
          <w:b/>
          <w:sz w:val="16"/>
        </w:rPr>
      </w:pPr>
    </w:p>
    <w:p w:rsidR="00FD5FB0" w:rsidRDefault="000C5DDE">
      <w:pPr>
        <w:pStyle w:val="Heading3"/>
        <w:spacing w:before="90"/>
        <w:ind w:left="120"/>
      </w:pPr>
      <w:r>
        <w:rPr>
          <w:u w:val="single"/>
        </w:rPr>
        <w:t>Rights engaged</w:t>
      </w:r>
    </w:p>
    <w:p w:rsidR="00FD5FB0" w:rsidRDefault="00FD5FB0">
      <w:pPr>
        <w:pStyle w:val="BodyText"/>
        <w:spacing w:before="10"/>
        <w:rPr>
          <w:b/>
          <w:i/>
          <w:sz w:val="16"/>
        </w:rPr>
      </w:pPr>
    </w:p>
    <w:p w:rsidR="00FD5FB0" w:rsidRDefault="000C5DDE">
      <w:pPr>
        <w:pStyle w:val="BodyText"/>
        <w:spacing w:before="90" w:line="264" w:lineRule="auto"/>
        <w:ind w:left="120" w:right="112"/>
      </w:pPr>
      <w:r>
        <w:t>The Bill engages the rights of privacy and reputation, freedom of expression, and taking part in public life. An analysis on the impact of the proposed amendments on these rights are</w:t>
      </w:r>
    </w:p>
    <w:p w:rsidR="00FD5FB0" w:rsidRDefault="000C5DDE">
      <w:pPr>
        <w:pStyle w:val="BodyText"/>
        <w:spacing w:before="17"/>
        <w:ind w:left="120"/>
      </w:pPr>
      <w:r>
        <w:t>discussed below.</w:t>
      </w:r>
    </w:p>
    <w:p w:rsidR="00FD5FB0" w:rsidRDefault="00FD5FB0">
      <w:pPr>
        <w:pStyle w:val="BodyText"/>
        <w:spacing w:before="8"/>
      </w:pPr>
    </w:p>
    <w:p w:rsidR="00FD5FB0" w:rsidRDefault="000C5DDE">
      <w:pPr>
        <w:pStyle w:val="BodyText"/>
        <w:spacing w:line="264" w:lineRule="auto"/>
        <w:ind w:left="119" w:right="112"/>
      </w:pPr>
      <w:r>
        <w:t>Broadly, the Bill does not introduce any limitations on HR Act rights and engages the following rights:</w:t>
      </w:r>
    </w:p>
    <w:p w:rsidR="00FD5FB0" w:rsidRDefault="00FD5FB0">
      <w:pPr>
        <w:pStyle w:val="BodyText"/>
        <w:spacing w:before="7"/>
        <w:rPr>
          <w:sz w:val="23"/>
        </w:rPr>
      </w:pPr>
    </w:p>
    <w:p w:rsidR="00FD5FB0" w:rsidRDefault="000C5DDE">
      <w:pPr>
        <w:pStyle w:val="ListParagraph"/>
        <w:numPr>
          <w:ilvl w:val="0"/>
          <w:numId w:val="1"/>
        </w:numPr>
        <w:tabs>
          <w:tab w:val="left" w:pos="840"/>
          <w:tab w:val="left" w:pos="841"/>
        </w:tabs>
        <w:ind w:hanging="368"/>
        <w:rPr>
          <w:sz w:val="24"/>
        </w:rPr>
      </w:pPr>
      <w:r>
        <w:rPr>
          <w:sz w:val="24"/>
        </w:rPr>
        <w:t xml:space="preserve">Section </w:t>
      </w:r>
      <w:r>
        <w:rPr>
          <w:spacing w:val="3"/>
          <w:sz w:val="24"/>
        </w:rPr>
        <w:t xml:space="preserve">16 </w:t>
      </w:r>
      <w:r>
        <w:rPr>
          <w:sz w:val="24"/>
        </w:rPr>
        <w:t xml:space="preserve">– </w:t>
      </w:r>
      <w:r>
        <w:rPr>
          <w:spacing w:val="2"/>
          <w:sz w:val="24"/>
        </w:rPr>
        <w:t xml:space="preserve">Freedom </w:t>
      </w:r>
      <w:r>
        <w:rPr>
          <w:spacing w:val="3"/>
          <w:sz w:val="24"/>
        </w:rPr>
        <w:t>of</w:t>
      </w:r>
      <w:r>
        <w:rPr>
          <w:spacing w:val="-22"/>
          <w:sz w:val="24"/>
        </w:rPr>
        <w:t xml:space="preserve"> </w:t>
      </w:r>
      <w:r>
        <w:rPr>
          <w:spacing w:val="2"/>
          <w:sz w:val="24"/>
        </w:rPr>
        <w:t>expression</w:t>
      </w:r>
    </w:p>
    <w:p w:rsidR="00FD5FB0" w:rsidRDefault="000C5DDE">
      <w:pPr>
        <w:pStyle w:val="ListParagraph"/>
        <w:numPr>
          <w:ilvl w:val="0"/>
          <w:numId w:val="1"/>
        </w:numPr>
        <w:tabs>
          <w:tab w:val="left" w:pos="840"/>
          <w:tab w:val="left" w:pos="841"/>
        </w:tabs>
        <w:spacing w:before="26"/>
        <w:ind w:hanging="368"/>
        <w:rPr>
          <w:sz w:val="24"/>
        </w:rPr>
      </w:pPr>
      <w:r>
        <w:rPr>
          <w:sz w:val="24"/>
        </w:rPr>
        <w:t>Section</w:t>
      </w:r>
      <w:r>
        <w:rPr>
          <w:spacing w:val="-5"/>
          <w:sz w:val="24"/>
        </w:rPr>
        <w:t xml:space="preserve"> </w:t>
      </w:r>
      <w:r>
        <w:rPr>
          <w:spacing w:val="3"/>
          <w:sz w:val="24"/>
        </w:rPr>
        <w:t>17</w:t>
      </w:r>
      <w:r>
        <w:rPr>
          <w:spacing w:val="-5"/>
          <w:sz w:val="24"/>
        </w:rPr>
        <w:t xml:space="preserve"> </w:t>
      </w:r>
      <w:r>
        <w:rPr>
          <w:sz w:val="24"/>
        </w:rPr>
        <w:t>–</w:t>
      </w:r>
      <w:r>
        <w:rPr>
          <w:spacing w:val="-4"/>
          <w:sz w:val="24"/>
        </w:rPr>
        <w:t xml:space="preserve"> </w:t>
      </w:r>
      <w:r>
        <w:rPr>
          <w:spacing w:val="2"/>
          <w:sz w:val="24"/>
        </w:rPr>
        <w:t>Taking</w:t>
      </w:r>
      <w:r>
        <w:rPr>
          <w:spacing w:val="-20"/>
          <w:sz w:val="24"/>
        </w:rPr>
        <w:t xml:space="preserve"> </w:t>
      </w:r>
      <w:r>
        <w:rPr>
          <w:spacing w:val="3"/>
          <w:sz w:val="24"/>
        </w:rPr>
        <w:t>part</w:t>
      </w:r>
      <w:r>
        <w:rPr>
          <w:spacing w:val="-15"/>
          <w:sz w:val="24"/>
        </w:rPr>
        <w:t xml:space="preserve"> </w:t>
      </w:r>
      <w:r>
        <w:rPr>
          <w:sz w:val="24"/>
        </w:rPr>
        <w:t>in</w:t>
      </w:r>
      <w:r>
        <w:rPr>
          <w:spacing w:val="-4"/>
          <w:sz w:val="24"/>
        </w:rPr>
        <w:t xml:space="preserve"> </w:t>
      </w:r>
      <w:r>
        <w:rPr>
          <w:spacing w:val="3"/>
          <w:sz w:val="24"/>
        </w:rPr>
        <w:t>public</w:t>
      </w:r>
      <w:r>
        <w:rPr>
          <w:spacing w:val="-7"/>
          <w:sz w:val="24"/>
        </w:rPr>
        <w:t xml:space="preserve"> </w:t>
      </w:r>
      <w:r>
        <w:rPr>
          <w:spacing w:val="2"/>
          <w:sz w:val="24"/>
        </w:rPr>
        <w:t>life</w:t>
      </w:r>
    </w:p>
    <w:p w:rsidR="00FD5FB0" w:rsidRDefault="00FD5FB0">
      <w:pPr>
        <w:pStyle w:val="BodyText"/>
        <w:rPr>
          <w:sz w:val="20"/>
        </w:rPr>
      </w:pPr>
    </w:p>
    <w:p w:rsidR="00FD5FB0" w:rsidRDefault="00FD5FB0">
      <w:pPr>
        <w:pStyle w:val="BodyText"/>
        <w:rPr>
          <w:sz w:val="20"/>
        </w:rPr>
      </w:pPr>
    </w:p>
    <w:p w:rsidR="00FD5FB0" w:rsidRDefault="00FD5FB0">
      <w:pPr>
        <w:pStyle w:val="BodyText"/>
        <w:rPr>
          <w:sz w:val="20"/>
        </w:rPr>
      </w:pPr>
    </w:p>
    <w:p w:rsidR="00FD5FB0" w:rsidRDefault="00B500F9">
      <w:pPr>
        <w:pStyle w:val="BodyText"/>
        <w:spacing w:before="9"/>
        <w:rPr>
          <w:sz w:val="12"/>
        </w:rPr>
      </w:pPr>
      <w:r>
        <w:pict>
          <v:line id="_x0000_s2050" style="position:absolute;z-index:-251658752;mso-wrap-distance-left:0;mso-wrap-distance-right:0;mso-position-horizontal-relative:page" from="1in,9.7pt" to="3in,9.7pt" strokeweight=".8pt">
            <w10:wrap type="topAndBottom" anchorx="page"/>
          </v:line>
        </w:pict>
      </w:r>
    </w:p>
    <w:p w:rsidR="00FD5FB0" w:rsidRDefault="000C5DDE">
      <w:pPr>
        <w:spacing w:before="71" w:line="223" w:lineRule="auto"/>
        <w:ind w:left="119" w:right="199"/>
        <w:rPr>
          <w:sz w:val="21"/>
        </w:rPr>
      </w:pPr>
      <w:bookmarkStart w:id="6" w:name="_bookmark0"/>
      <w:bookmarkEnd w:id="6"/>
      <w:r>
        <w:rPr>
          <w:position w:val="8"/>
          <w:sz w:val="13"/>
        </w:rPr>
        <w:t>1</w:t>
      </w:r>
      <w:r>
        <w:rPr>
          <w:spacing w:val="7"/>
          <w:position w:val="8"/>
          <w:sz w:val="13"/>
        </w:rPr>
        <w:t xml:space="preserve"> </w:t>
      </w:r>
      <w:r>
        <w:rPr>
          <w:sz w:val="21"/>
        </w:rPr>
        <w:t>Colvin,</w:t>
      </w:r>
      <w:r>
        <w:rPr>
          <w:spacing w:val="-30"/>
          <w:sz w:val="21"/>
        </w:rPr>
        <w:t xml:space="preserve"> </w:t>
      </w:r>
      <w:r>
        <w:rPr>
          <w:sz w:val="21"/>
        </w:rPr>
        <w:t>M</w:t>
      </w:r>
      <w:r>
        <w:rPr>
          <w:spacing w:val="-20"/>
          <w:sz w:val="21"/>
        </w:rPr>
        <w:t xml:space="preserve"> </w:t>
      </w:r>
      <w:r>
        <w:rPr>
          <w:sz w:val="21"/>
        </w:rPr>
        <w:t>&amp;</w:t>
      </w:r>
      <w:r>
        <w:rPr>
          <w:spacing w:val="-28"/>
          <w:sz w:val="21"/>
        </w:rPr>
        <w:t xml:space="preserve"> </w:t>
      </w:r>
      <w:r>
        <w:rPr>
          <w:spacing w:val="3"/>
          <w:sz w:val="21"/>
        </w:rPr>
        <w:t>Cooper,</w:t>
      </w:r>
      <w:r>
        <w:rPr>
          <w:spacing w:val="-29"/>
          <w:sz w:val="21"/>
        </w:rPr>
        <w:t xml:space="preserve"> </w:t>
      </w:r>
      <w:r>
        <w:rPr>
          <w:sz w:val="21"/>
        </w:rPr>
        <w:t>J,</w:t>
      </w:r>
      <w:r>
        <w:rPr>
          <w:spacing w:val="-29"/>
          <w:sz w:val="21"/>
        </w:rPr>
        <w:t xml:space="preserve"> </w:t>
      </w:r>
      <w:r>
        <w:rPr>
          <w:spacing w:val="5"/>
          <w:sz w:val="21"/>
        </w:rPr>
        <w:t>2009</w:t>
      </w:r>
      <w:r>
        <w:rPr>
          <w:spacing w:val="-20"/>
          <w:sz w:val="21"/>
        </w:rPr>
        <w:t xml:space="preserve"> </w:t>
      </w:r>
      <w:r>
        <w:rPr>
          <w:i/>
          <w:sz w:val="21"/>
        </w:rPr>
        <w:t>‘Human</w:t>
      </w:r>
      <w:r>
        <w:rPr>
          <w:i/>
          <w:spacing w:val="-33"/>
          <w:sz w:val="21"/>
        </w:rPr>
        <w:t xml:space="preserve"> </w:t>
      </w:r>
      <w:r>
        <w:rPr>
          <w:i/>
          <w:sz w:val="21"/>
        </w:rPr>
        <w:t>Rights</w:t>
      </w:r>
      <w:r>
        <w:rPr>
          <w:i/>
          <w:spacing w:val="-27"/>
          <w:sz w:val="21"/>
        </w:rPr>
        <w:t xml:space="preserve"> </w:t>
      </w:r>
      <w:r>
        <w:rPr>
          <w:i/>
          <w:spacing w:val="3"/>
          <w:sz w:val="21"/>
        </w:rPr>
        <w:t>in</w:t>
      </w:r>
      <w:r>
        <w:rPr>
          <w:i/>
          <w:spacing w:val="-19"/>
          <w:sz w:val="21"/>
        </w:rPr>
        <w:t xml:space="preserve"> </w:t>
      </w:r>
      <w:r>
        <w:rPr>
          <w:i/>
          <w:spacing w:val="4"/>
          <w:sz w:val="21"/>
        </w:rPr>
        <w:t>the</w:t>
      </w:r>
      <w:r>
        <w:rPr>
          <w:i/>
          <w:spacing w:val="-36"/>
          <w:sz w:val="21"/>
        </w:rPr>
        <w:t xml:space="preserve"> </w:t>
      </w:r>
      <w:r>
        <w:rPr>
          <w:i/>
          <w:sz w:val="21"/>
        </w:rPr>
        <w:t>Investigation</w:t>
      </w:r>
      <w:r>
        <w:rPr>
          <w:i/>
          <w:spacing w:val="-19"/>
          <w:sz w:val="21"/>
        </w:rPr>
        <w:t xml:space="preserve"> </w:t>
      </w:r>
      <w:r>
        <w:rPr>
          <w:i/>
          <w:sz w:val="21"/>
        </w:rPr>
        <w:t>and</w:t>
      </w:r>
      <w:r>
        <w:rPr>
          <w:i/>
          <w:spacing w:val="-33"/>
          <w:sz w:val="21"/>
        </w:rPr>
        <w:t xml:space="preserve"> </w:t>
      </w:r>
      <w:proofErr w:type="spellStart"/>
      <w:r>
        <w:rPr>
          <w:i/>
          <w:sz w:val="21"/>
        </w:rPr>
        <w:t>Prosecutionof</w:t>
      </w:r>
      <w:proofErr w:type="spellEnd"/>
      <w:r>
        <w:rPr>
          <w:i/>
          <w:spacing w:val="-21"/>
          <w:sz w:val="21"/>
        </w:rPr>
        <w:t xml:space="preserve"> </w:t>
      </w:r>
      <w:r>
        <w:rPr>
          <w:i/>
          <w:sz w:val="21"/>
        </w:rPr>
        <w:t>Crime’</w:t>
      </w:r>
      <w:r>
        <w:rPr>
          <w:i/>
          <w:spacing w:val="-31"/>
          <w:sz w:val="21"/>
        </w:rPr>
        <w:t xml:space="preserve"> </w:t>
      </w:r>
      <w:r>
        <w:rPr>
          <w:sz w:val="21"/>
        </w:rPr>
        <w:t>Oxford University</w:t>
      </w:r>
      <w:r>
        <w:rPr>
          <w:spacing w:val="-14"/>
          <w:sz w:val="21"/>
        </w:rPr>
        <w:t xml:space="preserve"> </w:t>
      </w:r>
      <w:r>
        <w:rPr>
          <w:sz w:val="21"/>
        </w:rPr>
        <w:t>Press,</w:t>
      </w:r>
      <w:r>
        <w:rPr>
          <w:spacing w:val="-25"/>
          <w:sz w:val="21"/>
        </w:rPr>
        <w:t xml:space="preserve"> </w:t>
      </w:r>
      <w:r>
        <w:rPr>
          <w:sz w:val="21"/>
        </w:rPr>
        <w:t>p</w:t>
      </w:r>
      <w:r>
        <w:rPr>
          <w:spacing w:val="-13"/>
          <w:sz w:val="21"/>
        </w:rPr>
        <w:t xml:space="preserve"> </w:t>
      </w:r>
      <w:r>
        <w:rPr>
          <w:spacing w:val="3"/>
          <w:sz w:val="21"/>
        </w:rPr>
        <w:t>424-425.</w:t>
      </w:r>
    </w:p>
    <w:p w:rsidR="00FD5FB0" w:rsidRDefault="000C5DDE">
      <w:pPr>
        <w:spacing w:line="223" w:lineRule="exact"/>
        <w:ind w:left="120"/>
        <w:rPr>
          <w:sz w:val="21"/>
        </w:rPr>
      </w:pPr>
      <w:bookmarkStart w:id="7" w:name="_bookmark1"/>
      <w:bookmarkEnd w:id="7"/>
      <w:r>
        <w:rPr>
          <w:position w:val="8"/>
          <w:sz w:val="13"/>
        </w:rPr>
        <w:t xml:space="preserve">2 </w:t>
      </w:r>
      <w:r>
        <w:rPr>
          <w:sz w:val="21"/>
        </w:rPr>
        <w:t>Ibid, p425.</w:t>
      </w:r>
    </w:p>
    <w:p w:rsidR="00FD5FB0" w:rsidRDefault="000C5DDE">
      <w:pPr>
        <w:spacing w:line="232" w:lineRule="exact"/>
        <w:ind w:left="120"/>
        <w:rPr>
          <w:sz w:val="21"/>
        </w:rPr>
      </w:pPr>
      <w:bookmarkStart w:id="8" w:name="_bookmark2"/>
      <w:bookmarkEnd w:id="8"/>
      <w:r>
        <w:rPr>
          <w:position w:val="8"/>
          <w:sz w:val="13"/>
        </w:rPr>
        <w:t xml:space="preserve">3 </w:t>
      </w:r>
      <w:r>
        <w:rPr>
          <w:sz w:val="21"/>
        </w:rPr>
        <w:t>[1986] 1 SCR 103.</w:t>
      </w:r>
    </w:p>
    <w:p w:rsidR="00FD5FB0" w:rsidRDefault="000C5DDE">
      <w:pPr>
        <w:spacing w:line="235" w:lineRule="exact"/>
        <w:ind w:left="120"/>
        <w:rPr>
          <w:sz w:val="21"/>
        </w:rPr>
      </w:pPr>
      <w:bookmarkStart w:id="9" w:name="_bookmark3"/>
      <w:bookmarkEnd w:id="9"/>
      <w:r>
        <w:rPr>
          <w:position w:val="8"/>
          <w:sz w:val="13"/>
        </w:rPr>
        <w:t xml:space="preserve">4 </w:t>
      </w:r>
      <w:r>
        <w:rPr>
          <w:i/>
          <w:sz w:val="21"/>
        </w:rPr>
        <w:t xml:space="preserve">R v Oakes </w:t>
      </w:r>
      <w:r>
        <w:rPr>
          <w:sz w:val="21"/>
        </w:rPr>
        <w:t>[1986] 1 SCR 103.</w:t>
      </w:r>
    </w:p>
    <w:p w:rsidR="00FD5FB0" w:rsidRDefault="00FD5FB0">
      <w:pPr>
        <w:spacing w:line="235" w:lineRule="exact"/>
        <w:rPr>
          <w:sz w:val="21"/>
        </w:rPr>
        <w:sectPr w:rsidR="00FD5FB0">
          <w:pgSz w:w="11910" w:h="16840"/>
          <w:pgMar w:top="1360" w:right="1320" w:bottom="1420" w:left="1320" w:header="0" w:footer="1227" w:gutter="0"/>
          <w:cols w:space="720"/>
        </w:sectPr>
      </w:pPr>
    </w:p>
    <w:p w:rsidR="00FD5FB0" w:rsidRDefault="000C5DDE">
      <w:pPr>
        <w:pStyle w:val="Heading3"/>
      </w:pPr>
      <w:bookmarkStart w:id="10" w:name="Section_16_–_Freedom_of_expression"/>
      <w:bookmarkEnd w:id="10"/>
      <w:r>
        <w:lastRenderedPageBreak/>
        <w:t>Section 16 – Freedom of expression</w:t>
      </w:r>
    </w:p>
    <w:p w:rsidR="00FD5FB0" w:rsidRDefault="000C5DDE">
      <w:pPr>
        <w:pStyle w:val="BodyText"/>
        <w:spacing w:before="140" w:line="278" w:lineRule="auto"/>
        <w:ind w:left="119" w:right="112"/>
      </w:pPr>
      <w:r>
        <w:t>The right to freedom of expression in the HR Act is a personal freedom which is considered essential for all individuals to achieve full personal development and self-fulfilment through the development and distribution of ideas and opinions. A free flow of ideas is also necessary to encourage the vigorous public debate which is central to the functioning of Australia’s liberal democratic system of government.</w:t>
      </w:r>
    </w:p>
    <w:p w:rsidR="00FD5FB0" w:rsidRDefault="000C5DDE">
      <w:pPr>
        <w:pStyle w:val="BodyText"/>
        <w:spacing w:before="111"/>
        <w:ind w:left="119"/>
      </w:pPr>
      <w:r>
        <w:t>The right to freedom of expression in the HR Act is held by all individuals and extends to</w:t>
      </w:r>
    </w:p>
    <w:p w:rsidR="00FD5FB0" w:rsidRDefault="000C5DDE">
      <w:pPr>
        <w:pStyle w:val="BodyText"/>
        <w:spacing w:before="43" w:line="278" w:lineRule="auto"/>
        <w:ind w:left="119" w:right="112"/>
      </w:pPr>
      <w:r>
        <w:t>information and ideas of all kinds. The right to freedom of expression also includes the right of a person to hold their own opinions without interference or sanction and to seek, receive and impart information and ideas of all kinds.</w:t>
      </w:r>
    </w:p>
    <w:p w:rsidR="00FD5FB0" w:rsidRDefault="00FD5FB0">
      <w:pPr>
        <w:pStyle w:val="BodyText"/>
        <w:spacing w:before="10"/>
        <w:rPr>
          <w:sz w:val="20"/>
        </w:rPr>
      </w:pPr>
    </w:p>
    <w:p w:rsidR="00FD5FB0" w:rsidRDefault="000C5DDE">
      <w:pPr>
        <w:ind w:left="119"/>
        <w:rPr>
          <w:i/>
          <w:sz w:val="24"/>
        </w:rPr>
      </w:pPr>
      <w:r>
        <w:rPr>
          <w:i/>
          <w:sz w:val="24"/>
        </w:rPr>
        <w:t>Clarification of expenditure reporting obligations</w:t>
      </w:r>
    </w:p>
    <w:p w:rsidR="00FD5FB0" w:rsidRDefault="000C5DDE">
      <w:pPr>
        <w:pStyle w:val="BodyText"/>
        <w:spacing w:before="156"/>
        <w:ind w:left="119"/>
      </w:pPr>
      <w:r>
        <w:t>Amendments are introduced in the Bill to:</w:t>
      </w:r>
    </w:p>
    <w:p w:rsidR="00FD5FB0" w:rsidRDefault="000C5DDE">
      <w:pPr>
        <w:pStyle w:val="ListParagraph"/>
        <w:numPr>
          <w:ilvl w:val="0"/>
          <w:numId w:val="1"/>
        </w:numPr>
        <w:tabs>
          <w:tab w:val="left" w:pos="839"/>
          <w:tab w:val="left" w:pos="840"/>
        </w:tabs>
        <w:spacing w:before="155"/>
        <w:ind w:left="839" w:hanging="352"/>
        <w:rPr>
          <w:sz w:val="24"/>
        </w:rPr>
      </w:pPr>
      <w:r>
        <w:rPr>
          <w:spacing w:val="3"/>
          <w:sz w:val="24"/>
        </w:rPr>
        <w:t>provide</w:t>
      </w:r>
      <w:r>
        <w:rPr>
          <w:spacing w:val="-7"/>
          <w:sz w:val="24"/>
        </w:rPr>
        <w:t xml:space="preserve"> </w:t>
      </w:r>
      <w:r>
        <w:rPr>
          <w:spacing w:val="7"/>
          <w:sz w:val="24"/>
        </w:rPr>
        <w:t>for</w:t>
      </w:r>
      <w:r>
        <w:rPr>
          <w:spacing w:val="-12"/>
          <w:sz w:val="24"/>
        </w:rPr>
        <w:t xml:space="preserve"> </w:t>
      </w:r>
      <w:r>
        <w:rPr>
          <w:spacing w:val="2"/>
          <w:sz w:val="24"/>
        </w:rPr>
        <w:t>an</w:t>
      </w:r>
      <w:r>
        <w:rPr>
          <w:spacing w:val="-4"/>
          <w:sz w:val="24"/>
        </w:rPr>
        <w:t xml:space="preserve"> </w:t>
      </w:r>
      <w:r>
        <w:rPr>
          <w:spacing w:val="-3"/>
          <w:sz w:val="24"/>
        </w:rPr>
        <w:t>MLA</w:t>
      </w:r>
      <w:r>
        <w:rPr>
          <w:spacing w:val="-10"/>
          <w:sz w:val="24"/>
        </w:rPr>
        <w:t xml:space="preserve"> </w:t>
      </w:r>
      <w:r>
        <w:rPr>
          <w:spacing w:val="2"/>
          <w:sz w:val="24"/>
        </w:rPr>
        <w:t>communication</w:t>
      </w:r>
      <w:r>
        <w:rPr>
          <w:spacing w:val="-20"/>
          <w:sz w:val="24"/>
        </w:rPr>
        <w:t xml:space="preserve"> </w:t>
      </w:r>
      <w:r>
        <w:rPr>
          <w:sz w:val="24"/>
        </w:rPr>
        <w:t>allowance;</w:t>
      </w:r>
    </w:p>
    <w:p w:rsidR="00FD5FB0" w:rsidRDefault="000C5DDE">
      <w:pPr>
        <w:pStyle w:val="ListParagraph"/>
        <w:numPr>
          <w:ilvl w:val="0"/>
          <w:numId w:val="1"/>
        </w:numPr>
        <w:tabs>
          <w:tab w:val="left" w:pos="839"/>
          <w:tab w:val="left" w:pos="840"/>
        </w:tabs>
        <w:spacing w:before="154" w:line="276" w:lineRule="auto"/>
        <w:ind w:left="839" w:right="127" w:hanging="352"/>
        <w:rPr>
          <w:sz w:val="24"/>
        </w:rPr>
      </w:pPr>
      <w:r>
        <w:rPr>
          <w:spacing w:val="2"/>
          <w:sz w:val="24"/>
        </w:rPr>
        <w:t>clarify</w:t>
      </w:r>
      <w:r>
        <w:rPr>
          <w:spacing w:val="-3"/>
          <w:sz w:val="24"/>
        </w:rPr>
        <w:t xml:space="preserve"> </w:t>
      </w:r>
      <w:r>
        <w:rPr>
          <w:spacing w:val="2"/>
          <w:sz w:val="24"/>
        </w:rPr>
        <w:t>that</w:t>
      </w:r>
      <w:r>
        <w:rPr>
          <w:spacing w:val="-14"/>
          <w:sz w:val="24"/>
        </w:rPr>
        <w:t xml:space="preserve"> </w:t>
      </w:r>
      <w:r>
        <w:rPr>
          <w:spacing w:val="2"/>
          <w:sz w:val="24"/>
        </w:rPr>
        <w:t>expenditure</w:t>
      </w:r>
      <w:r>
        <w:rPr>
          <w:spacing w:val="-5"/>
          <w:sz w:val="24"/>
        </w:rPr>
        <w:t xml:space="preserve"> </w:t>
      </w:r>
      <w:r>
        <w:rPr>
          <w:sz w:val="24"/>
        </w:rPr>
        <w:t>from</w:t>
      </w:r>
      <w:r>
        <w:rPr>
          <w:spacing w:val="-5"/>
          <w:sz w:val="24"/>
        </w:rPr>
        <w:t xml:space="preserve"> </w:t>
      </w:r>
      <w:r>
        <w:rPr>
          <w:spacing w:val="3"/>
          <w:sz w:val="24"/>
        </w:rPr>
        <w:t>such</w:t>
      </w:r>
      <w:r>
        <w:rPr>
          <w:spacing w:val="-18"/>
          <w:sz w:val="24"/>
        </w:rPr>
        <w:t xml:space="preserve"> </w:t>
      </w:r>
      <w:r>
        <w:rPr>
          <w:spacing w:val="2"/>
          <w:sz w:val="24"/>
        </w:rPr>
        <w:t>an</w:t>
      </w:r>
      <w:r>
        <w:rPr>
          <w:spacing w:val="-3"/>
          <w:sz w:val="24"/>
        </w:rPr>
        <w:t xml:space="preserve"> MLA</w:t>
      </w:r>
      <w:r>
        <w:rPr>
          <w:spacing w:val="-8"/>
          <w:sz w:val="24"/>
        </w:rPr>
        <w:t xml:space="preserve"> </w:t>
      </w:r>
      <w:r>
        <w:rPr>
          <w:spacing w:val="2"/>
          <w:sz w:val="24"/>
        </w:rPr>
        <w:t>communication</w:t>
      </w:r>
      <w:r>
        <w:rPr>
          <w:spacing w:val="-20"/>
          <w:sz w:val="24"/>
        </w:rPr>
        <w:t xml:space="preserve"> </w:t>
      </w:r>
      <w:r>
        <w:rPr>
          <w:sz w:val="24"/>
        </w:rPr>
        <w:t>allowance</w:t>
      </w:r>
      <w:r>
        <w:rPr>
          <w:spacing w:val="-5"/>
          <w:sz w:val="24"/>
        </w:rPr>
        <w:t xml:space="preserve"> </w:t>
      </w:r>
      <w:r>
        <w:rPr>
          <w:sz w:val="24"/>
        </w:rPr>
        <w:t>is</w:t>
      </w:r>
      <w:r>
        <w:rPr>
          <w:spacing w:val="-8"/>
          <w:sz w:val="24"/>
        </w:rPr>
        <w:t xml:space="preserve"> </w:t>
      </w:r>
      <w:r>
        <w:rPr>
          <w:spacing w:val="4"/>
          <w:sz w:val="24"/>
        </w:rPr>
        <w:t>not</w:t>
      </w:r>
      <w:r>
        <w:rPr>
          <w:spacing w:val="-13"/>
          <w:sz w:val="24"/>
        </w:rPr>
        <w:t xml:space="preserve"> </w:t>
      </w:r>
      <w:r>
        <w:rPr>
          <w:sz w:val="24"/>
        </w:rPr>
        <w:t>subject</w:t>
      </w:r>
      <w:r>
        <w:rPr>
          <w:spacing w:val="-13"/>
          <w:sz w:val="24"/>
        </w:rPr>
        <w:t xml:space="preserve"> </w:t>
      </w:r>
      <w:r>
        <w:rPr>
          <w:spacing w:val="-10"/>
          <w:sz w:val="24"/>
        </w:rPr>
        <w:t xml:space="preserve">to </w:t>
      </w:r>
      <w:r>
        <w:rPr>
          <w:spacing w:val="2"/>
          <w:sz w:val="24"/>
        </w:rPr>
        <w:t xml:space="preserve">electoral </w:t>
      </w:r>
      <w:r>
        <w:rPr>
          <w:spacing w:val="3"/>
          <w:sz w:val="24"/>
        </w:rPr>
        <w:t xml:space="preserve">expenditure or </w:t>
      </w:r>
      <w:r>
        <w:rPr>
          <w:sz w:val="24"/>
        </w:rPr>
        <w:t xml:space="preserve">the </w:t>
      </w:r>
      <w:r>
        <w:rPr>
          <w:spacing w:val="2"/>
          <w:sz w:val="24"/>
        </w:rPr>
        <w:t xml:space="preserve">annual </w:t>
      </w:r>
      <w:r>
        <w:rPr>
          <w:sz w:val="24"/>
        </w:rPr>
        <w:t xml:space="preserve">expenditure reporting requirements </w:t>
      </w:r>
      <w:r>
        <w:rPr>
          <w:spacing w:val="3"/>
          <w:sz w:val="24"/>
        </w:rPr>
        <w:t xml:space="preserve">of </w:t>
      </w:r>
      <w:r>
        <w:rPr>
          <w:sz w:val="24"/>
        </w:rPr>
        <w:t>the Electoral Act;</w:t>
      </w:r>
      <w:r>
        <w:rPr>
          <w:spacing w:val="-30"/>
          <w:sz w:val="24"/>
        </w:rPr>
        <w:t xml:space="preserve"> </w:t>
      </w:r>
      <w:r>
        <w:rPr>
          <w:spacing w:val="6"/>
          <w:sz w:val="24"/>
        </w:rPr>
        <w:t>and</w:t>
      </w:r>
    </w:p>
    <w:p w:rsidR="00FD5FB0" w:rsidRDefault="000C5DDE">
      <w:pPr>
        <w:pStyle w:val="ListParagraph"/>
        <w:numPr>
          <w:ilvl w:val="0"/>
          <w:numId w:val="1"/>
        </w:numPr>
        <w:tabs>
          <w:tab w:val="left" w:pos="839"/>
          <w:tab w:val="left" w:pos="840"/>
        </w:tabs>
        <w:spacing w:before="131" w:line="261" w:lineRule="auto"/>
        <w:ind w:left="839" w:right="1072" w:hanging="352"/>
        <w:rPr>
          <w:sz w:val="24"/>
        </w:rPr>
      </w:pPr>
      <w:r>
        <w:rPr>
          <w:spacing w:val="2"/>
          <w:sz w:val="24"/>
        </w:rPr>
        <w:t>clarify</w:t>
      </w:r>
      <w:r>
        <w:rPr>
          <w:spacing w:val="-3"/>
          <w:sz w:val="24"/>
        </w:rPr>
        <w:t xml:space="preserve"> </w:t>
      </w:r>
      <w:r>
        <w:rPr>
          <w:spacing w:val="2"/>
          <w:sz w:val="24"/>
        </w:rPr>
        <w:t>that</w:t>
      </w:r>
      <w:r>
        <w:rPr>
          <w:spacing w:val="-13"/>
          <w:sz w:val="24"/>
        </w:rPr>
        <w:t xml:space="preserve"> </w:t>
      </w:r>
      <w:r>
        <w:rPr>
          <w:sz w:val="24"/>
        </w:rPr>
        <w:t>the</w:t>
      </w:r>
      <w:r>
        <w:rPr>
          <w:spacing w:val="-6"/>
          <w:sz w:val="24"/>
        </w:rPr>
        <w:t xml:space="preserve"> </w:t>
      </w:r>
      <w:r>
        <w:rPr>
          <w:spacing w:val="2"/>
          <w:sz w:val="24"/>
        </w:rPr>
        <w:t>communication</w:t>
      </w:r>
      <w:r>
        <w:rPr>
          <w:spacing w:val="-2"/>
          <w:sz w:val="24"/>
        </w:rPr>
        <w:t xml:space="preserve"> </w:t>
      </w:r>
      <w:r>
        <w:rPr>
          <w:sz w:val="24"/>
        </w:rPr>
        <w:t>allowance</w:t>
      </w:r>
      <w:r>
        <w:rPr>
          <w:spacing w:val="-5"/>
          <w:sz w:val="24"/>
        </w:rPr>
        <w:t xml:space="preserve"> </w:t>
      </w:r>
      <w:r>
        <w:rPr>
          <w:sz w:val="24"/>
        </w:rPr>
        <w:t>is</w:t>
      </w:r>
      <w:r>
        <w:rPr>
          <w:spacing w:val="-9"/>
          <w:sz w:val="24"/>
        </w:rPr>
        <w:t xml:space="preserve"> </w:t>
      </w:r>
      <w:r>
        <w:rPr>
          <w:spacing w:val="8"/>
          <w:sz w:val="24"/>
        </w:rPr>
        <w:t>for</w:t>
      </w:r>
      <w:r>
        <w:rPr>
          <w:spacing w:val="-10"/>
          <w:sz w:val="24"/>
        </w:rPr>
        <w:t xml:space="preserve"> </w:t>
      </w:r>
      <w:r>
        <w:rPr>
          <w:color w:val="FF0000"/>
          <w:spacing w:val="2"/>
          <w:sz w:val="24"/>
        </w:rPr>
        <w:t>routine</w:t>
      </w:r>
      <w:r>
        <w:rPr>
          <w:color w:val="FF0000"/>
          <w:spacing w:val="-22"/>
          <w:sz w:val="24"/>
        </w:rPr>
        <w:t xml:space="preserve"> </w:t>
      </w:r>
      <w:r>
        <w:rPr>
          <w:sz w:val="24"/>
        </w:rPr>
        <w:t>communication</w:t>
      </w:r>
      <w:r>
        <w:rPr>
          <w:spacing w:val="-19"/>
          <w:sz w:val="24"/>
        </w:rPr>
        <w:t xml:space="preserve"> </w:t>
      </w:r>
      <w:r>
        <w:rPr>
          <w:sz w:val="24"/>
        </w:rPr>
        <w:t xml:space="preserve">with </w:t>
      </w:r>
      <w:r>
        <w:rPr>
          <w:spacing w:val="2"/>
          <w:sz w:val="24"/>
        </w:rPr>
        <w:t>constituents.</w:t>
      </w:r>
      <w:r>
        <w:rPr>
          <w:spacing w:val="-8"/>
          <w:sz w:val="24"/>
        </w:rPr>
        <w:t xml:space="preserve"> </w:t>
      </w:r>
      <w:r>
        <w:rPr>
          <w:color w:val="FF0000"/>
          <w:sz w:val="24"/>
        </w:rPr>
        <w:t>The</w:t>
      </w:r>
      <w:r>
        <w:rPr>
          <w:color w:val="FF0000"/>
          <w:spacing w:val="-6"/>
          <w:sz w:val="24"/>
        </w:rPr>
        <w:t xml:space="preserve"> </w:t>
      </w:r>
      <w:r>
        <w:rPr>
          <w:color w:val="FF0000"/>
          <w:sz w:val="24"/>
        </w:rPr>
        <w:t>term</w:t>
      </w:r>
      <w:r>
        <w:rPr>
          <w:color w:val="FF0000"/>
          <w:spacing w:val="-6"/>
          <w:sz w:val="24"/>
        </w:rPr>
        <w:t xml:space="preserve"> </w:t>
      </w:r>
      <w:r>
        <w:rPr>
          <w:color w:val="FF0000"/>
          <w:spacing w:val="2"/>
          <w:sz w:val="24"/>
        </w:rPr>
        <w:t>‘routine</w:t>
      </w:r>
      <w:r>
        <w:rPr>
          <w:color w:val="FF0000"/>
          <w:spacing w:val="-6"/>
          <w:sz w:val="24"/>
        </w:rPr>
        <w:t xml:space="preserve"> </w:t>
      </w:r>
      <w:r>
        <w:rPr>
          <w:color w:val="FF0000"/>
          <w:sz w:val="24"/>
        </w:rPr>
        <w:t>communication’</w:t>
      </w:r>
      <w:r>
        <w:rPr>
          <w:color w:val="FF0000"/>
          <w:spacing w:val="-11"/>
          <w:sz w:val="24"/>
        </w:rPr>
        <w:t xml:space="preserve"> </w:t>
      </w:r>
      <w:r>
        <w:rPr>
          <w:color w:val="FF0000"/>
          <w:sz w:val="24"/>
        </w:rPr>
        <w:t>is</w:t>
      </w:r>
      <w:r>
        <w:rPr>
          <w:color w:val="FF0000"/>
          <w:spacing w:val="-9"/>
          <w:sz w:val="24"/>
        </w:rPr>
        <w:t xml:space="preserve"> </w:t>
      </w:r>
      <w:r>
        <w:rPr>
          <w:color w:val="FF0000"/>
          <w:sz w:val="24"/>
        </w:rPr>
        <w:t>defined.</w:t>
      </w:r>
    </w:p>
    <w:p w:rsidR="00FD5FB0" w:rsidRDefault="000C5DDE">
      <w:pPr>
        <w:pStyle w:val="BodyText"/>
        <w:spacing w:before="148" w:line="271" w:lineRule="auto"/>
        <w:ind w:left="119" w:right="269"/>
        <w:jc w:val="both"/>
      </w:pPr>
      <w:r>
        <w:t>The amendments support the right to seek, receive and impart information as it provides for the creation of an MLA communication allowance separate from an MLA’s base salary that stipulates its use. The Bill clarifies the communication allowance is for regular</w:t>
      </w:r>
    </w:p>
    <w:p w:rsidR="00FD5FB0" w:rsidRDefault="000C5DDE">
      <w:pPr>
        <w:pStyle w:val="BodyText"/>
        <w:spacing w:before="8" w:line="278" w:lineRule="auto"/>
        <w:ind w:left="119" w:right="199" w:hanging="1"/>
      </w:pPr>
      <w:r>
        <w:t>communication with constituents as opposed to campaign or political-based communication and will provide more certainty to MLAs on when funds from the communication allowance can be used. This will encourage and enable a free flow of information between the MLAs and their constituents.</w:t>
      </w:r>
    </w:p>
    <w:p w:rsidR="00FD5FB0" w:rsidRDefault="000C5DDE">
      <w:pPr>
        <w:pStyle w:val="BodyText"/>
        <w:spacing w:before="191"/>
        <w:ind w:left="120"/>
      </w:pPr>
      <w:r>
        <w:t>MLAs will be held accountable for their official expenditure from the communication</w:t>
      </w:r>
    </w:p>
    <w:p w:rsidR="00FD5FB0" w:rsidRDefault="000C5DDE">
      <w:pPr>
        <w:pStyle w:val="BodyText"/>
        <w:spacing w:before="44"/>
        <w:ind w:left="120"/>
      </w:pPr>
      <w:r>
        <w:t>allowance to the Office of the Legislative Assembly, with details as to the quantum of the</w:t>
      </w:r>
    </w:p>
    <w:p w:rsidR="00FD5FB0" w:rsidRDefault="000C5DDE">
      <w:pPr>
        <w:pStyle w:val="BodyText"/>
        <w:spacing w:before="44" w:line="278" w:lineRule="auto"/>
        <w:ind w:left="120" w:right="112"/>
      </w:pPr>
      <w:r>
        <w:t>communication allowance and processes associated with the administration of the allowance to be determined by a continuing resolution of the Legislative Assembly.</w:t>
      </w:r>
    </w:p>
    <w:p w:rsidR="00FD5FB0" w:rsidRDefault="00FD5FB0">
      <w:pPr>
        <w:spacing w:line="278" w:lineRule="auto"/>
        <w:sectPr w:rsidR="00FD5FB0">
          <w:pgSz w:w="11910" w:h="16840"/>
          <w:pgMar w:top="1380" w:right="1320" w:bottom="1460" w:left="1320" w:header="0" w:footer="1227" w:gutter="0"/>
          <w:cols w:space="720"/>
        </w:sectPr>
      </w:pPr>
    </w:p>
    <w:p w:rsidR="00FD5FB0" w:rsidRDefault="000C5DDE">
      <w:pPr>
        <w:pStyle w:val="Heading1"/>
        <w:spacing w:before="69" w:line="254" w:lineRule="auto"/>
        <w:ind w:right="519"/>
        <w:jc w:val="center"/>
      </w:pPr>
      <w:r>
        <w:lastRenderedPageBreak/>
        <w:t>Legislative</w:t>
      </w:r>
      <w:r>
        <w:rPr>
          <w:spacing w:val="-35"/>
        </w:rPr>
        <w:t xml:space="preserve"> </w:t>
      </w:r>
      <w:r>
        <w:t>Assembly</w:t>
      </w:r>
      <w:r>
        <w:rPr>
          <w:spacing w:val="-34"/>
        </w:rPr>
        <w:t xml:space="preserve"> </w:t>
      </w:r>
      <w:r>
        <w:t>(Office</w:t>
      </w:r>
      <w:r>
        <w:rPr>
          <w:spacing w:val="-35"/>
        </w:rPr>
        <w:t xml:space="preserve"> </w:t>
      </w:r>
      <w:r>
        <w:t>of</w:t>
      </w:r>
      <w:r>
        <w:rPr>
          <w:spacing w:val="-34"/>
        </w:rPr>
        <w:t xml:space="preserve"> </w:t>
      </w:r>
      <w:r>
        <w:t>the</w:t>
      </w:r>
      <w:r>
        <w:rPr>
          <w:spacing w:val="-34"/>
        </w:rPr>
        <w:t xml:space="preserve"> </w:t>
      </w:r>
      <w:r>
        <w:t>Legislative</w:t>
      </w:r>
      <w:r>
        <w:rPr>
          <w:spacing w:val="-35"/>
        </w:rPr>
        <w:t xml:space="preserve"> </w:t>
      </w:r>
      <w:r>
        <w:t>Assembly) Amendment Bill</w:t>
      </w:r>
      <w:r>
        <w:rPr>
          <w:spacing w:val="-51"/>
        </w:rPr>
        <w:t xml:space="preserve"> </w:t>
      </w:r>
      <w:r>
        <w:t>2019</w:t>
      </w:r>
    </w:p>
    <w:p w:rsidR="00FD5FB0" w:rsidRDefault="000C5DDE">
      <w:pPr>
        <w:spacing w:before="269"/>
        <w:ind w:left="520" w:right="520"/>
        <w:jc w:val="center"/>
        <w:rPr>
          <w:b/>
          <w:sz w:val="29"/>
        </w:rPr>
      </w:pPr>
      <w:r>
        <w:rPr>
          <w:b/>
          <w:sz w:val="29"/>
        </w:rPr>
        <w:t>Detail</w:t>
      </w:r>
    </w:p>
    <w:p w:rsidR="00FD5FB0" w:rsidRDefault="00FD5FB0">
      <w:pPr>
        <w:pStyle w:val="BodyText"/>
        <w:spacing w:before="2"/>
        <w:rPr>
          <w:b/>
          <w:sz w:val="25"/>
        </w:rPr>
      </w:pPr>
    </w:p>
    <w:p w:rsidR="00FD5FB0" w:rsidRDefault="000C5DDE">
      <w:pPr>
        <w:pStyle w:val="Heading2"/>
      </w:pPr>
      <w:bookmarkStart w:id="11" w:name="Clause_1_—_Name_of_Act"/>
      <w:bookmarkEnd w:id="11"/>
      <w:r>
        <w:t>Clause 1 — Name of Act</w:t>
      </w:r>
    </w:p>
    <w:p w:rsidR="00FD5FB0" w:rsidRDefault="00FD5FB0">
      <w:pPr>
        <w:pStyle w:val="BodyText"/>
        <w:spacing w:before="8"/>
        <w:rPr>
          <w:b/>
        </w:rPr>
      </w:pPr>
    </w:p>
    <w:p w:rsidR="00FD5FB0" w:rsidRDefault="000C5DDE">
      <w:pPr>
        <w:pStyle w:val="BodyText"/>
        <w:ind w:left="120"/>
      </w:pPr>
      <w:r>
        <w:t>This is a technical clause that names the short title of the Act. The name of the Act will be the</w:t>
      </w:r>
    </w:p>
    <w:p w:rsidR="00FD5FB0" w:rsidRDefault="000C5DDE">
      <w:pPr>
        <w:spacing w:before="28" w:line="278" w:lineRule="auto"/>
        <w:ind w:left="119"/>
        <w:rPr>
          <w:i/>
          <w:sz w:val="24"/>
        </w:rPr>
      </w:pPr>
      <w:r>
        <w:rPr>
          <w:i/>
          <w:sz w:val="24"/>
        </w:rPr>
        <w:t xml:space="preserve">Legislative Assembly (Office of the Legislative Assembly) Amendment Act 2019 </w:t>
      </w:r>
      <w:r>
        <w:rPr>
          <w:sz w:val="24"/>
        </w:rPr>
        <w:t>(the Amendment Act)</w:t>
      </w:r>
      <w:r>
        <w:rPr>
          <w:i/>
          <w:sz w:val="24"/>
        </w:rPr>
        <w:t>.</w:t>
      </w:r>
    </w:p>
    <w:p w:rsidR="00FD5FB0" w:rsidRDefault="00FD5FB0">
      <w:pPr>
        <w:pStyle w:val="BodyText"/>
        <w:spacing w:before="9"/>
        <w:rPr>
          <w:i/>
          <w:sz w:val="20"/>
        </w:rPr>
      </w:pPr>
    </w:p>
    <w:p w:rsidR="00FD5FB0" w:rsidRDefault="000C5DDE">
      <w:pPr>
        <w:pStyle w:val="Heading2"/>
        <w:ind w:left="119"/>
      </w:pPr>
      <w:bookmarkStart w:id="12" w:name="Clause_2_—_Commencement"/>
      <w:bookmarkEnd w:id="12"/>
      <w:r>
        <w:t>Clause 2 — Commencement</w:t>
      </w:r>
    </w:p>
    <w:p w:rsidR="00FD5FB0" w:rsidRDefault="00FD5FB0">
      <w:pPr>
        <w:pStyle w:val="BodyText"/>
        <w:spacing w:before="8"/>
        <w:rPr>
          <w:b/>
        </w:rPr>
      </w:pPr>
    </w:p>
    <w:p w:rsidR="00FD5FB0" w:rsidRDefault="000C5DDE">
      <w:pPr>
        <w:pStyle w:val="BodyText"/>
        <w:spacing w:line="264" w:lineRule="auto"/>
        <w:ind w:left="119" w:right="199"/>
      </w:pPr>
      <w:r>
        <w:t>This clause provides that the Amendment Act will commence on the day after the Amendment Act is notified.</w:t>
      </w:r>
    </w:p>
    <w:p w:rsidR="00FD5FB0" w:rsidRDefault="00FD5FB0">
      <w:pPr>
        <w:pStyle w:val="BodyText"/>
        <w:spacing w:before="9"/>
        <w:rPr>
          <w:sz w:val="23"/>
        </w:rPr>
      </w:pPr>
    </w:p>
    <w:p w:rsidR="00FD5FB0" w:rsidRDefault="000C5DDE">
      <w:pPr>
        <w:pStyle w:val="Heading2"/>
        <w:ind w:left="119"/>
      </w:pPr>
      <w:bookmarkStart w:id="13" w:name="Clause_3_—_Legislation_amended"/>
      <w:bookmarkEnd w:id="13"/>
      <w:r>
        <w:t>Clause 3 — Legislation amended</w:t>
      </w:r>
    </w:p>
    <w:p w:rsidR="00FD5FB0" w:rsidRDefault="00FD5FB0">
      <w:pPr>
        <w:pStyle w:val="BodyText"/>
        <w:spacing w:before="8"/>
        <w:rPr>
          <w:b/>
        </w:rPr>
      </w:pPr>
    </w:p>
    <w:p w:rsidR="00FD5FB0" w:rsidRDefault="000C5DDE">
      <w:pPr>
        <w:pStyle w:val="BodyText"/>
        <w:spacing w:line="264" w:lineRule="auto"/>
        <w:ind w:left="119"/>
      </w:pPr>
      <w:r>
        <w:t>This clause outlines the legislation that is amended by the Bill. The Bill will amend the following:</w:t>
      </w:r>
    </w:p>
    <w:p w:rsidR="00FD5FB0" w:rsidRDefault="00FD5FB0">
      <w:pPr>
        <w:pStyle w:val="BodyText"/>
        <w:spacing w:before="2"/>
        <w:rPr>
          <w:sz w:val="22"/>
        </w:rPr>
      </w:pPr>
    </w:p>
    <w:p w:rsidR="00FD5FB0" w:rsidRDefault="000C5DDE">
      <w:pPr>
        <w:pStyle w:val="ListParagraph"/>
        <w:numPr>
          <w:ilvl w:val="0"/>
          <w:numId w:val="1"/>
        </w:numPr>
        <w:tabs>
          <w:tab w:val="left" w:pos="839"/>
          <w:tab w:val="left" w:pos="840"/>
        </w:tabs>
        <w:spacing w:before="1" w:line="276" w:lineRule="auto"/>
        <w:ind w:right="435"/>
        <w:rPr>
          <w:sz w:val="24"/>
        </w:rPr>
      </w:pPr>
      <w:r>
        <w:rPr>
          <w:i/>
          <w:sz w:val="24"/>
        </w:rPr>
        <w:t>Legislative</w:t>
      </w:r>
      <w:r>
        <w:rPr>
          <w:i/>
          <w:spacing w:val="-2"/>
          <w:sz w:val="24"/>
        </w:rPr>
        <w:t xml:space="preserve"> </w:t>
      </w:r>
      <w:r>
        <w:rPr>
          <w:i/>
          <w:sz w:val="24"/>
        </w:rPr>
        <w:t>Assembly</w:t>
      </w:r>
      <w:r>
        <w:rPr>
          <w:i/>
          <w:spacing w:val="-1"/>
          <w:sz w:val="24"/>
        </w:rPr>
        <w:t xml:space="preserve"> </w:t>
      </w:r>
      <w:r>
        <w:rPr>
          <w:i/>
          <w:sz w:val="24"/>
        </w:rPr>
        <w:t>(Office</w:t>
      </w:r>
      <w:r>
        <w:rPr>
          <w:i/>
          <w:spacing w:val="-1"/>
          <w:sz w:val="24"/>
        </w:rPr>
        <w:t xml:space="preserve"> </w:t>
      </w:r>
      <w:r>
        <w:rPr>
          <w:i/>
          <w:spacing w:val="4"/>
          <w:sz w:val="24"/>
        </w:rPr>
        <w:t>of</w:t>
      </w:r>
      <w:r>
        <w:rPr>
          <w:i/>
          <w:spacing w:val="-11"/>
          <w:sz w:val="24"/>
        </w:rPr>
        <w:t xml:space="preserve"> </w:t>
      </w:r>
      <w:r>
        <w:rPr>
          <w:i/>
          <w:sz w:val="24"/>
        </w:rPr>
        <w:t>the</w:t>
      </w:r>
      <w:r>
        <w:rPr>
          <w:i/>
          <w:spacing w:val="-1"/>
          <w:sz w:val="24"/>
        </w:rPr>
        <w:t xml:space="preserve"> </w:t>
      </w:r>
      <w:r>
        <w:rPr>
          <w:i/>
          <w:sz w:val="24"/>
        </w:rPr>
        <w:t>Legislative</w:t>
      </w:r>
      <w:r>
        <w:rPr>
          <w:i/>
          <w:spacing w:val="-1"/>
          <w:sz w:val="24"/>
        </w:rPr>
        <w:t xml:space="preserve"> </w:t>
      </w:r>
      <w:r>
        <w:rPr>
          <w:i/>
          <w:sz w:val="24"/>
        </w:rPr>
        <w:t>Assembly)</w:t>
      </w:r>
      <w:r>
        <w:rPr>
          <w:i/>
          <w:spacing w:val="-7"/>
          <w:sz w:val="24"/>
        </w:rPr>
        <w:t xml:space="preserve"> </w:t>
      </w:r>
      <w:r>
        <w:rPr>
          <w:i/>
          <w:sz w:val="24"/>
        </w:rPr>
        <w:t>Act</w:t>
      </w:r>
      <w:r>
        <w:rPr>
          <w:i/>
          <w:spacing w:val="-10"/>
          <w:sz w:val="24"/>
        </w:rPr>
        <w:t xml:space="preserve"> </w:t>
      </w:r>
      <w:r>
        <w:rPr>
          <w:i/>
          <w:spacing w:val="6"/>
          <w:sz w:val="24"/>
        </w:rPr>
        <w:t>2012</w:t>
      </w:r>
      <w:r>
        <w:rPr>
          <w:i/>
          <w:sz w:val="24"/>
        </w:rPr>
        <w:t xml:space="preserve"> </w:t>
      </w:r>
      <w:r>
        <w:rPr>
          <w:sz w:val="24"/>
        </w:rPr>
        <w:t>(the</w:t>
      </w:r>
      <w:r>
        <w:rPr>
          <w:spacing w:val="-2"/>
          <w:sz w:val="24"/>
        </w:rPr>
        <w:t xml:space="preserve"> </w:t>
      </w:r>
      <w:r>
        <w:rPr>
          <w:sz w:val="24"/>
        </w:rPr>
        <w:t>OLA</w:t>
      </w:r>
      <w:r>
        <w:rPr>
          <w:spacing w:val="-4"/>
          <w:sz w:val="24"/>
        </w:rPr>
        <w:t xml:space="preserve"> </w:t>
      </w:r>
      <w:r>
        <w:rPr>
          <w:sz w:val="24"/>
        </w:rPr>
        <w:t xml:space="preserve">Act); </w:t>
      </w:r>
      <w:r>
        <w:rPr>
          <w:spacing w:val="4"/>
          <w:sz w:val="24"/>
        </w:rPr>
        <w:t>and</w:t>
      </w:r>
    </w:p>
    <w:p w:rsidR="00FD5FB0" w:rsidRDefault="00FD5FB0">
      <w:pPr>
        <w:pStyle w:val="BodyText"/>
        <w:spacing w:before="10"/>
        <w:rPr>
          <w:sz w:val="20"/>
        </w:rPr>
      </w:pPr>
    </w:p>
    <w:p w:rsidR="00FD5FB0" w:rsidRDefault="000C5DDE">
      <w:pPr>
        <w:pStyle w:val="ListParagraph"/>
        <w:numPr>
          <w:ilvl w:val="0"/>
          <w:numId w:val="1"/>
        </w:numPr>
        <w:tabs>
          <w:tab w:val="left" w:pos="839"/>
          <w:tab w:val="left" w:pos="840"/>
        </w:tabs>
        <w:rPr>
          <w:sz w:val="24"/>
        </w:rPr>
      </w:pPr>
      <w:r>
        <w:rPr>
          <w:i/>
          <w:spacing w:val="2"/>
          <w:sz w:val="24"/>
        </w:rPr>
        <w:t>Electoral</w:t>
      </w:r>
      <w:r>
        <w:rPr>
          <w:i/>
          <w:spacing w:val="-15"/>
          <w:sz w:val="24"/>
        </w:rPr>
        <w:t xml:space="preserve"> </w:t>
      </w:r>
      <w:r>
        <w:rPr>
          <w:i/>
          <w:sz w:val="24"/>
        </w:rPr>
        <w:t>Act</w:t>
      </w:r>
      <w:r>
        <w:rPr>
          <w:i/>
          <w:spacing w:val="-15"/>
          <w:sz w:val="24"/>
        </w:rPr>
        <w:t xml:space="preserve"> </w:t>
      </w:r>
      <w:r>
        <w:rPr>
          <w:i/>
          <w:spacing w:val="6"/>
          <w:sz w:val="24"/>
        </w:rPr>
        <w:t>1992</w:t>
      </w:r>
      <w:r>
        <w:rPr>
          <w:i/>
          <w:spacing w:val="-4"/>
          <w:sz w:val="24"/>
        </w:rPr>
        <w:t xml:space="preserve"> </w:t>
      </w:r>
      <w:r>
        <w:rPr>
          <w:sz w:val="24"/>
        </w:rPr>
        <w:t>(the</w:t>
      </w:r>
      <w:r>
        <w:rPr>
          <w:spacing w:val="-6"/>
          <w:sz w:val="24"/>
        </w:rPr>
        <w:t xml:space="preserve"> </w:t>
      </w:r>
      <w:r>
        <w:rPr>
          <w:sz w:val="24"/>
        </w:rPr>
        <w:t>Electoral</w:t>
      </w:r>
      <w:r>
        <w:rPr>
          <w:spacing w:val="-15"/>
          <w:sz w:val="24"/>
        </w:rPr>
        <w:t xml:space="preserve"> </w:t>
      </w:r>
      <w:r>
        <w:rPr>
          <w:sz w:val="24"/>
        </w:rPr>
        <w:t>Act).</w:t>
      </w:r>
    </w:p>
    <w:p w:rsidR="00FD5FB0" w:rsidRDefault="00FD5FB0">
      <w:pPr>
        <w:pStyle w:val="BodyText"/>
        <w:spacing w:before="7"/>
      </w:pPr>
    </w:p>
    <w:p w:rsidR="00FD5FB0" w:rsidRDefault="000C5DDE">
      <w:pPr>
        <w:pStyle w:val="Heading2"/>
      </w:pPr>
      <w:bookmarkStart w:id="14" w:name="Clause_4_–_New_section_19B"/>
      <w:bookmarkEnd w:id="14"/>
      <w:r>
        <w:t>Clause 4 – New section 19B</w:t>
      </w:r>
    </w:p>
    <w:p w:rsidR="00FD5FB0" w:rsidRDefault="000C5DDE">
      <w:pPr>
        <w:pStyle w:val="BodyText"/>
        <w:spacing w:before="156"/>
        <w:ind w:left="120"/>
      </w:pPr>
      <w:r>
        <w:t>This clause inserts a new section 19B to provide for the establishment of an MLA</w:t>
      </w:r>
    </w:p>
    <w:p w:rsidR="00FD5FB0" w:rsidRDefault="000C5DDE">
      <w:pPr>
        <w:pStyle w:val="BodyText"/>
        <w:spacing w:before="44" w:line="264" w:lineRule="auto"/>
        <w:ind w:left="119"/>
      </w:pPr>
      <w:r>
        <w:t>communication allowance which can only be used for ‘routine communication’ with the member’s constituents as well for equipment used in support of such communication.</w:t>
      </w:r>
    </w:p>
    <w:p w:rsidR="00FD5FB0" w:rsidRDefault="000C5DDE">
      <w:pPr>
        <w:pStyle w:val="BodyText"/>
        <w:spacing w:before="225" w:line="273" w:lineRule="auto"/>
        <w:ind w:left="119" w:right="199"/>
      </w:pPr>
      <w:r>
        <w:t>Section 4(2) provides the Clerk of the Legislative Assembly with responsibility for paying and administering an allowance set up under new section 19B. The amendment provides the Legislative Assembly with scope to assign the Clerk other functions relating to the administration of the allowance through the continuing resolution.</w:t>
      </w:r>
    </w:p>
    <w:p w:rsidR="00FD5FB0" w:rsidRDefault="000C5DDE">
      <w:pPr>
        <w:pStyle w:val="BodyText"/>
        <w:spacing w:before="213" w:line="264" w:lineRule="auto"/>
        <w:ind w:left="119" w:right="199"/>
      </w:pPr>
      <w:r>
        <w:t>While the Clerk of the Legislative Assembly must pay the communication allowance, the new section specifies that further detail as to the amount and scope of the use of the</w:t>
      </w:r>
    </w:p>
    <w:p w:rsidR="00FD5FB0" w:rsidRDefault="000C5DDE">
      <w:pPr>
        <w:pStyle w:val="BodyText"/>
        <w:spacing w:before="17" w:line="278" w:lineRule="auto"/>
        <w:ind w:left="119"/>
      </w:pPr>
      <w:r>
        <w:t>communication allowance, and any associated processes to do with the administration of the allowance, will be determined by a continuing resolution of the Legislative Assembly. The section also makes clear that the continuing resolution may stipulate other purposes that the communication allowance can be used for.</w:t>
      </w:r>
    </w:p>
    <w:p w:rsidR="00FD5FB0" w:rsidRDefault="000C5DDE">
      <w:pPr>
        <w:pStyle w:val="BodyText"/>
        <w:spacing w:before="191"/>
        <w:ind w:left="119"/>
      </w:pPr>
      <w:r>
        <w:t>Section 4(5) provides a definition of ‘routine communication’.</w:t>
      </w:r>
    </w:p>
    <w:p w:rsidR="00FD5FB0" w:rsidRDefault="00FD5FB0">
      <w:pPr>
        <w:sectPr w:rsidR="00FD5FB0">
          <w:pgSz w:w="11910" w:h="16840"/>
          <w:pgMar w:top="1360" w:right="1320" w:bottom="1460" w:left="1320" w:header="0" w:footer="1227" w:gutter="0"/>
          <w:cols w:space="720"/>
        </w:sectPr>
      </w:pPr>
    </w:p>
    <w:p w:rsidR="00FD5FB0" w:rsidRDefault="000C5DDE">
      <w:pPr>
        <w:pStyle w:val="BodyText"/>
        <w:spacing w:before="67"/>
        <w:ind w:left="119"/>
      </w:pPr>
      <w:r>
        <w:lastRenderedPageBreak/>
        <w:t>The new clause 19B provides that the Clerk must pay the allowance to MLAs according to</w:t>
      </w:r>
    </w:p>
    <w:p w:rsidR="00FD5FB0" w:rsidRDefault="000C5DDE">
      <w:pPr>
        <w:pStyle w:val="BodyText"/>
        <w:spacing w:before="44" w:line="278" w:lineRule="auto"/>
        <w:ind w:left="119"/>
      </w:pPr>
      <w:r>
        <w:t>the requirements of the Continuing Resolution. The amount of the allowance will be included in the Continuing Resolution. MLAs can only use the allowance for a purpose mentioned in clause 19B(1)(a) or (b).</w:t>
      </w:r>
    </w:p>
    <w:p w:rsidR="00FD5FB0" w:rsidRDefault="000C5DDE">
      <w:pPr>
        <w:pStyle w:val="BodyText"/>
        <w:spacing w:before="192" w:line="278" w:lineRule="auto"/>
        <w:ind w:left="119"/>
      </w:pPr>
      <w:r>
        <w:rPr>
          <w:spacing w:val="2"/>
        </w:rPr>
        <w:t>Consultation</w:t>
      </w:r>
      <w:r>
        <w:rPr>
          <w:spacing w:val="-4"/>
        </w:rPr>
        <w:t xml:space="preserve"> </w:t>
      </w:r>
      <w:r>
        <w:t>will</w:t>
      </w:r>
      <w:r>
        <w:rPr>
          <w:spacing w:val="-15"/>
        </w:rPr>
        <w:t xml:space="preserve"> </w:t>
      </w:r>
      <w:r>
        <w:rPr>
          <w:spacing w:val="4"/>
        </w:rPr>
        <w:t>be</w:t>
      </w:r>
      <w:r>
        <w:rPr>
          <w:spacing w:val="-7"/>
        </w:rPr>
        <w:t xml:space="preserve"> </w:t>
      </w:r>
      <w:r>
        <w:rPr>
          <w:spacing w:val="4"/>
        </w:rPr>
        <w:t>undertaken</w:t>
      </w:r>
      <w:r>
        <w:rPr>
          <w:spacing w:val="-20"/>
        </w:rPr>
        <w:t xml:space="preserve"> </w:t>
      </w:r>
      <w:r>
        <w:t>with</w:t>
      </w:r>
      <w:r>
        <w:rPr>
          <w:spacing w:val="-4"/>
        </w:rPr>
        <w:t xml:space="preserve"> </w:t>
      </w:r>
      <w:r>
        <w:t>all</w:t>
      </w:r>
      <w:r>
        <w:rPr>
          <w:spacing w:val="-15"/>
        </w:rPr>
        <w:t xml:space="preserve"> </w:t>
      </w:r>
      <w:r>
        <w:t>MLAs</w:t>
      </w:r>
      <w:r>
        <w:rPr>
          <w:spacing w:val="-10"/>
        </w:rPr>
        <w:t xml:space="preserve"> </w:t>
      </w:r>
      <w:r>
        <w:t>in</w:t>
      </w:r>
      <w:r>
        <w:rPr>
          <w:spacing w:val="-3"/>
        </w:rPr>
        <w:t xml:space="preserve"> </w:t>
      </w:r>
      <w:r>
        <w:t>relation</w:t>
      </w:r>
      <w:r>
        <w:rPr>
          <w:spacing w:val="-4"/>
        </w:rPr>
        <w:t xml:space="preserve"> </w:t>
      </w:r>
      <w:r>
        <w:t>to</w:t>
      </w:r>
      <w:r>
        <w:rPr>
          <w:spacing w:val="-4"/>
        </w:rPr>
        <w:t xml:space="preserve"> </w:t>
      </w:r>
      <w:r>
        <w:t>the</w:t>
      </w:r>
      <w:r>
        <w:rPr>
          <w:spacing w:val="-7"/>
        </w:rPr>
        <w:t xml:space="preserve"> </w:t>
      </w:r>
      <w:r>
        <w:rPr>
          <w:spacing w:val="3"/>
        </w:rPr>
        <w:t>establishment</w:t>
      </w:r>
      <w:r>
        <w:rPr>
          <w:spacing w:val="-15"/>
        </w:rPr>
        <w:t xml:space="preserve"> </w:t>
      </w:r>
      <w:r>
        <w:rPr>
          <w:spacing w:val="4"/>
        </w:rPr>
        <w:t xml:space="preserve">of </w:t>
      </w:r>
      <w:r>
        <w:rPr>
          <w:spacing w:val="2"/>
        </w:rPr>
        <w:t>an</w:t>
      </w:r>
      <w:r>
        <w:rPr>
          <w:spacing w:val="-4"/>
        </w:rPr>
        <w:t xml:space="preserve"> MLA </w:t>
      </w:r>
      <w:r>
        <w:rPr>
          <w:spacing w:val="2"/>
        </w:rPr>
        <w:t>communications</w:t>
      </w:r>
      <w:r>
        <w:rPr>
          <w:spacing w:val="-8"/>
        </w:rPr>
        <w:t xml:space="preserve"> </w:t>
      </w:r>
      <w:r>
        <w:t>allowance</w:t>
      </w:r>
      <w:r>
        <w:rPr>
          <w:spacing w:val="-5"/>
        </w:rPr>
        <w:t xml:space="preserve"> </w:t>
      </w:r>
      <w:r>
        <w:rPr>
          <w:spacing w:val="4"/>
        </w:rPr>
        <w:t>and</w:t>
      </w:r>
      <w:r>
        <w:rPr>
          <w:spacing w:val="-18"/>
        </w:rPr>
        <w:t xml:space="preserve"> </w:t>
      </w:r>
      <w:r>
        <w:t>the</w:t>
      </w:r>
      <w:r>
        <w:rPr>
          <w:spacing w:val="-5"/>
        </w:rPr>
        <w:t xml:space="preserve"> </w:t>
      </w:r>
      <w:r>
        <w:t>Continuing</w:t>
      </w:r>
      <w:r>
        <w:rPr>
          <w:spacing w:val="-19"/>
        </w:rPr>
        <w:t xml:space="preserve"> </w:t>
      </w:r>
      <w:r>
        <w:rPr>
          <w:spacing w:val="2"/>
        </w:rPr>
        <w:t>Resolution</w:t>
      </w:r>
      <w:r>
        <w:rPr>
          <w:spacing w:val="-18"/>
        </w:rPr>
        <w:t xml:space="preserve"> </w:t>
      </w:r>
      <w:r>
        <w:rPr>
          <w:spacing w:val="4"/>
        </w:rPr>
        <w:t>of</w:t>
      </w:r>
      <w:r>
        <w:rPr>
          <w:spacing w:val="-10"/>
        </w:rPr>
        <w:t xml:space="preserve"> </w:t>
      </w:r>
      <w:r>
        <w:t>Legislative</w:t>
      </w:r>
      <w:r>
        <w:rPr>
          <w:spacing w:val="-5"/>
        </w:rPr>
        <w:t xml:space="preserve"> </w:t>
      </w:r>
      <w:r>
        <w:rPr>
          <w:spacing w:val="3"/>
        </w:rPr>
        <w:t>Assembly.</w:t>
      </w:r>
    </w:p>
    <w:p w:rsidR="00FD5FB0" w:rsidRDefault="000C5DDE">
      <w:pPr>
        <w:pStyle w:val="BodyText"/>
        <w:spacing w:before="191"/>
        <w:ind w:left="119"/>
      </w:pPr>
      <w:r>
        <w:t>The</w:t>
      </w:r>
      <w:r>
        <w:rPr>
          <w:spacing w:val="-5"/>
        </w:rPr>
        <w:t xml:space="preserve"> </w:t>
      </w:r>
      <w:r>
        <w:rPr>
          <w:spacing w:val="2"/>
        </w:rPr>
        <w:t>Continuing</w:t>
      </w:r>
      <w:r>
        <w:rPr>
          <w:spacing w:val="-18"/>
        </w:rPr>
        <w:t xml:space="preserve"> </w:t>
      </w:r>
      <w:r>
        <w:t>Resolution</w:t>
      </w:r>
      <w:r>
        <w:rPr>
          <w:spacing w:val="-2"/>
        </w:rPr>
        <w:t xml:space="preserve"> </w:t>
      </w:r>
      <w:r>
        <w:t>will</w:t>
      </w:r>
      <w:r>
        <w:rPr>
          <w:spacing w:val="-13"/>
        </w:rPr>
        <w:t xml:space="preserve"> </w:t>
      </w:r>
      <w:r>
        <w:rPr>
          <w:spacing w:val="3"/>
        </w:rPr>
        <w:t>be</w:t>
      </w:r>
      <w:r>
        <w:rPr>
          <w:spacing w:val="-4"/>
        </w:rPr>
        <w:t xml:space="preserve"> </w:t>
      </w:r>
      <w:r>
        <w:rPr>
          <w:spacing w:val="3"/>
        </w:rPr>
        <w:t>prepared</w:t>
      </w:r>
      <w:r>
        <w:rPr>
          <w:spacing w:val="-2"/>
        </w:rPr>
        <w:t xml:space="preserve"> </w:t>
      </w:r>
      <w:r>
        <w:t>and</w:t>
      </w:r>
      <w:r>
        <w:rPr>
          <w:spacing w:val="-2"/>
        </w:rPr>
        <w:t xml:space="preserve"> </w:t>
      </w:r>
      <w:r>
        <w:t>circulated</w:t>
      </w:r>
      <w:r>
        <w:rPr>
          <w:spacing w:val="-2"/>
        </w:rPr>
        <w:t xml:space="preserve"> </w:t>
      </w:r>
      <w:r>
        <w:rPr>
          <w:spacing w:val="2"/>
        </w:rPr>
        <w:t>prior</w:t>
      </w:r>
      <w:r>
        <w:rPr>
          <w:spacing w:val="-9"/>
        </w:rPr>
        <w:t xml:space="preserve"> </w:t>
      </w:r>
      <w:r>
        <w:t>to</w:t>
      </w:r>
      <w:r>
        <w:rPr>
          <w:spacing w:val="-2"/>
        </w:rPr>
        <w:t xml:space="preserve"> </w:t>
      </w:r>
      <w:r>
        <w:t>the</w:t>
      </w:r>
      <w:r>
        <w:rPr>
          <w:spacing w:val="-4"/>
        </w:rPr>
        <w:t xml:space="preserve"> </w:t>
      </w:r>
      <w:r>
        <w:t>debate</w:t>
      </w:r>
      <w:r>
        <w:rPr>
          <w:spacing w:val="-5"/>
        </w:rPr>
        <w:t xml:space="preserve"> </w:t>
      </w:r>
      <w:r>
        <w:rPr>
          <w:spacing w:val="3"/>
        </w:rPr>
        <w:t>on</w:t>
      </w:r>
      <w:r>
        <w:rPr>
          <w:spacing w:val="-1"/>
        </w:rPr>
        <w:t xml:space="preserve"> </w:t>
      </w:r>
      <w:r>
        <w:rPr>
          <w:spacing w:val="3"/>
        </w:rPr>
        <w:t>the</w:t>
      </w:r>
    </w:p>
    <w:p w:rsidR="00FD5FB0" w:rsidRDefault="000C5DDE">
      <w:pPr>
        <w:spacing w:before="44"/>
        <w:ind w:left="119"/>
        <w:rPr>
          <w:sz w:val="24"/>
        </w:rPr>
      </w:pPr>
      <w:r>
        <w:rPr>
          <w:i/>
          <w:sz w:val="24"/>
        </w:rPr>
        <w:t xml:space="preserve">Legislative Assembly (Office of the Legislative Assembly) Amendment Bill 2019 </w:t>
      </w:r>
      <w:r>
        <w:rPr>
          <w:sz w:val="24"/>
        </w:rPr>
        <w:t>in the</w:t>
      </w:r>
    </w:p>
    <w:p w:rsidR="00FD5FB0" w:rsidRDefault="000C5DDE">
      <w:pPr>
        <w:pStyle w:val="BodyText"/>
        <w:spacing w:before="44" w:line="278" w:lineRule="auto"/>
        <w:ind w:left="119"/>
      </w:pPr>
      <w:r>
        <w:t>November 2019 sitting. Once the Continuing Resolution has been drafted, the Chief Minister will lead a cross-party consultation process.</w:t>
      </w:r>
    </w:p>
    <w:p w:rsidR="00FD5FB0" w:rsidRDefault="000C5DDE">
      <w:pPr>
        <w:pStyle w:val="BodyText"/>
        <w:spacing w:before="192"/>
        <w:ind w:left="119"/>
      </w:pPr>
      <w:r>
        <w:t>It is proposed that the Continuing Resolution will commence from 1 January 2020.</w:t>
      </w:r>
    </w:p>
    <w:p w:rsidR="00FD5FB0" w:rsidRDefault="00FD5FB0">
      <w:pPr>
        <w:pStyle w:val="BodyText"/>
        <w:rPr>
          <w:sz w:val="26"/>
        </w:rPr>
      </w:pPr>
    </w:p>
    <w:p w:rsidR="00FD5FB0" w:rsidRDefault="00FD5FB0">
      <w:pPr>
        <w:pStyle w:val="BodyText"/>
        <w:rPr>
          <w:sz w:val="26"/>
        </w:rPr>
      </w:pPr>
    </w:p>
    <w:p w:rsidR="00FD5FB0" w:rsidRDefault="000C5DDE">
      <w:pPr>
        <w:spacing w:before="166"/>
        <w:ind w:left="119"/>
        <w:rPr>
          <w:b/>
          <w:sz w:val="24"/>
        </w:rPr>
      </w:pPr>
      <w:r>
        <w:rPr>
          <w:b/>
          <w:sz w:val="24"/>
        </w:rPr>
        <w:t xml:space="preserve">Clause 5 – Definition of </w:t>
      </w:r>
      <w:r>
        <w:rPr>
          <w:b/>
          <w:i/>
          <w:sz w:val="24"/>
        </w:rPr>
        <w:t>electoral expenditure</w:t>
      </w:r>
      <w:r>
        <w:rPr>
          <w:b/>
          <w:sz w:val="24"/>
        </w:rPr>
        <w:t>, section 198(b) – Electoral Act 1992</w:t>
      </w:r>
    </w:p>
    <w:p w:rsidR="00FD5FB0" w:rsidRDefault="00FD5FB0">
      <w:pPr>
        <w:pStyle w:val="BodyText"/>
        <w:spacing w:before="8"/>
        <w:rPr>
          <w:b/>
        </w:rPr>
      </w:pPr>
    </w:p>
    <w:p w:rsidR="00FD5FB0" w:rsidRDefault="000C5DDE">
      <w:pPr>
        <w:pStyle w:val="BodyText"/>
        <w:ind w:left="119"/>
      </w:pPr>
      <w:r>
        <w:t>This provides an amendment that excludes the MLA communication allowance from the</w:t>
      </w:r>
    </w:p>
    <w:p w:rsidR="00FD5FB0" w:rsidRDefault="000C5DDE">
      <w:pPr>
        <w:pStyle w:val="BodyText"/>
        <w:spacing w:before="28" w:line="278" w:lineRule="auto"/>
        <w:ind w:left="119"/>
      </w:pPr>
      <w:r>
        <w:t>definition of electoral expenditure. The intent is for the MLA communication allowance to be in addition to the electoral expenditure cap.</w:t>
      </w:r>
    </w:p>
    <w:p w:rsidR="00FD5FB0" w:rsidRDefault="00FD5FB0">
      <w:pPr>
        <w:pStyle w:val="BodyText"/>
        <w:rPr>
          <w:sz w:val="26"/>
        </w:rPr>
      </w:pPr>
    </w:p>
    <w:p w:rsidR="00FD5FB0" w:rsidRDefault="00FD5FB0">
      <w:pPr>
        <w:pStyle w:val="BodyText"/>
        <w:spacing w:before="7"/>
        <w:rPr>
          <w:sz w:val="29"/>
        </w:rPr>
      </w:pPr>
    </w:p>
    <w:p w:rsidR="00FD5FB0" w:rsidRDefault="000C5DDE">
      <w:pPr>
        <w:pStyle w:val="Heading2"/>
        <w:spacing w:line="444" w:lineRule="auto"/>
        <w:ind w:left="119" w:right="1643"/>
      </w:pPr>
      <w:r>
        <w:t>Clause 5 – Annual returns by parties and MLAs – Electoral Act 1992 Section 230 (7)</w:t>
      </w:r>
    </w:p>
    <w:p w:rsidR="00FD5FB0" w:rsidRDefault="000C5DDE">
      <w:pPr>
        <w:pStyle w:val="BodyText"/>
        <w:spacing w:before="51"/>
        <w:ind w:left="119"/>
      </w:pPr>
      <w:r>
        <w:t>This clause substitutes section 230(7) of the Act to provide that any amount paid, or to be</w:t>
      </w:r>
    </w:p>
    <w:p w:rsidR="00FD5FB0" w:rsidRDefault="000C5DDE">
      <w:pPr>
        <w:spacing w:before="44" w:line="273" w:lineRule="auto"/>
        <w:ind w:left="119" w:right="134"/>
        <w:jc w:val="both"/>
        <w:rPr>
          <w:sz w:val="24"/>
        </w:rPr>
      </w:pPr>
      <w:r>
        <w:rPr>
          <w:sz w:val="24"/>
        </w:rPr>
        <w:t xml:space="preserve">paid, by or on behalf of an MLA using an allowance provided to the MLA under new section 19B of the </w:t>
      </w:r>
      <w:r>
        <w:rPr>
          <w:i/>
          <w:sz w:val="24"/>
        </w:rPr>
        <w:t>Legislative Assembly (Office of the Legislative Assembly) Act 2012</w:t>
      </w:r>
      <w:r>
        <w:rPr>
          <w:sz w:val="24"/>
        </w:rPr>
        <w:t>, established by this Bill, is not required to be disclosed in the annual return given to the Commissioner under section 230 of the Act.</w:t>
      </w:r>
    </w:p>
    <w:sectPr w:rsidR="00FD5FB0">
      <w:pgSz w:w="11910" w:h="16840"/>
      <w:pgMar w:top="1360" w:right="1320" w:bottom="1460" w:left="1320" w:header="0" w:footer="1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24F" w:rsidRDefault="000C5DDE">
      <w:r>
        <w:separator/>
      </w:r>
    </w:p>
  </w:endnote>
  <w:endnote w:type="continuationSeparator" w:id="0">
    <w:p w:rsidR="00DC324F" w:rsidRDefault="000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DE" w:rsidRPr="000C5DDE" w:rsidRDefault="000C5DDE" w:rsidP="000C5DDE">
    <w:pPr>
      <w:pStyle w:val="Footer"/>
      <w:jc w:val="center"/>
      <w:rPr>
        <w:rFonts w:ascii="Arial" w:hAnsi="Arial" w:cs="Arial"/>
        <w:sz w:val="14"/>
      </w:rPr>
    </w:pPr>
    <w:r w:rsidRPr="000C5DD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B0" w:rsidRPr="00B500F9" w:rsidRDefault="00B500F9" w:rsidP="00B500F9">
    <w:pPr>
      <w:jc w:val="center"/>
      <w:rPr>
        <w:rFonts w:ascii="Arial" w:hAnsi="Arial" w:cs="Arial"/>
        <w:sz w:val="14"/>
        <w:szCs w:val="14"/>
      </w:rPr>
    </w:pPr>
    <w:r w:rsidRPr="00B500F9">
      <w:rPr>
        <w:rFonts w:ascii="Arial" w:hAnsi="Arial" w:cs="Arial"/>
        <w:sz w:val="14"/>
        <w:szCs w:val="14"/>
      </w:rPr>
      <w:pict>
        <v:shapetype id="_x0000_t202" coordsize="21600,21600" o:spt="202" path="m,l,21600r21600,l21600,xe">
          <v:stroke joinstyle="miter"/>
          <v:path gradientshapeok="t" o:connecttype="rect"/>
        </v:shapetype>
        <v:shape id="_x0000_s1025" type="#_x0000_t202" style="position:absolute;left:0;text-align:left;margin-left:514.8pt;margin-top:766.7pt;width:10.05pt;height:15.3pt;z-index:-251658752;mso-position-horizontal-relative:page;mso-position-vertical-relative:page" filled="f" stroked="f">
          <v:textbox inset="0,0,0,0">
            <w:txbxContent>
              <w:p w:rsidR="00FD5FB0" w:rsidRDefault="000C5DDE">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w:r>
    <w:r w:rsidR="000C5DDE" w:rsidRPr="00B500F9">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24F" w:rsidRDefault="000C5DDE">
      <w:r>
        <w:separator/>
      </w:r>
    </w:p>
  </w:footnote>
  <w:footnote w:type="continuationSeparator" w:id="0">
    <w:p w:rsidR="00DC324F" w:rsidRDefault="000C5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52202"/>
    <w:multiLevelType w:val="hybridMultilevel"/>
    <w:tmpl w:val="B838D018"/>
    <w:lvl w:ilvl="0" w:tplc="E0FA7A8C">
      <w:numFmt w:val="bullet"/>
      <w:lvlText w:val=""/>
      <w:lvlJc w:val="left"/>
      <w:pPr>
        <w:ind w:left="840" w:hanging="353"/>
      </w:pPr>
      <w:rPr>
        <w:rFonts w:ascii="Symbol" w:eastAsia="Symbol" w:hAnsi="Symbol" w:cs="Symbol" w:hint="default"/>
        <w:w w:val="100"/>
        <w:sz w:val="24"/>
        <w:szCs w:val="24"/>
        <w:lang w:val="en-AU" w:eastAsia="en-AU" w:bidi="en-AU"/>
      </w:rPr>
    </w:lvl>
    <w:lvl w:ilvl="1" w:tplc="CB0E4D7A">
      <w:numFmt w:val="bullet"/>
      <w:lvlText w:val="•"/>
      <w:lvlJc w:val="left"/>
      <w:pPr>
        <w:ind w:left="1100" w:hanging="353"/>
      </w:pPr>
      <w:rPr>
        <w:rFonts w:hint="default"/>
        <w:lang w:val="en-AU" w:eastAsia="en-AU" w:bidi="en-AU"/>
      </w:rPr>
    </w:lvl>
    <w:lvl w:ilvl="2" w:tplc="D3CE2528">
      <w:numFmt w:val="bullet"/>
      <w:lvlText w:val="•"/>
      <w:lvlJc w:val="left"/>
      <w:pPr>
        <w:ind w:left="2007" w:hanging="353"/>
      </w:pPr>
      <w:rPr>
        <w:rFonts w:hint="default"/>
        <w:lang w:val="en-AU" w:eastAsia="en-AU" w:bidi="en-AU"/>
      </w:rPr>
    </w:lvl>
    <w:lvl w:ilvl="3" w:tplc="D3C028C0">
      <w:numFmt w:val="bullet"/>
      <w:lvlText w:val="•"/>
      <w:lvlJc w:val="left"/>
      <w:pPr>
        <w:ind w:left="2914" w:hanging="353"/>
      </w:pPr>
      <w:rPr>
        <w:rFonts w:hint="default"/>
        <w:lang w:val="en-AU" w:eastAsia="en-AU" w:bidi="en-AU"/>
      </w:rPr>
    </w:lvl>
    <w:lvl w:ilvl="4" w:tplc="D46CE36E">
      <w:numFmt w:val="bullet"/>
      <w:lvlText w:val="•"/>
      <w:lvlJc w:val="left"/>
      <w:pPr>
        <w:ind w:left="3821" w:hanging="353"/>
      </w:pPr>
      <w:rPr>
        <w:rFonts w:hint="default"/>
        <w:lang w:val="en-AU" w:eastAsia="en-AU" w:bidi="en-AU"/>
      </w:rPr>
    </w:lvl>
    <w:lvl w:ilvl="5" w:tplc="96801618">
      <w:numFmt w:val="bullet"/>
      <w:lvlText w:val="•"/>
      <w:lvlJc w:val="left"/>
      <w:pPr>
        <w:ind w:left="4728" w:hanging="353"/>
      </w:pPr>
      <w:rPr>
        <w:rFonts w:hint="default"/>
        <w:lang w:val="en-AU" w:eastAsia="en-AU" w:bidi="en-AU"/>
      </w:rPr>
    </w:lvl>
    <w:lvl w:ilvl="6" w:tplc="DD1C0E32">
      <w:numFmt w:val="bullet"/>
      <w:lvlText w:val="•"/>
      <w:lvlJc w:val="left"/>
      <w:pPr>
        <w:ind w:left="5635" w:hanging="353"/>
      </w:pPr>
      <w:rPr>
        <w:rFonts w:hint="default"/>
        <w:lang w:val="en-AU" w:eastAsia="en-AU" w:bidi="en-AU"/>
      </w:rPr>
    </w:lvl>
    <w:lvl w:ilvl="7" w:tplc="EC924E1E">
      <w:numFmt w:val="bullet"/>
      <w:lvlText w:val="•"/>
      <w:lvlJc w:val="left"/>
      <w:pPr>
        <w:ind w:left="6542" w:hanging="353"/>
      </w:pPr>
      <w:rPr>
        <w:rFonts w:hint="default"/>
        <w:lang w:val="en-AU" w:eastAsia="en-AU" w:bidi="en-AU"/>
      </w:rPr>
    </w:lvl>
    <w:lvl w:ilvl="8" w:tplc="6AF803B2">
      <w:numFmt w:val="bullet"/>
      <w:lvlText w:val="•"/>
      <w:lvlJc w:val="left"/>
      <w:pPr>
        <w:ind w:left="7449" w:hanging="353"/>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D5FB0"/>
    <w:rsid w:val="000A75D2"/>
    <w:rsid w:val="000C5DDE"/>
    <w:rsid w:val="0069017F"/>
    <w:rsid w:val="00B500F9"/>
    <w:rsid w:val="00DC324F"/>
    <w:rsid w:val="00FD5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docId w15:val="{2792C183-61C1-45D2-9512-2990DD73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AU" w:eastAsia="en-AU" w:bidi="en-AU"/>
    </w:rPr>
  </w:style>
  <w:style w:type="paragraph" w:styleId="Heading1">
    <w:name w:val="heading 1"/>
    <w:basedOn w:val="Normal"/>
    <w:uiPriority w:val="9"/>
    <w:qFormat/>
    <w:pPr>
      <w:spacing w:before="2"/>
      <w:ind w:left="520"/>
      <w:outlineLvl w:val="0"/>
    </w:pPr>
    <w:rPr>
      <w:b/>
      <w:bCs/>
      <w:sz w:val="29"/>
      <w:szCs w:val="29"/>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spacing w:before="64"/>
      <w:ind w:left="119"/>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5DDE"/>
    <w:pPr>
      <w:tabs>
        <w:tab w:val="center" w:pos="4513"/>
        <w:tab w:val="right" w:pos="9026"/>
      </w:tabs>
    </w:pPr>
  </w:style>
  <w:style w:type="character" w:customStyle="1" w:styleId="HeaderChar">
    <w:name w:val="Header Char"/>
    <w:basedOn w:val="DefaultParagraphFont"/>
    <w:link w:val="Header"/>
    <w:uiPriority w:val="99"/>
    <w:rsid w:val="000C5DDE"/>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0C5DDE"/>
    <w:pPr>
      <w:tabs>
        <w:tab w:val="center" w:pos="4513"/>
        <w:tab w:val="right" w:pos="9026"/>
      </w:tabs>
    </w:pPr>
  </w:style>
  <w:style w:type="character" w:customStyle="1" w:styleId="FooterChar">
    <w:name w:val="Footer Char"/>
    <w:basedOn w:val="DefaultParagraphFont"/>
    <w:link w:val="Footer"/>
    <w:uiPriority w:val="99"/>
    <w:rsid w:val="000C5DDE"/>
    <w:rPr>
      <w:rFonts w:ascii="Times New Roman" w:eastAsia="Times New Roman" w:hAnsi="Times New Roman" w:cs="Times New Roman"/>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8936</Characters>
  <Application>Microsoft Office Word</Application>
  <DocSecurity>0</DocSecurity>
  <Lines>235</Lines>
  <Paragraphs>101</Paragraphs>
  <ScaleCrop>false</ScaleCrop>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Jessica</dc:creator>
  <cp:lastModifiedBy>Moxon, KarenL</cp:lastModifiedBy>
  <cp:revision>5</cp:revision>
  <dcterms:created xsi:type="dcterms:W3CDTF">2019-10-23T23:00:00Z</dcterms:created>
  <dcterms:modified xsi:type="dcterms:W3CDTF">2019-10-23T23:22:00Z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Acrobat PDFMaker 19 for Word</vt:lpwstr>
  </property>
  <property fmtid="{D5CDD505-2E9C-101B-9397-08002B2CF9AE}" pid="4" name="LastSaved">
    <vt:filetime>2019-10-23T00:00:00Z</vt:filetime>
  </property>
</Properties>
</file>