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3FBE5D6E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000E95">
        <w:t>Income Replacement Benefit</w:t>
      </w:r>
      <w:r w:rsidR="00FD75CE">
        <w:t xml:space="preserve">) </w:t>
      </w:r>
      <w:r>
        <w:t>Guidelines</w:t>
      </w:r>
      <w:r w:rsidR="00FD75CE">
        <w:t xml:space="preserve"> </w:t>
      </w:r>
      <w:r>
        <w:t>2019</w:t>
      </w:r>
      <w:r w:rsidR="00FD75CE">
        <w:t xml:space="preserve"> </w:t>
      </w:r>
    </w:p>
    <w:p w14:paraId="1BB58125" w14:textId="0AD8536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842E67">
        <w:rPr>
          <w:rFonts w:ascii="Arial" w:hAnsi="Arial" w:cs="Arial"/>
          <w:b/>
          <w:bCs/>
        </w:rPr>
        <w:t>243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4089FC2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78EA4EEA" w14:textId="77777777" w:rsidR="00C83E48" w:rsidRDefault="00C83E48" w:rsidP="00EA7E10">
      <w:pPr>
        <w:rPr>
          <w:rFonts w:cs="Arial"/>
          <w:szCs w:val="24"/>
        </w:rPr>
      </w:pPr>
    </w:p>
    <w:p w14:paraId="0CFAFCF6" w14:textId="3BE76ED1" w:rsidR="00EA7E10" w:rsidRDefault="00795DCF" w:rsidP="00EA7E10">
      <w:pPr>
        <w:rPr>
          <w:rFonts w:cs="Arial"/>
          <w:szCs w:val="24"/>
        </w:rPr>
      </w:pPr>
      <w:r>
        <w:rPr>
          <w:rFonts w:cs="Arial"/>
          <w:szCs w:val="24"/>
        </w:rPr>
        <w:t>The guidelines</w:t>
      </w:r>
      <w:r w:rsidR="00EA7E10">
        <w:rPr>
          <w:rFonts w:cs="Arial"/>
          <w:szCs w:val="24"/>
        </w:rPr>
        <w:t xml:space="preserve"> provide guidance to insurers about their obligations to pay</w:t>
      </w:r>
      <w:r w:rsidR="00BE7A68">
        <w:rPr>
          <w:rFonts w:cs="Arial"/>
          <w:szCs w:val="24"/>
        </w:rPr>
        <w:t xml:space="preserve"> </w:t>
      </w:r>
      <w:r w:rsidR="00000E95">
        <w:rPr>
          <w:rFonts w:cs="Arial"/>
          <w:szCs w:val="24"/>
        </w:rPr>
        <w:t>income replacement benefits including making decisions about entitlements to these benefits, and when these benefits should start, reduce or stop and how to work out the amount of a benefit payment</w:t>
      </w:r>
      <w:r w:rsidR="00481D08">
        <w:rPr>
          <w:rFonts w:cs="Arial"/>
          <w:szCs w:val="24"/>
        </w:rPr>
        <w:t>.</w:t>
      </w:r>
    </w:p>
    <w:p w14:paraId="1DD0B847" w14:textId="77777777" w:rsidR="004E1D37" w:rsidRDefault="004E1D37" w:rsidP="00EA7E10">
      <w:pPr>
        <w:rPr>
          <w:rFonts w:cs="Arial"/>
          <w:szCs w:val="24"/>
        </w:rPr>
      </w:pPr>
    </w:p>
    <w:p w14:paraId="4AD29E27" w14:textId="7D5C8EA4" w:rsidR="00000E95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</w:t>
      </w:r>
      <w:r w:rsidR="00481D08">
        <w:rPr>
          <w:rFonts w:cs="Arial"/>
          <w:szCs w:val="24"/>
        </w:rPr>
        <w:t xml:space="preserve"> matters to be taken into account when determin</w:t>
      </w:r>
      <w:r w:rsidR="0021690D">
        <w:rPr>
          <w:rFonts w:cs="Arial"/>
          <w:szCs w:val="24"/>
        </w:rPr>
        <w:t>ing</w:t>
      </w:r>
      <w:r>
        <w:rPr>
          <w:rFonts w:cs="Arial"/>
          <w:szCs w:val="24"/>
        </w:rPr>
        <w:t>:</w:t>
      </w:r>
    </w:p>
    <w:p w14:paraId="62D928F4" w14:textId="77777777" w:rsidR="000176D0" w:rsidRDefault="000176D0" w:rsidP="00EA7E10">
      <w:pPr>
        <w:rPr>
          <w:rFonts w:cs="Arial"/>
          <w:szCs w:val="24"/>
        </w:rPr>
      </w:pPr>
    </w:p>
    <w:p w14:paraId="58A3A6C0" w14:textId="31116F2D" w:rsidR="00000E95" w:rsidRDefault="002C6C8B" w:rsidP="00000E9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What is</w:t>
      </w:r>
      <w:r w:rsidR="00481D08">
        <w:rPr>
          <w:rFonts w:cs="Arial"/>
          <w:szCs w:val="24"/>
        </w:rPr>
        <w:t xml:space="preserve">, or not </w:t>
      </w:r>
      <w:r>
        <w:rPr>
          <w:rFonts w:cs="Arial"/>
          <w:szCs w:val="24"/>
        </w:rPr>
        <w:t>taken</w:t>
      </w:r>
      <w:r w:rsidR="00481D0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to be paid work;</w:t>
      </w:r>
    </w:p>
    <w:p w14:paraId="24EE23E6" w14:textId="7BC188F3" w:rsidR="002C6C8B" w:rsidRDefault="00481D08" w:rsidP="00000E9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2C6C8B">
        <w:rPr>
          <w:rFonts w:cs="Arial"/>
          <w:szCs w:val="24"/>
        </w:rPr>
        <w:t>hether a person is capable</w:t>
      </w:r>
      <w:r>
        <w:rPr>
          <w:rFonts w:cs="Arial"/>
          <w:szCs w:val="24"/>
        </w:rPr>
        <w:t>, or not capable,</w:t>
      </w:r>
      <w:r w:rsidR="002C6C8B">
        <w:rPr>
          <w:rFonts w:cs="Arial"/>
          <w:szCs w:val="24"/>
        </w:rPr>
        <w:t xml:space="preserve"> of being paid work;</w:t>
      </w:r>
    </w:p>
    <w:p w14:paraId="445FFBE3" w14:textId="6A3CB245" w:rsidR="002C6C8B" w:rsidRDefault="0021690D" w:rsidP="00000E9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2C6C8B">
        <w:rPr>
          <w:rFonts w:cs="Arial"/>
          <w:szCs w:val="24"/>
        </w:rPr>
        <w:t xml:space="preserve"> person’s pre-injury weekly income or earnings capacity;</w:t>
      </w:r>
    </w:p>
    <w:p w14:paraId="1FB87F7A" w14:textId="6781F15D" w:rsidR="002C6C8B" w:rsidRDefault="002C6C8B" w:rsidP="00000E9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Payment of increments for an apprentice, trainee or young person;</w:t>
      </w:r>
      <w:r w:rsidR="0021690D">
        <w:rPr>
          <w:rFonts w:cs="Arial"/>
          <w:szCs w:val="24"/>
        </w:rPr>
        <w:t xml:space="preserve"> and</w:t>
      </w:r>
    </w:p>
    <w:p w14:paraId="0E6BB16D" w14:textId="20071A18" w:rsidR="00481D08" w:rsidRDefault="0021690D" w:rsidP="00000E9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481D08">
        <w:rPr>
          <w:rFonts w:cs="Arial"/>
          <w:szCs w:val="24"/>
        </w:rPr>
        <w:t xml:space="preserve"> person’s post</w:t>
      </w:r>
      <w:r w:rsidR="00C83E48">
        <w:rPr>
          <w:rFonts w:cs="Arial"/>
          <w:szCs w:val="24"/>
        </w:rPr>
        <w:t>-</w:t>
      </w:r>
      <w:r w:rsidR="00481D08">
        <w:rPr>
          <w:rFonts w:cs="Arial"/>
          <w:szCs w:val="24"/>
        </w:rPr>
        <w:t>injury earning capacity;</w:t>
      </w:r>
    </w:p>
    <w:p w14:paraId="74607EFD" w14:textId="28B7585B" w:rsidR="0021690D" w:rsidRDefault="0021690D" w:rsidP="0021690D">
      <w:pPr>
        <w:rPr>
          <w:rFonts w:cs="Arial"/>
          <w:szCs w:val="24"/>
        </w:rPr>
      </w:pPr>
    </w:p>
    <w:p w14:paraId="131B36CA" w14:textId="400510C0" w:rsidR="0021690D" w:rsidRDefault="0021690D" w:rsidP="0021690D">
      <w:pPr>
        <w:rPr>
          <w:rFonts w:cs="Arial"/>
          <w:szCs w:val="24"/>
        </w:rPr>
      </w:pPr>
      <w:r>
        <w:rPr>
          <w:rFonts w:cs="Arial"/>
          <w:szCs w:val="24"/>
        </w:rPr>
        <w:t>The guidelines also make provision for:</w:t>
      </w:r>
    </w:p>
    <w:p w14:paraId="1D60761C" w14:textId="77777777" w:rsidR="000176D0" w:rsidRPr="0021690D" w:rsidRDefault="000176D0" w:rsidP="0021690D">
      <w:pPr>
        <w:rPr>
          <w:rFonts w:cs="Arial"/>
          <w:szCs w:val="24"/>
        </w:rPr>
      </w:pPr>
    </w:p>
    <w:p w14:paraId="11961561" w14:textId="1AAAC017" w:rsidR="002C6C8B" w:rsidRDefault="00481D08" w:rsidP="00481D08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481D08">
        <w:rPr>
          <w:rFonts w:cs="Arial"/>
          <w:szCs w:val="24"/>
        </w:rPr>
        <w:t>Exceptional circumstances for a late application for back-paying</w:t>
      </w:r>
      <w:r>
        <w:rPr>
          <w:rFonts w:cs="Arial"/>
          <w:szCs w:val="24"/>
        </w:rPr>
        <w:t xml:space="preserve"> income replacement benefits;</w:t>
      </w:r>
    </w:p>
    <w:p w14:paraId="2397FAD0" w14:textId="5B1443CC" w:rsidR="00481D08" w:rsidRDefault="00481D08" w:rsidP="00481D08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Interim weekly payments;</w:t>
      </w:r>
    </w:p>
    <w:p w14:paraId="5041F115" w14:textId="40462828" w:rsidR="00481D08" w:rsidRDefault="00481D08" w:rsidP="00481D08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Fitness for work certificates and work declarations; and</w:t>
      </w:r>
    </w:p>
    <w:p w14:paraId="37B80894" w14:textId="358FFF06" w:rsidR="00481D08" w:rsidRDefault="00481D08" w:rsidP="00481D08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The conduct of fitness for work assessments.</w:t>
      </w:r>
    </w:p>
    <w:p w14:paraId="54ADF3B7" w14:textId="77777777" w:rsidR="00C83E48" w:rsidRDefault="00C83E48" w:rsidP="0021690D">
      <w:pPr>
        <w:rPr>
          <w:rFonts w:cs="Arial"/>
          <w:szCs w:val="24"/>
        </w:rPr>
      </w:pPr>
    </w:p>
    <w:p w14:paraId="582E1DCA" w14:textId="56214055" w:rsidR="0021690D" w:rsidRPr="0021690D" w:rsidRDefault="00C83E48" w:rsidP="0021690D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  <w:r w:rsidR="0021690D">
        <w:rPr>
          <w:rFonts w:cs="Arial"/>
          <w:szCs w:val="24"/>
        </w:rPr>
        <w:t xml:space="preserve"> </w:t>
      </w:r>
    </w:p>
    <w:p w14:paraId="51363A67" w14:textId="77777777" w:rsidR="00481D08" w:rsidRPr="00481D08" w:rsidRDefault="00481D08" w:rsidP="00481D08">
      <w:pPr>
        <w:pStyle w:val="ListParagraph"/>
        <w:rPr>
          <w:rFonts w:cs="Arial"/>
          <w:szCs w:val="24"/>
        </w:rPr>
      </w:pPr>
    </w:p>
    <w:p w14:paraId="60EB57DA" w14:textId="76291640" w:rsidR="00C17FAB" w:rsidRPr="00EA7E10" w:rsidRDefault="00C17FAB" w:rsidP="00EA7E10">
      <w:pPr>
        <w:rPr>
          <w:b/>
          <w:bCs/>
        </w:rPr>
      </w:pP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6D693D74" w:rsidR="00DA3B00" w:rsidRPr="0095039A" w:rsidRDefault="0095039A" w:rsidP="0095039A">
    <w:pPr>
      <w:pStyle w:val="Footer"/>
      <w:jc w:val="center"/>
      <w:rPr>
        <w:rFonts w:cs="Arial"/>
        <w:sz w:val="14"/>
      </w:rPr>
    </w:pPr>
    <w:r w:rsidRPr="009503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06AD8"/>
    <w:multiLevelType w:val="hybridMultilevel"/>
    <w:tmpl w:val="5100C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0E95"/>
    <w:rsid w:val="000176D0"/>
    <w:rsid w:val="001C4BC6"/>
    <w:rsid w:val="0021690D"/>
    <w:rsid w:val="002801B0"/>
    <w:rsid w:val="002C6C8B"/>
    <w:rsid w:val="002D7C60"/>
    <w:rsid w:val="00423A72"/>
    <w:rsid w:val="00481D08"/>
    <w:rsid w:val="004E1D37"/>
    <w:rsid w:val="0055315D"/>
    <w:rsid w:val="00677FB2"/>
    <w:rsid w:val="007346AC"/>
    <w:rsid w:val="00795DCF"/>
    <w:rsid w:val="00842E67"/>
    <w:rsid w:val="008871AF"/>
    <w:rsid w:val="0095039A"/>
    <w:rsid w:val="009508A5"/>
    <w:rsid w:val="00A80ED6"/>
    <w:rsid w:val="00BE7A68"/>
    <w:rsid w:val="00C17FAB"/>
    <w:rsid w:val="00C311BC"/>
    <w:rsid w:val="00C83E48"/>
    <w:rsid w:val="00CE599C"/>
    <w:rsid w:val="00DA3B00"/>
    <w:rsid w:val="00E90C2D"/>
    <w:rsid w:val="00EA7E1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1253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2019-11-04T01:52:00Z</dcterms:created>
  <dcterms:modified xsi:type="dcterms:W3CDTF">2019-11-04T01:52:00Z</dcterms:modified>
</cp:coreProperties>
</file>