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11" w:rsidRDefault="00956A11" w:rsidP="004B18B8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956A11" w:rsidRDefault="00203779" w:rsidP="004B18B8">
      <w:pPr>
        <w:pStyle w:val="Billname"/>
        <w:spacing w:before="700"/>
      </w:pPr>
      <w:r>
        <w:t>Food (Fees) Determination 201</w:t>
      </w:r>
      <w:r w:rsidR="007213A6">
        <w:t>9</w:t>
      </w:r>
      <w:r w:rsidR="00956A11">
        <w:t xml:space="preserve"> (No </w:t>
      </w:r>
      <w:r w:rsidR="003D0836">
        <w:t>1</w:t>
      </w:r>
      <w:r w:rsidR="00956A11">
        <w:t>)</w:t>
      </w:r>
    </w:p>
    <w:p w:rsidR="00AC3E60" w:rsidRPr="00AC3E60" w:rsidRDefault="003D0836" w:rsidP="004B18B8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DI201</w:t>
      </w:r>
      <w:r w:rsidR="007213A6">
        <w:rPr>
          <w:rFonts w:ascii="Arial" w:hAnsi="Arial" w:cs="Arial"/>
          <w:b/>
          <w:bCs/>
        </w:rPr>
        <w:t>9</w:t>
      </w:r>
      <w:r w:rsidR="00FA49F4">
        <w:rPr>
          <w:rFonts w:ascii="Arial" w:hAnsi="Arial" w:cs="Arial"/>
          <w:b/>
          <w:bCs/>
        </w:rPr>
        <w:t>-</w:t>
      </w:r>
      <w:r w:rsidR="006B4D9D">
        <w:rPr>
          <w:rFonts w:ascii="Arial" w:hAnsi="Arial" w:cs="Arial"/>
          <w:b/>
          <w:bCs/>
        </w:rPr>
        <w:t>248</w:t>
      </w:r>
    </w:p>
    <w:p w:rsidR="00956A11" w:rsidRPr="0082766B" w:rsidRDefault="00956A11" w:rsidP="004B18B8">
      <w:pPr>
        <w:pStyle w:val="madeunder"/>
        <w:jc w:val="left"/>
      </w:pPr>
      <w:r w:rsidRPr="0082766B">
        <w:t>made under the</w:t>
      </w:r>
    </w:p>
    <w:p w:rsidR="00956A11" w:rsidRDefault="00956A11" w:rsidP="004B18B8">
      <w:pPr>
        <w:pStyle w:val="CoverActName"/>
        <w:autoSpaceDE/>
        <w:autoSpaceDN/>
        <w:jc w:val="left"/>
        <w:rPr>
          <w:iCs/>
          <w:szCs w:val="20"/>
        </w:rPr>
      </w:pPr>
      <w:r w:rsidRPr="005D0D72">
        <w:rPr>
          <w:iCs/>
          <w:szCs w:val="20"/>
        </w:rPr>
        <w:t>Food Act 2001, s 150 (Determination of fees)</w:t>
      </w:r>
    </w:p>
    <w:p w:rsidR="008F1318" w:rsidRPr="0052117C" w:rsidRDefault="0052117C" w:rsidP="0052117C">
      <w:pPr>
        <w:spacing w:before="360"/>
        <w:ind w:right="567"/>
        <w:rPr>
          <w:rFonts w:ascii="Arial" w:hAnsi="Arial" w:cs="Arial"/>
          <w:b/>
          <w:bCs/>
          <w:szCs w:val="40"/>
        </w:rPr>
      </w:pPr>
      <w:r w:rsidRPr="0052117C">
        <w:rPr>
          <w:rFonts w:ascii="Arial" w:hAnsi="Arial" w:cs="Arial"/>
          <w:b/>
          <w:bCs/>
          <w:szCs w:val="40"/>
        </w:rPr>
        <w:t>EXPLANATORY STATEMENT</w:t>
      </w:r>
    </w:p>
    <w:p w:rsidR="00956A11" w:rsidRDefault="00956A11" w:rsidP="004B18B8">
      <w:pPr>
        <w:pStyle w:val="N-line3"/>
        <w:pBdr>
          <w:bottom w:val="none" w:sz="0" w:space="0" w:color="auto"/>
        </w:pBdr>
        <w:jc w:val="left"/>
      </w:pPr>
    </w:p>
    <w:p w:rsidR="00956A11" w:rsidRDefault="00956A11" w:rsidP="004B18B8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:rsidR="008D0D39" w:rsidRDefault="008D0D39" w:rsidP="004B18B8">
      <w:r>
        <w:t xml:space="preserve">The </w:t>
      </w:r>
      <w:r>
        <w:rPr>
          <w:i/>
          <w:iCs/>
        </w:rPr>
        <w:t>Food Act 2001</w:t>
      </w:r>
      <w:r>
        <w:t xml:space="preserve"> provides for the registration of food businesses. </w:t>
      </w:r>
    </w:p>
    <w:p w:rsidR="008D0D39" w:rsidRDefault="008D0D39" w:rsidP="004B18B8"/>
    <w:p w:rsidR="00926281" w:rsidRDefault="00926281" w:rsidP="004B18B8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sets fees for the application, renewal and transfer of food business registrations, as well for the reinspection of food businesses following service of a prohibition order. </w:t>
      </w:r>
    </w:p>
    <w:p w:rsidR="00926281" w:rsidRDefault="00926281" w:rsidP="004B18B8"/>
    <w:p w:rsidR="000D3E10" w:rsidRPr="004D41B0" w:rsidRDefault="00A9307E" w:rsidP="004B18B8">
      <w:r w:rsidRPr="004D41B0">
        <w:t xml:space="preserve">This </w:t>
      </w:r>
      <w:r w:rsidR="00926281">
        <w:t>instrument</w:t>
      </w:r>
      <w:r w:rsidRPr="004D41B0">
        <w:t xml:space="preserve"> revokes and replaces </w:t>
      </w:r>
      <w:r w:rsidR="005C72A7" w:rsidRPr="00D2589A">
        <w:t>DI201</w:t>
      </w:r>
      <w:r w:rsidR="007213A6">
        <w:t>8</w:t>
      </w:r>
      <w:r w:rsidRPr="00D2589A">
        <w:t>-</w:t>
      </w:r>
      <w:r w:rsidR="005D11A1" w:rsidRPr="00D2589A">
        <w:t>2</w:t>
      </w:r>
      <w:r w:rsidR="007213A6">
        <w:t>61</w:t>
      </w:r>
      <w:r w:rsidR="00926281" w:rsidRPr="00D2589A">
        <w:t>,</w:t>
      </w:r>
      <w:r w:rsidR="008D0D39" w:rsidRPr="00D2589A">
        <w:t xml:space="preserve"> notified on </w:t>
      </w:r>
      <w:r w:rsidR="006D073F">
        <w:t>2</w:t>
      </w:r>
      <w:r w:rsidR="007213A6">
        <w:t>5</w:t>
      </w:r>
      <w:r w:rsidR="006D073F">
        <w:t xml:space="preserve"> </w:t>
      </w:r>
      <w:r w:rsidR="007213A6">
        <w:t>Octob</w:t>
      </w:r>
      <w:r w:rsidR="006D073F">
        <w:t>er</w:t>
      </w:r>
      <w:r w:rsidR="007073AE">
        <w:t xml:space="preserve"> </w:t>
      </w:r>
      <w:r w:rsidR="00FA49F4">
        <w:t>201</w:t>
      </w:r>
      <w:r w:rsidR="007213A6">
        <w:t>8</w:t>
      </w:r>
      <w:r w:rsidR="000D3E10" w:rsidRPr="00D2589A">
        <w:t>.</w:t>
      </w:r>
      <w:r w:rsidR="00591FFA" w:rsidRPr="004D41B0">
        <w:t xml:space="preserve"> </w:t>
      </w:r>
    </w:p>
    <w:p w:rsidR="008D0D39" w:rsidRDefault="008D0D39" w:rsidP="004B18B8">
      <w:pPr>
        <w:tabs>
          <w:tab w:val="left" w:pos="851"/>
          <w:tab w:val="left" w:pos="1135"/>
          <w:tab w:val="right" w:pos="6521"/>
          <w:tab w:val="right" w:pos="8222"/>
        </w:tabs>
        <w:rPr>
          <w:szCs w:val="24"/>
          <w:lang w:eastAsia="en-AU"/>
        </w:rPr>
      </w:pPr>
    </w:p>
    <w:p w:rsidR="008D0D39" w:rsidRPr="00EE295D" w:rsidRDefault="008D0D39" w:rsidP="004B18B8">
      <w:pPr>
        <w:tabs>
          <w:tab w:val="left" w:pos="851"/>
          <w:tab w:val="left" w:pos="1135"/>
          <w:tab w:val="right" w:pos="6521"/>
          <w:tab w:val="right" w:pos="8222"/>
        </w:tabs>
      </w:pPr>
      <w:r w:rsidRPr="00D2589A">
        <w:t>Th</w:t>
      </w:r>
      <w:r w:rsidR="00CA6589" w:rsidRPr="00D2589A">
        <w:t>is</w:t>
      </w:r>
      <w:r w:rsidRPr="00D2589A">
        <w:t xml:space="preserve"> </w:t>
      </w:r>
      <w:r w:rsidR="00CA6589" w:rsidRPr="00D2589A">
        <w:t>instrument</w:t>
      </w:r>
      <w:r w:rsidRPr="00D2589A">
        <w:t xml:space="preserve"> comes into effect on 1 January 20</w:t>
      </w:r>
      <w:r w:rsidR="007213A6">
        <w:t>20</w:t>
      </w:r>
      <w:r w:rsidRPr="00D2589A">
        <w:t xml:space="preserve"> and increases the fees </w:t>
      </w:r>
      <w:r w:rsidR="00FA49F4">
        <w:t xml:space="preserve">by </w:t>
      </w:r>
      <w:r w:rsidR="007213A6">
        <w:t>Wage Price Index of 2.5</w:t>
      </w:r>
      <w:r w:rsidRPr="00D2589A">
        <w:t>% (rounded to</w:t>
      </w:r>
      <w:r w:rsidRPr="00EE295D">
        <w:t xml:space="preserve"> the nearest </w:t>
      </w:r>
      <w:r>
        <w:t>dollar</w:t>
      </w:r>
      <w:r w:rsidRPr="00EE295D">
        <w:t>),</w:t>
      </w:r>
      <w:r w:rsidR="00CB0A7A">
        <w:t xml:space="preserve"> </w:t>
      </w:r>
      <w:r w:rsidR="00823339">
        <w:t>as set out below:</w:t>
      </w:r>
      <w:r w:rsidR="00CB0A7A">
        <w:t xml:space="preserve"> </w:t>
      </w:r>
    </w:p>
    <w:p w:rsidR="008D0D39" w:rsidRDefault="008D0D39" w:rsidP="004B18B8"/>
    <w:p w:rsidR="00591FFA" w:rsidRDefault="00591FFA" w:rsidP="007C24B3">
      <w:pPr>
        <w:tabs>
          <w:tab w:val="right" w:pos="7513"/>
          <w:tab w:val="right" w:pos="8931"/>
        </w:tabs>
        <w:spacing w:line="360" w:lineRule="atLeast"/>
        <w:rPr>
          <w:b/>
          <w:bCs/>
          <w:szCs w:val="24"/>
        </w:rPr>
      </w:pPr>
      <w:r w:rsidRPr="004D41B0">
        <w:rPr>
          <w:b/>
          <w:bCs/>
          <w:szCs w:val="24"/>
        </w:rPr>
        <w:t>Fee</w:t>
      </w:r>
      <w:r w:rsidRPr="004D41B0">
        <w:rPr>
          <w:b/>
          <w:bCs/>
          <w:szCs w:val="24"/>
        </w:rPr>
        <w:tab/>
        <w:t xml:space="preserve"> Old Fee</w:t>
      </w:r>
      <w:r w:rsidRPr="004D41B0">
        <w:rPr>
          <w:b/>
          <w:bCs/>
          <w:szCs w:val="24"/>
        </w:rPr>
        <w:tab/>
        <w:t>New Fee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Application for registration of a low risk food business</w:t>
      </w:r>
      <w:r w:rsidRPr="007213A6">
        <w:rPr>
          <w:bCs/>
          <w:szCs w:val="24"/>
        </w:rPr>
        <w:tab/>
        <w:t>$137.00</w:t>
      </w:r>
      <w:r w:rsidRPr="007213A6">
        <w:rPr>
          <w:bCs/>
          <w:szCs w:val="24"/>
        </w:rPr>
        <w:tab/>
        <w:t xml:space="preserve"> $140.00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Application for registration of a medium risk food business</w:t>
      </w:r>
      <w:r w:rsidRPr="007213A6">
        <w:rPr>
          <w:bCs/>
          <w:szCs w:val="24"/>
        </w:rPr>
        <w:tab/>
        <w:t>$200.00</w:t>
      </w:r>
      <w:r w:rsidRPr="007213A6">
        <w:rPr>
          <w:bCs/>
          <w:szCs w:val="24"/>
        </w:rPr>
        <w:tab/>
        <w:t xml:space="preserve"> $205.00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Application for registration of a high-risk food business</w:t>
      </w:r>
      <w:r w:rsidRPr="007213A6">
        <w:rPr>
          <w:bCs/>
          <w:szCs w:val="24"/>
        </w:rPr>
        <w:tab/>
        <w:t>$269.00</w:t>
      </w:r>
      <w:r w:rsidRPr="007213A6">
        <w:rPr>
          <w:bCs/>
          <w:szCs w:val="24"/>
        </w:rPr>
        <w:tab/>
        <w:t xml:space="preserve"> $276.00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ab/>
      </w:r>
      <w:r w:rsidRPr="007213A6">
        <w:rPr>
          <w:bCs/>
          <w:szCs w:val="24"/>
        </w:rPr>
        <w:tab/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Renewal of registration of a low risk food business</w:t>
      </w:r>
      <w:r w:rsidRPr="007213A6">
        <w:rPr>
          <w:bCs/>
          <w:szCs w:val="24"/>
        </w:rPr>
        <w:tab/>
        <w:t>$137.00</w:t>
      </w:r>
      <w:r w:rsidRPr="007213A6">
        <w:rPr>
          <w:bCs/>
          <w:szCs w:val="24"/>
        </w:rPr>
        <w:tab/>
        <w:t xml:space="preserve"> $140.00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Renewal of registration of a medium risk food business</w:t>
      </w:r>
      <w:r w:rsidRPr="007213A6">
        <w:rPr>
          <w:bCs/>
          <w:szCs w:val="24"/>
        </w:rPr>
        <w:tab/>
        <w:t>$200.00</w:t>
      </w:r>
      <w:r w:rsidRPr="007213A6">
        <w:rPr>
          <w:bCs/>
          <w:szCs w:val="24"/>
        </w:rPr>
        <w:tab/>
        <w:t xml:space="preserve"> $205.00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Renewal of registration of a high-risk food business</w:t>
      </w:r>
      <w:r w:rsidRPr="007213A6">
        <w:rPr>
          <w:bCs/>
          <w:szCs w:val="24"/>
        </w:rPr>
        <w:tab/>
        <w:t>$269.00</w:t>
      </w:r>
      <w:r w:rsidRPr="007213A6">
        <w:rPr>
          <w:bCs/>
          <w:szCs w:val="24"/>
        </w:rPr>
        <w:tab/>
        <w:t xml:space="preserve"> $276.00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ab/>
      </w:r>
      <w:r w:rsidRPr="007213A6">
        <w:rPr>
          <w:bCs/>
          <w:szCs w:val="24"/>
        </w:rPr>
        <w:tab/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Reinspection of a food business during business hours</w:t>
      </w:r>
      <w:r w:rsidRPr="007213A6">
        <w:rPr>
          <w:bCs/>
          <w:szCs w:val="24"/>
        </w:rPr>
        <w:tab/>
        <w:t>$413.00</w:t>
      </w:r>
      <w:r w:rsidRPr="007213A6">
        <w:rPr>
          <w:bCs/>
          <w:szCs w:val="24"/>
        </w:rPr>
        <w:tab/>
        <w:t xml:space="preserve"> $423.00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Reinspection of a food business after hours</w:t>
      </w:r>
      <w:r w:rsidRPr="007213A6">
        <w:rPr>
          <w:bCs/>
          <w:szCs w:val="24"/>
        </w:rPr>
        <w:tab/>
        <w:t>$800.00</w:t>
      </w:r>
      <w:r w:rsidRPr="007213A6">
        <w:rPr>
          <w:bCs/>
          <w:szCs w:val="24"/>
        </w:rPr>
        <w:tab/>
        <w:t xml:space="preserve"> $820.00 </w:t>
      </w:r>
    </w:p>
    <w:p w:rsidR="007213A6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ab/>
      </w:r>
      <w:r w:rsidRPr="007213A6">
        <w:rPr>
          <w:bCs/>
          <w:szCs w:val="24"/>
        </w:rPr>
        <w:tab/>
      </w:r>
    </w:p>
    <w:p w:rsidR="004B3F3D" w:rsidRPr="007213A6" w:rsidRDefault="007213A6" w:rsidP="007213A6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13A6">
        <w:rPr>
          <w:bCs/>
          <w:szCs w:val="24"/>
        </w:rPr>
        <w:t>Non-refundable portion of fees under sections 92 &amp; 93</w:t>
      </w:r>
      <w:r w:rsidRPr="007213A6">
        <w:rPr>
          <w:bCs/>
          <w:szCs w:val="24"/>
        </w:rPr>
        <w:tab/>
        <w:t xml:space="preserve"> $69.00 </w:t>
      </w:r>
      <w:r w:rsidRPr="007213A6">
        <w:rPr>
          <w:bCs/>
          <w:szCs w:val="24"/>
        </w:rPr>
        <w:tab/>
        <w:t xml:space="preserve"> $71.00</w:t>
      </w:r>
    </w:p>
    <w:p w:rsidR="007213A6" w:rsidRPr="004D41B0" w:rsidRDefault="007213A6" w:rsidP="007213A6">
      <w:pPr>
        <w:tabs>
          <w:tab w:val="right" w:pos="7513"/>
          <w:tab w:val="right" w:pos="8931"/>
        </w:tabs>
        <w:spacing w:line="360" w:lineRule="atLeast"/>
        <w:rPr>
          <w:b/>
          <w:bCs/>
          <w:szCs w:val="24"/>
        </w:rPr>
      </w:pPr>
    </w:p>
    <w:p w:rsidR="00926281" w:rsidRDefault="0037703F" w:rsidP="004B18B8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No fee is payable for registration of a food business conducted solely at a regulated event</w:t>
      </w:r>
      <w:r w:rsidR="00926281">
        <w:t xml:space="preserve">.  </w:t>
      </w:r>
    </w:p>
    <w:p w:rsidR="00926281" w:rsidRDefault="00926281" w:rsidP="004B18B8">
      <w:pPr>
        <w:tabs>
          <w:tab w:val="left" w:pos="851"/>
          <w:tab w:val="left" w:pos="1135"/>
          <w:tab w:val="right" w:pos="6521"/>
          <w:tab w:val="right" w:pos="8222"/>
        </w:tabs>
      </w:pPr>
    </w:p>
    <w:p w:rsidR="00454894" w:rsidRDefault="00454894" w:rsidP="004B18B8">
      <w:r>
        <w:t>The non-refundable portion of eac</w:t>
      </w:r>
      <w:r w:rsidR="00AF4323">
        <w:t xml:space="preserve">h fee has also increased by </w:t>
      </w:r>
      <w:r w:rsidR="007213A6">
        <w:t>2.5</w:t>
      </w:r>
      <w:r>
        <w:t>% (rounded to the nearest dollar).</w:t>
      </w:r>
    </w:p>
    <w:p w:rsidR="00264F92" w:rsidRDefault="00264F92" w:rsidP="004B18B8"/>
    <w:p w:rsidR="00362255" w:rsidRPr="00AC483B" w:rsidRDefault="00D3719D" w:rsidP="007213A6">
      <w:r>
        <w:t xml:space="preserve">Section 8, items (iii) and (iv) </w:t>
      </w:r>
      <w:r w:rsidR="00264F92">
        <w:t>of the Disallowable</w:t>
      </w:r>
      <w:r>
        <w:t xml:space="preserve"> Instrument have been amended to more accurately reflect the definition </w:t>
      </w:r>
      <w:r w:rsidR="00AA5037">
        <w:t xml:space="preserve">in the instance where </w:t>
      </w:r>
      <w:r>
        <w:t xml:space="preserve">a food business providing services from within a health care facility </w:t>
      </w:r>
      <w:r w:rsidR="00AA5037">
        <w:t>is exempt from the fees.</w:t>
      </w:r>
      <w:r>
        <w:t xml:space="preserve"> </w:t>
      </w:r>
    </w:p>
    <w:sectPr w:rsidR="00362255" w:rsidRPr="00AC483B" w:rsidSect="00F27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40" w:bottom="1134" w:left="1440" w:header="72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A7A" w:rsidRDefault="00CB0A7A">
      <w:r>
        <w:separator/>
      </w:r>
    </w:p>
  </w:endnote>
  <w:endnote w:type="continuationSeparator" w:id="0">
    <w:p w:rsidR="00CB0A7A" w:rsidRDefault="00C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CD" w:rsidRDefault="003E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7A" w:rsidRPr="003E6ECD" w:rsidRDefault="003E6ECD" w:rsidP="003E6ECD">
    <w:pPr>
      <w:pStyle w:val="Footer"/>
      <w:jc w:val="center"/>
      <w:rPr>
        <w:rFonts w:ascii="Arial" w:hAnsi="Arial" w:cs="Arial"/>
        <w:sz w:val="14"/>
      </w:rPr>
    </w:pPr>
    <w:r w:rsidRPr="003E6EC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CD" w:rsidRDefault="003E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A7A" w:rsidRDefault="00CB0A7A">
      <w:r>
        <w:separator/>
      </w:r>
    </w:p>
  </w:footnote>
  <w:footnote w:type="continuationSeparator" w:id="0">
    <w:p w:rsidR="00CB0A7A" w:rsidRDefault="00CB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CD" w:rsidRDefault="003E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CD" w:rsidRDefault="003E6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ECD" w:rsidRDefault="003E6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BA"/>
    <w:rsid w:val="000012C2"/>
    <w:rsid w:val="00010144"/>
    <w:rsid w:val="00011C0A"/>
    <w:rsid w:val="00044281"/>
    <w:rsid w:val="00063BE1"/>
    <w:rsid w:val="00074A51"/>
    <w:rsid w:val="000C2542"/>
    <w:rsid w:val="000D3E10"/>
    <w:rsid w:val="000E732A"/>
    <w:rsid w:val="00106735"/>
    <w:rsid w:val="00107738"/>
    <w:rsid w:val="00117082"/>
    <w:rsid w:val="00153219"/>
    <w:rsid w:val="00171CB6"/>
    <w:rsid w:val="00173240"/>
    <w:rsid w:val="00173563"/>
    <w:rsid w:val="00182E06"/>
    <w:rsid w:val="00194ABA"/>
    <w:rsid w:val="001A3428"/>
    <w:rsid w:val="001B56BF"/>
    <w:rsid w:val="001D556F"/>
    <w:rsid w:val="001F668F"/>
    <w:rsid w:val="00203779"/>
    <w:rsid w:val="0021011C"/>
    <w:rsid w:val="00210F8C"/>
    <w:rsid w:val="002142C0"/>
    <w:rsid w:val="0022471C"/>
    <w:rsid w:val="00225D34"/>
    <w:rsid w:val="0023158F"/>
    <w:rsid w:val="002419B6"/>
    <w:rsid w:val="00250015"/>
    <w:rsid w:val="00264F92"/>
    <w:rsid w:val="00265322"/>
    <w:rsid w:val="00271EEE"/>
    <w:rsid w:val="00272874"/>
    <w:rsid w:val="002824BD"/>
    <w:rsid w:val="002A7211"/>
    <w:rsid w:val="002C03CB"/>
    <w:rsid w:val="002D661E"/>
    <w:rsid w:val="002E2E68"/>
    <w:rsid w:val="003017B9"/>
    <w:rsid w:val="00341F81"/>
    <w:rsid w:val="00346270"/>
    <w:rsid w:val="00346433"/>
    <w:rsid w:val="00354704"/>
    <w:rsid w:val="00362255"/>
    <w:rsid w:val="0037703F"/>
    <w:rsid w:val="00392B41"/>
    <w:rsid w:val="003C3F2D"/>
    <w:rsid w:val="003D0836"/>
    <w:rsid w:val="003D2181"/>
    <w:rsid w:val="003E6ECD"/>
    <w:rsid w:val="003E7072"/>
    <w:rsid w:val="003F3EC3"/>
    <w:rsid w:val="00414727"/>
    <w:rsid w:val="00427B29"/>
    <w:rsid w:val="004322B2"/>
    <w:rsid w:val="004416F4"/>
    <w:rsid w:val="00454894"/>
    <w:rsid w:val="004A7980"/>
    <w:rsid w:val="004B18B8"/>
    <w:rsid w:val="004B3F3D"/>
    <w:rsid w:val="004B7472"/>
    <w:rsid w:val="004C5A6B"/>
    <w:rsid w:val="004D41B0"/>
    <w:rsid w:val="004E052D"/>
    <w:rsid w:val="004E1077"/>
    <w:rsid w:val="004E5FB4"/>
    <w:rsid w:val="00500230"/>
    <w:rsid w:val="005021F6"/>
    <w:rsid w:val="00502AD0"/>
    <w:rsid w:val="00520246"/>
    <w:rsid w:val="0052117C"/>
    <w:rsid w:val="00525FF1"/>
    <w:rsid w:val="00543918"/>
    <w:rsid w:val="00544D12"/>
    <w:rsid w:val="005552DF"/>
    <w:rsid w:val="005660EE"/>
    <w:rsid w:val="00572477"/>
    <w:rsid w:val="005758CF"/>
    <w:rsid w:val="005769F1"/>
    <w:rsid w:val="00580A72"/>
    <w:rsid w:val="00581C9F"/>
    <w:rsid w:val="00591FFA"/>
    <w:rsid w:val="00594BF6"/>
    <w:rsid w:val="00597BB1"/>
    <w:rsid w:val="005B2BB6"/>
    <w:rsid w:val="005B7179"/>
    <w:rsid w:val="005C72A7"/>
    <w:rsid w:val="005D0D72"/>
    <w:rsid w:val="005D11A1"/>
    <w:rsid w:val="005E1C37"/>
    <w:rsid w:val="005E4B15"/>
    <w:rsid w:val="005E5514"/>
    <w:rsid w:val="005E56EC"/>
    <w:rsid w:val="0064673C"/>
    <w:rsid w:val="006517DC"/>
    <w:rsid w:val="00660327"/>
    <w:rsid w:val="00664042"/>
    <w:rsid w:val="00690439"/>
    <w:rsid w:val="006A3148"/>
    <w:rsid w:val="006A470F"/>
    <w:rsid w:val="006B4D9D"/>
    <w:rsid w:val="006D073F"/>
    <w:rsid w:val="00700DBA"/>
    <w:rsid w:val="007069E1"/>
    <w:rsid w:val="007073AE"/>
    <w:rsid w:val="007213A6"/>
    <w:rsid w:val="00723C7E"/>
    <w:rsid w:val="0074411E"/>
    <w:rsid w:val="00757123"/>
    <w:rsid w:val="0076051F"/>
    <w:rsid w:val="00767EB0"/>
    <w:rsid w:val="00772D24"/>
    <w:rsid w:val="00783439"/>
    <w:rsid w:val="00784211"/>
    <w:rsid w:val="00787B13"/>
    <w:rsid w:val="007A1A55"/>
    <w:rsid w:val="007A5B06"/>
    <w:rsid w:val="007C1496"/>
    <w:rsid w:val="007C24B3"/>
    <w:rsid w:val="008040BD"/>
    <w:rsid w:val="00823339"/>
    <w:rsid w:val="0082766B"/>
    <w:rsid w:val="008855B3"/>
    <w:rsid w:val="008951C3"/>
    <w:rsid w:val="008B7CD1"/>
    <w:rsid w:val="008C79A3"/>
    <w:rsid w:val="008D0A79"/>
    <w:rsid w:val="008D0D39"/>
    <w:rsid w:val="008E1764"/>
    <w:rsid w:val="008E1771"/>
    <w:rsid w:val="008E1921"/>
    <w:rsid w:val="008E54BF"/>
    <w:rsid w:val="008E7E55"/>
    <w:rsid w:val="008F1318"/>
    <w:rsid w:val="00903AB3"/>
    <w:rsid w:val="00926281"/>
    <w:rsid w:val="00930F73"/>
    <w:rsid w:val="00934720"/>
    <w:rsid w:val="0094124F"/>
    <w:rsid w:val="009475FF"/>
    <w:rsid w:val="00947E35"/>
    <w:rsid w:val="00956A11"/>
    <w:rsid w:val="00991626"/>
    <w:rsid w:val="009A18B0"/>
    <w:rsid w:val="009A64ED"/>
    <w:rsid w:val="009B2447"/>
    <w:rsid w:val="009B56A8"/>
    <w:rsid w:val="009B57A9"/>
    <w:rsid w:val="009C6B18"/>
    <w:rsid w:val="009D47C0"/>
    <w:rsid w:val="009D53D9"/>
    <w:rsid w:val="009E7239"/>
    <w:rsid w:val="00A053A0"/>
    <w:rsid w:val="00A056CE"/>
    <w:rsid w:val="00A64F8E"/>
    <w:rsid w:val="00A874E1"/>
    <w:rsid w:val="00A9307E"/>
    <w:rsid w:val="00AA2623"/>
    <w:rsid w:val="00AA2F03"/>
    <w:rsid w:val="00AA4EED"/>
    <w:rsid w:val="00AA5037"/>
    <w:rsid w:val="00AB132C"/>
    <w:rsid w:val="00AC1888"/>
    <w:rsid w:val="00AC3E60"/>
    <w:rsid w:val="00AC483B"/>
    <w:rsid w:val="00AD068E"/>
    <w:rsid w:val="00AF4323"/>
    <w:rsid w:val="00AF5339"/>
    <w:rsid w:val="00B03D7F"/>
    <w:rsid w:val="00B057EC"/>
    <w:rsid w:val="00B13418"/>
    <w:rsid w:val="00B14E0C"/>
    <w:rsid w:val="00B16630"/>
    <w:rsid w:val="00B20247"/>
    <w:rsid w:val="00B30DA7"/>
    <w:rsid w:val="00B3512D"/>
    <w:rsid w:val="00B36C53"/>
    <w:rsid w:val="00B53C78"/>
    <w:rsid w:val="00B53D87"/>
    <w:rsid w:val="00B7523A"/>
    <w:rsid w:val="00BB3881"/>
    <w:rsid w:val="00BC25A6"/>
    <w:rsid w:val="00BD3D53"/>
    <w:rsid w:val="00BF77DD"/>
    <w:rsid w:val="00C04A29"/>
    <w:rsid w:val="00C05897"/>
    <w:rsid w:val="00C113DF"/>
    <w:rsid w:val="00C1468A"/>
    <w:rsid w:val="00C21732"/>
    <w:rsid w:val="00C378F0"/>
    <w:rsid w:val="00C440F5"/>
    <w:rsid w:val="00C4535C"/>
    <w:rsid w:val="00C5472C"/>
    <w:rsid w:val="00C61A69"/>
    <w:rsid w:val="00C77A0B"/>
    <w:rsid w:val="00C81CA4"/>
    <w:rsid w:val="00C84509"/>
    <w:rsid w:val="00C9387C"/>
    <w:rsid w:val="00CA5405"/>
    <w:rsid w:val="00CA6589"/>
    <w:rsid w:val="00CB0A7A"/>
    <w:rsid w:val="00CB55F5"/>
    <w:rsid w:val="00CB7326"/>
    <w:rsid w:val="00CC33F8"/>
    <w:rsid w:val="00CE43EC"/>
    <w:rsid w:val="00D1644F"/>
    <w:rsid w:val="00D2589A"/>
    <w:rsid w:val="00D37144"/>
    <w:rsid w:val="00D3719D"/>
    <w:rsid w:val="00D743DD"/>
    <w:rsid w:val="00D77006"/>
    <w:rsid w:val="00D80032"/>
    <w:rsid w:val="00DC6201"/>
    <w:rsid w:val="00DC6F86"/>
    <w:rsid w:val="00DD1479"/>
    <w:rsid w:val="00DD6077"/>
    <w:rsid w:val="00E15A65"/>
    <w:rsid w:val="00E34FAF"/>
    <w:rsid w:val="00E55DF7"/>
    <w:rsid w:val="00E62ADF"/>
    <w:rsid w:val="00E65519"/>
    <w:rsid w:val="00E708D6"/>
    <w:rsid w:val="00EB42C5"/>
    <w:rsid w:val="00EE295D"/>
    <w:rsid w:val="00EE5B3D"/>
    <w:rsid w:val="00F11A2D"/>
    <w:rsid w:val="00F17EF1"/>
    <w:rsid w:val="00F26BCE"/>
    <w:rsid w:val="00F2772C"/>
    <w:rsid w:val="00F60262"/>
    <w:rsid w:val="00F679E7"/>
    <w:rsid w:val="00F90AD4"/>
    <w:rsid w:val="00FA1B24"/>
    <w:rsid w:val="00FA49F4"/>
    <w:rsid w:val="00FA4A32"/>
    <w:rsid w:val="00FA6C39"/>
    <w:rsid w:val="00FC0F7D"/>
    <w:rsid w:val="00FC53C1"/>
    <w:rsid w:val="00FC6E0B"/>
    <w:rsid w:val="00FD5200"/>
    <w:rsid w:val="00FF164A"/>
    <w:rsid w:val="00FF5A8C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1CF89189-991A-43B7-88C3-E4F6D63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87C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87C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C33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C93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93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938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938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C9387C"/>
    <w:rPr>
      <w:rFonts w:cs="Times New Roman"/>
    </w:rPr>
  </w:style>
  <w:style w:type="paragraph" w:customStyle="1" w:styleId="Billname">
    <w:name w:val="Billname"/>
    <w:basedOn w:val="Normal"/>
    <w:uiPriority w:val="99"/>
    <w:rsid w:val="00C9387C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C9387C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uiPriority w:val="99"/>
    <w:rsid w:val="00C9387C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uiPriority w:val="99"/>
    <w:rsid w:val="00C9387C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C938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3F8"/>
    <w:rPr>
      <w:rFonts w:ascii="Tahoma" w:hAnsi="Tahoma" w:cs="Tahoma"/>
      <w:sz w:val="16"/>
      <w:szCs w:val="16"/>
      <w:lang w:eastAsia="en-US"/>
    </w:rPr>
  </w:style>
  <w:style w:type="paragraph" w:customStyle="1" w:styleId="01Contents">
    <w:name w:val="01Contents"/>
    <w:basedOn w:val="Normal"/>
    <w:uiPriority w:val="99"/>
    <w:rsid w:val="009B2447"/>
    <w:pPr>
      <w:tabs>
        <w:tab w:val="left" w:pos="2880"/>
      </w:tabs>
    </w:pPr>
    <w:rPr>
      <w:szCs w:val="24"/>
      <w:lang w:val="en-US"/>
    </w:rPr>
  </w:style>
  <w:style w:type="paragraph" w:customStyle="1" w:styleId="Endnote1">
    <w:name w:val="Endnote 1"/>
    <w:basedOn w:val="Normal"/>
    <w:uiPriority w:val="99"/>
    <w:rsid w:val="009B2447"/>
    <w:pPr>
      <w:keepNext/>
      <w:spacing w:after="160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8CC2-94C0-44E8-BE7D-A5639691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1482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2014-11-17T23:17:00Z</cp:lastPrinted>
  <dcterms:created xsi:type="dcterms:W3CDTF">2019-11-06T22:32:00Z</dcterms:created>
  <dcterms:modified xsi:type="dcterms:W3CDTF">2019-11-06T22:32:00Z</dcterms:modified>
</cp:coreProperties>
</file>