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4B4AD" w14:textId="77777777" w:rsidR="00790FE4" w:rsidRPr="008C3B92" w:rsidRDefault="00790FE4" w:rsidP="007F3D56">
      <w:pPr>
        <w:spacing w:after="0"/>
        <w:rPr>
          <w:rFonts w:ascii="Arial" w:hAnsi="Arial" w:cs="Arial"/>
          <w:b/>
          <w:bCs/>
          <w:sz w:val="24"/>
          <w:szCs w:val="24"/>
        </w:rPr>
      </w:pPr>
      <w:bookmarkStart w:id="0" w:name="_GoBack"/>
      <w:bookmarkEnd w:id="0"/>
    </w:p>
    <w:p w14:paraId="42440CF1" w14:textId="77777777" w:rsidR="00790FE4" w:rsidRPr="008C3B92" w:rsidRDefault="00790FE4" w:rsidP="007F3D56">
      <w:pPr>
        <w:spacing w:after="0"/>
        <w:rPr>
          <w:rFonts w:ascii="Arial" w:hAnsi="Arial" w:cs="Arial"/>
          <w:b/>
          <w:bCs/>
          <w:sz w:val="24"/>
          <w:szCs w:val="24"/>
        </w:rPr>
      </w:pPr>
    </w:p>
    <w:p w14:paraId="47B146F4" w14:textId="2BDBF44A" w:rsidR="00BB387E" w:rsidRPr="00BB387E" w:rsidRDefault="006555E3"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20</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06964918" w:rsidR="00741C4A" w:rsidRPr="00741C4A" w:rsidRDefault="00CC1A4A" w:rsidP="00741C4A">
      <w:pPr>
        <w:spacing w:after="0"/>
        <w:jc w:val="center"/>
        <w:rPr>
          <w:rFonts w:ascii="Arial" w:hAnsi="Arial" w:cs="Arial"/>
          <w:b/>
          <w:bCs/>
          <w:sz w:val="24"/>
          <w:szCs w:val="24"/>
        </w:rPr>
      </w:pPr>
      <w:r>
        <w:rPr>
          <w:rFonts w:ascii="Arial" w:hAnsi="Arial" w:cs="Arial"/>
          <w:b/>
          <w:bCs/>
          <w:sz w:val="24"/>
          <w:szCs w:val="24"/>
        </w:rPr>
        <w:t xml:space="preserve"> </w:t>
      </w:r>
      <w:r w:rsidR="0064773B">
        <w:rPr>
          <w:rFonts w:ascii="Arial" w:hAnsi="Arial" w:cs="Arial"/>
          <w:b/>
          <w:bCs/>
          <w:sz w:val="24"/>
          <w:szCs w:val="24"/>
        </w:rPr>
        <w:t>HUMAN RIGHTS (WORKERS RIGHTS) AMENDMENT</w:t>
      </w:r>
      <w:r w:rsidR="00741C4A" w:rsidRPr="00741C4A">
        <w:rPr>
          <w:rFonts w:ascii="Arial" w:hAnsi="Arial" w:cs="Arial"/>
          <w:b/>
          <w:bCs/>
          <w:sz w:val="24"/>
          <w:szCs w:val="24"/>
        </w:rPr>
        <w:t xml:space="preserve"> BILL 20</w:t>
      </w:r>
      <w:r w:rsidR="00130A37">
        <w:rPr>
          <w:rFonts w:ascii="Arial" w:hAnsi="Arial" w:cs="Arial"/>
          <w:b/>
          <w:bCs/>
          <w:sz w:val="24"/>
          <w:szCs w:val="24"/>
        </w:rPr>
        <w:t>20</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597EB4D1" w:rsidR="00BC3EF0" w:rsidRDefault="0064773B" w:rsidP="00BB387E">
      <w:pPr>
        <w:spacing w:after="0"/>
        <w:jc w:val="center"/>
        <w:rPr>
          <w:rFonts w:ascii="Arial" w:hAnsi="Arial" w:cs="Arial"/>
          <w:b/>
          <w:bCs/>
          <w:sz w:val="24"/>
          <w:szCs w:val="24"/>
        </w:rPr>
      </w:pPr>
      <w:r>
        <w:rPr>
          <w:rFonts w:ascii="Arial" w:hAnsi="Arial" w:cs="Arial"/>
          <w:b/>
          <w:bCs/>
          <w:sz w:val="24"/>
          <w:szCs w:val="24"/>
        </w:rPr>
        <w:t xml:space="preserve">SUPPLEMENTARY </w:t>
      </w:r>
      <w:r w:rsidR="00BB387E" w:rsidRPr="00BB387E">
        <w:rPr>
          <w:rFonts w:ascii="Arial" w:hAnsi="Arial" w:cs="Arial"/>
          <w:b/>
          <w:bCs/>
          <w:sz w:val="24"/>
          <w:szCs w:val="24"/>
        </w:rPr>
        <w:t>EXPLANATORY STATEMENT</w:t>
      </w:r>
      <w:r w:rsidR="00BC3EF0">
        <w:rPr>
          <w:rFonts w:ascii="Arial" w:hAnsi="Arial" w:cs="Arial"/>
          <w:b/>
          <w:bCs/>
          <w:sz w:val="24"/>
          <w:szCs w:val="24"/>
        </w:rPr>
        <w:t xml:space="preserve"> </w:t>
      </w:r>
    </w:p>
    <w:p w14:paraId="00B32D69" w14:textId="767BBB4C" w:rsidR="00BC3EF0" w:rsidRPr="00BB387E" w:rsidRDefault="00BC3EF0" w:rsidP="00BB387E">
      <w:pPr>
        <w:spacing w:after="0"/>
        <w:jc w:val="center"/>
        <w:rPr>
          <w:rFonts w:ascii="Arial" w:hAnsi="Arial" w:cs="Arial"/>
          <w:b/>
          <w:sz w:val="24"/>
          <w:szCs w:val="24"/>
        </w:rPr>
      </w:pP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007B2479"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r w:rsidR="00614AFE">
        <w:rPr>
          <w:rFonts w:ascii="Arial" w:hAnsi="Arial" w:cs="Arial"/>
          <w:b/>
          <w:bCs/>
          <w:sz w:val="24"/>
          <w:szCs w:val="24"/>
        </w:rPr>
        <w:t xml:space="preserve"> Minister for Justice, Shane Rattenbury</w:t>
      </w:r>
    </w:p>
    <w:p w14:paraId="5BBE2D1D" w14:textId="0985565B" w:rsidR="00BB387E" w:rsidRPr="00BB387E" w:rsidRDefault="00E954A1" w:rsidP="00BB387E">
      <w:pPr>
        <w:spacing w:after="0"/>
        <w:ind w:right="686"/>
        <w:jc w:val="right"/>
        <w:rPr>
          <w:rFonts w:ascii="Arial" w:hAnsi="Arial" w:cs="Arial"/>
          <w:b/>
          <w:bCs/>
          <w:sz w:val="24"/>
          <w:szCs w:val="24"/>
        </w:rPr>
      </w:pPr>
      <w:r>
        <w:rPr>
          <w:rFonts w:ascii="Arial" w:hAnsi="Arial" w:cs="Arial"/>
          <w:b/>
          <w:bCs/>
          <w:sz w:val="24"/>
          <w:szCs w:val="24"/>
        </w:rPr>
        <w:t>MLA</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5F8F0C54" w:rsidR="00ED3B77" w:rsidRPr="00BB387E" w:rsidRDefault="0064773B" w:rsidP="008C225D">
      <w:pPr>
        <w:pStyle w:val="Heading1"/>
        <w:jc w:val="center"/>
      </w:pPr>
      <w:r>
        <w:lastRenderedPageBreak/>
        <w:t>HUMAN RIGHTS (WORKERS RIGHTS) AMENDMENT</w:t>
      </w:r>
      <w:r w:rsidR="00ED3B77" w:rsidRPr="00BB387E">
        <w:t xml:space="preserve"> BILL </w:t>
      </w:r>
      <w:r w:rsidR="00130A37" w:rsidRPr="00BB387E">
        <w:t>20</w:t>
      </w:r>
      <w:r w:rsidR="00130A37">
        <w:t>20</w:t>
      </w:r>
    </w:p>
    <w:p w14:paraId="2612AE1F" w14:textId="77777777" w:rsidR="00834FC9" w:rsidRDefault="00834FC9" w:rsidP="007F3D56">
      <w:pPr>
        <w:spacing w:after="0"/>
        <w:contextualSpacing/>
        <w:rPr>
          <w:rFonts w:ascii="Arial" w:hAnsi="Arial" w:cs="Arial"/>
          <w:bCs/>
          <w:sz w:val="24"/>
          <w:szCs w:val="24"/>
        </w:rPr>
      </w:pPr>
    </w:p>
    <w:p w14:paraId="29C29316" w14:textId="2F3CD1C5" w:rsidR="007B6A78" w:rsidRDefault="007E6E43" w:rsidP="008C225D">
      <w:pPr>
        <w:pStyle w:val="Heading2"/>
      </w:pPr>
      <w:r w:rsidRPr="007E6E43">
        <w:t>OUTLINE OF GOVERNMENT AMENDMENT</w:t>
      </w:r>
    </w:p>
    <w:p w14:paraId="78E92920" w14:textId="4889EDB8" w:rsidR="007E6E43" w:rsidRPr="007E6E43" w:rsidRDefault="007E6E43" w:rsidP="007E6E43">
      <w:pPr>
        <w:rPr>
          <w:rFonts w:ascii="Arial" w:hAnsi="Arial" w:cs="Arial"/>
          <w:iCs/>
          <w:sz w:val="24"/>
          <w:szCs w:val="24"/>
        </w:rPr>
      </w:pPr>
      <w:r w:rsidRPr="007E6E43">
        <w:rPr>
          <w:rFonts w:ascii="Arial" w:hAnsi="Arial" w:cs="Arial"/>
          <w:iCs/>
          <w:sz w:val="24"/>
          <w:szCs w:val="24"/>
        </w:rPr>
        <w:t xml:space="preserve">On </w:t>
      </w:r>
      <w:r>
        <w:rPr>
          <w:rFonts w:ascii="Arial" w:hAnsi="Arial" w:cs="Arial"/>
          <w:iCs/>
          <w:sz w:val="24"/>
          <w:szCs w:val="24"/>
        </w:rPr>
        <w:t>27</w:t>
      </w:r>
      <w:r w:rsidRPr="007E6E43">
        <w:rPr>
          <w:rFonts w:ascii="Arial" w:hAnsi="Arial" w:cs="Arial"/>
          <w:iCs/>
          <w:sz w:val="24"/>
          <w:szCs w:val="24"/>
        </w:rPr>
        <w:t xml:space="preserve"> </w:t>
      </w:r>
      <w:r>
        <w:rPr>
          <w:rFonts w:ascii="Arial" w:hAnsi="Arial" w:cs="Arial"/>
          <w:iCs/>
          <w:sz w:val="24"/>
          <w:szCs w:val="24"/>
        </w:rPr>
        <w:t>Nove</w:t>
      </w:r>
      <w:r w:rsidRPr="007E6E43">
        <w:rPr>
          <w:rFonts w:ascii="Arial" w:hAnsi="Arial" w:cs="Arial"/>
          <w:iCs/>
          <w:sz w:val="24"/>
          <w:szCs w:val="24"/>
        </w:rPr>
        <w:t xml:space="preserve">mber 2019 the </w:t>
      </w:r>
      <w:r>
        <w:rPr>
          <w:rFonts w:ascii="Arial" w:hAnsi="Arial" w:cs="Arial"/>
          <w:iCs/>
          <w:sz w:val="24"/>
          <w:szCs w:val="24"/>
        </w:rPr>
        <w:t>Human Rights (Workers Rights)</w:t>
      </w:r>
      <w:r w:rsidRPr="007E6E43">
        <w:rPr>
          <w:rFonts w:ascii="Arial" w:hAnsi="Arial" w:cs="Arial"/>
          <w:iCs/>
          <w:sz w:val="24"/>
          <w:szCs w:val="24"/>
        </w:rPr>
        <w:t xml:space="preserve"> Amendment Bill 2019 (the Bill) was introduced </w:t>
      </w:r>
      <w:r>
        <w:rPr>
          <w:rFonts w:ascii="Arial" w:hAnsi="Arial" w:cs="Arial"/>
          <w:iCs/>
          <w:sz w:val="24"/>
          <w:szCs w:val="24"/>
        </w:rPr>
        <w:t xml:space="preserve">as a Private Members Bill </w:t>
      </w:r>
      <w:r w:rsidRPr="007E6E43">
        <w:rPr>
          <w:rFonts w:ascii="Arial" w:hAnsi="Arial" w:cs="Arial"/>
          <w:iCs/>
          <w:sz w:val="24"/>
          <w:szCs w:val="24"/>
        </w:rPr>
        <w:t xml:space="preserve">to the Legislative Assembly. The Bill </w:t>
      </w:r>
      <w:r>
        <w:rPr>
          <w:rFonts w:ascii="Arial" w:hAnsi="Arial" w:cs="Arial"/>
          <w:iCs/>
          <w:sz w:val="24"/>
          <w:szCs w:val="24"/>
        </w:rPr>
        <w:t xml:space="preserve">seeks to amendment the </w:t>
      </w:r>
      <w:r w:rsidRPr="007E6E43">
        <w:rPr>
          <w:rFonts w:ascii="Arial" w:hAnsi="Arial" w:cs="Arial"/>
          <w:i/>
          <w:sz w:val="24"/>
          <w:szCs w:val="24"/>
        </w:rPr>
        <w:t>Human Rights Act 2004</w:t>
      </w:r>
      <w:r>
        <w:rPr>
          <w:rFonts w:ascii="Arial" w:hAnsi="Arial" w:cs="Arial"/>
          <w:iCs/>
          <w:sz w:val="24"/>
          <w:szCs w:val="24"/>
        </w:rPr>
        <w:t xml:space="preserve"> (the </w:t>
      </w:r>
      <w:r w:rsidR="00614AFE">
        <w:rPr>
          <w:rFonts w:ascii="Arial" w:hAnsi="Arial" w:cs="Arial"/>
          <w:iCs/>
          <w:sz w:val="24"/>
          <w:szCs w:val="24"/>
        </w:rPr>
        <w:t>HRA</w:t>
      </w:r>
      <w:r>
        <w:rPr>
          <w:rFonts w:ascii="Arial" w:hAnsi="Arial" w:cs="Arial"/>
          <w:iCs/>
          <w:sz w:val="24"/>
          <w:szCs w:val="24"/>
        </w:rPr>
        <w:t>) by introducing a new section 27B to protect the right to work and work-related rights under Part 3A of the Act</w:t>
      </w:r>
      <w:r w:rsidRPr="007E6E43">
        <w:rPr>
          <w:rFonts w:ascii="Arial" w:hAnsi="Arial" w:cs="Arial"/>
          <w:iCs/>
          <w:sz w:val="24"/>
          <w:szCs w:val="24"/>
        </w:rPr>
        <w:t xml:space="preserve">. </w:t>
      </w:r>
    </w:p>
    <w:p w14:paraId="3FB3B466" w14:textId="6010E5DE" w:rsidR="007E6E43" w:rsidRPr="007E6E43" w:rsidRDefault="007E6E43" w:rsidP="007E6E43">
      <w:pPr>
        <w:rPr>
          <w:rFonts w:ascii="Arial" w:hAnsi="Arial" w:cs="Arial"/>
          <w:iCs/>
          <w:sz w:val="24"/>
          <w:szCs w:val="24"/>
        </w:rPr>
      </w:pPr>
      <w:r w:rsidRPr="007E6E43">
        <w:rPr>
          <w:rFonts w:ascii="Arial" w:hAnsi="Arial" w:cs="Arial"/>
          <w:iCs/>
          <w:sz w:val="24"/>
          <w:szCs w:val="24"/>
        </w:rPr>
        <w:t>The explanatory statement accompanying the Bill provides a detailed account of the provisions contained in the Bill and can be accessed at: https://www.legislation.act.gov.au/b/db_61325/</w:t>
      </w:r>
    </w:p>
    <w:p w14:paraId="06C16CCC" w14:textId="6E7179FE" w:rsidR="007E6E43" w:rsidRDefault="007E6E43" w:rsidP="007E6E43">
      <w:pPr>
        <w:rPr>
          <w:rFonts w:ascii="Arial" w:hAnsi="Arial" w:cs="Arial"/>
          <w:iCs/>
          <w:sz w:val="24"/>
          <w:szCs w:val="24"/>
        </w:rPr>
      </w:pPr>
      <w:r w:rsidRPr="007E6E43">
        <w:rPr>
          <w:rFonts w:ascii="Arial" w:hAnsi="Arial" w:cs="Arial"/>
          <w:iCs/>
          <w:sz w:val="24"/>
          <w:szCs w:val="24"/>
        </w:rPr>
        <w:t>The Government amendment</w:t>
      </w:r>
      <w:r>
        <w:rPr>
          <w:rFonts w:ascii="Arial" w:hAnsi="Arial" w:cs="Arial"/>
          <w:iCs/>
          <w:sz w:val="24"/>
          <w:szCs w:val="24"/>
        </w:rPr>
        <w:t>s</w:t>
      </w:r>
      <w:r w:rsidRPr="007E6E43">
        <w:rPr>
          <w:rFonts w:ascii="Arial" w:hAnsi="Arial" w:cs="Arial"/>
          <w:iCs/>
          <w:sz w:val="24"/>
          <w:szCs w:val="24"/>
        </w:rPr>
        <w:t xml:space="preserve"> to the Bill (the Government Amendment) </w:t>
      </w:r>
      <w:r w:rsidR="00321747">
        <w:rPr>
          <w:rFonts w:ascii="Arial" w:hAnsi="Arial" w:cs="Arial"/>
          <w:iCs/>
          <w:sz w:val="24"/>
          <w:szCs w:val="24"/>
        </w:rPr>
        <w:t xml:space="preserve">seek </w:t>
      </w:r>
      <w:r w:rsidR="00321747" w:rsidRPr="00321747">
        <w:rPr>
          <w:rFonts w:ascii="Arial" w:hAnsi="Arial" w:cs="Arial"/>
          <w:iCs/>
          <w:sz w:val="24"/>
          <w:szCs w:val="24"/>
        </w:rPr>
        <w:t xml:space="preserve">to better align it with the current structure and approach of the </w:t>
      </w:r>
      <w:r w:rsidR="00614AFE">
        <w:rPr>
          <w:rFonts w:ascii="Arial" w:hAnsi="Arial" w:cs="Arial"/>
          <w:iCs/>
          <w:sz w:val="24"/>
          <w:szCs w:val="24"/>
        </w:rPr>
        <w:t>HRA</w:t>
      </w:r>
      <w:r w:rsidR="00321747" w:rsidRPr="00321747">
        <w:rPr>
          <w:rFonts w:ascii="Arial" w:hAnsi="Arial" w:cs="Arial"/>
          <w:iCs/>
          <w:sz w:val="24"/>
          <w:szCs w:val="24"/>
        </w:rPr>
        <w:t xml:space="preserve"> and to clarify the expression of workers’ rights and the nature of any obligations of progressive realisation that may apply</w:t>
      </w:r>
      <w:r w:rsidR="00321747">
        <w:rPr>
          <w:rFonts w:ascii="Arial" w:hAnsi="Arial" w:cs="Arial"/>
          <w:iCs/>
          <w:sz w:val="24"/>
          <w:szCs w:val="24"/>
        </w:rPr>
        <w:t xml:space="preserve"> under the new section 27B</w:t>
      </w:r>
      <w:r w:rsidRPr="007E6E43">
        <w:rPr>
          <w:rFonts w:ascii="Arial" w:hAnsi="Arial" w:cs="Arial"/>
          <w:iCs/>
          <w:sz w:val="24"/>
          <w:szCs w:val="24"/>
        </w:rPr>
        <w:t>.</w:t>
      </w:r>
    </w:p>
    <w:p w14:paraId="7034AF39" w14:textId="77777777" w:rsidR="00321747" w:rsidRPr="007E6E43" w:rsidRDefault="00321747" w:rsidP="007E6E43">
      <w:pPr>
        <w:rPr>
          <w:rFonts w:ascii="Arial" w:hAnsi="Arial" w:cs="Arial"/>
          <w:iCs/>
          <w:sz w:val="24"/>
          <w:szCs w:val="24"/>
        </w:rPr>
      </w:pPr>
    </w:p>
    <w:p w14:paraId="1A2BA5E1" w14:textId="16586FA5" w:rsidR="00790FE4" w:rsidRDefault="00503AAB" w:rsidP="008C225D">
      <w:pPr>
        <w:pStyle w:val="Heading2"/>
      </w:pPr>
      <w:r>
        <w:t xml:space="preserve">CONSISTENCY WITH </w:t>
      </w:r>
      <w:r w:rsidR="00790FE4" w:rsidRPr="008C225D">
        <w:t>HUMAN RIGHTS</w:t>
      </w:r>
    </w:p>
    <w:p w14:paraId="574FFF70" w14:textId="77777777" w:rsidR="00321747" w:rsidRPr="00321747" w:rsidRDefault="00321747" w:rsidP="00321747">
      <w:pPr>
        <w:rPr>
          <w:rFonts w:ascii="Arial" w:hAnsi="Arial" w:cs="Arial"/>
          <w:i/>
          <w:sz w:val="24"/>
          <w:szCs w:val="24"/>
        </w:rPr>
      </w:pPr>
    </w:p>
    <w:p w14:paraId="63BA57BB" w14:textId="699FCB05" w:rsidR="00321747" w:rsidRPr="00321747" w:rsidRDefault="00321747" w:rsidP="00321747">
      <w:pPr>
        <w:rPr>
          <w:rFonts w:ascii="Arial" w:hAnsi="Arial" w:cs="Arial"/>
          <w:iCs/>
          <w:sz w:val="24"/>
          <w:szCs w:val="24"/>
        </w:rPr>
      </w:pPr>
      <w:r w:rsidRPr="00321747">
        <w:rPr>
          <w:rFonts w:ascii="Arial" w:hAnsi="Arial" w:cs="Arial"/>
          <w:iCs/>
          <w:sz w:val="24"/>
          <w:szCs w:val="24"/>
        </w:rPr>
        <w:t xml:space="preserve">The Bill engages and promotes a number of rights under the </w:t>
      </w:r>
      <w:r w:rsidRPr="00314BFB">
        <w:rPr>
          <w:rFonts w:ascii="Arial" w:hAnsi="Arial" w:cs="Arial"/>
          <w:i/>
          <w:sz w:val="24"/>
          <w:szCs w:val="24"/>
        </w:rPr>
        <w:t>Human Rights Act 2004</w:t>
      </w:r>
      <w:r w:rsidRPr="00321747">
        <w:rPr>
          <w:rFonts w:ascii="Arial" w:hAnsi="Arial" w:cs="Arial"/>
          <w:iCs/>
          <w:sz w:val="24"/>
          <w:szCs w:val="24"/>
        </w:rPr>
        <w:t xml:space="preserve"> (the HRA), including the right to equality and non-discrimination by further clarifying the scope of this right. The Government Amendment does not further engage the HRA</w:t>
      </w:r>
      <w:r>
        <w:rPr>
          <w:rFonts w:ascii="Arial" w:hAnsi="Arial" w:cs="Arial"/>
          <w:iCs/>
          <w:sz w:val="24"/>
          <w:szCs w:val="24"/>
        </w:rPr>
        <w:t xml:space="preserve"> except in so far as it provides further clarity as to the scope of the right</w:t>
      </w:r>
      <w:r w:rsidR="00614AFE">
        <w:rPr>
          <w:rFonts w:ascii="Arial" w:hAnsi="Arial" w:cs="Arial"/>
          <w:iCs/>
          <w:sz w:val="24"/>
          <w:szCs w:val="24"/>
        </w:rPr>
        <w:t>s</w:t>
      </w:r>
      <w:r w:rsidRPr="00321747">
        <w:rPr>
          <w:rFonts w:ascii="Arial" w:hAnsi="Arial" w:cs="Arial"/>
          <w:iCs/>
          <w:sz w:val="24"/>
          <w:szCs w:val="24"/>
        </w:rPr>
        <w:t>.</w:t>
      </w:r>
    </w:p>
    <w:p w14:paraId="0294B1B3" w14:textId="77777777" w:rsidR="00321747" w:rsidRPr="00321747" w:rsidRDefault="00321747" w:rsidP="00321747">
      <w:pPr>
        <w:rPr>
          <w:rFonts w:ascii="Arial" w:hAnsi="Arial" w:cs="Arial"/>
          <w:i/>
          <w:sz w:val="24"/>
          <w:szCs w:val="24"/>
        </w:rPr>
      </w:pPr>
    </w:p>
    <w:p w14:paraId="04F50CE4" w14:textId="57ABFD10" w:rsidR="00774277" w:rsidRDefault="00774277">
      <w:pPr>
        <w:spacing w:after="0" w:line="240" w:lineRule="auto"/>
        <w:rPr>
          <w:rFonts w:asciiTheme="minorHAnsi" w:eastAsiaTheme="majorEastAsia" w:hAnsiTheme="minorHAnsi" w:cs="Arial"/>
          <w:sz w:val="28"/>
          <w:szCs w:val="28"/>
          <w:lang w:eastAsia="en-AU"/>
        </w:rPr>
      </w:pPr>
      <w:bookmarkStart w:id="1" w:name="OLE_LINK1"/>
      <w:r>
        <w:rPr>
          <w:rFonts w:asciiTheme="minorHAnsi" w:hAnsiTheme="minorHAnsi" w:cs="Arial"/>
          <w:b/>
          <w:sz w:val="28"/>
          <w:szCs w:val="28"/>
          <w:lang w:eastAsia="en-AU"/>
        </w:rPr>
        <w:br w:type="page"/>
      </w:r>
    </w:p>
    <w:bookmarkEnd w:id="1"/>
    <w:p w14:paraId="6173867E" w14:textId="11ABFDA6" w:rsidR="008C76C4" w:rsidRDefault="008C76C4">
      <w:pPr>
        <w:pStyle w:val="Heading2"/>
        <w:pageBreakBefore/>
        <w:spacing w:before="240" w:after="240"/>
      </w:pPr>
      <w:r w:rsidRPr="008C225D">
        <w:lastRenderedPageBreak/>
        <w:t>CLAUSE NOTES</w:t>
      </w:r>
    </w:p>
    <w:p w14:paraId="0E2E8CBE" w14:textId="77777777" w:rsidR="00E76504" w:rsidRPr="00E76504" w:rsidRDefault="00E76504" w:rsidP="00E76504"/>
    <w:p w14:paraId="1B86421F" w14:textId="78557FC2" w:rsidR="006F14BE" w:rsidRPr="006F14BE" w:rsidRDefault="006F14BE" w:rsidP="006F14BE">
      <w:pPr>
        <w:rPr>
          <w:rFonts w:ascii="Arial" w:hAnsi="Arial" w:cs="Arial"/>
          <w:b/>
          <w:bCs/>
          <w:sz w:val="24"/>
          <w:szCs w:val="24"/>
        </w:rPr>
      </w:pPr>
      <w:r w:rsidRPr="006F14BE">
        <w:rPr>
          <w:rFonts w:ascii="Arial" w:hAnsi="Arial" w:cs="Arial"/>
          <w:b/>
          <w:bCs/>
          <w:sz w:val="24"/>
          <w:szCs w:val="24"/>
        </w:rPr>
        <w:t>Clause 4</w:t>
      </w:r>
      <w:r w:rsidRPr="006F14BE">
        <w:rPr>
          <w:rFonts w:ascii="Arial" w:hAnsi="Arial" w:cs="Arial"/>
          <w:b/>
          <w:bCs/>
          <w:sz w:val="24"/>
          <w:szCs w:val="24"/>
        </w:rPr>
        <w:tab/>
      </w:r>
      <w:r w:rsidRPr="005336FB">
        <w:rPr>
          <w:rFonts w:ascii="Arial" w:hAnsi="Arial" w:cs="Arial"/>
          <w:sz w:val="24"/>
          <w:szCs w:val="24"/>
        </w:rPr>
        <w:t xml:space="preserve">The amendments </w:t>
      </w:r>
      <w:r w:rsidR="00994C29">
        <w:rPr>
          <w:rFonts w:ascii="Arial" w:hAnsi="Arial" w:cs="Arial"/>
          <w:sz w:val="24"/>
          <w:szCs w:val="24"/>
        </w:rPr>
        <w:t>to</w:t>
      </w:r>
      <w:r w:rsidR="00994C29" w:rsidRPr="005336FB">
        <w:rPr>
          <w:rFonts w:ascii="Arial" w:hAnsi="Arial" w:cs="Arial"/>
          <w:sz w:val="24"/>
          <w:szCs w:val="24"/>
        </w:rPr>
        <w:t xml:space="preserve"> </w:t>
      </w:r>
      <w:r w:rsidRPr="005336FB">
        <w:rPr>
          <w:rFonts w:ascii="Arial" w:hAnsi="Arial" w:cs="Arial"/>
          <w:sz w:val="24"/>
          <w:szCs w:val="24"/>
        </w:rPr>
        <w:t>clause 4:</w:t>
      </w:r>
    </w:p>
    <w:p w14:paraId="3F3D7E39" w14:textId="77777777" w:rsidR="006F14BE" w:rsidRDefault="006F14BE" w:rsidP="006F14BE">
      <w:pPr>
        <w:pStyle w:val="ListParagraph"/>
        <w:numPr>
          <w:ilvl w:val="0"/>
          <w:numId w:val="50"/>
        </w:numPr>
        <w:spacing w:before="120" w:after="120"/>
        <w:ind w:left="714" w:hanging="357"/>
        <w:rPr>
          <w:rFonts w:ascii="Arial" w:hAnsi="Arial" w:cs="Arial"/>
          <w:sz w:val="24"/>
          <w:szCs w:val="24"/>
        </w:rPr>
      </w:pPr>
      <w:r w:rsidRPr="006F14BE">
        <w:rPr>
          <w:rFonts w:ascii="Arial" w:hAnsi="Arial" w:cs="Arial"/>
          <w:sz w:val="24"/>
          <w:szCs w:val="24"/>
        </w:rPr>
        <w:t xml:space="preserve">omit the heading, and substitute ‘Right to work and other work-related rights’ in order to better reflect that the rights set out in proposed section 27B cover both the right to work and </w:t>
      </w:r>
      <w:bookmarkStart w:id="2" w:name="_Hlk35003444"/>
      <w:r w:rsidRPr="006F14BE">
        <w:rPr>
          <w:rFonts w:ascii="Arial" w:hAnsi="Arial" w:cs="Arial"/>
          <w:sz w:val="24"/>
          <w:szCs w:val="24"/>
        </w:rPr>
        <w:t>work-related rights (such as the right to just and favourable conditions)</w:t>
      </w:r>
      <w:bookmarkEnd w:id="2"/>
      <w:r w:rsidRPr="006F14BE">
        <w:rPr>
          <w:rFonts w:ascii="Arial" w:hAnsi="Arial" w:cs="Arial"/>
          <w:sz w:val="24"/>
          <w:szCs w:val="24"/>
        </w:rPr>
        <w:t>;</w:t>
      </w:r>
    </w:p>
    <w:p w14:paraId="09BD0A63" w14:textId="4A52BF57" w:rsidR="006F14BE" w:rsidRDefault="006F14BE" w:rsidP="006F14BE">
      <w:pPr>
        <w:pStyle w:val="ListParagraph"/>
        <w:numPr>
          <w:ilvl w:val="0"/>
          <w:numId w:val="50"/>
        </w:numPr>
        <w:spacing w:before="120" w:after="120"/>
        <w:ind w:left="714" w:hanging="357"/>
        <w:rPr>
          <w:rFonts w:ascii="Arial" w:hAnsi="Arial" w:cs="Arial"/>
          <w:sz w:val="24"/>
          <w:szCs w:val="24"/>
        </w:rPr>
      </w:pPr>
      <w:r w:rsidRPr="006F14BE">
        <w:rPr>
          <w:rFonts w:ascii="Arial" w:hAnsi="Arial" w:cs="Arial"/>
          <w:sz w:val="24"/>
          <w:szCs w:val="24"/>
        </w:rPr>
        <w:t>move proposed section 27B(3) to section 27B(5) in order to clarify that the right to non-discrimination set out in applies to all rights in proposed section 27B;</w:t>
      </w:r>
    </w:p>
    <w:p w14:paraId="1F9EEFFD" w14:textId="1261F06D" w:rsidR="006F14BE" w:rsidRDefault="006F14BE" w:rsidP="006F14BE">
      <w:pPr>
        <w:pStyle w:val="ListParagraph"/>
        <w:numPr>
          <w:ilvl w:val="0"/>
          <w:numId w:val="50"/>
        </w:numPr>
        <w:spacing w:before="120" w:after="120"/>
        <w:ind w:left="714" w:hanging="357"/>
        <w:rPr>
          <w:rFonts w:ascii="Arial" w:hAnsi="Arial" w:cs="Arial"/>
          <w:sz w:val="24"/>
          <w:szCs w:val="24"/>
        </w:rPr>
      </w:pPr>
      <w:r w:rsidRPr="006F14BE">
        <w:rPr>
          <w:rFonts w:ascii="Arial" w:hAnsi="Arial" w:cs="Arial"/>
          <w:sz w:val="24"/>
          <w:szCs w:val="24"/>
        </w:rPr>
        <w:t>amend proposed section 27B(4) (now 27B(</w:t>
      </w:r>
      <w:r>
        <w:rPr>
          <w:rFonts w:ascii="Arial" w:hAnsi="Arial" w:cs="Arial"/>
          <w:sz w:val="24"/>
          <w:szCs w:val="24"/>
        </w:rPr>
        <w:t>3</w:t>
      </w:r>
      <w:r w:rsidRPr="006F14BE">
        <w:rPr>
          <w:rFonts w:ascii="Arial" w:hAnsi="Arial" w:cs="Arial"/>
          <w:sz w:val="24"/>
          <w:szCs w:val="24"/>
        </w:rPr>
        <w:t>)) to refer to ‘trade union’ explicitly (e.g. ‘Everyone has the right to form or join a work</w:t>
      </w:r>
      <w:r w:rsidRPr="006F14BE">
        <w:rPr>
          <w:rFonts w:ascii="Cambria Math" w:hAnsi="Cambria Math" w:cs="Cambria Math"/>
          <w:sz w:val="24"/>
          <w:szCs w:val="24"/>
        </w:rPr>
        <w:t>‐</w:t>
      </w:r>
      <w:r w:rsidRPr="006F14BE">
        <w:rPr>
          <w:rFonts w:ascii="Arial" w:hAnsi="Arial" w:cs="Arial"/>
          <w:sz w:val="24"/>
          <w:szCs w:val="24"/>
        </w:rPr>
        <w:t>related organisation, including trade union, with the objective of promoting or protecting their economic or social interests’), in order to more closely reflect the language of the ICESCR, which refers to ‘trade union’</w:t>
      </w:r>
      <w:r>
        <w:rPr>
          <w:rFonts w:ascii="Arial" w:hAnsi="Arial" w:cs="Arial"/>
          <w:sz w:val="24"/>
          <w:szCs w:val="24"/>
        </w:rPr>
        <w:t>; and</w:t>
      </w:r>
    </w:p>
    <w:p w14:paraId="67869209" w14:textId="21CB3746" w:rsidR="00AC2CC3" w:rsidRDefault="00BE309A" w:rsidP="00923E37">
      <w:pPr>
        <w:pStyle w:val="ListParagraph"/>
        <w:numPr>
          <w:ilvl w:val="0"/>
          <w:numId w:val="50"/>
        </w:numPr>
        <w:spacing w:before="120" w:after="120"/>
        <w:ind w:left="714" w:hanging="357"/>
        <w:rPr>
          <w:rFonts w:ascii="Arial" w:hAnsi="Arial" w:cs="Arial"/>
          <w:sz w:val="24"/>
          <w:szCs w:val="24"/>
        </w:rPr>
      </w:pPr>
      <w:r>
        <w:rPr>
          <w:rFonts w:ascii="Arial" w:hAnsi="Arial" w:cs="Arial"/>
          <w:sz w:val="24"/>
          <w:szCs w:val="24"/>
        </w:rPr>
        <w:t>i</w:t>
      </w:r>
      <w:r w:rsidR="006F14BE" w:rsidRPr="006F14BE">
        <w:rPr>
          <w:rFonts w:ascii="Arial" w:hAnsi="Arial" w:cs="Arial"/>
          <w:sz w:val="24"/>
          <w:szCs w:val="24"/>
        </w:rPr>
        <w:t xml:space="preserve">nsert </w:t>
      </w:r>
      <w:r w:rsidR="00AC2CC3">
        <w:rPr>
          <w:rFonts w:ascii="Arial" w:hAnsi="Arial" w:cs="Arial"/>
          <w:sz w:val="24"/>
          <w:szCs w:val="24"/>
        </w:rPr>
        <w:t>three</w:t>
      </w:r>
      <w:r w:rsidR="00994C29">
        <w:rPr>
          <w:rFonts w:ascii="Arial" w:hAnsi="Arial" w:cs="Arial"/>
          <w:sz w:val="24"/>
          <w:szCs w:val="24"/>
        </w:rPr>
        <w:t xml:space="preserve"> </w:t>
      </w:r>
      <w:r w:rsidR="006F14BE" w:rsidRPr="006F14BE">
        <w:rPr>
          <w:rFonts w:ascii="Arial" w:hAnsi="Arial" w:cs="Arial"/>
          <w:sz w:val="24"/>
          <w:szCs w:val="24"/>
        </w:rPr>
        <w:t xml:space="preserve">new </w:t>
      </w:r>
      <w:r w:rsidR="00E855AA">
        <w:rPr>
          <w:rFonts w:ascii="Arial" w:hAnsi="Arial" w:cs="Arial"/>
          <w:sz w:val="24"/>
          <w:szCs w:val="24"/>
        </w:rPr>
        <w:t>note</w:t>
      </w:r>
      <w:r w:rsidR="00AC2CC3">
        <w:rPr>
          <w:rFonts w:ascii="Arial" w:hAnsi="Arial" w:cs="Arial"/>
          <w:sz w:val="24"/>
          <w:szCs w:val="24"/>
        </w:rPr>
        <w:t>s</w:t>
      </w:r>
      <w:r w:rsidR="00E855AA">
        <w:rPr>
          <w:rFonts w:ascii="Arial" w:hAnsi="Arial" w:cs="Arial"/>
          <w:sz w:val="24"/>
          <w:szCs w:val="24"/>
        </w:rPr>
        <w:t xml:space="preserve"> </w:t>
      </w:r>
      <w:r w:rsidR="006F14BE" w:rsidRPr="006F14BE">
        <w:rPr>
          <w:rFonts w:ascii="Arial" w:hAnsi="Arial" w:cs="Arial"/>
          <w:sz w:val="24"/>
          <w:szCs w:val="24"/>
        </w:rPr>
        <w:t>to clar</w:t>
      </w:r>
      <w:r w:rsidR="009D1E1A">
        <w:rPr>
          <w:rFonts w:ascii="Arial" w:hAnsi="Arial" w:cs="Arial"/>
          <w:sz w:val="24"/>
          <w:szCs w:val="24"/>
        </w:rPr>
        <w:t>ify</w:t>
      </w:r>
      <w:r w:rsidR="006F14BE" w:rsidRPr="006F14BE">
        <w:rPr>
          <w:rFonts w:ascii="Arial" w:hAnsi="Arial" w:cs="Arial"/>
          <w:sz w:val="24"/>
          <w:szCs w:val="24"/>
        </w:rPr>
        <w:t xml:space="preserve"> the application and nature of the obligation of progressive realisation.</w:t>
      </w:r>
    </w:p>
    <w:p w14:paraId="7C890747" w14:textId="528DE5CE" w:rsidR="00AC2CC3" w:rsidRDefault="00AC2CC3" w:rsidP="00AC2CC3">
      <w:pPr>
        <w:pStyle w:val="ListParagraph"/>
        <w:numPr>
          <w:ilvl w:val="1"/>
          <w:numId w:val="50"/>
        </w:numPr>
        <w:spacing w:before="120" w:after="120"/>
        <w:rPr>
          <w:rFonts w:ascii="Arial" w:hAnsi="Arial" w:cs="Arial"/>
          <w:sz w:val="24"/>
          <w:szCs w:val="24"/>
        </w:rPr>
      </w:pPr>
      <w:r>
        <w:rPr>
          <w:rFonts w:ascii="Arial" w:hAnsi="Arial" w:cs="Arial"/>
          <w:sz w:val="24"/>
          <w:szCs w:val="24"/>
        </w:rPr>
        <w:t>The first note clarifies that some aspects of the rights protected under section 27B contain obligations of progressive realisation. This note acknowledges that, w</w:t>
      </w:r>
      <w:r w:rsidR="00923E37" w:rsidRPr="00D6743F">
        <w:rPr>
          <w:rFonts w:ascii="Arial" w:hAnsi="Arial" w:cs="Arial"/>
          <w:sz w:val="24"/>
          <w:szCs w:val="24"/>
        </w:rPr>
        <w:t xml:space="preserve">hile all of the rights protected under proposed section 27B contain obligations of immediate effect, subsections 27B(1) and (2) also contain obligations of progressive realisation. </w:t>
      </w:r>
    </w:p>
    <w:p w14:paraId="050E7B36" w14:textId="4ACB83B8" w:rsidR="00923E37" w:rsidRPr="00D6743F" w:rsidRDefault="00923E37" w:rsidP="00D6743F">
      <w:pPr>
        <w:spacing w:before="120" w:after="120"/>
        <w:rPr>
          <w:rFonts w:ascii="Arial" w:hAnsi="Arial" w:cs="Arial"/>
          <w:sz w:val="24"/>
          <w:szCs w:val="24"/>
        </w:rPr>
      </w:pPr>
      <w:r w:rsidRPr="00D6743F">
        <w:rPr>
          <w:rFonts w:ascii="Arial" w:hAnsi="Arial" w:cs="Arial"/>
          <w:sz w:val="24"/>
          <w:szCs w:val="24"/>
        </w:rPr>
        <w:t>The concept of ‘progressive realisation’ is drawn from article 2(1) of the ICESCR under which each State Party undertakes:</w:t>
      </w:r>
    </w:p>
    <w:p w14:paraId="7130556D" w14:textId="162CD75D" w:rsidR="00923E37" w:rsidRPr="00D6743F" w:rsidRDefault="00923E37" w:rsidP="00D6743F">
      <w:pPr>
        <w:pStyle w:val="Quote"/>
        <w:ind w:left="720"/>
        <w:rPr>
          <w:rFonts w:cs="Arial"/>
        </w:rPr>
      </w:pPr>
      <w:r w:rsidRPr="00D6743F">
        <w:rPr>
          <w:rFonts w:cs="Arial"/>
        </w:rPr>
        <w:t>‘to take steps individually and through international assistance and cooperation, especially economic and technical, to the maximum of its available resources, with a view to achieving progressively the full realization of the rights [contained in the ICESCR] by all appropriate means, including particularly the adoption of legislative measures.’</w:t>
      </w:r>
    </w:p>
    <w:p w14:paraId="514ECBF9" w14:textId="5FBB8DD4" w:rsidR="00AC2CC3" w:rsidRDefault="00AC2CC3" w:rsidP="00D6743F">
      <w:pPr>
        <w:pStyle w:val="ListParagraph"/>
        <w:numPr>
          <w:ilvl w:val="0"/>
          <w:numId w:val="64"/>
        </w:numPr>
        <w:spacing w:after="120"/>
        <w:rPr>
          <w:rFonts w:ascii="Arial" w:hAnsi="Arial" w:cs="Arial"/>
          <w:sz w:val="24"/>
          <w:szCs w:val="24"/>
        </w:rPr>
      </w:pPr>
      <w:r w:rsidRPr="00D6743F">
        <w:rPr>
          <w:rFonts w:ascii="Arial" w:hAnsi="Arial" w:cs="Arial"/>
          <w:sz w:val="24"/>
          <w:szCs w:val="24"/>
        </w:rPr>
        <w:t xml:space="preserve">The second </w:t>
      </w:r>
      <w:r>
        <w:rPr>
          <w:rFonts w:ascii="Arial" w:hAnsi="Arial" w:cs="Arial"/>
          <w:sz w:val="24"/>
          <w:szCs w:val="24"/>
        </w:rPr>
        <w:t xml:space="preserve">note clarifies that </w:t>
      </w:r>
      <w:r w:rsidRPr="00B97A0D">
        <w:rPr>
          <w:rFonts w:ascii="Arial" w:hAnsi="Arial" w:cs="Arial"/>
          <w:sz w:val="24"/>
          <w:szCs w:val="24"/>
        </w:rPr>
        <w:t>section 28 applies to the assessment of any limitation on the rights set out in section 27B</w:t>
      </w:r>
      <w:r>
        <w:rPr>
          <w:rFonts w:ascii="Arial" w:hAnsi="Arial" w:cs="Arial"/>
          <w:sz w:val="24"/>
          <w:szCs w:val="24"/>
        </w:rPr>
        <w:t xml:space="preserve">. </w:t>
      </w:r>
    </w:p>
    <w:p w14:paraId="393CE33F" w14:textId="09F505AF" w:rsidR="00AC2CC3" w:rsidRPr="00D6743F" w:rsidRDefault="00AC2CC3" w:rsidP="00D6743F">
      <w:r w:rsidRPr="00D6743F">
        <w:rPr>
          <w:rFonts w:ascii="Arial" w:hAnsi="Arial" w:cs="Arial"/>
          <w:sz w:val="24"/>
          <w:szCs w:val="24"/>
        </w:rPr>
        <w:t xml:space="preserve">In international law, the obligation of progressive realisation is subject to a corresponding duty not to take unjustifiable retrogressive measures or backwards steps in respect of the level of attainment of economic, social and cultural rights. This note also clarifies that this form of limitation on economic social and cultural rights may be </w:t>
      </w:r>
      <w:r>
        <w:rPr>
          <w:rFonts w:ascii="Arial" w:hAnsi="Arial" w:cs="Arial"/>
          <w:sz w:val="24"/>
          <w:szCs w:val="24"/>
        </w:rPr>
        <w:t xml:space="preserve">assessed under the </w:t>
      </w:r>
      <w:r w:rsidRPr="00D6743F">
        <w:rPr>
          <w:rFonts w:ascii="Arial" w:hAnsi="Arial" w:cs="Arial"/>
          <w:sz w:val="24"/>
          <w:szCs w:val="24"/>
        </w:rPr>
        <w:t>reasonable</w:t>
      </w:r>
      <w:r>
        <w:rPr>
          <w:rFonts w:ascii="Arial" w:hAnsi="Arial" w:cs="Arial"/>
          <w:sz w:val="24"/>
          <w:szCs w:val="24"/>
        </w:rPr>
        <w:t xml:space="preserve"> and justifiable</w:t>
      </w:r>
      <w:r w:rsidRPr="00D6743F">
        <w:rPr>
          <w:rFonts w:ascii="Arial" w:hAnsi="Arial" w:cs="Arial"/>
          <w:sz w:val="24"/>
          <w:szCs w:val="24"/>
        </w:rPr>
        <w:t xml:space="preserve"> limitations </w:t>
      </w:r>
      <w:r>
        <w:rPr>
          <w:rFonts w:ascii="Arial" w:hAnsi="Arial" w:cs="Arial"/>
          <w:sz w:val="24"/>
          <w:szCs w:val="24"/>
        </w:rPr>
        <w:t xml:space="preserve">criteria set out </w:t>
      </w:r>
      <w:r w:rsidRPr="00D6743F">
        <w:rPr>
          <w:rFonts w:ascii="Arial" w:hAnsi="Arial" w:cs="Arial"/>
          <w:sz w:val="24"/>
          <w:szCs w:val="24"/>
        </w:rPr>
        <w:t xml:space="preserve">under section 28 of the HRA. </w:t>
      </w:r>
    </w:p>
    <w:p w14:paraId="06C68B70" w14:textId="4A1D40F1" w:rsidR="00AC2CC3" w:rsidRPr="00D6743F" w:rsidRDefault="00AC2CC3" w:rsidP="00D6743F">
      <w:pPr>
        <w:pStyle w:val="ListParagraph"/>
        <w:numPr>
          <w:ilvl w:val="0"/>
          <w:numId w:val="64"/>
        </w:numPr>
        <w:rPr>
          <w:rFonts w:ascii="Arial" w:hAnsi="Arial" w:cs="Arial"/>
          <w:sz w:val="24"/>
          <w:szCs w:val="24"/>
        </w:rPr>
      </w:pPr>
      <w:r>
        <w:rPr>
          <w:rFonts w:ascii="Arial" w:hAnsi="Arial" w:cs="Arial"/>
          <w:sz w:val="24"/>
          <w:szCs w:val="24"/>
        </w:rPr>
        <w:t xml:space="preserve">The third note clarifies that Article 8(4) </w:t>
      </w:r>
      <w:r w:rsidRPr="00E855AA">
        <w:rPr>
          <w:rFonts w:ascii="Arial" w:hAnsi="Arial" w:cs="Arial"/>
          <w:sz w:val="24"/>
          <w:szCs w:val="24"/>
        </w:rPr>
        <w:t xml:space="preserve">of the Optional Protocol to the </w:t>
      </w:r>
      <w:r w:rsidRPr="009315A5">
        <w:rPr>
          <w:rFonts w:ascii="Arial" w:hAnsi="Arial" w:cs="Arial"/>
          <w:i/>
          <w:iCs/>
          <w:sz w:val="24"/>
          <w:szCs w:val="24"/>
        </w:rPr>
        <w:t>International Covenant on Economic, Social and Cultural Rights</w:t>
      </w:r>
      <w:r w:rsidRPr="00E855AA">
        <w:rPr>
          <w:rFonts w:ascii="Arial" w:hAnsi="Arial" w:cs="Arial"/>
          <w:sz w:val="24"/>
          <w:szCs w:val="24"/>
        </w:rPr>
        <w:t xml:space="preserve"> </w:t>
      </w:r>
      <w:r>
        <w:rPr>
          <w:rFonts w:ascii="Arial" w:hAnsi="Arial" w:cs="Arial"/>
          <w:sz w:val="24"/>
          <w:szCs w:val="24"/>
        </w:rPr>
        <w:t>(ICESCR) will also be relevant to any consideration of these rights under section 31.</w:t>
      </w:r>
    </w:p>
    <w:p w14:paraId="0ED86B15" w14:textId="4AB089F0" w:rsidR="004D6A41" w:rsidRPr="00D6743F" w:rsidRDefault="004D6A41" w:rsidP="00D6743F">
      <w:pPr>
        <w:spacing w:before="120" w:after="120"/>
        <w:rPr>
          <w:rFonts w:cs="Arial"/>
          <w:bCs/>
          <w:lang w:eastAsia="en-AU"/>
        </w:rPr>
      </w:pPr>
      <w:r w:rsidRPr="00D6743F">
        <w:rPr>
          <w:rFonts w:ascii="Arial" w:hAnsi="Arial" w:cs="Arial"/>
          <w:sz w:val="24"/>
          <w:szCs w:val="24"/>
          <w:lang w:eastAsia="en-AU"/>
        </w:rPr>
        <w:t xml:space="preserve">Article 8(4) </w:t>
      </w:r>
      <w:bookmarkStart w:id="3" w:name="_Hlk35269086"/>
      <w:r w:rsidRPr="00D6743F">
        <w:rPr>
          <w:rFonts w:ascii="Arial" w:hAnsi="Arial" w:cs="Arial"/>
          <w:sz w:val="24"/>
          <w:szCs w:val="24"/>
          <w:lang w:eastAsia="en-AU"/>
        </w:rPr>
        <w:t xml:space="preserve">of the Optional Protocol to the </w:t>
      </w:r>
      <w:bookmarkEnd w:id="3"/>
      <w:r w:rsidR="00923E37" w:rsidRPr="00D6743F">
        <w:rPr>
          <w:rFonts w:ascii="Arial" w:hAnsi="Arial" w:cs="Arial"/>
          <w:sz w:val="24"/>
          <w:szCs w:val="24"/>
        </w:rPr>
        <w:t>ICESCR</w:t>
      </w:r>
      <w:r w:rsidRPr="00D6743F">
        <w:rPr>
          <w:rFonts w:ascii="Arial" w:hAnsi="Arial" w:cs="Arial"/>
          <w:bCs/>
          <w:sz w:val="24"/>
          <w:szCs w:val="24"/>
          <w:lang w:eastAsia="en-AU"/>
        </w:rPr>
        <w:t xml:space="preserve"> </w:t>
      </w:r>
      <w:r w:rsidR="00E855AA" w:rsidRPr="00D6743F">
        <w:rPr>
          <w:rFonts w:ascii="Arial" w:hAnsi="Arial" w:cs="Arial"/>
          <w:bCs/>
          <w:sz w:val="24"/>
          <w:szCs w:val="24"/>
          <w:lang w:eastAsia="en-AU"/>
        </w:rPr>
        <w:t>provides</w:t>
      </w:r>
      <w:r w:rsidRPr="00D6743F">
        <w:rPr>
          <w:rFonts w:ascii="Arial" w:hAnsi="Arial" w:cs="Arial"/>
          <w:bCs/>
          <w:sz w:val="24"/>
          <w:szCs w:val="24"/>
          <w:lang w:eastAsia="en-AU"/>
        </w:rPr>
        <w:t>:</w:t>
      </w:r>
    </w:p>
    <w:p w14:paraId="6566504A" w14:textId="77777777" w:rsidR="00923E37" w:rsidRDefault="004D6A41" w:rsidP="00D6743F">
      <w:pPr>
        <w:pStyle w:val="Quote"/>
        <w:ind w:left="720"/>
      </w:pPr>
      <w:r w:rsidRPr="004D6A41">
        <w:lastRenderedPageBreak/>
        <w:t>When examining communications under the present Protocol, the Committee shall consider the reasonableness of the steps taken by the State Party in accordance with part II of the Covenant. In doing so, the Committee shall bear in mind that the State Party may adopt a range of possible policy measures for the implementation of the rights set forth in the Covenant.</w:t>
      </w:r>
    </w:p>
    <w:p w14:paraId="63CD3374" w14:textId="23FC671E" w:rsidR="009D1E1A" w:rsidRDefault="00923E37" w:rsidP="009D1E1A">
      <w:pPr>
        <w:rPr>
          <w:rFonts w:ascii="Arial" w:hAnsi="Arial" w:cs="Arial"/>
          <w:sz w:val="24"/>
          <w:szCs w:val="24"/>
        </w:rPr>
      </w:pPr>
      <w:r w:rsidRPr="00D6743F">
        <w:rPr>
          <w:rFonts w:ascii="Arial" w:hAnsi="Arial" w:cs="Arial"/>
          <w:sz w:val="24"/>
          <w:szCs w:val="24"/>
        </w:rPr>
        <w:t>By referring to Article 8(4) of the Optional Protocol to the ICESCR, t</w:t>
      </w:r>
      <w:r w:rsidR="004D6A41" w:rsidRPr="00D6743F">
        <w:rPr>
          <w:rFonts w:ascii="Arial" w:hAnsi="Arial" w:cs="Arial"/>
          <w:sz w:val="24"/>
          <w:szCs w:val="24"/>
        </w:rPr>
        <w:t xml:space="preserve">his </w:t>
      </w:r>
      <w:r w:rsidR="00AC2CC3">
        <w:rPr>
          <w:rFonts w:ascii="Arial" w:hAnsi="Arial" w:cs="Arial"/>
          <w:sz w:val="24"/>
          <w:szCs w:val="24"/>
        </w:rPr>
        <w:t xml:space="preserve">third </w:t>
      </w:r>
      <w:r w:rsidR="004D6A41" w:rsidRPr="00D6743F">
        <w:rPr>
          <w:rFonts w:ascii="Arial" w:hAnsi="Arial" w:cs="Arial"/>
          <w:sz w:val="24"/>
          <w:szCs w:val="24"/>
        </w:rPr>
        <w:t xml:space="preserve">note </w:t>
      </w:r>
      <w:r w:rsidR="00B97A0D" w:rsidRPr="00D6743F">
        <w:rPr>
          <w:rFonts w:ascii="Arial" w:hAnsi="Arial" w:cs="Arial"/>
          <w:sz w:val="24"/>
          <w:szCs w:val="24"/>
        </w:rPr>
        <w:t>point</w:t>
      </w:r>
      <w:r w:rsidR="009D66F9" w:rsidRPr="00D6743F">
        <w:rPr>
          <w:rFonts w:ascii="Arial" w:hAnsi="Arial" w:cs="Arial"/>
          <w:sz w:val="24"/>
          <w:szCs w:val="24"/>
        </w:rPr>
        <w:t>s</w:t>
      </w:r>
      <w:r w:rsidR="00B97A0D" w:rsidRPr="00D6743F">
        <w:rPr>
          <w:rFonts w:ascii="Arial" w:hAnsi="Arial" w:cs="Arial"/>
          <w:sz w:val="24"/>
          <w:szCs w:val="24"/>
        </w:rPr>
        <w:t xml:space="preserve"> to the expectation </w:t>
      </w:r>
      <w:r w:rsidR="009D66F9" w:rsidRPr="00D6743F">
        <w:rPr>
          <w:rFonts w:ascii="Arial" w:hAnsi="Arial" w:cs="Arial"/>
          <w:sz w:val="24"/>
          <w:szCs w:val="24"/>
        </w:rPr>
        <w:t xml:space="preserve">at international law </w:t>
      </w:r>
      <w:r w:rsidR="00B97A0D" w:rsidRPr="00D6743F">
        <w:rPr>
          <w:rFonts w:ascii="Arial" w:hAnsi="Arial" w:cs="Arial"/>
          <w:sz w:val="24"/>
          <w:szCs w:val="24"/>
        </w:rPr>
        <w:t>that a degree of policy deference will appl</w:t>
      </w:r>
      <w:r w:rsidR="00E855AA" w:rsidRPr="00D6743F">
        <w:rPr>
          <w:rFonts w:ascii="Arial" w:hAnsi="Arial" w:cs="Arial"/>
          <w:sz w:val="24"/>
          <w:szCs w:val="24"/>
        </w:rPr>
        <w:t>y</w:t>
      </w:r>
      <w:r w:rsidR="00B97A0D" w:rsidRPr="00D6743F">
        <w:rPr>
          <w:rFonts w:ascii="Arial" w:hAnsi="Arial" w:cs="Arial"/>
          <w:sz w:val="24"/>
          <w:szCs w:val="24"/>
        </w:rPr>
        <w:t xml:space="preserve"> </w:t>
      </w:r>
      <w:r w:rsidR="009D66F9" w:rsidRPr="00D6743F">
        <w:rPr>
          <w:rFonts w:ascii="Arial" w:hAnsi="Arial" w:cs="Arial"/>
          <w:sz w:val="24"/>
          <w:szCs w:val="24"/>
        </w:rPr>
        <w:t xml:space="preserve">to </w:t>
      </w:r>
      <w:r w:rsidR="00E855AA" w:rsidRPr="00D6743F">
        <w:rPr>
          <w:rFonts w:ascii="Arial" w:hAnsi="Arial" w:cs="Arial"/>
          <w:sz w:val="24"/>
          <w:szCs w:val="24"/>
        </w:rPr>
        <w:t>any</w:t>
      </w:r>
      <w:r w:rsidR="009D66F9" w:rsidRPr="00D6743F">
        <w:rPr>
          <w:rFonts w:ascii="Arial" w:hAnsi="Arial" w:cs="Arial"/>
          <w:sz w:val="24"/>
          <w:szCs w:val="24"/>
        </w:rPr>
        <w:t xml:space="preserve"> consideration of </w:t>
      </w:r>
      <w:r w:rsidR="00E855AA" w:rsidRPr="00D6743F">
        <w:rPr>
          <w:rFonts w:ascii="Arial" w:hAnsi="Arial" w:cs="Arial"/>
          <w:sz w:val="24"/>
          <w:szCs w:val="24"/>
        </w:rPr>
        <w:t xml:space="preserve">the compatibility of </w:t>
      </w:r>
      <w:r w:rsidR="009D66F9" w:rsidRPr="00D6743F">
        <w:rPr>
          <w:rFonts w:ascii="Arial" w:hAnsi="Arial" w:cs="Arial"/>
          <w:sz w:val="24"/>
          <w:szCs w:val="24"/>
        </w:rPr>
        <w:t xml:space="preserve">Government steps </w:t>
      </w:r>
      <w:r w:rsidR="00E855AA" w:rsidRPr="00D6743F">
        <w:rPr>
          <w:rFonts w:ascii="Arial" w:hAnsi="Arial" w:cs="Arial"/>
          <w:sz w:val="24"/>
          <w:szCs w:val="24"/>
        </w:rPr>
        <w:t>to progressively realise economic, social and cultural rights</w:t>
      </w:r>
      <w:r w:rsidR="00B97A0D" w:rsidRPr="00D6743F">
        <w:rPr>
          <w:rFonts w:ascii="Arial" w:hAnsi="Arial" w:cs="Arial"/>
          <w:sz w:val="24"/>
          <w:szCs w:val="24"/>
        </w:rPr>
        <w:t>.</w:t>
      </w:r>
    </w:p>
    <w:p w14:paraId="3C850959" w14:textId="376E42BB" w:rsidR="005336FB" w:rsidRPr="005336FB" w:rsidRDefault="005336FB" w:rsidP="00D6743F"/>
    <w:p w14:paraId="547294A7" w14:textId="331BE19B" w:rsidR="005336FB" w:rsidRPr="006F14BE" w:rsidRDefault="005336FB" w:rsidP="005336FB">
      <w:pPr>
        <w:rPr>
          <w:rFonts w:ascii="Arial" w:hAnsi="Arial" w:cs="Arial"/>
          <w:b/>
          <w:bCs/>
          <w:sz w:val="24"/>
          <w:szCs w:val="24"/>
        </w:rPr>
      </w:pPr>
      <w:r w:rsidRPr="006F14BE">
        <w:rPr>
          <w:rFonts w:ascii="Arial" w:hAnsi="Arial" w:cs="Arial"/>
          <w:b/>
          <w:bCs/>
          <w:sz w:val="24"/>
          <w:szCs w:val="24"/>
        </w:rPr>
        <w:t xml:space="preserve">Clause </w:t>
      </w:r>
      <w:r>
        <w:rPr>
          <w:rFonts w:ascii="Arial" w:hAnsi="Arial" w:cs="Arial"/>
          <w:b/>
          <w:bCs/>
          <w:sz w:val="24"/>
          <w:szCs w:val="24"/>
        </w:rPr>
        <w:t>5</w:t>
      </w:r>
      <w:r w:rsidRPr="006F14BE">
        <w:rPr>
          <w:rFonts w:ascii="Arial" w:hAnsi="Arial" w:cs="Arial"/>
          <w:b/>
          <w:bCs/>
          <w:sz w:val="24"/>
          <w:szCs w:val="24"/>
        </w:rPr>
        <w:tab/>
      </w:r>
      <w:r w:rsidRPr="005336FB">
        <w:rPr>
          <w:rFonts w:ascii="Arial" w:hAnsi="Arial" w:cs="Arial"/>
          <w:sz w:val="24"/>
          <w:szCs w:val="24"/>
        </w:rPr>
        <w:t>The amend</w:t>
      </w:r>
      <w:r w:rsidR="00941D0A">
        <w:rPr>
          <w:rFonts w:ascii="Arial" w:hAnsi="Arial" w:cs="Arial"/>
          <w:sz w:val="24"/>
          <w:szCs w:val="24"/>
        </w:rPr>
        <w:t>ment</w:t>
      </w:r>
      <w:r w:rsidR="00994C29">
        <w:rPr>
          <w:rFonts w:ascii="Arial" w:hAnsi="Arial" w:cs="Arial"/>
          <w:sz w:val="24"/>
          <w:szCs w:val="24"/>
        </w:rPr>
        <w:t xml:space="preserve"> to</w:t>
      </w:r>
      <w:r w:rsidRPr="005336FB">
        <w:rPr>
          <w:rFonts w:ascii="Arial" w:hAnsi="Arial" w:cs="Arial"/>
          <w:sz w:val="24"/>
          <w:szCs w:val="24"/>
        </w:rPr>
        <w:t xml:space="preserve"> clause </w:t>
      </w:r>
      <w:r>
        <w:rPr>
          <w:rFonts w:ascii="Arial" w:hAnsi="Arial" w:cs="Arial"/>
          <w:sz w:val="24"/>
          <w:szCs w:val="24"/>
        </w:rPr>
        <w:t>5 omit</w:t>
      </w:r>
      <w:r w:rsidR="00994C29">
        <w:rPr>
          <w:rFonts w:ascii="Arial" w:hAnsi="Arial" w:cs="Arial"/>
          <w:sz w:val="24"/>
          <w:szCs w:val="24"/>
        </w:rPr>
        <w:t>s</w:t>
      </w:r>
      <w:r>
        <w:rPr>
          <w:rFonts w:ascii="Arial" w:hAnsi="Arial" w:cs="Arial"/>
          <w:sz w:val="24"/>
          <w:szCs w:val="24"/>
        </w:rPr>
        <w:t xml:space="preserve"> proposed new schedule 2, item 2, and substitute</w:t>
      </w:r>
      <w:r w:rsidR="00994C29">
        <w:rPr>
          <w:rFonts w:ascii="Arial" w:hAnsi="Arial" w:cs="Arial"/>
          <w:sz w:val="24"/>
          <w:szCs w:val="24"/>
        </w:rPr>
        <w:t>s</w:t>
      </w:r>
      <w:r>
        <w:rPr>
          <w:rFonts w:ascii="Arial" w:hAnsi="Arial" w:cs="Arial"/>
          <w:sz w:val="24"/>
          <w:szCs w:val="24"/>
        </w:rPr>
        <w:t xml:space="preserve"> it with references to articles 2(2), 6(1), 7 and 8 of the </w:t>
      </w:r>
      <w:r w:rsidRPr="005336FB">
        <w:rPr>
          <w:rFonts w:ascii="Arial" w:hAnsi="Arial" w:cs="Arial"/>
          <w:i/>
          <w:iCs/>
          <w:sz w:val="24"/>
          <w:szCs w:val="24"/>
        </w:rPr>
        <w:t xml:space="preserve">International Covenant on Economic Social and Cultural Rights </w:t>
      </w:r>
      <w:r>
        <w:rPr>
          <w:rFonts w:ascii="Arial" w:hAnsi="Arial" w:cs="Arial"/>
          <w:sz w:val="24"/>
          <w:szCs w:val="24"/>
        </w:rPr>
        <w:t xml:space="preserve">(ICESCR) </w:t>
      </w:r>
      <w:r w:rsidR="00941D0A">
        <w:rPr>
          <w:rFonts w:ascii="Arial" w:hAnsi="Arial" w:cs="Arial"/>
          <w:sz w:val="24"/>
          <w:szCs w:val="24"/>
        </w:rPr>
        <w:t xml:space="preserve">as the source of the rights in section 27B. This is </w:t>
      </w:r>
      <w:r>
        <w:rPr>
          <w:rFonts w:ascii="Arial" w:hAnsi="Arial" w:cs="Arial"/>
          <w:sz w:val="24"/>
          <w:szCs w:val="24"/>
        </w:rPr>
        <w:t xml:space="preserve">to </w:t>
      </w:r>
      <w:r w:rsidRPr="005336FB">
        <w:rPr>
          <w:rFonts w:ascii="Arial" w:hAnsi="Arial" w:cs="Arial"/>
          <w:sz w:val="24"/>
          <w:szCs w:val="24"/>
        </w:rPr>
        <w:t xml:space="preserve">ensure greater consistency with the </w:t>
      </w:r>
      <w:r w:rsidR="00614AFE">
        <w:rPr>
          <w:rFonts w:ascii="Arial" w:hAnsi="Arial" w:cs="Arial"/>
          <w:sz w:val="24"/>
          <w:szCs w:val="24"/>
        </w:rPr>
        <w:t>HRA</w:t>
      </w:r>
      <w:r w:rsidRPr="005336FB">
        <w:rPr>
          <w:rFonts w:ascii="Arial" w:hAnsi="Arial" w:cs="Arial"/>
          <w:sz w:val="24"/>
          <w:szCs w:val="24"/>
        </w:rPr>
        <w:t xml:space="preserve"> and that the basis for the right</w:t>
      </w:r>
      <w:r>
        <w:rPr>
          <w:rFonts w:ascii="Arial" w:hAnsi="Arial" w:cs="Arial"/>
          <w:sz w:val="24"/>
          <w:szCs w:val="24"/>
        </w:rPr>
        <w:t>s contained in section 27B</w:t>
      </w:r>
      <w:r w:rsidRPr="005336FB">
        <w:rPr>
          <w:rFonts w:ascii="Arial" w:hAnsi="Arial" w:cs="Arial"/>
          <w:sz w:val="24"/>
          <w:szCs w:val="24"/>
        </w:rPr>
        <w:t xml:space="preserve"> under the ICESCR is reflected.</w:t>
      </w:r>
    </w:p>
    <w:p w14:paraId="1A03F1EB" w14:textId="77777777" w:rsidR="006F14BE" w:rsidRPr="006F14BE" w:rsidRDefault="006F14BE" w:rsidP="006F14BE">
      <w:pPr>
        <w:spacing w:before="120" w:after="120"/>
        <w:rPr>
          <w:rFonts w:ascii="Arial" w:hAnsi="Arial" w:cs="Arial"/>
          <w:sz w:val="24"/>
          <w:szCs w:val="24"/>
        </w:rPr>
      </w:pPr>
    </w:p>
    <w:sectPr w:rsidR="006F14BE" w:rsidRPr="006F14BE" w:rsidSect="00F41A2F">
      <w:footerReference w:type="defaul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58217" w14:textId="77777777" w:rsidR="00411DAF" w:rsidRDefault="00411DAF">
      <w:pPr>
        <w:spacing w:after="0" w:line="240" w:lineRule="auto"/>
      </w:pPr>
      <w:r>
        <w:separator/>
      </w:r>
    </w:p>
  </w:endnote>
  <w:endnote w:type="continuationSeparator" w:id="0">
    <w:p w14:paraId="1CCB4EC4" w14:textId="77777777" w:rsidR="00411DAF" w:rsidRDefault="00411DAF">
      <w:pPr>
        <w:spacing w:after="0" w:line="240" w:lineRule="auto"/>
      </w:pPr>
      <w:r>
        <w:continuationSeparator/>
      </w:r>
    </w:p>
  </w:endnote>
  <w:endnote w:type="continuationNotice" w:id="1">
    <w:p w14:paraId="1DAAF463" w14:textId="77777777" w:rsidR="00411DAF" w:rsidRDefault="00411D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09ED1" w14:textId="77777777" w:rsidR="007F19E1" w:rsidRDefault="007F1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A8BEB" w14:textId="60DEAC59" w:rsidR="007F19E1" w:rsidRPr="007F19E1" w:rsidRDefault="007F19E1" w:rsidP="007F19E1">
    <w:pPr>
      <w:pStyle w:val="Footer"/>
      <w:jc w:val="center"/>
      <w:rPr>
        <w:rFonts w:cs="Arial"/>
        <w:sz w:val="14"/>
      </w:rPr>
    </w:pPr>
    <w:r w:rsidRPr="007F19E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7F91" w14:textId="5F4140A9"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655A8821" w14:textId="5D255A0A" w:rsidR="007F19E1" w:rsidRPr="007F19E1" w:rsidRDefault="007F19E1" w:rsidP="007F19E1">
    <w:pPr>
      <w:pStyle w:val="Footer"/>
      <w:spacing w:before="60" w:line="240" w:lineRule="auto"/>
      <w:jc w:val="center"/>
      <w:rPr>
        <w:rFonts w:cs="Arial"/>
        <w:sz w:val="14"/>
      </w:rPr>
    </w:pPr>
    <w:r w:rsidRPr="007F19E1">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5DD" w14:textId="5986CCC3"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236A4D67" w14:textId="402825DC" w:rsidR="007F19E1" w:rsidRPr="007F19E1" w:rsidRDefault="007F19E1" w:rsidP="007F19E1">
    <w:pPr>
      <w:pStyle w:val="Footer"/>
      <w:jc w:val="center"/>
      <w:rPr>
        <w:rFonts w:cs="Arial"/>
        <w:sz w:val="14"/>
      </w:rPr>
    </w:pPr>
    <w:r w:rsidRPr="007F19E1">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9ED77" w14:textId="77777777" w:rsidR="00411DAF" w:rsidRDefault="00411DAF">
      <w:pPr>
        <w:spacing w:after="0" w:line="240" w:lineRule="auto"/>
      </w:pPr>
      <w:r>
        <w:separator/>
      </w:r>
    </w:p>
  </w:footnote>
  <w:footnote w:type="continuationSeparator" w:id="0">
    <w:p w14:paraId="628F070A" w14:textId="77777777" w:rsidR="00411DAF" w:rsidRDefault="00411DAF">
      <w:pPr>
        <w:spacing w:after="0" w:line="240" w:lineRule="auto"/>
      </w:pPr>
      <w:r>
        <w:continuationSeparator/>
      </w:r>
    </w:p>
  </w:footnote>
  <w:footnote w:type="continuationNotice" w:id="1">
    <w:p w14:paraId="4558D83D" w14:textId="77777777" w:rsidR="00411DAF" w:rsidRDefault="00411D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74B3" w14:textId="77777777" w:rsidR="007F19E1" w:rsidRDefault="007F1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725BE" w14:textId="77777777" w:rsidR="007F19E1" w:rsidRDefault="007F1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AC3E" w14:textId="77777777" w:rsidR="007F19E1" w:rsidRDefault="007F1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1C810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922C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9662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4C24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4C9D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A428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E26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6CD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C33C8E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0B2B97"/>
    <w:multiLevelType w:val="hybridMultilevel"/>
    <w:tmpl w:val="F84E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6EF396A"/>
    <w:multiLevelType w:val="hybridMultilevel"/>
    <w:tmpl w:val="AE94D540"/>
    <w:lvl w:ilvl="0" w:tplc="19AC42E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0DEC4756"/>
    <w:multiLevelType w:val="hybridMultilevel"/>
    <w:tmpl w:val="A2AC0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8F4208"/>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06600B"/>
    <w:multiLevelType w:val="hybridMultilevel"/>
    <w:tmpl w:val="AE5EB700"/>
    <w:lvl w:ilvl="0" w:tplc="5786053A">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8CE5148"/>
    <w:multiLevelType w:val="multilevel"/>
    <w:tmpl w:val="0924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D55E15"/>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CB7E9F"/>
    <w:multiLevelType w:val="hybridMultilevel"/>
    <w:tmpl w:val="C10C9D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CE00525"/>
    <w:multiLevelType w:val="hybridMultilevel"/>
    <w:tmpl w:val="4FCE081C"/>
    <w:lvl w:ilvl="0" w:tplc="EF08C5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E1142F"/>
    <w:multiLevelType w:val="multilevel"/>
    <w:tmpl w:val="226C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747465"/>
    <w:multiLevelType w:val="multilevel"/>
    <w:tmpl w:val="44EE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423EC2"/>
    <w:multiLevelType w:val="hybridMultilevel"/>
    <w:tmpl w:val="93C21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005FE3"/>
    <w:multiLevelType w:val="hybridMultilevel"/>
    <w:tmpl w:val="B04E3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5872B8"/>
    <w:multiLevelType w:val="hybridMultilevel"/>
    <w:tmpl w:val="8A545994"/>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33D6461B"/>
    <w:multiLevelType w:val="hybridMultilevel"/>
    <w:tmpl w:val="576A1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26" w15:restartNumberingAfterBreak="0">
    <w:nsid w:val="37D93B96"/>
    <w:multiLevelType w:val="multilevel"/>
    <w:tmpl w:val="4E601648"/>
    <w:lvl w:ilvl="0">
      <w:start w:val="1"/>
      <w:numFmt w:val="lowerLetter"/>
      <w:lvlText w:val="%1)"/>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A54708"/>
    <w:multiLevelType w:val="hybridMultilevel"/>
    <w:tmpl w:val="632C0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2E1712"/>
    <w:multiLevelType w:val="hybridMultilevel"/>
    <w:tmpl w:val="9380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6715E2"/>
    <w:multiLevelType w:val="hybridMultilevel"/>
    <w:tmpl w:val="45A2A7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3BCE083A"/>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214DE1"/>
    <w:multiLevelType w:val="hybridMultilevel"/>
    <w:tmpl w:val="F9002B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40B17930"/>
    <w:multiLevelType w:val="hybridMultilevel"/>
    <w:tmpl w:val="FFC4AD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523" w:hanging="360"/>
      </w:pPr>
      <w:rPr>
        <w:rFonts w:ascii="Symbol" w:hAnsi="Symbol" w:hint="default"/>
      </w:rPr>
    </w:lvl>
    <w:lvl w:ilvl="2" w:tplc="0C09001B" w:tentative="1">
      <w:start w:val="1"/>
      <w:numFmt w:val="lowerRoman"/>
      <w:lvlText w:val="%3."/>
      <w:lvlJc w:val="right"/>
      <w:pPr>
        <w:ind w:left="1243" w:hanging="180"/>
      </w:pPr>
      <w:rPr>
        <w:rFonts w:cs="Times New Roman"/>
      </w:rPr>
    </w:lvl>
    <w:lvl w:ilvl="3" w:tplc="0C09000F" w:tentative="1">
      <w:start w:val="1"/>
      <w:numFmt w:val="decimal"/>
      <w:lvlText w:val="%4."/>
      <w:lvlJc w:val="left"/>
      <w:pPr>
        <w:ind w:left="1963" w:hanging="360"/>
      </w:pPr>
      <w:rPr>
        <w:rFonts w:cs="Times New Roman"/>
      </w:rPr>
    </w:lvl>
    <w:lvl w:ilvl="4" w:tplc="0C090019" w:tentative="1">
      <w:start w:val="1"/>
      <w:numFmt w:val="lowerLetter"/>
      <w:lvlText w:val="%5."/>
      <w:lvlJc w:val="left"/>
      <w:pPr>
        <w:ind w:left="2683" w:hanging="360"/>
      </w:pPr>
      <w:rPr>
        <w:rFonts w:cs="Times New Roman"/>
      </w:rPr>
    </w:lvl>
    <w:lvl w:ilvl="5" w:tplc="0C09001B" w:tentative="1">
      <w:start w:val="1"/>
      <w:numFmt w:val="lowerRoman"/>
      <w:lvlText w:val="%6."/>
      <w:lvlJc w:val="right"/>
      <w:pPr>
        <w:ind w:left="3403" w:hanging="180"/>
      </w:pPr>
      <w:rPr>
        <w:rFonts w:cs="Times New Roman"/>
      </w:rPr>
    </w:lvl>
    <w:lvl w:ilvl="6" w:tplc="0C09000F" w:tentative="1">
      <w:start w:val="1"/>
      <w:numFmt w:val="decimal"/>
      <w:lvlText w:val="%7."/>
      <w:lvlJc w:val="left"/>
      <w:pPr>
        <w:ind w:left="4123" w:hanging="360"/>
      </w:pPr>
      <w:rPr>
        <w:rFonts w:cs="Times New Roman"/>
      </w:rPr>
    </w:lvl>
    <w:lvl w:ilvl="7" w:tplc="0C090019" w:tentative="1">
      <w:start w:val="1"/>
      <w:numFmt w:val="lowerLetter"/>
      <w:lvlText w:val="%8."/>
      <w:lvlJc w:val="left"/>
      <w:pPr>
        <w:ind w:left="4843" w:hanging="360"/>
      </w:pPr>
      <w:rPr>
        <w:rFonts w:cs="Times New Roman"/>
      </w:rPr>
    </w:lvl>
    <w:lvl w:ilvl="8" w:tplc="0C09001B" w:tentative="1">
      <w:start w:val="1"/>
      <w:numFmt w:val="lowerRoman"/>
      <w:lvlText w:val="%9."/>
      <w:lvlJc w:val="right"/>
      <w:pPr>
        <w:ind w:left="5563" w:hanging="180"/>
      </w:pPr>
      <w:rPr>
        <w:rFonts w:cs="Times New Roman"/>
      </w:rPr>
    </w:lvl>
  </w:abstractNum>
  <w:abstractNum w:abstractNumId="33" w15:restartNumberingAfterBreak="0">
    <w:nsid w:val="43566988"/>
    <w:multiLevelType w:val="hybridMultilevel"/>
    <w:tmpl w:val="0C9E627E"/>
    <w:lvl w:ilvl="0" w:tplc="8278DB7E">
      <w:start w:val="1"/>
      <w:numFmt w:val="decimal"/>
      <w:lvlText w:val="%1."/>
      <w:lvlJc w:val="left"/>
      <w:pPr>
        <w:ind w:left="1080" w:hanging="360"/>
      </w:pPr>
      <w:rPr>
        <w:rFonts w:ascii="Calibri" w:hAnsi="Calibri" w:cs="Times New Roman"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4" w15:restartNumberingAfterBreak="0">
    <w:nsid w:val="45C85562"/>
    <w:multiLevelType w:val="hybridMultilevel"/>
    <w:tmpl w:val="9AF40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C0235DD"/>
    <w:multiLevelType w:val="hybridMultilevel"/>
    <w:tmpl w:val="567C6ED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EE90491"/>
    <w:multiLevelType w:val="hybridMultilevel"/>
    <w:tmpl w:val="DB4458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4FB9357E"/>
    <w:multiLevelType w:val="hybridMultilevel"/>
    <w:tmpl w:val="D94E2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1781CBE"/>
    <w:multiLevelType w:val="hybridMultilevel"/>
    <w:tmpl w:val="BF523CC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520A00F6"/>
    <w:multiLevelType w:val="hybridMultilevel"/>
    <w:tmpl w:val="30663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6F36898"/>
    <w:multiLevelType w:val="hybridMultilevel"/>
    <w:tmpl w:val="5CD83790"/>
    <w:lvl w:ilvl="0" w:tplc="06204FC2">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584461EB"/>
    <w:multiLevelType w:val="hybridMultilevel"/>
    <w:tmpl w:val="61C67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3C15EE"/>
    <w:multiLevelType w:val="hybridMultilevel"/>
    <w:tmpl w:val="0C789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4" w15:restartNumberingAfterBreak="0">
    <w:nsid w:val="64A266F4"/>
    <w:multiLevelType w:val="hybridMultilevel"/>
    <w:tmpl w:val="D6086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51C2A9A"/>
    <w:multiLevelType w:val="hybridMultilevel"/>
    <w:tmpl w:val="28862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6657E5B"/>
    <w:multiLevelType w:val="hybridMultilevel"/>
    <w:tmpl w:val="7BF4C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6B74375"/>
    <w:multiLevelType w:val="hybridMultilevel"/>
    <w:tmpl w:val="5762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7FF6EB1"/>
    <w:multiLevelType w:val="hybridMultilevel"/>
    <w:tmpl w:val="5E3CB30C"/>
    <w:lvl w:ilvl="0" w:tplc="782A3FE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9" w15:restartNumberingAfterBreak="0">
    <w:nsid w:val="6B7F2E1E"/>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B41734"/>
    <w:multiLevelType w:val="multilevel"/>
    <w:tmpl w:val="B5F0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1F541F"/>
    <w:multiLevelType w:val="hybridMultilevel"/>
    <w:tmpl w:val="CD060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03A2613"/>
    <w:multiLevelType w:val="hybridMultilevel"/>
    <w:tmpl w:val="AD426F3C"/>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3" w15:restartNumberingAfterBreak="0">
    <w:nsid w:val="7059650A"/>
    <w:multiLevelType w:val="hybridMultilevel"/>
    <w:tmpl w:val="F18AB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1F87C30"/>
    <w:multiLevelType w:val="hybridMultilevel"/>
    <w:tmpl w:val="35F2CCF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750103E4"/>
    <w:multiLevelType w:val="hybridMultilevel"/>
    <w:tmpl w:val="FE8C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9811DEF"/>
    <w:multiLevelType w:val="hybridMultilevel"/>
    <w:tmpl w:val="1E888CA6"/>
    <w:lvl w:ilvl="0" w:tplc="F5928000">
      <w:start w:val="2"/>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58" w15:restartNumberingAfterBreak="0">
    <w:nsid w:val="7CE368D8"/>
    <w:multiLevelType w:val="hybridMultilevel"/>
    <w:tmpl w:val="D5D00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6D4AF7"/>
    <w:multiLevelType w:val="hybridMultilevel"/>
    <w:tmpl w:val="4C5E0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786C55"/>
    <w:multiLevelType w:val="hybridMultilevel"/>
    <w:tmpl w:val="006472EC"/>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FB753D3"/>
    <w:multiLevelType w:val="hybridMultilevel"/>
    <w:tmpl w:val="A52C2A88"/>
    <w:lvl w:ilvl="0" w:tplc="0C090001">
      <w:start w:val="1"/>
      <w:numFmt w:val="bullet"/>
      <w:lvlText w:val=""/>
      <w:lvlJc w:val="left"/>
      <w:pPr>
        <w:ind w:left="720" w:hanging="360"/>
      </w:pPr>
      <w:rPr>
        <w:rFonts w:ascii="Symbol" w:hAnsi="Symbol" w:hint="default"/>
      </w:rPr>
    </w:lvl>
    <w:lvl w:ilvl="1" w:tplc="06204FC2">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E43344"/>
    <w:multiLevelType w:val="hybridMultilevel"/>
    <w:tmpl w:val="C884F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3"/>
  </w:num>
  <w:num w:numId="2">
    <w:abstractNumId w:val="57"/>
  </w:num>
  <w:num w:numId="3">
    <w:abstractNumId w:val="27"/>
  </w:num>
  <w:num w:numId="4">
    <w:abstractNumId w:val="9"/>
  </w:num>
  <w:num w:numId="5">
    <w:abstractNumId w:val="16"/>
  </w:num>
  <w:num w:numId="6">
    <w:abstractNumId w:val="19"/>
  </w:num>
  <w:num w:numId="7">
    <w:abstractNumId w:val="50"/>
  </w:num>
  <w:num w:numId="8">
    <w:abstractNumId w:val="13"/>
  </w:num>
  <w:num w:numId="9">
    <w:abstractNumId w:val="30"/>
  </w:num>
  <w:num w:numId="10">
    <w:abstractNumId w:val="49"/>
  </w:num>
  <w:num w:numId="11">
    <w:abstractNumId w:val="26"/>
  </w:num>
  <w:num w:numId="12">
    <w:abstractNumId w:val="22"/>
  </w:num>
  <w:num w:numId="13">
    <w:abstractNumId w:val="21"/>
  </w:num>
  <w:num w:numId="14">
    <w:abstractNumId w:val="37"/>
  </w:num>
  <w:num w:numId="15">
    <w:abstractNumId w:val="36"/>
  </w:num>
  <w:num w:numId="16">
    <w:abstractNumId w:val="51"/>
  </w:num>
  <w:num w:numId="17">
    <w:abstractNumId w:val="45"/>
  </w:num>
  <w:num w:numId="18">
    <w:abstractNumId w:val="58"/>
  </w:num>
  <w:num w:numId="19">
    <w:abstractNumId w:val="11"/>
  </w:num>
  <w:num w:numId="20">
    <w:abstractNumId w:val="23"/>
  </w:num>
  <w:num w:numId="21">
    <w:abstractNumId w:val="31"/>
  </w:num>
  <w:num w:numId="22">
    <w:abstractNumId w:val="32"/>
  </w:num>
  <w:num w:numId="23">
    <w:abstractNumId w:val="52"/>
  </w:num>
  <w:num w:numId="24">
    <w:abstractNumId w:val="59"/>
  </w:num>
  <w:num w:numId="25">
    <w:abstractNumId w:val="44"/>
  </w:num>
  <w:num w:numId="26">
    <w:abstractNumId w:val="28"/>
  </w:num>
  <w:num w:numId="27">
    <w:abstractNumId w:val="55"/>
  </w:num>
  <w:num w:numId="28">
    <w:abstractNumId w:val="46"/>
  </w:num>
  <w:num w:numId="29">
    <w:abstractNumId w:val="47"/>
  </w:num>
  <w:num w:numId="30">
    <w:abstractNumId w:val="53"/>
  </w:num>
  <w:num w:numId="31">
    <w:abstractNumId w:val="62"/>
  </w:num>
  <w:num w:numId="32">
    <w:abstractNumId w:val="42"/>
  </w:num>
  <w:num w:numId="33">
    <w:abstractNumId w:val="20"/>
  </w:num>
  <w:num w:numId="34">
    <w:abstractNumId w:val="25"/>
  </w:num>
  <w:num w:numId="35">
    <w:abstractNumId w:val="24"/>
  </w:num>
  <w:num w:numId="36">
    <w:abstractNumId w:val="24"/>
  </w:num>
  <w:num w:numId="37">
    <w:abstractNumId w:val="48"/>
  </w:num>
  <w:num w:numId="38">
    <w:abstractNumId w:val="39"/>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num>
  <w:num w:numId="41">
    <w:abstractNumId w:val="18"/>
  </w:num>
  <w:num w:numId="42">
    <w:abstractNumId w:val="15"/>
  </w:num>
  <w:num w:numId="43">
    <w:abstractNumId w:val="12"/>
  </w:num>
  <w:num w:numId="44">
    <w:abstractNumId w:val="29"/>
  </w:num>
  <w:num w:numId="45">
    <w:abstractNumId w:val="17"/>
  </w:num>
  <w:num w:numId="46">
    <w:abstractNumId w:val="54"/>
  </w:num>
  <w:num w:numId="47">
    <w:abstractNumId w:val="10"/>
  </w:num>
  <w:num w:numId="48">
    <w:abstractNumId w:val="38"/>
  </w:num>
  <w:num w:numId="49">
    <w:abstractNumId w:val="35"/>
  </w:num>
  <w:num w:numId="50">
    <w:abstractNumId w:val="61"/>
  </w:num>
  <w:num w:numId="51">
    <w:abstractNumId w:val="14"/>
  </w:num>
  <w:num w:numId="52">
    <w:abstractNumId w:val="41"/>
  </w:num>
  <w:num w:numId="53">
    <w:abstractNumId w:val="8"/>
  </w:num>
  <w:num w:numId="54">
    <w:abstractNumId w:val="7"/>
  </w:num>
  <w:num w:numId="55">
    <w:abstractNumId w:val="6"/>
  </w:num>
  <w:num w:numId="56">
    <w:abstractNumId w:val="5"/>
  </w:num>
  <w:num w:numId="57">
    <w:abstractNumId w:val="4"/>
  </w:num>
  <w:num w:numId="58">
    <w:abstractNumId w:val="3"/>
  </w:num>
  <w:num w:numId="59">
    <w:abstractNumId w:val="2"/>
  </w:num>
  <w:num w:numId="60">
    <w:abstractNumId w:val="1"/>
  </w:num>
  <w:num w:numId="61">
    <w:abstractNumId w:val="0"/>
  </w:num>
  <w:num w:numId="62">
    <w:abstractNumId w:val="34"/>
  </w:num>
  <w:num w:numId="63">
    <w:abstractNumId w:val="40"/>
  </w:num>
  <w:num w:numId="64">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907A72D-49E0-43B1-A4C0-6ECBA93009E1}"/>
    <w:docVar w:name="dgnword-eventsink" w:val="939350568"/>
  </w:docVars>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57D5"/>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53C"/>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7A8"/>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9D9"/>
    <w:rsid w:val="003124D6"/>
    <w:rsid w:val="00312B5F"/>
    <w:rsid w:val="00312E3D"/>
    <w:rsid w:val="0031311E"/>
    <w:rsid w:val="0031372C"/>
    <w:rsid w:val="00313B96"/>
    <w:rsid w:val="00314524"/>
    <w:rsid w:val="00314BFB"/>
    <w:rsid w:val="00314CC2"/>
    <w:rsid w:val="0031545D"/>
    <w:rsid w:val="00315D92"/>
    <w:rsid w:val="00316F0D"/>
    <w:rsid w:val="003170C9"/>
    <w:rsid w:val="00317753"/>
    <w:rsid w:val="00317ADF"/>
    <w:rsid w:val="003202A0"/>
    <w:rsid w:val="003204A2"/>
    <w:rsid w:val="0032086E"/>
    <w:rsid w:val="0032088F"/>
    <w:rsid w:val="003213A1"/>
    <w:rsid w:val="00321747"/>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698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1DAF"/>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B35"/>
    <w:rsid w:val="00456CDA"/>
    <w:rsid w:val="004575FD"/>
    <w:rsid w:val="00457BAA"/>
    <w:rsid w:val="004604F5"/>
    <w:rsid w:val="0046185D"/>
    <w:rsid w:val="00461B27"/>
    <w:rsid w:val="00461DF2"/>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6A41"/>
    <w:rsid w:val="004D70FB"/>
    <w:rsid w:val="004E04EE"/>
    <w:rsid w:val="004E0526"/>
    <w:rsid w:val="004E0E1E"/>
    <w:rsid w:val="004E10AA"/>
    <w:rsid w:val="004E14B9"/>
    <w:rsid w:val="004E1579"/>
    <w:rsid w:val="004E173A"/>
    <w:rsid w:val="004E2DBF"/>
    <w:rsid w:val="004E3A64"/>
    <w:rsid w:val="004E3B49"/>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ABE"/>
    <w:rsid w:val="00513B6D"/>
    <w:rsid w:val="00513E23"/>
    <w:rsid w:val="005144C8"/>
    <w:rsid w:val="00514F66"/>
    <w:rsid w:val="00515073"/>
    <w:rsid w:val="00515A86"/>
    <w:rsid w:val="005162FA"/>
    <w:rsid w:val="005171AF"/>
    <w:rsid w:val="00517AF5"/>
    <w:rsid w:val="00520326"/>
    <w:rsid w:val="00520A71"/>
    <w:rsid w:val="00520B41"/>
    <w:rsid w:val="00520BC9"/>
    <w:rsid w:val="00520CFB"/>
    <w:rsid w:val="0052127F"/>
    <w:rsid w:val="00521339"/>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36FB"/>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7A2"/>
    <w:rsid w:val="005B7C06"/>
    <w:rsid w:val="005B7F41"/>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2B2"/>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436D"/>
    <w:rsid w:val="00614AFE"/>
    <w:rsid w:val="00614C17"/>
    <w:rsid w:val="006167E9"/>
    <w:rsid w:val="00616F75"/>
    <w:rsid w:val="00616F9E"/>
    <w:rsid w:val="0061728B"/>
    <w:rsid w:val="0061731C"/>
    <w:rsid w:val="00617A58"/>
    <w:rsid w:val="00617EBC"/>
    <w:rsid w:val="00620218"/>
    <w:rsid w:val="00620341"/>
    <w:rsid w:val="00620C63"/>
    <w:rsid w:val="0062137C"/>
    <w:rsid w:val="00622225"/>
    <w:rsid w:val="0062300E"/>
    <w:rsid w:val="00623483"/>
    <w:rsid w:val="00623655"/>
    <w:rsid w:val="00623B53"/>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73B"/>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4BE"/>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6E43"/>
    <w:rsid w:val="007E7361"/>
    <w:rsid w:val="007F01FC"/>
    <w:rsid w:val="007F07CB"/>
    <w:rsid w:val="007F09A5"/>
    <w:rsid w:val="007F1102"/>
    <w:rsid w:val="007F19E1"/>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3485"/>
    <w:rsid w:val="00923B75"/>
    <w:rsid w:val="00923E37"/>
    <w:rsid w:val="00923F8C"/>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1D0A"/>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C29"/>
    <w:rsid w:val="00994D36"/>
    <w:rsid w:val="00994DC7"/>
    <w:rsid w:val="00994E7F"/>
    <w:rsid w:val="00996329"/>
    <w:rsid w:val="0099670B"/>
    <w:rsid w:val="0099693C"/>
    <w:rsid w:val="00996E02"/>
    <w:rsid w:val="009977FC"/>
    <w:rsid w:val="009A1BE2"/>
    <w:rsid w:val="009A26D4"/>
    <w:rsid w:val="009A2CE2"/>
    <w:rsid w:val="009A31AA"/>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1A"/>
    <w:rsid w:val="009D1E62"/>
    <w:rsid w:val="009D2705"/>
    <w:rsid w:val="009D27B4"/>
    <w:rsid w:val="009D2DE7"/>
    <w:rsid w:val="009D3260"/>
    <w:rsid w:val="009D45AA"/>
    <w:rsid w:val="009D4D95"/>
    <w:rsid w:val="009D56B8"/>
    <w:rsid w:val="009D5AF0"/>
    <w:rsid w:val="009D5D2A"/>
    <w:rsid w:val="009D5E55"/>
    <w:rsid w:val="009D66C9"/>
    <w:rsid w:val="009D66F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2CC3"/>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A0D"/>
    <w:rsid w:val="00B97C42"/>
    <w:rsid w:val="00B97EEB"/>
    <w:rsid w:val="00BA0511"/>
    <w:rsid w:val="00BA0709"/>
    <w:rsid w:val="00BA0BFE"/>
    <w:rsid w:val="00BA1142"/>
    <w:rsid w:val="00BA12A2"/>
    <w:rsid w:val="00BA138A"/>
    <w:rsid w:val="00BA1466"/>
    <w:rsid w:val="00BA18B7"/>
    <w:rsid w:val="00BA1BA2"/>
    <w:rsid w:val="00BA1BC4"/>
    <w:rsid w:val="00BA1DCF"/>
    <w:rsid w:val="00BA226F"/>
    <w:rsid w:val="00BA2A4B"/>
    <w:rsid w:val="00BA3360"/>
    <w:rsid w:val="00BA377F"/>
    <w:rsid w:val="00BA37DF"/>
    <w:rsid w:val="00BA3D86"/>
    <w:rsid w:val="00BA4069"/>
    <w:rsid w:val="00BA5CE4"/>
    <w:rsid w:val="00BA5FC1"/>
    <w:rsid w:val="00BA67D8"/>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207"/>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09A"/>
    <w:rsid w:val="00BE3E6C"/>
    <w:rsid w:val="00BE4168"/>
    <w:rsid w:val="00BE455B"/>
    <w:rsid w:val="00BE4AF1"/>
    <w:rsid w:val="00BE4B47"/>
    <w:rsid w:val="00BE5D4F"/>
    <w:rsid w:val="00BE640F"/>
    <w:rsid w:val="00BE7F8B"/>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43F"/>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0EE2"/>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5AA"/>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6B6C"/>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03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styleId="Quote">
    <w:name w:val="Quote"/>
    <w:basedOn w:val="Normal"/>
    <w:next w:val="Normal"/>
    <w:link w:val="QuoteChar"/>
    <w:uiPriority w:val="29"/>
    <w:qFormat/>
    <w:rsid w:val="00923E37"/>
    <w:pPr>
      <w:spacing w:before="120" w:after="120"/>
      <w:ind w:left="862" w:right="862"/>
      <w:jc w:val="both"/>
    </w:pPr>
    <w:rPr>
      <w:rFonts w:ascii="Arial" w:hAnsi="Arial"/>
      <w:iCs/>
    </w:rPr>
  </w:style>
  <w:style w:type="character" w:customStyle="1" w:styleId="QuoteChar">
    <w:name w:val="Quote Char"/>
    <w:basedOn w:val="DefaultParagraphFont"/>
    <w:link w:val="Quote"/>
    <w:uiPriority w:val="29"/>
    <w:rsid w:val="00923E37"/>
    <w:rPr>
      <w:rFonts w:ascii="Arial" w:hAnsi="Arial" w:cs="Times New Roman"/>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2D15E-1650-45D4-AB69-0D120BC7C5CC}">
  <ds:schemaRefs>
    <ds:schemaRef ds:uri="http://schemas.openxmlformats.org/officeDocument/2006/bibliography"/>
  </ds:schemaRefs>
</ds:datastoreItem>
</file>

<file path=customXml/itemProps2.xml><?xml version="1.0" encoding="utf-8"?>
<ds:datastoreItem xmlns:ds="http://schemas.openxmlformats.org/officeDocument/2006/customXml" ds:itemID="{49FEC54A-1C2D-49FD-AF0E-EEB551AA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4349</Characters>
  <Application>Microsoft Office Word</Application>
  <DocSecurity>0</DocSecurity>
  <Lines>118</Lines>
  <Paragraphs>30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4</cp:revision>
  <cp:lastPrinted>2020-03-16T23:25:00Z</cp:lastPrinted>
  <dcterms:created xsi:type="dcterms:W3CDTF">2020-05-07T07:03:00Z</dcterms:created>
  <dcterms:modified xsi:type="dcterms:W3CDTF">2020-05-07T07:03:00Z</dcterms:modified>
</cp:coreProperties>
</file>