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0AF2" w14:textId="77777777" w:rsidR="00A100D2" w:rsidRDefault="00A100D2">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14:paraId="341BD33C" w14:textId="4759938A" w:rsidR="00FC743D" w:rsidRPr="00BD1285" w:rsidRDefault="00FC743D" w:rsidP="00FC743D">
      <w:pPr>
        <w:tabs>
          <w:tab w:val="left" w:pos="2400"/>
          <w:tab w:val="left" w:pos="2880"/>
        </w:tabs>
        <w:spacing w:before="700" w:after="100"/>
        <w:rPr>
          <w:rFonts w:ascii="Arial" w:hAnsi="Arial" w:cs="Arial"/>
          <w:b/>
          <w:bCs/>
          <w:sz w:val="40"/>
          <w:szCs w:val="40"/>
        </w:rPr>
      </w:pPr>
      <w:r w:rsidRPr="00BD1285">
        <w:rPr>
          <w:rFonts w:ascii="Arial" w:hAnsi="Arial" w:cs="Arial"/>
          <w:b/>
          <w:bCs/>
          <w:sz w:val="40"/>
          <w:szCs w:val="40"/>
        </w:rPr>
        <w:t xml:space="preserve">Utilities (Consumer Protection Code) Determination </w:t>
      </w:r>
      <w:r>
        <w:rPr>
          <w:rFonts w:ascii="Arial" w:hAnsi="Arial" w:cs="Arial"/>
          <w:b/>
          <w:bCs/>
          <w:sz w:val="40"/>
          <w:szCs w:val="40"/>
        </w:rPr>
        <w:t>20</w:t>
      </w:r>
      <w:r w:rsidR="00EC0E37">
        <w:rPr>
          <w:rFonts w:ascii="Arial" w:hAnsi="Arial" w:cs="Arial"/>
          <w:b/>
          <w:bCs/>
          <w:sz w:val="40"/>
          <w:szCs w:val="40"/>
        </w:rPr>
        <w:t>20</w:t>
      </w:r>
      <w:r>
        <w:rPr>
          <w:rFonts w:ascii="Arial" w:hAnsi="Arial" w:cs="Arial"/>
          <w:b/>
          <w:bCs/>
          <w:sz w:val="40"/>
          <w:szCs w:val="40"/>
        </w:rPr>
        <w:t xml:space="preserve"> </w:t>
      </w:r>
    </w:p>
    <w:p w14:paraId="2A837F29" w14:textId="4DEAF0DB" w:rsidR="00FC743D" w:rsidRPr="00BD1285" w:rsidRDefault="00FC743D" w:rsidP="00FC743D">
      <w:pPr>
        <w:spacing w:before="240" w:after="60"/>
        <w:rPr>
          <w:rFonts w:ascii="Arial" w:hAnsi="Arial" w:cs="Arial"/>
          <w:b/>
          <w:bCs/>
          <w:sz w:val="22"/>
          <w:szCs w:val="22"/>
          <w:vertAlign w:val="superscript"/>
        </w:rPr>
      </w:pPr>
      <w:r w:rsidRPr="00BD1285">
        <w:rPr>
          <w:rFonts w:ascii="Arial" w:hAnsi="Arial" w:cs="Arial"/>
          <w:b/>
          <w:bCs/>
        </w:rPr>
        <w:t>Disallowable instrument DI20</w:t>
      </w:r>
      <w:r w:rsidR="00EC0E37">
        <w:rPr>
          <w:rFonts w:ascii="Arial" w:hAnsi="Arial" w:cs="Arial"/>
          <w:b/>
          <w:bCs/>
        </w:rPr>
        <w:t>20</w:t>
      </w:r>
      <w:r w:rsidRPr="00BD1285">
        <w:rPr>
          <w:rFonts w:ascii="Arial" w:hAnsi="Arial" w:cs="Arial"/>
          <w:b/>
          <w:bCs/>
        </w:rPr>
        <w:t>–</w:t>
      </w:r>
      <w:r w:rsidR="00D40980">
        <w:rPr>
          <w:rFonts w:ascii="Arial" w:hAnsi="Arial" w:cs="Arial"/>
          <w:b/>
          <w:bCs/>
        </w:rPr>
        <w:t>6</w:t>
      </w:r>
    </w:p>
    <w:p w14:paraId="11B223FC" w14:textId="77777777" w:rsidR="00FC743D" w:rsidRPr="00BD1285" w:rsidRDefault="00FC743D" w:rsidP="00FC743D">
      <w:pPr>
        <w:spacing w:before="240" w:after="120"/>
        <w:jc w:val="both"/>
        <w:rPr>
          <w:rFonts w:ascii="Arial" w:hAnsi="Arial" w:cs="Arial"/>
        </w:rPr>
      </w:pPr>
      <w:r w:rsidRPr="00BD1285">
        <w:rPr>
          <w:rFonts w:ascii="Arial" w:hAnsi="Arial" w:cs="Arial"/>
        </w:rPr>
        <w:t xml:space="preserve">made under the  </w:t>
      </w:r>
    </w:p>
    <w:p w14:paraId="7A1B3716" w14:textId="77777777" w:rsidR="00FC743D" w:rsidRPr="00BD1285" w:rsidRDefault="00FC743D" w:rsidP="00FC743D">
      <w:pPr>
        <w:tabs>
          <w:tab w:val="left" w:pos="2600"/>
        </w:tabs>
        <w:spacing w:before="200" w:after="60"/>
        <w:jc w:val="both"/>
        <w:rPr>
          <w:rFonts w:ascii="Arial" w:hAnsi="Arial" w:cs="Arial"/>
          <w:b/>
          <w:bCs/>
        </w:rPr>
      </w:pPr>
      <w:r w:rsidRPr="00BD1285">
        <w:rPr>
          <w:rFonts w:ascii="Arial" w:hAnsi="Arial" w:cs="Arial"/>
          <w:b/>
          <w:bCs/>
        </w:rPr>
        <w:t>Utilities Act 2000, s 59 (Determined codes) and s 63 (Public access)</w:t>
      </w:r>
    </w:p>
    <w:p w14:paraId="011D3E35" w14:textId="77777777" w:rsidR="00A100D2" w:rsidRDefault="00A100D2">
      <w:pPr>
        <w:spacing w:before="360"/>
        <w:ind w:right="565"/>
        <w:rPr>
          <w:rFonts w:ascii="Arial" w:hAnsi="Arial" w:cs="Arial"/>
          <w:b/>
          <w:bCs/>
          <w:sz w:val="28"/>
          <w:szCs w:val="28"/>
        </w:rPr>
      </w:pPr>
      <w:r>
        <w:rPr>
          <w:rFonts w:ascii="Arial" w:hAnsi="Arial" w:cs="Arial"/>
          <w:b/>
          <w:bCs/>
          <w:sz w:val="28"/>
          <w:szCs w:val="28"/>
        </w:rPr>
        <w:t>EXPLANATORY STATEMENT</w:t>
      </w:r>
    </w:p>
    <w:p w14:paraId="59E82A6E" w14:textId="77777777" w:rsidR="00A100D2" w:rsidRDefault="00A100D2">
      <w:pPr>
        <w:pStyle w:val="N-line3"/>
        <w:pBdr>
          <w:bottom w:val="none" w:sz="0" w:space="0" w:color="auto"/>
        </w:pBdr>
      </w:pPr>
    </w:p>
    <w:p w14:paraId="3AB09A20" w14:textId="77777777" w:rsidR="00A100D2" w:rsidRDefault="00A100D2">
      <w:pPr>
        <w:pStyle w:val="N-line3"/>
        <w:pBdr>
          <w:top w:val="single" w:sz="12" w:space="1" w:color="auto"/>
          <w:bottom w:val="none" w:sz="0" w:space="0" w:color="auto"/>
        </w:pBdr>
      </w:pPr>
    </w:p>
    <w:p w14:paraId="24158C9A" w14:textId="77777777" w:rsidR="00A100D2" w:rsidRDefault="00A100D2" w:rsidP="00A100D2"/>
    <w:p w14:paraId="69BFB4A7" w14:textId="77777777" w:rsidR="001E7E01" w:rsidRPr="00EA02CF" w:rsidRDefault="001E7E01" w:rsidP="00EA02CF">
      <w:pPr>
        <w:pStyle w:val="Heading2"/>
        <w:rPr>
          <w:rFonts w:ascii="Arial" w:hAnsi="Arial" w:cs="Arial"/>
          <w:sz w:val="22"/>
          <w:szCs w:val="22"/>
          <w:lang w:val="en-US"/>
        </w:rPr>
      </w:pPr>
      <w:r w:rsidRPr="00EA02CF">
        <w:rPr>
          <w:rFonts w:ascii="Arial" w:hAnsi="Arial" w:cs="Arial"/>
          <w:sz w:val="22"/>
          <w:szCs w:val="22"/>
          <w:lang w:val="en-US"/>
        </w:rPr>
        <w:t xml:space="preserve">Purpose of </w:t>
      </w:r>
      <w:r w:rsidR="001810CC" w:rsidRPr="00EA02CF">
        <w:rPr>
          <w:rFonts w:ascii="Arial" w:hAnsi="Arial" w:cs="Arial"/>
          <w:sz w:val="22"/>
          <w:szCs w:val="22"/>
          <w:lang w:val="en-US"/>
        </w:rPr>
        <w:t>Consumer Protection</w:t>
      </w:r>
      <w:r w:rsidRPr="00EA02CF">
        <w:rPr>
          <w:rFonts w:ascii="Arial" w:hAnsi="Arial" w:cs="Arial"/>
          <w:sz w:val="22"/>
          <w:szCs w:val="22"/>
          <w:lang w:val="en-US"/>
        </w:rPr>
        <w:t xml:space="preserve"> Code</w:t>
      </w:r>
    </w:p>
    <w:p w14:paraId="7A825A28" w14:textId="78A74DEB" w:rsidR="00FE2707" w:rsidRPr="008402CA" w:rsidRDefault="001E7E01" w:rsidP="008402CA">
      <w:pPr>
        <w:tabs>
          <w:tab w:val="left" w:pos="828"/>
          <w:tab w:val="left" w:pos="1394"/>
          <w:tab w:val="left" w:pos="1962"/>
          <w:tab w:val="left" w:pos="2528"/>
          <w:tab w:val="left" w:pos="3094"/>
        </w:tabs>
        <w:spacing w:afterLines="120" w:after="288"/>
        <w:rPr>
          <w:rFonts w:ascii="Arial" w:hAnsi="Arial" w:cs="Arial"/>
          <w:bCs/>
          <w:sz w:val="22"/>
          <w:szCs w:val="22"/>
        </w:rPr>
      </w:pPr>
      <w:r w:rsidRPr="008402CA">
        <w:rPr>
          <w:rFonts w:ascii="Arial" w:hAnsi="Arial" w:cs="Arial"/>
          <w:sz w:val="22"/>
          <w:szCs w:val="22"/>
        </w:rPr>
        <w:t xml:space="preserve">The </w:t>
      </w:r>
      <w:r w:rsidR="001810CC" w:rsidRPr="008402CA">
        <w:rPr>
          <w:rFonts w:ascii="Arial" w:hAnsi="Arial" w:cs="Arial"/>
          <w:sz w:val="22"/>
          <w:szCs w:val="22"/>
        </w:rPr>
        <w:t>Consumer Protection</w:t>
      </w:r>
      <w:r w:rsidRPr="008402CA">
        <w:rPr>
          <w:rFonts w:ascii="Arial" w:hAnsi="Arial" w:cs="Arial"/>
          <w:sz w:val="22"/>
          <w:szCs w:val="22"/>
        </w:rPr>
        <w:t xml:space="preserve"> Code </w:t>
      </w:r>
      <w:r w:rsidR="00752610" w:rsidRPr="008402CA">
        <w:rPr>
          <w:rFonts w:ascii="Arial" w:hAnsi="Arial" w:cs="Arial"/>
          <w:sz w:val="22"/>
          <w:szCs w:val="22"/>
        </w:rPr>
        <w:t xml:space="preserve">(Code) </w:t>
      </w:r>
      <w:r w:rsidRPr="008402CA">
        <w:rPr>
          <w:rFonts w:ascii="Arial" w:hAnsi="Arial" w:cs="Arial"/>
          <w:sz w:val="22"/>
          <w:szCs w:val="22"/>
        </w:rPr>
        <w:t>is an industry code determined by the Independent Competition and Regulatory Commission (</w:t>
      </w:r>
      <w:r w:rsidR="00F2690E">
        <w:rPr>
          <w:rFonts w:ascii="Arial" w:hAnsi="Arial" w:cs="Arial"/>
          <w:sz w:val="22"/>
          <w:szCs w:val="22"/>
        </w:rPr>
        <w:t>ICRC)</w:t>
      </w:r>
      <w:r w:rsidRPr="008402CA">
        <w:rPr>
          <w:rFonts w:ascii="Arial" w:hAnsi="Arial" w:cs="Arial"/>
          <w:sz w:val="22"/>
          <w:szCs w:val="22"/>
        </w:rPr>
        <w:t xml:space="preserve"> under the </w:t>
      </w:r>
      <w:r w:rsidRPr="008402CA">
        <w:rPr>
          <w:rFonts w:ascii="Arial" w:hAnsi="Arial" w:cs="Arial"/>
          <w:i/>
          <w:sz w:val="22"/>
          <w:szCs w:val="22"/>
        </w:rPr>
        <w:t>Utilities Act</w:t>
      </w:r>
      <w:r w:rsidR="001810CC" w:rsidRPr="008402CA">
        <w:rPr>
          <w:rFonts w:ascii="Arial" w:hAnsi="Arial" w:cs="Arial"/>
          <w:i/>
          <w:sz w:val="22"/>
          <w:szCs w:val="22"/>
        </w:rPr>
        <w:t> 2000</w:t>
      </w:r>
      <w:r w:rsidR="00554CB6" w:rsidRPr="008402CA">
        <w:rPr>
          <w:rFonts w:ascii="Arial" w:hAnsi="Arial" w:cs="Arial"/>
          <w:i/>
          <w:sz w:val="22"/>
          <w:szCs w:val="22"/>
        </w:rPr>
        <w:t xml:space="preserve"> </w:t>
      </w:r>
      <w:r w:rsidR="00554CB6" w:rsidRPr="008402CA">
        <w:rPr>
          <w:rFonts w:ascii="Arial" w:hAnsi="Arial" w:cs="Arial"/>
          <w:sz w:val="22"/>
          <w:szCs w:val="22"/>
        </w:rPr>
        <w:t>(Utilities Act)</w:t>
      </w:r>
      <w:r w:rsidRPr="008402CA">
        <w:rPr>
          <w:rFonts w:ascii="Arial" w:hAnsi="Arial" w:cs="Arial"/>
          <w:sz w:val="22"/>
          <w:szCs w:val="22"/>
        </w:rPr>
        <w:t xml:space="preserve">. </w:t>
      </w:r>
      <w:r w:rsidR="00FE2707" w:rsidRPr="008402CA">
        <w:rPr>
          <w:rFonts w:ascii="Arial" w:hAnsi="Arial" w:cs="Arial"/>
          <w:bCs/>
          <w:sz w:val="22"/>
          <w:szCs w:val="22"/>
        </w:rPr>
        <w:t xml:space="preserve">The Code outlines the rights of </w:t>
      </w:r>
      <w:r w:rsidR="004100EE" w:rsidRPr="008402CA">
        <w:rPr>
          <w:rFonts w:ascii="Arial" w:hAnsi="Arial" w:cs="Arial"/>
          <w:bCs/>
          <w:sz w:val="22"/>
          <w:szCs w:val="22"/>
        </w:rPr>
        <w:t>c</w:t>
      </w:r>
      <w:r w:rsidR="00FE2707" w:rsidRPr="008402CA">
        <w:rPr>
          <w:rFonts w:ascii="Arial" w:hAnsi="Arial" w:cs="Arial"/>
          <w:bCs/>
          <w:sz w:val="22"/>
          <w:szCs w:val="22"/>
        </w:rPr>
        <w:t>ustomers</w:t>
      </w:r>
      <w:r w:rsidR="00C0205D">
        <w:rPr>
          <w:rFonts w:ascii="Arial" w:hAnsi="Arial" w:cs="Arial"/>
          <w:bCs/>
          <w:sz w:val="22"/>
          <w:szCs w:val="22"/>
        </w:rPr>
        <w:t>,</w:t>
      </w:r>
      <w:r w:rsidR="00FE2707" w:rsidRPr="008402CA">
        <w:rPr>
          <w:rFonts w:ascii="Arial" w:hAnsi="Arial" w:cs="Arial"/>
          <w:bCs/>
          <w:sz w:val="22"/>
          <w:szCs w:val="22"/>
        </w:rPr>
        <w:t xml:space="preserve"> </w:t>
      </w:r>
      <w:r w:rsidR="004100EE" w:rsidRPr="008402CA">
        <w:rPr>
          <w:rFonts w:ascii="Arial" w:hAnsi="Arial" w:cs="Arial"/>
          <w:bCs/>
          <w:sz w:val="22"/>
          <w:szCs w:val="22"/>
        </w:rPr>
        <w:t>c</w:t>
      </w:r>
      <w:r w:rsidR="00FE2707" w:rsidRPr="008402CA">
        <w:rPr>
          <w:rFonts w:ascii="Arial" w:hAnsi="Arial" w:cs="Arial"/>
          <w:bCs/>
          <w:sz w:val="22"/>
          <w:szCs w:val="22"/>
        </w:rPr>
        <w:t xml:space="preserve">onsumers and </w:t>
      </w:r>
      <w:r w:rsidR="004100EE" w:rsidRPr="008402CA">
        <w:rPr>
          <w:rFonts w:ascii="Arial" w:hAnsi="Arial" w:cs="Arial"/>
          <w:bCs/>
          <w:sz w:val="22"/>
          <w:szCs w:val="22"/>
        </w:rPr>
        <w:t>u</w:t>
      </w:r>
      <w:r w:rsidR="00FE2707" w:rsidRPr="008402CA">
        <w:rPr>
          <w:rFonts w:ascii="Arial" w:hAnsi="Arial" w:cs="Arial"/>
          <w:bCs/>
          <w:sz w:val="22"/>
          <w:szCs w:val="22"/>
        </w:rPr>
        <w:t xml:space="preserve">tilities with respect to access to, and provision of, utility services. Utilities are obliged to give effect to these rights. The Code also deals with the general conduct of </w:t>
      </w:r>
      <w:r w:rsidR="004100EE" w:rsidRPr="008402CA">
        <w:rPr>
          <w:rFonts w:ascii="Arial" w:hAnsi="Arial" w:cs="Arial"/>
          <w:bCs/>
          <w:sz w:val="22"/>
          <w:szCs w:val="22"/>
        </w:rPr>
        <w:t>u</w:t>
      </w:r>
      <w:r w:rsidR="00FE2707" w:rsidRPr="008402CA">
        <w:rPr>
          <w:rFonts w:ascii="Arial" w:hAnsi="Arial" w:cs="Arial"/>
          <w:bCs/>
          <w:sz w:val="22"/>
          <w:szCs w:val="22"/>
        </w:rPr>
        <w:t>tilities (and their agents) in the delivery of utility services.</w:t>
      </w:r>
    </w:p>
    <w:p w14:paraId="572BDB6B" w14:textId="462880F5" w:rsidR="00FE2707" w:rsidRPr="008402CA" w:rsidRDefault="00FC743D" w:rsidP="008402CA">
      <w:pPr>
        <w:tabs>
          <w:tab w:val="left" w:pos="828"/>
          <w:tab w:val="left" w:pos="1394"/>
          <w:tab w:val="left" w:pos="1962"/>
          <w:tab w:val="left" w:pos="2528"/>
          <w:tab w:val="left" w:pos="3094"/>
        </w:tabs>
        <w:spacing w:afterLines="120" w:after="288"/>
        <w:rPr>
          <w:rFonts w:ascii="Arial" w:hAnsi="Arial" w:cs="Arial"/>
          <w:bCs/>
          <w:sz w:val="22"/>
          <w:szCs w:val="22"/>
        </w:rPr>
      </w:pPr>
      <w:r w:rsidRPr="008402CA">
        <w:rPr>
          <w:rFonts w:ascii="Arial" w:hAnsi="Arial" w:cs="Arial"/>
          <w:bCs/>
          <w:sz w:val="22"/>
          <w:szCs w:val="22"/>
        </w:rPr>
        <w:t xml:space="preserve">The Code applies to </w:t>
      </w:r>
      <w:r w:rsidR="006C57EC">
        <w:rPr>
          <w:rFonts w:ascii="Arial" w:hAnsi="Arial" w:cs="Arial"/>
          <w:bCs/>
          <w:sz w:val="22"/>
          <w:szCs w:val="22"/>
        </w:rPr>
        <w:t>u</w:t>
      </w:r>
      <w:r w:rsidRPr="008402CA">
        <w:rPr>
          <w:rFonts w:ascii="Arial" w:hAnsi="Arial" w:cs="Arial"/>
          <w:bCs/>
          <w:sz w:val="22"/>
          <w:szCs w:val="22"/>
        </w:rPr>
        <w:t>tilities licensed under the Utilities Act</w:t>
      </w:r>
      <w:r w:rsidR="00EC0E37" w:rsidRPr="008402CA">
        <w:rPr>
          <w:rFonts w:ascii="Arial" w:hAnsi="Arial" w:cs="Arial"/>
          <w:bCs/>
          <w:sz w:val="22"/>
          <w:szCs w:val="22"/>
        </w:rPr>
        <w:t xml:space="preserve">, and </w:t>
      </w:r>
      <w:r w:rsidRPr="008402CA">
        <w:rPr>
          <w:rFonts w:ascii="Arial" w:hAnsi="Arial" w:cs="Arial"/>
          <w:bCs/>
          <w:sz w:val="22"/>
          <w:szCs w:val="22"/>
        </w:rPr>
        <w:t xml:space="preserve">to </w:t>
      </w:r>
      <w:r w:rsidR="00A8791C">
        <w:rPr>
          <w:rFonts w:ascii="Arial" w:hAnsi="Arial" w:cs="Arial"/>
          <w:bCs/>
          <w:sz w:val="22"/>
          <w:szCs w:val="22"/>
        </w:rPr>
        <w:t>e</w:t>
      </w:r>
      <w:r w:rsidRPr="008402CA">
        <w:rPr>
          <w:rFonts w:ascii="Arial" w:hAnsi="Arial" w:cs="Arial"/>
          <w:bCs/>
          <w:sz w:val="22"/>
          <w:szCs w:val="22"/>
        </w:rPr>
        <w:t xml:space="preserve">lectricity and </w:t>
      </w:r>
      <w:r w:rsidR="00A8791C">
        <w:rPr>
          <w:rFonts w:ascii="Arial" w:hAnsi="Arial" w:cs="Arial"/>
          <w:bCs/>
          <w:sz w:val="22"/>
          <w:szCs w:val="22"/>
        </w:rPr>
        <w:t>g</w:t>
      </w:r>
      <w:r w:rsidRPr="008402CA">
        <w:rPr>
          <w:rFonts w:ascii="Arial" w:hAnsi="Arial" w:cs="Arial"/>
          <w:bCs/>
          <w:sz w:val="22"/>
          <w:szCs w:val="22"/>
        </w:rPr>
        <w:t xml:space="preserve">as </w:t>
      </w:r>
      <w:r w:rsidR="00A8791C">
        <w:rPr>
          <w:rFonts w:ascii="Arial" w:hAnsi="Arial" w:cs="Arial"/>
          <w:bCs/>
          <w:sz w:val="22"/>
          <w:szCs w:val="22"/>
        </w:rPr>
        <w:t>r</w:t>
      </w:r>
      <w:r w:rsidRPr="008402CA">
        <w:rPr>
          <w:rFonts w:ascii="Arial" w:hAnsi="Arial" w:cs="Arial"/>
          <w:bCs/>
          <w:sz w:val="22"/>
          <w:szCs w:val="22"/>
        </w:rPr>
        <w:t>etailers authorised under the National Energy Retail Law.</w:t>
      </w:r>
      <w:r w:rsidR="00FE2707" w:rsidRPr="008402CA">
        <w:rPr>
          <w:rFonts w:ascii="Arial" w:hAnsi="Arial" w:cs="Arial"/>
          <w:bCs/>
          <w:sz w:val="22"/>
          <w:szCs w:val="22"/>
        </w:rPr>
        <w:t xml:space="preserve"> </w:t>
      </w:r>
    </w:p>
    <w:p w14:paraId="26196D3A" w14:textId="53FA9EB8" w:rsidR="001E7E01" w:rsidRPr="008402CA" w:rsidRDefault="00FE2707" w:rsidP="008402CA">
      <w:pPr>
        <w:tabs>
          <w:tab w:val="left" w:pos="828"/>
          <w:tab w:val="left" w:pos="1394"/>
          <w:tab w:val="left" w:pos="1962"/>
          <w:tab w:val="left" w:pos="2528"/>
          <w:tab w:val="left" w:pos="3094"/>
        </w:tabs>
        <w:spacing w:afterLines="120" w:after="288"/>
        <w:rPr>
          <w:rFonts w:ascii="Arial" w:hAnsi="Arial" w:cs="Arial"/>
          <w:bCs/>
          <w:sz w:val="22"/>
          <w:szCs w:val="22"/>
        </w:rPr>
      </w:pPr>
      <w:r w:rsidRPr="008402CA">
        <w:rPr>
          <w:rFonts w:ascii="Arial" w:hAnsi="Arial" w:cs="Arial"/>
          <w:bCs/>
          <w:sz w:val="22"/>
          <w:szCs w:val="22"/>
        </w:rPr>
        <w:t xml:space="preserve">The Code is enforceable under the </w:t>
      </w:r>
      <w:r w:rsidRPr="008402CA">
        <w:rPr>
          <w:rFonts w:ascii="Arial" w:hAnsi="Arial" w:cs="Arial"/>
          <w:sz w:val="22"/>
          <w:szCs w:val="22"/>
        </w:rPr>
        <w:t>Utilities Act</w:t>
      </w:r>
      <w:r w:rsidRPr="008402CA">
        <w:rPr>
          <w:rFonts w:ascii="Arial" w:hAnsi="Arial" w:cs="Arial"/>
          <w:bCs/>
          <w:sz w:val="22"/>
          <w:szCs w:val="22"/>
        </w:rPr>
        <w:t>.</w:t>
      </w:r>
      <w:r w:rsidR="00FC743D" w:rsidRPr="008402CA">
        <w:rPr>
          <w:rFonts w:ascii="Arial" w:hAnsi="Arial" w:cs="Arial"/>
          <w:bCs/>
          <w:sz w:val="22"/>
          <w:szCs w:val="22"/>
        </w:rPr>
        <w:t xml:space="preserve"> </w:t>
      </w:r>
      <w:r w:rsidRPr="008402CA">
        <w:rPr>
          <w:rFonts w:ascii="Arial" w:hAnsi="Arial" w:cs="Arial"/>
          <w:bCs/>
          <w:sz w:val="22"/>
          <w:szCs w:val="22"/>
        </w:rPr>
        <w:t xml:space="preserve">The </w:t>
      </w:r>
      <w:r w:rsidR="00376367">
        <w:rPr>
          <w:rFonts w:ascii="Arial" w:hAnsi="Arial" w:cs="Arial"/>
          <w:bCs/>
          <w:sz w:val="22"/>
          <w:szCs w:val="22"/>
        </w:rPr>
        <w:t>ICRC</w:t>
      </w:r>
      <w:r w:rsidR="00376367" w:rsidRPr="008402CA">
        <w:rPr>
          <w:rFonts w:ascii="Arial" w:hAnsi="Arial" w:cs="Arial"/>
          <w:bCs/>
          <w:sz w:val="22"/>
          <w:szCs w:val="22"/>
        </w:rPr>
        <w:t xml:space="preserve"> </w:t>
      </w:r>
      <w:r w:rsidRPr="008402CA">
        <w:rPr>
          <w:rFonts w:ascii="Arial" w:hAnsi="Arial" w:cs="Arial"/>
          <w:bCs/>
          <w:sz w:val="22"/>
          <w:szCs w:val="22"/>
        </w:rPr>
        <w:t>is responsible for monitoring the compliance of utilities with industry codes</w:t>
      </w:r>
      <w:r w:rsidR="00C9014A" w:rsidRPr="008402CA">
        <w:rPr>
          <w:rFonts w:ascii="Arial" w:hAnsi="Arial" w:cs="Arial"/>
          <w:bCs/>
          <w:sz w:val="22"/>
          <w:szCs w:val="22"/>
        </w:rPr>
        <w:t>.</w:t>
      </w:r>
    </w:p>
    <w:bookmarkEnd w:id="0"/>
    <w:p w14:paraId="259862B5" w14:textId="77777777" w:rsidR="00A100D2" w:rsidRPr="00EA02CF" w:rsidRDefault="005E7313" w:rsidP="00EA02CF">
      <w:pPr>
        <w:pStyle w:val="Heading2"/>
        <w:rPr>
          <w:rFonts w:ascii="Arial" w:hAnsi="Arial" w:cs="Arial"/>
          <w:sz w:val="22"/>
          <w:szCs w:val="22"/>
          <w:lang w:val="en-US"/>
        </w:rPr>
      </w:pPr>
      <w:r w:rsidRPr="00EA02CF">
        <w:rPr>
          <w:rFonts w:ascii="Arial" w:hAnsi="Arial" w:cs="Arial"/>
          <w:sz w:val="22"/>
          <w:szCs w:val="22"/>
          <w:lang w:val="en-US"/>
        </w:rPr>
        <w:t>Legislative provisions — industry codes</w:t>
      </w:r>
    </w:p>
    <w:p w14:paraId="04404204" w14:textId="77777777" w:rsidR="005367EB" w:rsidRPr="008402CA" w:rsidRDefault="005367EB" w:rsidP="008402CA">
      <w:pPr>
        <w:tabs>
          <w:tab w:val="left" w:pos="828"/>
          <w:tab w:val="left" w:pos="1394"/>
          <w:tab w:val="left" w:pos="1962"/>
          <w:tab w:val="left" w:pos="2528"/>
          <w:tab w:val="left" w:pos="3094"/>
        </w:tabs>
        <w:spacing w:afterLines="120" w:after="288"/>
        <w:rPr>
          <w:rFonts w:ascii="Arial" w:hAnsi="Arial" w:cs="Arial"/>
          <w:bCs/>
          <w:sz w:val="22"/>
          <w:szCs w:val="22"/>
        </w:rPr>
      </w:pPr>
      <w:r w:rsidRPr="008402CA">
        <w:rPr>
          <w:rFonts w:ascii="Arial" w:hAnsi="Arial" w:cs="Arial"/>
          <w:bCs/>
          <w:sz w:val="22"/>
          <w:szCs w:val="22"/>
        </w:rPr>
        <w:t xml:space="preserve">Provisions relating to industry codes are set out in Part 4 of the </w:t>
      </w:r>
      <w:r w:rsidR="00825C78" w:rsidRPr="008402CA">
        <w:rPr>
          <w:rFonts w:ascii="Arial" w:hAnsi="Arial" w:cs="Arial"/>
          <w:bCs/>
          <w:sz w:val="22"/>
          <w:szCs w:val="22"/>
        </w:rPr>
        <w:t xml:space="preserve">Utilities </w:t>
      </w:r>
      <w:r w:rsidRPr="008402CA">
        <w:rPr>
          <w:rFonts w:ascii="Arial" w:hAnsi="Arial" w:cs="Arial"/>
          <w:bCs/>
          <w:sz w:val="22"/>
          <w:szCs w:val="22"/>
        </w:rPr>
        <w:t>Act. An industry code ‘may set out practices, standards and other matters about the provision of a utility service’.</w:t>
      </w:r>
    </w:p>
    <w:p w14:paraId="6AEB879E" w14:textId="7238EA7A" w:rsidR="005367EB" w:rsidRPr="008402CA" w:rsidRDefault="00F869CB" w:rsidP="008402CA">
      <w:pPr>
        <w:spacing w:afterLines="120" w:after="288"/>
        <w:rPr>
          <w:rFonts w:ascii="Arial" w:hAnsi="Arial" w:cs="Arial"/>
          <w:sz w:val="22"/>
          <w:szCs w:val="22"/>
        </w:rPr>
      </w:pPr>
      <w:r w:rsidRPr="008402CA">
        <w:rPr>
          <w:rFonts w:ascii="Arial" w:hAnsi="Arial" w:cs="Arial"/>
          <w:sz w:val="22"/>
          <w:szCs w:val="22"/>
        </w:rPr>
        <w:t>Section 59 of</w:t>
      </w:r>
      <w:r w:rsidR="005367EB" w:rsidRPr="008402CA">
        <w:rPr>
          <w:rFonts w:ascii="Arial" w:hAnsi="Arial" w:cs="Arial"/>
          <w:sz w:val="22"/>
          <w:szCs w:val="22"/>
        </w:rPr>
        <w:t xml:space="preserve"> </w:t>
      </w:r>
      <w:r w:rsidR="00825C78" w:rsidRPr="008402CA">
        <w:rPr>
          <w:rFonts w:ascii="Arial" w:hAnsi="Arial" w:cs="Arial"/>
          <w:sz w:val="22"/>
          <w:szCs w:val="22"/>
        </w:rPr>
        <w:t xml:space="preserve">the </w:t>
      </w:r>
      <w:r w:rsidR="00BC41C1" w:rsidRPr="008402CA">
        <w:rPr>
          <w:rFonts w:ascii="Arial" w:hAnsi="Arial" w:cs="Arial"/>
          <w:sz w:val="22"/>
          <w:szCs w:val="22"/>
        </w:rPr>
        <w:t xml:space="preserve">Utilities </w:t>
      </w:r>
      <w:r w:rsidR="005367EB" w:rsidRPr="008402CA">
        <w:rPr>
          <w:rFonts w:ascii="Arial" w:hAnsi="Arial" w:cs="Arial"/>
          <w:sz w:val="22"/>
          <w:szCs w:val="22"/>
        </w:rPr>
        <w:t xml:space="preserve">Act provides for industry codes </w:t>
      </w:r>
      <w:r w:rsidR="00825C78" w:rsidRPr="008402CA">
        <w:rPr>
          <w:rFonts w:ascii="Arial" w:hAnsi="Arial" w:cs="Arial"/>
          <w:sz w:val="22"/>
          <w:szCs w:val="22"/>
        </w:rPr>
        <w:t xml:space="preserve">to be </w:t>
      </w:r>
      <w:r w:rsidR="005367EB" w:rsidRPr="008402CA">
        <w:rPr>
          <w:rFonts w:ascii="Arial" w:hAnsi="Arial" w:cs="Arial"/>
          <w:sz w:val="22"/>
          <w:szCs w:val="22"/>
        </w:rPr>
        <w:t xml:space="preserve">determined by the </w:t>
      </w:r>
      <w:r w:rsidR="00376367">
        <w:rPr>
          <w:rFonts w:ascii="Arial" w:hAnsi="Arial" w:cs="Arial"/>
          <w:sz w:val="22"/>
          <w:szCs w:val="22"/>
        </w:rPr>
        <w:t>ICRC</w:t>
      </w:r>
      <w:r w:rsidR="005367EB" w:rsidRPr="008402CA">
        <w:rPr>
          <w:rFonts w:ascii="Arial" w:hAnsi="Arial" w:cs="Arial"/>
          <w:sz w:val="22"/>
          <w:szCs w:val="22"/>
        </w:rPr>
        <w:t xml:space="preserve">. </w:t>
      </w:r>
      <w:r w:rsidR="00801FC9" w:rsidRPr="008402CA">
        <w:rPr>
          <w:rFonts w:ascii="Arial" w:hAnsi="Arial" w:cs="Arial"/>
          <w:sz w:val="22"/>
          <w:szCs w:val="22"/>
        </w:rPr>
        <w:t xml:space="preserve">The </w:t>
      </w:r>
      <w:r w:rsidR="00376367">
        <w:rPr>
          <w:rFonts w:ascii="Arial" w:hAnsi="Arial" w:cs="Arial"/>
          <w:sz w:val="22"/>
          <w:szCs w:val="22"/>
        </w:rPr>
        <w:t xml:space="preserve">ICRC </w:t>
      </w:r>
      <w:r w:rsidR="00801FC9" w:rsidRPr="008402CA">
        <w:rPr>
          <w:rFonts w:ascii="Arial" w:hAnsi="Arial" w:cs="Arial"/>
          <w:sz w:val="22"/>
          <w:szCs w:val="22"/>
        </w:rPr>
        <w:t>may determine an industry code if it has consulted with the Minister</w:t>
      </w:r>
      <w:r w:rsidR="00975F4E">
        <w:rPr>
          <w:rFonts w:ascii="Arial" w:hAnsi="Arial" w:cs="Arial"/>
          <w:sz w:val="22"/>
          <w:szCs w:val="22"/>
        </w:rPr>
        <w:t xml:space="preserve"> </w:t>
      </w:r>
      <w:r w:rsidR="00801FC9" w:rsidRPr="008402CA">
        <w:rPr>
          <w:rFonts w:ascii="Arial" w:hAnsi="Arial" w:cs="Arial"/>
          <w:sz w:val="22"/>
          <w:szCs w:val="22"/>
        </w:rPr>
        <w:t>and the Minister responsible for technical regulation</w:t>
      </w:r>
      <w:r w:rsidR="00975F4E">
        <w:rPr>
          <w:rFonts w:ascii="Arial" w:hAnsi="Arial" w:cs="Arial"/>
          <w:sz w:val="22"/>
          <w:szCs w:val="22"/>
        </w:rPr>
        <w:t>, as specified in section 59 of the Utilities Act</w:t>
      </w:r>
      <w:r w:rsidR="00815733">
        <w:rPr>
          <w:rFonts w:ascii="Arial" w:hAnsi="Arial" w:cs="Arial"/>
          <w:sz w:val="22"/>
          <w:szCs w:val="22"/>
        </w:rPr>
        <w:t>,</w:t>
      </w:r>
      <w:r w:rsidR="00801FC9" w:rsidRPr="008402CA">
        <w:rPr>
          <w:rFonts w:ascii="Arial" w:hAnsi="Arial" w:cs="Arial"/>
          <w:sz w:val="22"/>
          <w:szCs w:val="22"/>
        </w:rPr>
        <w:t xml:space="preserve"> and is satisfied that the code is not inconsistent in material respects with another industry code or a technical code; and it is necessary or convenient to determine the code. </w:t>
      </w:r>
    </w:p>
    <w:p w14:paraId="74C02017" w14:textId="7C3C6735" w:rsidR="00B00BA4" w:rsidRPr="008402CA" w:rsidRDefault="005367EB" w:rsidP="008402CA">
      <w:pPr>
        <w:spacing w:afterLines="120" w:after="288"/>
        <w:rPr>
          <w:rFonts w:ascii="Arial" w:hAnsi="Arial" w:cs="Arial"/>
          <w:sz w:val="22"/>
          <w:szCs w:val="22"/>
        </w:rPr>
      </w:pPr>
      <w:r w:rsidRPr="008402CA">
        <w:rPr>
          <w:rFonts w:ascii="Arial" w:hAnsi="Arial" w:cs="Arial"/>
          <w:sz w:val="22"/>
          <w:szCs w:val="22"/>
        </w:rPr>
        <w:t xml:space="preserve">Section 60 of the </w:t>
      </w:r>
      <w:r w:rsidR="00BC41C1" w:rsidRPr="008402CA">
        <w:rPr>
          <w:rFonts w:ascii="Arial" w:hAnsi="Arial" w:cs="Arial"/>
          <w:sz w:val="22"/>
          <w:szCs w:val="22"/>
        </w:rPr>
        <w:t xml:space="preserve">Utilities </w:t>
      </w:r>
      <w:r w:rsidRPr="008402CA">
        <w:rPr>
          <w:rFonts w:ascii="Arial" w:hAnsi="Arial" w:cs="Arial"/>
          <w:sz w:val="22"/>
          <w:szCs w:val="22"/>
        </w:rPr>
        <w:t xml:space="preserve">Act sets out the </w:t>
      </w:r>
      <w:r w:rsidR="00801FC9" w:rsidRPr="008402CA">
        <w:rPr>
          <w:rFonts w:ascii="Arial" w:hAnsi="Arial" w:cs="Arial"/>
          <w:sz w:val="22"/>
          <w:szCs w:val="22"/>
        </w:rPr>
        <w:t xml:space="preserve">public </w:t>
      </w:r>
      <w:r w:rsidRPr="008402CA">
        <w:rPr>
          <w:rFonts w:ascii="Arial" w:hAnsi="Arial" w:cs="Arial"/>
          <w:sz w:val="22"/>
          <w:szCs w:val="22"/>
        </w:rPr>
        <w:t>consultation requirements for industry codes</w:t>
      </w:r>
      <w:r w:rsidR="003449C1" w:rsidRPr="008402CA">
        <w:rPr>
          <w:rFonts w:ascii="Arial" w:hAnsi="Arial" w:cs="Arial"/>
          <w:sz w:val="22"/>
          <w:szCs w:val="22"/>
        </w:rPr>
        <w:t xml:space="preserve"> to be followed</w:t>
      </w:r>
      <w:r w:rsidR="006C57EC">
        <w:rPr>
          <w:rFonts w:ascii="Arial" w:hAnsi="Arial" w:cs="Arial"/>
          <w:sz w:val="22"/>
          <w:szCs w:val="22"/>
        </w:rPr>
        <w:t xml:space="preserve">. </w:t>
      </w:r>
    </w:p>
    <w:p w14:paraId="42083A90" w14:textId="77777777" w:rsidR="00B00BA4" w:rsidRPr="008402CA" w:rsidRDefault="00092748" w:rsidP="008402CA">
      <w:pPr>
        <w:spacing w:afterLines="120" w:after="288"/>
        <w:rPr>
          <w:rFonts w:ascii="Arial" w:hAnsi="Arial" w:cs="Arial"/>
          <w:sz w:val="22"/>
          <w:szCs w:val="22"/>
        </w:rPr>
      </w:pPr>
      <w:r w:rsidRPr="008402CA">
        <w:rPr>
          <w:rFonts w:ascii="Arial" w:hAnsi="Arial" w:cs="Arial"/>
          <w:sz w:val="22"/>
          <w:szCs w:val="22"/>
        </w:rPr>
        <w:t xml:space="preserve">Under section 62 of the </w:t>
      </w:r>
      <w:r w:rsidR="00BC41C1" w:rsidRPr="008402CA">
        <w:rPr>
          <w:rFonts w:ascii="Arial" w:hAnsi="Arial" w:cs="Arial"/>
          <w:sz w:val="22"/>
          <w:szCs w:val="22"/>
        </w:rPr>
        <w:t xml:space="preserve">Utilities </w:t>
      </w:r>
      <w:r w:rsidRPr="008402CA">
        <w:rPr>
          <w:rFonts w:ascii="Arial" w:hAnsi="Arial" w:cs="Arial"/>
          <w:sz w:val="22"/>
          <w:szCs w:val="22"/>
        </w:rPr>
        <w:t>Act, an industry code determined under section 59 of the Act is a disallowable instrument.</w:t>
      </w:r>
      <w:r w:rsidR="00052B86" w:rsidRPr="008402CA">
        <w:rPr>
          <w:rFonts w:ascii="Arial" w:hAnsi="Arial" w:cs="Arial"/>
          <w:sz w:val="22"/>
          <w:szCs w:val="22"/>
        </w:rPr>
        <w:t xml:space="preserve"> </w:t>
      </w:r>
    </w:p>
    <w:p w14:paraId="448945D5" w14:textId="5C21C59F" w:rsidR="005367EB" w:rsidRDefault="005367EB" w:rsidP="008402CA">
      <w:pPr>
        <w:spacing w:afterLines="120" w:after="288"/>
        <w:rPr>
          <w:rFonts w:ascii="Arial" w:hAnsi="Arial" w:cs="Arial"/>
          <w:sz w:val="22"/>
          <w:szCs w:val="22"/>
        </w:rPr>
      </w:pPr>
      <w:r w:rsidRPr="008402CA">
        <w:rPr>
          <w:rFonts w:ascii="Arial" w:hAnsi="Arial" w:cs="Arial"/>
          <w:sz w:val="22"/>
          <w:szCs w:val="22"/>
        </w:rPr>
        <w:lastRenderedPageBreak/>
        <w:t xml:space="preserve">Section 63 of the </w:t>
      </w:r>
      <w:r w:rsidR="00BC41C1" w:rsidRPr="008402CA">
        <w:rPr>
          <w:rFonts w:ascii="Arial" w:hAnsi="Arial" w:cs="Arial"/>
          <w:sz w:val="22"/>
          <w:szCs w:val="22"/>
        </w:rPr>
        <w:t xml:space="preserve">Utilities </w:t>
      </w:r>
      <w:r w:rsidRPr="008402CA">
        <w:rPr>
          <w:rFonts w:ascii="Arial" w:hAnsi="Arial" w:cs="Arial"/>
          <w:sz w:val="22"/>
          <w:szCs w:val="22"/>
        </w:rPr>
        <w:t xml:space="preserve">Act sets out </w:t>
      </w:r>
      <w:r w:rsidR="006F11F2" w:rsidRPr="008402CA">
        <w:rPr>
          <w:rFonts w:ascii="Arial" w:hAnsi="Arial" w:cs="Arial"/>
          <w:sz w:val="22"/>
          <w:szCs w:val="22"/>
        </w:rPr>
        <w:t xml:space="preserve">a number of </w:t>
      </w:r>
      <w:r w:rsidRPr="008402CA">
        <w:rPr>
          <w:rFonts w:ascii="Arial" w:hAnsi="Arial" w:cs="Arial"/>
          <w:sz w:val="22"/>
          <w:szCs w:val="22"/>
        </w:rPr>
        <w:t xml:space="preserve">requirements relating to public access to industry codes. </w:t>
      </w:r>
    </w:p>
    <w:p w14:paraId="2C3B6789" w14:textId="77777777" w:rsidR="00EA02CF" w:rsidRPr="00EA02CF" w:rsidRDefault="00EA02CF" w:rsidP="00EA02CF">
      <w:pPr>
        <w:pStyle w:val="Heading2"/>
        <w:rPr>
          <w:rFonts w:ascii="Arial" w:hAnsi="Arial" w:cs="Arial"/>
          <w:sz w:val="22"/>
          <w:szCs w:val="22"/>
          <w:lang w:val="en-US"/>
        </w:rPr>
      </w:pPr>
      <w:r w:rsidRPr="00EA02CF">
        <w:rPr>
          <w:rFonts w:ascii="Arial" w:hAnsi="Arial" w:cs="Arial"/>
          <w:sz w:val="22"/>
          <w:szCs w:val="22"/>
          <w:lang w:val="en-US"/>
        </w:rPr>
        <w:t>Consultation on the new Code</w:t>
      </w:r>
    </w:p>
    <w:p w14:paraId="7DFFCD48" w14:textId="1D694027" w:rsidR="00EA02CF" w:rsidRPr="002E320E" w:rsidRDefault="00EA02CF" w:rsidP="00EA02CF">
      <w:pPr>
        <w:spacing w:after="100" w:afterAutospacing="1"/>
        <w:rPr>
          <w:rFonts w:ascii="Arial" w:hAnsi="Arial" w:cs="Arial"/>
          <w:bCs/>
          <w:sz w:val="22"/>
          <w:szCs w:val="22"/>
          <w:lang w:eastAsia="en-AU"/>
        </w:rPr>
      </w:pPr>
      <w:r w:rsidRPr="002E320E">
        <w:rPr>
          <w:rFonts w:ascii="Arial" w:hAnsi="Arial" w:cs="Arial"/>
          <w:bCs/>
          <w:sz w:val="22"/>
          <w:szCs w:val="22"/>
          <w:lang w:eastAsia="en-AU"/>
        </w:rPr>
        <w:t xml:space="preserve">In accordance with the Utilities Act, the </w:t>
      </w:r>
      <w:r w:rsidR="00376367">
        <w:rPr>
          <w:rFonts w:ascii="Arial" w:hAnsi="Arial" w:cs="Arial"/>
          <w:bCs/>
          <w:sz w:val="22"/>
          <w:szCs w:val="22"/>
          <w:lang w:eastAsia="en-AU"/>
        </w:rPr>
        <w:t>ICRC</w:t>
      </w:r>
      <w:r w:rsidR="00376367" w:rsidRPr="002E320E">
        <w:rPr>
          <w:rFonts w:ascii="Arial" w:hAnsi="Arial" w:cs="Arial"/>
          <w:bCs/>
          <w:sz w:val="22"/>
          <w:szCs w:val="22"/>
          <w:lang w:eastAsia="en-AU"/>
        </w:rPr>
        <w:t xml:space="preserve"> </w:t>
      </w:r>
      <w:r w:rsidRPr="002E320E">
        <w:rPr>
          <w:rFonts w:ascii="Arial" w:hAnsi="Arial" w:cs="Arial"/>
          <w:bCs/>
          <w:sz w:val="22"/>
          <w:szCs w:val="22"/>
          <w:lang w:eastAsia="en-AU"/>
        </w:rPr>
        <w:t xml:space="preserve">has consulted with relevant parties on the </w:t>
      </w:r>
      <w:r w:rsidR="0064060F">
        <w:rPr>
          <w:rFonts w:ascii="Arial" w:hAnsi="Arial" w:cs="Arial"/>
          <w:bCs/>
          <w:sz w:val="22"/>
          <w:szCs w:val="22"/>
          <w:lang w:eastAsia="en-AU"/>
        </w:rPr>
        <w:t>drafting on the new</w:t>
      </w:r>
      <w:r w:rsidRPr="002E320E">
        <w:rPr>
          <w:rFonts w:ascii="Arial" w:hAnsi="Arial" w:cs="Arial"/>
          <w:bCs/>
          <w:sz w:val="22"/>
          <w:szCs w:val="22"/>
          <w:lang w:eastAsia="en-AU"/>
        </w:rPr>
        <w:t xml:space="preserve"> Code. A notice was published in the Canberra Times and on the </w:t>
      </w:r>
      <w:r w:rsidR="00376367">
        <w:rPr>
          <w:rFonts w:ascii="Arial" w:hAnsi="Arial" w:cs="Arial"/>
          <w:bCs/>
          <w:sz w:val="22"/>
          <w:szCs w:val="22"/>
          <w:lang w:eastAsia="en-AU"/>
        </w:rPr>
        <w:t>ICRC</w:t>
      </w:r>
      <w:r w:rsidR="00376367" w:rsidRPr="002E320E">
        <w:rPr>
          <w:rFonts w:ascii="Arial" w:hAnsi="Arial" w:cs="Arial"/>
          <w:bCs/>
          <w:sz w:val="22"/>
          <w:szCs w:val="22"/>
          <w:lang w:eastAsia="en-AU"/>
        </w:rPr>
        <w:t xml:space="preserve">’s </w:t>
      </w:r>
      <w:r w:rsidRPr="002E320E">
        <w:rPr>
          <w:rFonts w:ascii="Arial" w:hAnsi="Arial" w:cs="Arial"/>
          <w:bCs/>
          <w:sz w:val="22"/>
          <w:szCs w:val="22"/>
          <w:lang w:eastAsia="en-AU"/>
        </w:rPr>
        <w:t>website inviting comments. The submissions received and the outcome</w:t>
      </w:r>
      <w:r w:rsidR="009315A9">
        <w:rPr>
          <w:rFonts w:ascii="Arial" w:hAnsi="Arial" w:cs="Arial"/>
          <w:bCs/>
          <w:sz w:val="22"/>
          <w:szCs w:val="22"/>
          <w:lang w:eastAsia="en-AU"/>
        </w:rPr>
        <w:t>s</w:t>
      </w:r>
      <w:r w:rsidRPr="002E320E">
        <w:rPr>
          <w:rFonts w:ascii="Arial" w:hAnsi="Arial" w:cs="Arial"/>
          <w:bCs/>
          <w:sz w:val="22"/>
          <w:szCs w:val="22"/>
          <w:lang w:eastAsia="en-AU"/>
        </w:rPr>
        <w:t xml:space="preserve"> of </w:t>
      </w:r>
      <w:r w:rsidR="009315A9">
        <w:rPr>
          <w:rFonts w:ascii="Arial" w:hAnsi="Arial" w:cs="Arial"/>
          <w:bCs/>
          <w:sz w:val="22"/>
          <w:szCs w:val="22"/>
          <w:lang w:eastAsia="en-AU"/>
        </w:rPr>
        <w:t xml:space="preserve">the </w:t>
      </w:r>
      <w:r w:rsidRPr="002E320E">
        <w:rPr>
          <w:rFonts w:ascii="Arial" w:hAnsi="Arial" w:cs="Arial"/>
          <w:bCs/>
          <w:sz w:val="22"/>
          <w:szCs w:val="22"/>
          <w:lang w:eastAsia="en-AU"/>
        </w:rPr>
        <w:t>consultation</w:t>
      </w:r>
      <w:r w:rsidR="009315A9">
        <w:rPr>
          <w:rFonts w:ascii="Arial" w:hAnsi="Arial" w:cs="Arial"/>
          <w:bCs/>
          <w:sz w:val="22"/>
          <w:szCs w:val="22"/>
          <w:lang w:eastAsia="en-AU"/>
        </w:rPr>
        <w:t>s</w:t>
      </w:r>
      <w:r w:rsidRPr="002E320E">
        <w:rPr>
          <w:rFonts w:ascii="Arial" w:hAnsi="Arial" w:cs="Arial"/>
          <w:bCs/>
          <w:sz w:val="22"/>
          <w:szCs w:val="22"/>
          <w:lang w:eastAsia="en-AU"/>
        </w:rPr>
        <w:t xml:space="preserve"> </w:t>
      </w:r>
      <w:r w:rsidR="009315A9">
        <w:rPr>
          <w:rFonts w:ascii="Arial" w:hAnsi="Arial" w:cs="Arial"/>
          <w:bCs/>
          <w:sz w:val="22"/>
          <w:szCs w:val="22"/>
          <w:lang w:eastAsia="en-AU"/>
        </w:rPr>
        <w:t>are</w:t>
      </w:r>
      <w:r w:rsidR="009315A9" w:rsidRPr="002E320E">
        <w:rPr>
          <w:rFonts w:ascii="Arial" w:hAnsi="Arial" w:cs="Arial"/>
          <w:bCs/>
          <w:sz w:val="22"/>
          <w:szCs w:val="22"/>
          <w:lang w:eastAsia="en-AU"/>
        </w:rPr>
        <w:t xml:space="preserve"> </w:t>
      </w:r>
      <w:r w:rsidRPr="002E320E">
        <w:rPr>
          <w:rFonts w:ascii="Arial" w:hAnsi="Arial" w:cs="Arial"/>
          <w:bCs/>
          <w:sz w:val="22"/>
          <w:szCs w:val="22"/>
          <w:lang w:eastAsia="en-AU"/>
        </w:rPr>
        <w:t xml:space="preserve">detailed </w:t>
      </w:r>
      <w:r w:rsidR="00D10DC4">
        <w:rPr>
          <w:rFonts w:ascii="Arial" w:hAnsi="Arial" w:cs="Arial"/>
          <w:bCs/>
          <w:sz w:val="22"/>
          <w:szCs w:val="22"/>
          <w:lang w:eastAsia="en-AU"/>
        </w:rPr>
        <w:t>in the Commission’s draft and final decision on the Consumer Protection Code review</w:t>
      </w:r>
      <w:r w:rsidR="00C51EAC">
        <w:rPr>
          <w:rFonts w:ascii="Arial" w:hAnsi="Arial" w:cs="Arial"/>
          <w:bCs/>
          <w:sz w:val="22"/>
          <w:szCs w:val="22"/>
          <w:lang w:eastAsia="en-AU"/>
        </w:rPr>
        <w:t>;</w:t>
      </w:r>
      <w:r w:rsidR="00D10DC4">
        <w:rPr>
          <w:rFonts w:ascii="Arial" w:hAnsi="Arial" w:cs="Arial"/>
          <w:bCs/>
          <w:sz w:val="22"/>
          <w:szCs w:val="22"/>
          <w:lang w:eastAsia="en-AU"/>
        </w:rPr>
        <w:t xml:space="preserve"> these reports are available </w:t>
      </w:r>
      <w:r w:rsidRPr="002E320E">
        <w:rPr>
          <w:rFonts w:ascii="Arial" w:hAnsi="Arial" w:cs="Arial"/>
          <w:bCs/>
          <w:sz w:val="22"/>
          <w:szCs w:val="22"/>
          <w:lang w:eastAsia="en-AU"/>
        </w:rPr>
        <w:t>on the Commission’s website</w:t>
      </w:r>
      <w:r w:rsidR="00D10DC4">
        <w:rPr>
          <w:rFonts w:ascii="Arial" w:hAnsi="Arial" w:cs="Arial"/>
          <w:bCs/>
          <w:sz w:val="22"/>
          <w:szCs w:val="22"/>
          <w:lang w:eastAsia="en-AU"/>
        </w:rPr>
        <w:t xml:space="preserve"> </w:t>
      </w:r>
      <w:r w:rsidR="00D10DC4" w:rsidRPr="002E320E">
        <w:rPr>
          <w:rFonts w:ascii="Arial" w:hAnsi="Arial" w:cs="Arial"/>
          <w:color w:val="000000"/>
          <w:sz w:val="22"/>
          <w:szCs w:val="22"/>
          <w:lang w:val="en-US"/>
        </w:rPr>
        <w:t>(</w:t>
      </w:r>
      <w:hyperlink r:id="rId7" w:history="1">
        <w:r w:rsidR="00D10DC4" w:rsidRPr="002E320E">
          <w:rPr>
            <w:rStyle w:val="Hyperlink"/>
            <w:rFonts w:ascii="Arial" w:hAnsi="Arial" w:cs="Arial"/>
            <w:sz w:val="22"/>
            <w:szCs w:val="22"/>
            <w:lang w:val="en-US"/>
          </w:rPr>
          <w:t>www.icrc.act.gov.au</w:t>
        </w:r>
      </w:hyperlink>
      <w:r w:rsidR="00D10DC4" w:rsidRPr="002E320E">
        <w:rPr>
          <w:rFonts w:ascii="Arial" w:hAnsi="Arial" w:cs="Arial"/>
          <w:color w:val="000000"/>
          <w:sz w:val="22"/>
          <w:szCs w:val="22"/>
          <w:lang w:val="en-US"/>
        </w:rPr>
        <w:t>)</w:t>
      </w:r>
      <w:r w:rsidRPr="002E320E">
        <w:rPr>
          <w:rFonts w:ascii="Arial" w:hAnsi="Arial" w:cs="Arial"/>
          <w:bCs/>
          <w:sz w:val="22"/>
          <w:szCs w:val="22"/>
          <w:lang w:eastAsia="en-AU"/>
        </w:rPr>
        <w:t xml:space="preserve">. </w:t>
      </w:r>
    </w:p>
    <w:p w14:paraId="59732D2E" w14:textId="4B1027EE" w:rsidR="00EA02CF" w:rsidRPr="002E320E" w:rsidRDefault="00EA02CF" w:rsidP="00EA02CF">
      <w:pPr>
        <w:spacing w:before="100" w:beforeAutospacing="1" w:after="100" w:afterAutospacing="1"/>
        <w:rPr>
          <w:rFonts w:ascii="Arial" w:hAnsi="Arial" w:cs="Arial"/>
          <w:sz w:val="22"/>
          <w:szCs w:val="22"/>
        </w:rPr>
      </w:pPr>
      <w:r w:rsidRPr="002E320E">
        <w:rPr>
          <w:rFonts w:ascii="Arial" w:hAnsi="Arial" w:cs="Arial"/>
          <w:bCs/>
          <w:sz w:val="22"/>
          <w:szCs w:val="22"/>
          <w:lang w:eastAsia="en-AU"/>
        </w:rPr>
        <w:t xml:space="preserve">In accordance with the requirements of the Utilities Act, the </w:t>
      </w:r>
      <w:r w:rsidR="00376367">
        <w:rPr>
          <w:rFonts w:ascii="Arial" w:hAnsi="Arial" w:cs="Arial"/>
          <w:bCs/>
          <w:sz w:val="22"/>
          <w:szCs w:val="22"/>
          <w:lang w:eastAsia="en-AU"/>
        </w:rPr>
        <w:t>ICRC</w:t>
      </w:r>
      <w:r w:rsidR="00376367" w:rsidRPr="002E320E">
        <w:rPr>
          <w:rFonts w:ascii="Arial" w:hAnsi="Arial" w:cs="Arial"/>
          <w:bCs/>
          <w:sz w:val="22"/>
          <w:szCs w:val="22"/>
          <w:lang w:eastAsia="en-AU"/>
        </w:rPr>
        <w:t xml:space="preserve"> </w:t>
      </w:r>
      <w:r w:rsidRPr="002E320E">
        <w:rPr>
          <w:rFonts w:ascii="Arial" w:hAnsi="Arial" w:cs="Arial"/>
          <w:bCs/>
          <w:sz w:val="22"/>
          <w:szCs w:val="22"/>
          <w:lang w:eastAsia="en-AU"/>
        </w:rPr>
        <w:t xml:space="preserve">consulted with the Minister and the Minister responsible for technical regulation </w:t>
      </w:r>
      <w:r w:rsidRPr="002E320E">
        <w:rPr>
          <w:rFonts w:ascii="Arial" w:hAnsi="Arial" w:cs="Arial"/>
          <w:sz w:val="22"/>
          <w:szCs w:val="22"/>
        </w:rPr>
        <w:t>and is satisfied that the Code is not inconsistent in material respects with another industry code or a technical code and it is necessary to determine the Code.</w:t>
      </w:r>
    </w:p>
    <w:p w14:paraId="32991873" w14:textId="45D8B61E" w:rsidR="00EA02CF" w:rsidRPr="002E320E" w:rsidRDefault="00EA02CF" w:rsidP="00EA02CF">
      <w:pPr>
        <w:spacing w:before="100" w:beforeAutospacing="1" w:after="100" w:afterAutospacing="1"/>
        <w:rPr>
          <w:rFonts w:ascii="Arial" w:hAnsi="Arial" w:cs="Arial"/>
          <w:bCs/>
          <w:sz w:val="22"/>
          <w:szCs w:val="22"/>
          <w:lang w:eastAsia="en-AU"/>
        </w:rPr>
      </w:pPr>
      <w:r w:rsidRPr="002E320E">
        <w:rPr>
          <w:rFonts w:ascii="Arial" w:hAnsi="Arial" w:cs="Arial"/>
          <w:bCs/>
          <w:sz w:val="22"/>
          <w:szCs w:val="22"/>
        </w:rPr>
        <w:t xml:space="preserve">The </w:t>
      </w:r>
      <w:r w:rsidR="00376367">
        <w:rPr>
          <w:rFonts w:ascii="Arial" w:hAnsi="Arial" w:cs="Arial"/>
          <w:bCs/>
          <w:sz w:val="22"/>
          <w:szCs w:val="22"/>
        </w:rPr>
        <w:t>ICRC</w:t>
      </w:r>
      <w:r w:rsidR="00376367" w:rsidRPr="002E320E">
        <w:rPr>
          <w:rFonts w:ascii="Arial" w:hAnsi="Arial" w:cs="Arial"/>
          <w:bCs/>
          <w:sz w:val="22"/>
          <w:szCs w:val="22"/>
        </w:rPr>
        <w:t xml:space="preserve"> </w:t>
      </w:r>
      <w:r w:rsidRPr="002E320E">
        <w:rPr>
          <w:rFonts w:ascii="Arial" w:hAnsi="Arial" w:cs="Arial"/>
          <w:bCs/>
          <w:sz w:val="22"/>
          <w:szCs w:val="22"/>
        </w:rPr>
        <w:t>has had due regard to the submissions received in response to the consultation process.</w:t>
      </w:r>
    </w:p>
    <w:p w14:paraId="14EB1A46" w14:textId="77777777" w:rsidR="00EA02CF" w:rsidRPr="002E320E" w:rsidRDefault="00EA02CF" w:rsidP="00EA02CF">
      <w:pPr>
        <w:pStyle w:val="Heading2"/>
        <w:rPr>
          <w:rFonts w:ascii="Arial" w:hAnsi="Arial" w:cs="Arial"/>
          <w:sz w:val="22"/>
          <w:szCs w:val="22"/>
          <w:lang w:val="en-US"/>
        </w:rPr>
      </w:pPr>
      <w:r w:rsidRPr="002E320E">
        <w:rPr>
          <w:rFonts w:ascii="Arial" w:hAnsi="Arial" w:cs="Arial"/>
          <w:sz w:val="22"/>
          <w:szCs w:val="22"/>
          <w:lang w:val="en-US"/>
        </w:rPr>
        <w:t>Public access to the Code</w:t>
      </w:r>
    </w:p>
    <w:p w14:paraId="1A5B9BCA" w14:textId="58C5A504" w:rsidR="00EA02CF" w:rsidRPr="00EA02CF" w:rsidRDefault="00EA02CF" w:rsidP="00EA02CF">
      <w:pPr>
        <w:spacing w:after="100" w:afterAutospacing="1"/>
        <w:rPr>
          <w:rFonts w:ascii="Arial" w:hAnsi="Arial" w:cs="Arial"/>
          <w:bCs/>
          <w:sz w:val="22"/>
          <w:szCs w:val="22"/>
          <w:lang w:eastAsia="en-AU"/>
        </w:rPr>
      </w:pPr>
      <w:r w:rsidRPr="002E320E">
        <w:rPr>
          <w:rFonts w:ascii="Arial" w:hAnsi="Arial" w:cs="Arial"/>
          <w:color w:val="000000"/>
          <w:sz w:val="22"/>
          <w:szCs w:val="22"/>
          <w:lang w:val="en-US"/>
        </w:rPr>
        <w:t xml:space="preserve">Copies of the </w:t>
      </w:r>
      <w:r w:rsidRPr="002E320E">
        <w:rPr>
          <w:rFonts w:ascii="Arial" w:hAnsi="Arial" w:cs="Arial"/>
          <w:sz w:val="22"/>
          <w:szCs w:val="22"/>
        </w:rPr>
        <w:t>Consumer Protection Code</w:t>
      </w:r>
      <w:r w:rsidRPr="002E320E">
        <w:rPr>
          <w:rFonts w:ascii="Arial" w:hAnsi="Arial" w:cs="Arial"/>
          <w:color w:val="000000"/>
          <w:sz w:val="22"/>
          <w:szCs w:val="22"/>
          <w:lang w:val="en-US"/>
        </w:rPr>
        <w:t xml:space="preserve"> </w:t>
      </w:r>
      <w:r w:rsidR="00592276">
        <w:rPr>
          <w:rFonts w:ascii="Arial" w:hAnsi="Arial" w:cs="Arial"/>
          <w:color w:val="000000"/>
          <w:sz w:val="22"/>
          <w:szCs w:val="22"/>
          <w:lang w:val="en-US"/>
        </w:rPr>
        <w:t xml:space="preserve">and the ICRC’s decision to determine the code </w:t>
      </w:r>
      <w:r w:rsidRPr="002E320E">
        <w:rPr>
          <w:rFonts w:ascii="Arial" w:hAnsi="Arial" w:cs="Arial"/>
          <w:color w:val="000000"/>
          <w:sz w:val="22"/>
          <w:szCs w:val="22"/>
          <w:lang w:val="en-US"/>
        </w:rPr>
        <w:t xml:space="preserve">are available </w:t>
      </w:r>
      <w:r w:rsidR="00592276">
        <w:rPr>
          <w:rFonts w:ascii="Arial" w:hAnsi="Arial" w:cs="Arial"/>
          <w:color w:val="000000"/>
          <w:sz w:val="22"/>
          <w:szCs w:val="22"/>
          <w:lang w:val="en-US"/>
        </w:rPr>
        <w:t xml:space="preserve">on the Commission’s website </w:t>
      </w:r>
      <w:r w:rsidR="00592276" w:rsidRPr="002E320E">
        <w:rPr>
          <w:rFonts w:ascii="Arial" w:hAnsi="Arial" w:cs="Arial"/>
          <w:color w:val="000000"/>
          <w:sz w:val="22"/>
          <w:szCs w:val="22"/>
          <w:lang w:val="en-US"/>
        </w:rPr>
        <w:t>(</w:t>
      </w:r>
      <w:hyperlink r:id="rId8" w:history="1">
        <w:r w:rsidR="00592276" w:rsidRPr="002E320E">
          <w:rPr>
            <w:rStyle w:val="Hyperlink"/>
            <w:rFonts w:ascii="Arial" w:hAnsi="Arial" w:cs="Arial"/>
            <w:sz w:val="22"/>
            <w:szCs w:val="22"/>
            <w:lang w:val="en-US"/>
          </w:rPr>
          <w:t>www.icrc.act.gov.au</w:t>
        </w:r>
      </w:hyperlink>
      <w:r w:rsidR="00592276" w:rsidRPr="002E320E">
        <w:rPr>
          <w:rFonts w:ascii="Arial" w:hAnsi="Arial" w:cs="Arial"/>
          <w:color w:val="000000"/>
          <w:sz w:val="22"/>
          <w:szCs w:val="22"/>
          <w:lang w:val="en-US"/>
        </w:rPr>
        <w:t>)</w:t>
      </w:r>
      <w:r w:rsidR="00592276">
        <w:rPr>
          <w:rFonts w:ascii="Arial" w:hAnsi="Arial" w:cs="Arial"/>
          <w:color w:val="000000"/>
          <w:sz w:val="22"/>
          <w:szCs w:val="22"/>
          <w:lang w:val="en-US"/>
        </w:rPr>
        <w:t xml:space="preserve">. These documents are also available </w:t>
      </w:r>
      <w:r w:rsidRPr="002E320E">
        <w:rPr>
          <w:rFonts w:ascii="Arial" w:hAnsi="Arial" w:cs="Arial"/>
          <w:color w:val="000000"/>
          <w:sz w:val="22"/>
          <w:szCs w:val="22"/>
          <w:lang w:val="en-US"/>
        </w:rPr>
        <w:t xml:space="preserve">for inspection by members of the public between 9:00 am and 5:00 pm, Monday to Friday, at the </w:t>
      </w:r>
      <w:r w:rsidR="00376367">
        <w:rPr>
          <w:rFonts w:ascii="Arial" w:hAnsi="Arial" w:cs="Arial"/>
          <w:color w:val="000000"/>
          <w:sz w:val="22"/>
          <w:szCs w:val="22"/>
          <w:lang w:val="en-US"/>
        </w:rPr>
        <w:t>ICRC</w:t>
      </w:r>
      <w:r w:rsidR="00376367" w:rsidRPr="002E320E">
        <w:rPr>
          <w:rFonts w:ascii="Arial" w:hAnsi="Arial" w:cs="Arial"/>
          <w:color w:val="000000"/>
          <w:sz w:val="22"/>
          <w:szCs w:val="22"/>
          <w:lang w:val="en-US"/>
        </w:rPr>
        <w:t xml:space="preserve">’s </w:t>
      </w:r>
      <w:r w:rsidRPr="002E320E">
        <w:rPr>
          <w:rFonts w:ascii="Arial" w:hAnsi="Arial" w:cs="Arial"/>
          <w:color w:val="000000"/>
          <w:sz w:val="22"/>
          <w:szCs w:val="22"/>
          <w:lang w:val="en-US"/>
        </w:rPr>
        <w:t>offices at Level 8, 221 London Circuit, Canberra City ACT</w:t>
      </w:r>
      <w:r w:rsidR="00D10DC4">
        <w:rPr>
          <w:rFonts w:ascii="Arial" w:hAnsi="Arial" w:cs="Arial"/>
          <w:color w:val="000000"/>
          <w:sz w:val="22"/>
          <w:szCs w:val="22"/>
          <w:lang w:val="en-US"/>
        </w:rPr>
        <w:t xml:space="preserve">. Hard copies can be made available on request. </w:t>
      </w:r>
      <w:r w:rsidRPr="002E320E">
        <w:rPr>
          <w:rFonts w:ascii="Arial" w:hAnsi="Arial" w:cs="Arial"/>
          <w:color w:val="000000"/>
          <w:sz w:val="22"/>
          <w:szCs w:val="22"/>
          <w:lang w:val="en-US"/>
        </w:rPr>
        <w:t xml:space="preserve"> </w:t>
      </w:r>
    </w:p>
    <w:p w14:paraId="12F25736" w14:textId="77777777" w:rsidR="00A100D2" w:rsidRPr="00EA02CF" w:rsidRDefault="00567109" w:rsidP="00EA02CF">
      <w:pPr>
        <w:pStyle w:val="Heading2"/>
        <w:rPr>
          <w:rFonts w:ascii="Arial" w:hAnsi="Arial" w:cs="Arial"/>
          <w:sz w:val="22"/>
          <w:szCs w:val="22"/>
          <w:lang w:val="en-US"/>
        </w:rPr>
      </w:pPr>
      <w:r w:rsidRPr="00EA02CF">
        <w:rPr>
          <w:rFonts w:ascii="Arial" w:hAnsi="Arial" w:cs="Arial"/>
          <w:sz w:val="22"/>
          <w:szCs w:val="22"/>
          <w:lang w:val="en-US"/>
        </w:rPr>
        <w:t>Revocation and remaking of Code</w:t>
      </w:r>
    </w:p>
    <w:p w14:paraId="760880D7" w14:textId="26ADA3C6" w:rsidR="004100EE" w:rsidRDefault="00182CE4" w:rsidP="008402CA">
      <w:pPr>
        <w:spacing w:afterLines="120" w:after="288"/>
        <w:rPr>
          <w:rFonts w:ascii="Arial" w:hAnsi="Arial" w:cs="Arial"/>
          <w:sz w:val="22"/>
          <w:szCs w:val="22"/>
        </w:rPr>
      </w:pPr>
      <w:r w:rsidRPr="008402CA">
        <w:rPr>
          <w:rFonts w:ascii="Arial" w:hAnsi="Arial" w:cs="Arial"/>
          <w:iCs/>
          <w:sz w:val="22"/>
          <w:szCs w:val="22"/>
        </w:rPr>
        <w:t>This</w:t>
      </w:r>
      <w:r w:rsidR="00567109" w:rsidRPr="008402CA">
        <w:rPr>
          <w:rFonts w:ascii="Arial" w:hAnsi="Arial" w:cs="Arial"/>
          <w:iCs/>
          <w:sz w:val="22"/>
          <w:szCs w:val="22"/>
        </w:rPr>
        <w:t xml:space="preserve"> Disallowable Instrument revokes the Code determined by the Commission under the </w:t>
      </w:r>
      <w:r w:rsidR="004E7C58" w:rsidRPr="008402CA">
        <w:rPr>
          <w:rFonts w:ascii="Arial" w:hAnsi="Arial" w:cs="Arial"/>
          <w:i/>
          <w:iCs/>
          <w:sz w:val="22"/>
          <w:szCs w:val="22"/>
        </w:rPr>
        <w:t>Utilities (Consumer Protection Code) Determination 20</w:t>
      </w:r>
      <w:r w:rsidR="00EC0E37" w:rsidRPr="008402CA">
        <w:rPr>
          <w:rFonts w:ascii="Arial" w:hAnsi="Arial" w:cs="Arial"/>
          <w:i/>
          <w:iCs/>
          <w:sz w:val="22"/>
          <w:szCs w:val="22"/>
        </w:rPr>
        <w:t>12</w:t>
      </w:r>
      <w:r w:rsidR="00FC743D" w:rsidRPr="008402CA">
        <w:rPr>
          <w:rFonts w:ascii="Arial" w:hAnsi="Arial" w:cs="Arial"/>
          <w:iCs/>
          <w:sz w:val="22"/>
          <w:szCs w:val="22"/>
        </w:rPr>
        <w:t>, DI201</w:t>
      </w:r>
      <w:r w:rsidR="00EC0E37" w:rsidRPr="008402CA">
        <w:rPr>
          <w:rFonts w:ascii="Arial" w:hAnsi="Arial" w:cs="Arial"/>
          <w:iCs/>
          <w:sz w:val="22"/>
          <w:szCs w:val="22"/>
        </w:rPr>
        <w:t>2</w:t>
      </w:r>
      <w:r w:rsidR="00FC743D" w:rsidRPr="008402CA">
        <w:rPr>
          <w:rFonts w:ascii="Arial" w:hAnsi="Arial" w:cs="Arial"/>
          <w:iCs/>
          <w:sz w:val="22"/>
          <w:szCs w:val="22"/>
        </w:rPr>
        <w:t>-1</w:t>
      </w:r>
      <w:r w:rsidR="00EC0E37" w:rsidRPr="008402CA">
        <w:rPr>
          <w:rFonts w:ascii="Arial" w:hAnsi="Arial" w:cs="Arial"/>
          <w:iCs/>
          <w:sz w:val="22"/>
          <w:szCs w:val="22"/>
        </w:rPr>
        <w:t>49</w:t>
      </w:r>
      <w:r w:rsidR="00FC743D" w:rsidRPr="008402CA">
        <w:rPr>
          <w:rFonts w:ascii="Arial" w:hAnsi="Arial" w:cs="Arial"/>
          <w:iCs/>
          <w:sz w:val="22"/>
          <w:szCs w:val="22"/>
        </w:rPr>
        <w:t xml:space="preserve"> </w:t>
      </w:r>
      <w:r w:rsidR="00567109" w:rsidRPr="008402CA">
        <w:rPr>
          <w:rFonts w:ascii="Arial" w:hAnsi="Arial" w:cs="Arial"/>
          <w:iCs/>
          <w:sz w:val="22"/>
          <w:szCs w:val="22"/>
        </w:rPr>
        <w:t>and determines a new Code as set out in the Attachment to the Disallowable Instrument</w:t>
      </w:r>
      <w:r w:rsidR="00567109" w:rsidRPr="008402CA">
        <w:rPr>
          <w:rFonts w:ascii="Arial" w:hAnsi="Arial" w:cs="Arial"/>
          <w:sz w:val="22"/>
          <w:szCs w:val="22"/>
        </w:rPr>
        <w:t xml:space="preserve">. </w:t>
      </w:r>
    </w:p>
    <w:p w14:paraId="0E800B2A" w14:textId="40F4528E" w:rsidR="002E320E" w:rsidRPr="008402CA" w:rsidRDefault="002E320E" w:rsidP="008402CA">
      <w:pPr>
        <w:pStyle w:val="BodyText3"/>
        <w:spacing w:afterLines="120" w:after="288"/>
        <w:rPr>
          <w:rFonts w:ascii="Arial" w:hAnsi="Arial" w:cs="Arial"/>
          <w:sz w:val="22"/>
          <w:szCs w:val="22"/>
        </w:rPr>
      </w:pPr>
      <w:r w:rsidRPr="008402CA">
        <w:rPr>
          <w:rFonts w:ascii="Arial" w:hAnsi="Arial" w:cs="Arial"/>
          <w:sz w:val="22"/>
          <w:szCs w:val="22"/>
        </w:rPr>
        <w:t xml:space="preserve">Details of the Consumer Protection Code, as </w:t>
      </w:r>
      <w:r w:rsidR="00C91F75">
        <w:rPr>
          <w:rFonts w:ascii="Arial" w:hAnsi="Arial" w:cs="Arial"/>
          <w:sz w:val="22"/>
          <w:szCs w:val="22"/>
        </w:rPr>
        <w:t>set out in the Disallowable Instrument</w:t>
      </w:r>
      <w:r w:rsidRPr="008402CA">
        <w:rPr>
          <w:rFonts w:ascii="Arial" w:hAnsi="Arial" w:cs="Arial"/>
          <w:sz w:val="22"/>
          <w:szCs w:val="22"/>
        </w:rPr>
        <w:t>, are:</w:t>
      </w:r>
    </w:p>
    <w:p w14:paraId="61390932" w14:textId="77777777" w:rsidR="002E320E" w:rsidRPr="008402CA" w:rsidRDefault="002E320E" w:rsidP="008402CA">
      <w:pPr>
        <w:pStyle w:val="clauseheader"/>
        <w:spacing w:before="60" w:afterLines="120" w:after="288"/>
        <w:rPr>
          <w:sz w:val="22"/>
          <w:szCs w:val="22"/>
        </w:rPr>
      </w:pPr>
      <w:r w:rsidRPr="008402CA">
        <w:rPr>
          <w:sz w:val="22"/>
          <w:szCs w:val="22"/>
        </w:rPr>
        <w:t>Part 1 - Preliminary</w:t>
      </w:r>
    </w:p>
    <w:p w14:paraId="6422B32E" w14:textId="38FFCA4C" w:rsidR="002E320E" w:rsidRPr="008402CA" w:rsidRDefault="002E320E" w:rsidP="008402CA">
      <w:pPr>
        <w:pStyle w:val="BodyText"/>
        <w:spacing w:before="60" w:afterLines="120" w:after="288"/>
        <w:rPr>
          <w:rFonts w:ascii="Arial" w:hAnsi="Arial" w:cs="Arial"/>
          <w:sz w:val="22"/>
          <w:szCs w:val="22"/>
        </w:rPr>
      </w:pPr>
      <w:r w:rsidRPr="00376367">
        <w:rPr>
          <w:rFonts w:ascii="Arial" w:hAnsi="Arial" w:cs="Arial"/>
          <w:sz w:val="22"/>
          <w:szCs w:val="22"/>
        </w:rPr>
        <w:t xml:space="preserve">Clauses 1, 2 and 3 </w:t>
      </w:r>
      <w:r w:rsidR="009315A9">
        <w:rPr>
          <w:rFonts w:ascii="Arial" w:hAnsi="Arial" w:cs="Arial"/>
          <w:sz w:val="22"/>
          <w:szCs w:val="22"/>
        </w:rPr>
        <w:t>give</w:t>
      </w:r>
      <w:r w:rsidR="009315A9" w:rsidRPr="008402CA">
        <w:rPr>
          <w:rFonts w:ascii="Arial" w:hAnsi="Arial" w:cs="Arial"/>
          <w:sz w:val="22"/>
          <w:szCs w:val="22"/>
        </w:rPr>
        <w:t xml:space="preserve"> </w:t>
      </w:r>
      <w:r w:rsidR="00847D75" w:rsidRPr="008402CA">
        <w:rPr>
          <w:rFonts w:ascii="Arial" w:hAnsi="Arial" w:cs="Arial"/>
          <w:sz w:val="22"/>
          <w:szCs w:val="22"/>
        </w:rPr>
        <w:t xml:space="preserve">an introduction and </w:t>
      </w:r>
      <w:r w:rsidRPr="008402CA">
        <w:rPr>
          <w:rFonts w:ascii="Arial" w:hAnsi="Arial" w:cs="Arial"/>
          <w:sz w:val="22"/>
          <w:szCs w:val="22"/>
        </w:rPr>
        <w:t xml:space="preserve">deal with </w:t>
      </w:r>
      <w:r w:rsidR="00C91F75">
        <w:rPr>
          <w:rFonts w:ascii="Arial" w:hAnsi="Arial" w:cs="Arial"/>
          <w:sz w:val="22"/>
          <w:szCs w:val="22"/>
        </w:rPr>
        <w:t xml:space="preserve">the </w:t>
      </w:r>
      <w:r w:rsidR="00847D75" w:rsidRPr="008402CA">
        <w:rPr>
          <w:rFonts w:ascii="Arial" w:hAnsi="Arial" w:cs="Arial"/>
          <w:sz w:val="22"/>
          <w:szCs w:val="22"/>
        </w:rPr>
        <w:t xml:space="preserve">application of the </w:t>
      </w:r>
      <w:r w:rsidR="00C91F75">
        <w:rPr>
          <w:rFonts w:ascii="Arial" w:hAnsi="Arial" w:cs="Arial"/>
          <w:sz w:val="22"/>
          <w:szCs w:val="22"/>
        </w:rPr>
        <w:t>C</w:t>
      </w:r>
      <w:r w:rsidR="00847D75" w:rsidRPr="008402CA">
        <w:rPr>
          <w:rFonts w:ascii="Arial" w:hAnsi="Arial" w:cs="Arial"/>
          <w:sz w:val="22"/>
          <w:szCs w:val="22"/>
        </w:rPr>
        <w:t xml:space="preserve">ode, </w:t>
      </w:r>
      <w:r w:rsidRPr="008402CA">
        <w:rPr>
          <w:rFonts w:ascii="Arial" w:hAnsi="Arial" w:cs="Arial"/>
          <w:sz w:val="22"/>
          <w:szCs w:val="22"/>
        </w:rPr>
        <w:t xml:space="preserve">purpose, </w:t>
      </w:r>
      <w:r w:rsidR="00847D75" w:rsidRPr="008402CA">
        <w:rPr>
          <w:rFonts w:ascii="Arial" w:hAnsi="Arial" w:cs="Arial"/>
          <w:sz w:val="22"/>
          <w:szCs w:val="22"/>
        </w:rPr>
        <w:t xml:space="preserve">format and </w:t>
      </w:r>
      <w:r w:rsidRPr="008402CA">
        <w:rPr>
          <w:rFonts w:ascii="Arial" w:hAnsi="Arial" w:cs="Arial"/>
          <w:sz w:val="22"/>
          <w:szCs w:val="22"/>
        </w:rPr>
        <w:t xml:space="preserve">relationship with other laws. Clause </w:t>
      </w:r>
      <w:r w:rsidR="00847D75" w:rsidRPr="008402CA">
        <w:rPr>
          <w:rFonts w:ascii="Arial" w:hAnsi="Arial" w:cs="Arial"/>
          <w:sz w:val="22"/>
          <w:szCs w:val="22"/>
        </w:rPr>
        <w:t>2.2</w:t>
      </w:r>
      <w:r w:rsidRPr="008402CA">
        <w:rPr>
          <w:rFonts w:ascii="Arial" w:hAnsi="Arial" w:cs="Arial"/>
          <w:sz w:val="22"/>
          <w:szCs w:val="22"/>
        </w:rPr>
        <w:t xml:space="preserve"> defines consumers and customers of utility services</w:t>
      </w:r>
      <w:r w:rsidR="00C91F75">
        <w:rPr>
          <w:rFonts w:ascii="Arial" w:hAnsi="Arial" w:cs="Arial"/>
          <w:sz w:val="22"/>
          <w:szCs w:val="22"/>
        </w:rPr>
        <w:t>, and notes t</w:t>
      </w:r>
      <w:r w:rsidRPr="008402CA">
        <w:rPr>
          <w:rFonts w:ascii="Arial" w:hAnsi="Arial" w:cs="Arial"/>
          <w:sz w:val="22"/>
          <w:szCs w:val="22"/>
        </w:rPr>
        <w:t xml:space="preserve">hat </w:t>
      </w:r>
      <w:r w:rsidR="00AC4020">
        <w:rPr>
          <w:rFonts w:ascii="Arial" w:hAnsi="Arial" w:cs="Arial"/>
          <w:sz w:val="22"/>
          <w:szCs w:val="22"/>
        </w:rPr>
        <w:t xml:space="preserve">there is a difference between </w:t>
      </w:r>
      <w:r w:rsidRPr="008402CA">
        <w:rPr>
          <w:rFonts w:ascii="Arial" w:hAnsi="Arial" w:cs="Arial"/>
          <w:sz w:val="22"/>
          <w:szCs w:val="22"/>
        </w:rPr>
        <w:t xml:space="preserve">customers </w:t>
      </w:r>
      <w:r w:rsidR="00AC4020">
        <w:rPr>
          <w:rFonts w:ascii="Arial" w:hAnsi="Arial" w:cs="Arial"/>
          <w:sz w:val="22"/>
          <w:szCs w:val="22"/>
        </w:rPr>
        <w:t xml:space="preserve">and </w:t>
      </w:r>
      <w:r w:rsidRPr="008402CA">
        <w:rPr>
          <w:rFonts w:ascii="Arial" w:hAnsi="Arial" w:cs="Arial"/>
          <w:sz w:val="22"/>
          <w:szCs w:val="22"/>
        </w:rPr>
        <w:t>consumers</w:t>
      </w:r>
      <w:r w:rsidR="00AC4020">
        <w:rPr>
          <w:rFonts w:ascii="Arial" w:hAnsi="Arial" w:cs="Arial"/>
          <w:sz w:val="22"/>
          <w:szCs w:val="22"/>
        </w:rPr>
        <w:t xml:space="preserve">, and that </w:t>
      </w:r>
      <w:r w:rsidRPr="008402CA">
        <w:rPr>
          <w:rFonts w:ascii="Arial" w:hAnsi="Arial" w:cs="Arial"/>
          <w:sz w:val="22"/>
          <w:szCs w:val="22"/>
        </w:rPr>
        <w:t xml:space="preserve">not all consumers are customers. A distinction between the two has </w:t>
      </w:r>
      <w:r w:rsidR="00AC4020">
        <w:rPr>
          <w:rFonts w:ascii="Arial" w:hAnsi="Arial" w:cs="Arial"/>
          <w:sz w:val="22"/>
          <w:szCs w:val="22"/>
        </w:rPr>
        <w:t xml:space="preserve">been </w:t>
      </w:r>
      <w:r w:rsidRPr="008402CA">
        <w:rPr>
          <w:rFonts w:ascii="Arial" w:hAnsi="Arial" w:cs="Arial"/>
          <w:sz w:val="22"/>
          <w:szCs w:val="22"/>
        </w:rPr>
        <w:t>made in parts of the code.</w:t>
      </w:r>
    </w:p>
    <w:p w14:paraId="098B2685" w14:textId="19289DD3" w:rsidR="00847D75" w:rsidRPr="008402CA" w:rsidRDefault="00847D75" w:rsidP="008402CA">
      <w:pPr>
        <w:pStyle w:val="clauseheader"/>
        <w:spacing w:before="60" w:afterLines="120" w:after="288"/>
        <w:rPr>
          <w:sz w:val="22"/>
          <w:szCs w:val="22"/>
        </w:rPr>
      </w:pPr>
      <w:r w:rsidRPr="008402CA">
        <w:rPr>
          <w:sz w:val="22"/>
          <w:szCs w:val="22"/>
        </w:rPr>
        <w:t xml:space="preserve">Part 2 </w:t>
      </w:r>
    </w:p>
    <w:p w14:paraId="083806B3" w14:textId="48008A2B" w:rsidR="008C10CA" w:rsidRPr="008402CA" w:rsidRDefault="00C91F75" w:rsidP="008402CA">
      <w:pPr>
        <w:spacing w:before="60" w:afterLines="120" w:after="288"/>
        <w:rPr>
          <w:rFonts w:ascii="Arial" w:hAnsi="Arial" w:cs="Arial"/>
          <w:sz w:val="22"/>
          <w:szCs w:val="22"/>
        </w:rPr>
      </w:pPr>
      <w:r>
        <w:rPr>
          <w:rFonts w:ascii="Arial" w:hAnsi="Arial" w:cs="Arial"/>
          <w:sz w:val="22"/>
          <w:szCs w:val="22"/>
        </w:rPr>
        <w:t>Part 2</w:t>
      </w:r>
      <w:r w:rsidR="00847D75" w:rsidRPr="008402CA">
        <w:rPr>
          <w:rFonts w:ascii="Arial" w:hAnsi="Arial" w:cs="Arial"/>
          <w:sz w:val="22"/>
          <w:szCs w:val="22"/>
        </w:rPr>
        <w:t xml:space="preserve"> outlines matters that relate to the protection of customers and consumers that utilities must comply with in </w:t>
      </w:r>
      <w:r w:rsidR="009315A9">
        <w:rPr>
          <w:rFonts w:ascii="Arial" w:hAnsi="Arial" w:cs="Arial"/>
          <w:sz w:val="22"/>
          <w:szCs w:val="22"/>
        </w:rPr>
        <w:t>providing</w:t>
      </w:r>
      <w:r w:rsidR="00847D75" w:rsidRPr="008402CA">
        <w:rPr>
          <w:rFonts w:ascii="Arial" w:hAnsi="Arial" w:cs="Arial"/>
          <w:sz w:val="22"/>
          <w:szCs w:val="22"/>
        </w:rPr>
        <w:t xml:space="preserve"> utility services. The provisions in this part apply to all licensed utilities</w:t>
      </w:r>
      <w:r w:rsidR="008C10CA" w:rsidRPr="008402CA">
        <w:rPr>
          <w:rFonts w:ascii="Arial" w:hAnsi="Arial" w:cs="Arial"/>
          <w:sz w:val="22"/>
          <w:szCs w:val="22"/>
        </w:rPr>
        <w:t xml:space="preserve"> and, subject to Schedule 3, to </w:t>
      </w:r>
      <w:r w:rsidR="00376367">
        <w:rPr>
          <w:rFonts w:ascii="Arial" w:hAnsi="Arial" w:cs="Arial"/>
          <w:sz w:val="22"/>
          <w:szCs w:val="22"/>
        </w:rPr>
        <w:t>National Energy Retail Law (</w:t>
      </w:r>
      <w:r w:rsidR="008C10CA" w:rsidRPr="008402CA">
        <w:rPr>
          <w:rFonts w:ascii="Arial" w:hAnsi="Arial" w:cs="Arial"/>
          <w:sz w:val="22"/>
          <w:szCs w:val="22"/>
        </w:rPr>
        <w:t>NERL</w:t>
      </w:r>
      <w:r w:rsidR="00376367">
        <w:rPr>
          <w:rFonts w:ascii="Arial" w:hAnsi="Arial" w:cs="Arial"/>
          <w:sz w:val="22"/>
          <w:szCs w:val="22"/>
        </w:rPr>
        <w:t>)</w:t>
      </w:r>
      <w:r w:rsidR="008C10CA" w:rsidRPr="008402CA">
        <w:rPr>
          <w:rFonts w:ascii="Arial" w:hAnsi="Arial" w:cs="Arial"/>
          <w:sz w:val="22"/>
          <w:szCs w:val="22"/>
        </w:rPr>
        <w:t xml:space="preserve"> retailers</w:t>
      </w:r>
      <w:r w:rsidR="00847D75" w:rsidRPr="008402CA">
        <w:rPr>
          <w:rFonts w:ascii="Arial" w:hAnsi="Arial" w:cs="Arial"/>
          <w:sz w:val="22"/>
          <w:szCs w:val="22"/>
        </w:rPr>
        <w:t xml:space="preserve">. </w:t>
      </w:r>
    </w:p>
    <w:p w14:paraId="5C80C240" w14:textId="7E8CFB41" w:rsidR="008C10CA" w:rsidRPr="008402CA" w:rsidRDefault="008C10CA" w:rsidP="008402CA">
      <w:pPr>
        <w:pStyle w:val="clauseheader"/>
        <w:spacing w:before="60" w:afterLines="120" w:after="288"/>
        <w:rPr>
          <w:sz w:val="22"/>
          <w:szCs w:val="22"/>
        </w:rPr>
      </w:pPr>
      <w:r w:rsidRPr="008402CA">
        <w:rPr>
          <w:sz w:val="22"/>
          <w:szCs w:val="22"/>
        </w:rPr>
        <w:lastRenderedPageBreak/>
        <w:t xml:space="preserve">Part 2.1 – Obligations of the </w:t>
      </w:r>
      <w:r w:rsidR="001207BE">
        <w:rPr>
          <w:sz w:val="22"/>
          <w:szCs w:val="22"/>
        </w:rPr>
        <w:t>u</w:t>
      </w:r>
      <w:r w:rsidRPr="008402CA">
        <w:rPr>
          <w:sz w:val="22"/>
          <w:szCs w:val="22"/>
        </w:rPr>
        <w:t>tility</w:t>
      </w:r>
    </w:p>
    <w:p w14:paraId="34D128B8" w14:textId="311BD892" w:rsidR="008C10CA" w:rsidRPr="008402CA" w:rsidRDefault="008C10CA" w:rsidP="008402CA">
      <w:pPr>
        <w:spacing w:before="60" w:afterLines="120" w:after="288"/>
        <w:rPr>
          <w:rFonts w:ascii="Arial" w:hAnsi="Arial" w:cs="Arial"/>
          <w:sz w:val="22"/>
          <w:szCs w:val="22"/>
        </w:rPr>
      </w:pPr>
      <w:r w:rsidRPr="008402CA">
        <w:rPr>
          <w:rFonts w:ascii="Arial" w:hAnsi="Arial" w:cs="Arial"/>
          <w:sz w:val="22"/>
          <w:szCs w:val="22"/>
        </w:rPr>
        <w:t>Clause 4 refers to utilities</w:t>
      </w:r>
      <w:r w:rsidR="00A743C5">
        <w:rPr>
          <w:rFonts w:ascii="Arial" w:hAnsi="Arial" w:cs="Arial"/>
          <w:sz w:val="22"/>
          <w:szCs w:val="22"/>
        </w:rPr>
        <w:t>’</w:t>
      </w:r>
      <w:r w:rsidRPr="008402CA">
        <w:rPr>
          <w:rFonts w:ascii="Arial" w:hAnsi="Arial" w:cs="Arial"/>
          <w:sz w:val="22"/>
          <w:szCs w:val="22"/>
        </w:rPr>
        <w:t xml:space="preserve"> </w:t>
      </w:r>
      <w:r w:rsidR="005C03E3" w:rsidRPr="008402CA">
        <w:rPr>
          <w:rFonts w:ascii="Arial" w:hAnsi="Arial" w:cs="Arial"/>
          <w:sz w:val="22"/>
          <w:szCs w:val="22"/>
        </w:rPr>
        <w:t xml:space="preserve">obligations, including </w:t>
      </w:r>
      <w:r w:rsidRPr="008402CA">
        <w:rPr>
          <w:rFonts w:ascii="Arial" w:hAnsi="Arial" w:cs="Arial"/>
          <w:sz w:val="22"/>
          <w:szCs w:val="22"/>
        </w:rPr>
        <w:t>monitoring and reporting</w:t>
      </w:r>
      <w:r w:rsidR="005C03E3" w:rsidRPr="008402CA">
        <w:rPr>
          <w:rFonts w:ascii="Arial" w:hAnsi="Arial" w:cs="Arial"/>
          <w:sz w:val="22"/>
          <w:szCs w:val="22"/>
        </w:rPr>
        <w:t xml:space="preserve"> compliance, obligations under a utility licence and responsibility for conduct of agents</w:t>
      </w:r>
      <w:r w:rsidR="003839A8" w:rsidRPr="008402CA">
        <w:rPr>
          <w:rFonts w:ascii="Arial" w:hAnsi="Arial" w:cs="Arial"/>
          <w:sz w:val="22"/>
          <w:szCs w:val="22"/>
        </w:rPr>
        <w:t xml:space="preserve">. Clause 4.1 is a new clause and is intended to clarify that all utilities, including NERL retailers, are required to monitor and report compliance against the </w:t>
      </w:r>
      <w:r w:rsidR="00A743C5">
        <w:rPr>
          <w:rFonts w:ascii="Arial" w:hAnsi="Arial" w:cs="Arial"/>
          <w:sz w:val="22"/>
          <w:szCs w:val="22"/>
        </w:rPr>
        <w:t>c</w:t>
      </w:r>
      <w:r w:rsidR="003839A8" w:rsidRPr="008402CA">
        <w:rPr>
          <w:rFonts w:ascii="Arial" w:hAnsi="Arial" w:cs="Arial"/>
          <w:sz w:val="22"/>
          <w:szCs w:val="22"/>
        </w:rPr>
        <w:t xml:space="preserve">ode to the </w:t>
      </w:r>
      <w:r w:rsidR="00A743C5">
        <w:rPr>
          <w:rFonts w:ascii="Arial" w:hAnsi="Arial" w:cs="Arial"/>
          <w:sz w:val="22"/>
          <w:szCs w:val="22"/>
        </w:rPr>
        <w:t xml:space="preserve">Commission </w:t>
      </w:r>
      <w:r w:rsidR="003839A8" w:rsidRPr="008402CA">
        <w:rPr>
          <w:rFonts w:ascii="Arial" w:hAnsi="Arial" w:cs="Arial"/>
          <w:sz w:val="22"/>
          <w:szCs w:val="22"/>
        </w:rPr>
        <w:t>annually.</w:t>
      </w:r>
    </w:p>
    <w:p w14:paraId="518B506F" w14:textId="08F2E5E2" w:rsidR="003839A8" w:rsidRPr="008402CA" w:rsidRDefault="003839A8" w:rsidP="008402CA">
      <w:pPr>
        <w:pStyle w:val="clauseheader"/>
        <w:spacing w:before="60" w:afterLines="120" w:after="288"/>
        <w:rPr>
          <w:sz w:val="22"/>
          <w:szCs w:val="22"/>
        </w:rPr>
      </w:pPr>
      <w:r w:rsidRPr="008402CA">
        <w:rPr>
          <w:sz w:val="22"/>
          <w:szCs w:val="22"/>
        </w:rPr>
        <w:t xml:space="preserve">Part 2.2 – Protection of </w:t>
      </w:r>
      <w:r w:rsidR="001207BE">
        <w:rPr>
          <w:sz w:val="22"/>
          <w:szCs w:val="22"/>
        </w:rPr>
        <w:t>c</w:t>
      </w:r>
      <w:r w:rsidRPr="008402CA">
        <w:rPr>
          <w:sz w:val="22"/>
          <w:szCs w:val="22"/>
        </w:rPr>
        <w:t xml:space="preserve">ustomers and </w:t>
      </w:r>
      <w:r w:rsidR="001207BE">
        <w:rPr>
          <w:sz w:val="22"/>
          <w:szCs w:val="22"/>
        </w:rPr>
        <w:t>c</w:t>
      </w:r>
      <w:r w:rsidRPr="008402CA">
        <w:rPr>
          <w:sz w:val="22"/>
          <w:szCs w:val="22"/>
        </w:rPr>
        <w:t>onsumers</w:t>
      </w:r>
    </w:p>
    <w:p w14:paraId="7E37D8AB" w14:textId="28F50CEF" w:rsidR="003839A8" w:rsidRPr="008402CA" w:rsidRDefault="003839A8" w:rsidP="008402CA">
      <w:pPr>
        <w:pStyle w:val="clauseheader"/>
        <w:spacing w:before="60" w:afterLines="120" w:after="288"/>
        <w:rPr>
          <w:b w:val="0"/>
          <w:bCs w:val="0"/>
          <w:sz w:val="22"/>
          <w:szCs w:val="22"/>
        </w:rPr>
      </w:pPr>
      <w:r w:rsidRPr="008402CA">
        <w:rPr>
          <w:b w:val="0"/>
          <w:bCs w:val="0"/>
          <w:sz w:val="22"/>
          <w:szCs w:val="22"/>
        </w:rPr>
        <w:t>Part 2.2 outlines matters that apply to all customers and consumers</w:t>
      </w:r>
      <w:r w:rsidR="009315A9">
        <w:rPr>
          <w:b w:val="0"/>
          <w:bCs w:val="0"/>
          <w:sz w:val="22"/>
          <w:szCs w:val="22"/>
        </w:rPr>
        <w:t>.</w:t>
      </w:r>
      <w:r w:rsidRPr="008402CA">
        <w:rPr>
          <w:b w:val="0"/>
          <w:bCs w:val="0"/>
          <w:sz w:val="22"/>
          <w:szCs w:val="22"/>
        </w:rPr>
        <w:t xml:space="preserve"> </w:t>
      </w:r>
      <w:r w:rsidR="009315A9">
        <w:rPr>
          <w:b w:val="0"/>
          <w:bCs w:val="0"/>
          <w:sz w:val="22"/>
          <w:szCs w:val="22"/>
        </w:rPr>
        <w:t>I</w:t>
      </w:r>
      <w:r w:rsidRPr="008402CA">
        <w:rPr>
          <w:b w:val="0"/>
          <w:bCs w:val="0"/>
          <w:sz w:val="22"/>
          <w:szCs w:val="22"/>
        </w:rPr>
        <w:t>t differs to part 2.3 which applies to customers only.</w:t>
      </w:r>
    </w:p>
    <w:p w14:paraId="730D11A6" w14:textId="1804262A" w:rsidR="00337B87" w:rsidRDefault="003839A8" w:rsidP="00815733">
      <w:pPr>
        <w:spacing w:before="60"/>
        <w:rPr>
          <w:rFonts w:ascii="Arial" w:hAnsi="Arial" w:cs="Arial"/>
          <w:sz w:val="22"/>
          <w:szCs w:val="22"/>
        </w:rPr>
      </w:pPr>
      <w:r w:rsidRPr="008402CA">
        <w:rPr>
          <w:rFonts w:ascii="Arial" w:hAnsi="Arial" w:cs="Arial"/>
          <w:sz w:val="22"/>
          <w:szCs w:val="22"/>
        </w:rPr>
        <w:t xml:space="preserve">Clause 5 outlines how utilities should behave towards all </w:t>
      </w:r>
      <w:r w:rsidR="00EE2413" w:rsidRPr="008402CA">
        <w:rPr>
          <w:rFonts w:ascii="Arial" w:hAnsi="Arial" w:cs="Arial"/>
          <w:sz w:val="22"/>
          <w:szCs w:val="22"/>
        </w:rPr>
        <w:t xml:space="preserve">customers and </w:t>
      </w:r>
      <w:r w:rsidRPr="008402CA">
        <w:rPr>
          <w:rFonts w:ascii="Arial" w:hAnsi="Arial" w:cs="Arial"/>
          <w:sz w:val="22"/>
          <w:szCs w:val="22"/>
        </w:rPr>
        <w:t xml:space="preserve">consumers, including </w:t>
      </w:r>
      <w:r w:rsidR="00EE2413" w:rsidRPr="008402CA">
        <w:rPr>
          <w:rFonts w:ascii="Arial" w:hAnsi="Arial" w:cs="Arial"/>
          <w:sz w:val="22"/>
          <w:szCs w:val="22"/>
        </w:rPr>
        <w:t xml:space="preserve">permissible contact times, timely attendance at appointments and requirements to identify themselves before entering premises. </w:t>
      </w:r>
      <w:r w:rsidR="00090BD9">
        <w:rPr>
          <w:rFonts w:ascii="Arial" w:hAnsi="Arial" w:cs="Arial"/>
          <w:sz w:val="22"/>
          <w:szCs w:val="22"/>
        </w:rPr>
        <w:t>Utilities</w:t>
      </w:r>
      <w:r w:rsidR="009315A9">
        <w:rPr>
          <w:rFonts w:ascii="Arial" w:hAnsi="Arial" w:cs="Arial"/>
          <w:sz w:val="22"/>
          <w:szCs w:val="22"/>
        </w:rPr>
        <w:t>’</w:t>
      </w:r>
      <w:r w:rsidR="00090BD9">
        <w:rPr>
          <w:rFonts w:ascii="Arial" w:hAnsi="Arial" w:cs="Arial"/>
          <w:sz w:val="22"/>
          <w:szCs w:val="22"/>
        </w:rPr>
        <w:t xml:space="preserve"> obligations are subject</w:t>
      </w:r>
      <w:r w:rsidR="002F5CCA">
        <w:rPr>
          <w:rFonts w:ascii="Arial" w:hAnsi="Arial" w:cs="Arial"/>
          <w:sz w:val="22"/>
          <w:szCs w:val="22"/>
        </w:rPr>
        <w:t>, to the extent the information is relevant to the obligation,</w:t>
      </w:r>
      <w:r w:rsidR="00090BD9">
        <w:rPr>
          <w:rFonts w:ascii="Arial" w:hAnsi="Arial" w:cs="Arial"/>
          <w:sz w:val="22"/>
          <w:szCs w:val="22"/>
        </w:rPr>
        <w:t xml:space="preserve"> </w:t>
      </w:r>
      <w:r w:rsidR="00337B87">
        <w:rPr>
          <w:rFonts w:ascii="Arial" w:hAnsi="Arial" w:cs="Arial"/>
          <w:sz w:val="22"/>
          <w:szCs w:val="22"/>
        </w:rPr>
        <w:t xml:space="preserve">to </w:t>
      </w:r>
      <w:r w:rsidR="00090BD9">
        <w:rPr>
          <w:rFonts w:ascii="Arial" w:hAnsi="Arial" w:cs="Arial"/>
          <w:sz w:val="22"/>
          <w:szCs w:val="22"/>
        </w:rPr>
        <w:t>c</w:t>
      </w:r>
      <w:r w:rsidR="00EE2413" w:rsidRPr="008402CA">
        <w:rPr>
          <w:rFonts w:ascii="Arial" w:hAnsi="Arial" w:cs="Arial"/>
          <w:sz w:val="22"/>
          <w:szCs w:val="22"/>
        </w:rPr>
        <w:t>ustomers and c</w:t>
      </w:r>
      <w:r w:rsidRPr="008402CA">
        <w:rPr>
          <w:rFonts w:ascii="Arial" w:hAnsi="Arial" w:cs="Arial"/>
          <w:sz w:val="22"/>
          <w:szCs w:val="22"/>
        </w:rPr>
        <w:t>onsumers</w:t>
      </w:r>
      <w:r w:rsidR="00337B87">
        <w:rPr>
          <w:rFonts w:ascii="Arial" w:hAnsi="Arial" w:cs="Arial"/>
          <w:sz w:val="22"/>
          <w:szCs w:val="22"/>
        </w:rPr>
        <w:t>:</w:t>
      </w:r>
    </w:p>
    <w:p w14:paraId="395F827F" w14:textId="425251F8" w:rsidR="00337B87" w:rsidRPr="00337B87" w:rsidRDefault="002F5CCA" w:rsidP="00337B87">
      <w:pPr>
        <w:pStyle w:val="ListParagraph"/>
        <w:numPr>
          <w:ilvl w:val="0"/>
          <w:numId w:val="20"/>
        </w:numPr>
        <w:spacing w:before="60" w:afterLines="120" w:after="288"/>
        <w:rPr>
          <w:rFonts w:ascii="Arial" w:hAnsi="Arial" w:cs="Arial"/>
          <w:sz w:val="22"/>
          <w:szCs w:val="22"/>
        </w:rPr>
      </w:pPr>
      <w:r w:rsidRPr="00337B87">
        <w:rPr>
          <w:rFonts w:ascii="Arial" w:hAnsi="Arial" w:cs="Arial"/>
          <w:sz w:val="22"/>
          <w:szCs w:val="22"/>
        </w:rPr>
        <w:t xml:space="preserve">keeping the utility informed </w:t>
      </w:r>
      <w:r w:rsidR="00090BD9" w:rsidRPr="00337B87">
        <w:rPr>
          <w:rFonts w:ascii="Arial" w:hAnsi="Arial" w:cs="Arial"/>
          <w:sz w:val="22"/>
          <w:szCs w:val="22"/>
        </w:rPr>
        <w:t xml:space="preserve">of </w:t>
      </w:r>
      <w:r w:rsidRPr="00337B87">
        <w:rPr>
          <w:rFonts w:ascii="Arial" w:hAnsi="Arial" w:cs="Arial"/>
          <w:sz w:val="22"/>
          <w:szCs w:val="22"/>
        </w:rPr>
        <w:t xml:space="preserve">any changes to </w:t>
      </w:r>
      <w:r w:rsidR="003839A8" w:rsidRPr="00337B87">
        <w:rPr>
          <w:rFonts w:ascii="Arial" w:hAnsi="Arial" w:cs="Arial"/>
          <w:sz w:val="22"/>
          <w:szCs w:val="22"/>
        </w:rPr>
        <w:t xml:space="preserve">their contact </w:t>
      </w:r>
      <w:r w:rsidRPr="00337B87">
        <w:rPr>
          <w:rFonts w:ascii="Arial" w:hAnsi="Arial" w:cs="Arial"/>
          <w:sz w:val="22"/>
          <w:szCs w:val="22"/>
        </w:rPr>
        <w:t xml:space="preserve">or </w:t>
      </w:r>
      <w:r w:rsidR="003839A8" w:rsidRPr="00337B87">
        <w:rPr>
          <w:rFonts w:ascii="Arial" w:hAnsi="Arial" w:cs="Arial"/>
          <w:sz w:val="22"/>
          <w:szCs w:val="22"/>
        </w:rPr>
        <w:t>account details</w:t>
      </w:r>
      <w:r w:rsidR="00337B87" w:rsidRPr="00337B87">
        <w:rPr>
          <w:rFonts w:ascii="Arial" w:hAnsi="Arial" w:cs="Arial"/>
          <w:sz w:val="22"/>
          <w:szCs w:val="22"/>
        </w:rPr>
        <w:t>;</w:t>
      </w:r>
      <w:r w:rsidR="003839A8" w:rsidRPr="00337B87">
        <w:rPr>
          <w:rFonts w:ascii="Arial" w:hAnsi="Arial" w:cs="Arial"/>
          <w:sz w:val="22"/>
          <w:szCs w:val="22"/>
        </w:rPr>
        <w:t xml:space="preserve"> </w:t>
      </w:r>
      <w:r w:rsidR="00AC4020" w:rsidRPr="00337B87">
        <w:rPr>
          <w:rFonts w:ascii="Arial" w:hAnsi="Arial" w:cs="Arial"/>
          <w:sz w:val="22"/>
          <w:szCs w:val="22"/>
        </w:rPr>
        <w:t>and</w:t>
      </w:r>
    </w:p>
    <w:p w14:paraId="689991EE" w14:textId="2FE056A3" w:rsidR="003839A8" w:rsidRPr="00337B87" w:rsidRDefault="00AC4020" w:rsidP="00337B87">
      <w:pPr>
        <w:pStyle w:val="ListParagraph"/>
        <w:numPr>
          <w:ilvl w:val="0"/>
          <w:numId w:val="20"/>
        </w:numPr>
        <w:spacing w:before="60" w:afterLines="120" w:after="288"/>
        <w:rPr>
          <w:rFonts w:ascii="Arial" w:hAnsi="Arial" w:cs="Arial"/>
          <w:sz w:val="22"/>
          <w:szCs w:val="22"/>
        </w:rPr>
      </w:pPr>
      <w:r w:rsidRPr="00337B87">
        <w:rPr>
          <w:rFonts w:ascii="Arial" w:hAnsi="Arial" w:cs="Arial"/>
          <w:sz w:val="22"/>
          <w:szCs w:val="22"/>
        </w:rPr>
        <w:t>notify</w:t>
      </w:r>
      <w:r w:rsidR="002F5CCA" w:rsidRPr="00337B87">
        <w:rPr>
          <w:rFonts w:ascii="Arial" w:hAnsi="Arial" w:cs="Arial"/>
          <w:sz w:val="22"/>
          <w:szCs w:val="22"/>
        </w:rPr>
        <w:t>ing</w:t>
      </w:r>
      <w:r w:rsidRPr="00337B87">
        <w:rPr>
          <w:rFonts w:ascii="Arial" w:hAnsi="Arial" w:cs="Arial"/>
          <w:sz w:val="22"/>
          <w:szCs w:val="22"/>
        </w:rPr>
        <w:t xml:space="preserve"> the utility of problem</w:t>
      </w:r>
      <w:r w:rsidR="00090BD9" w:rsidRPr="00337B87">
        <w:rPr>
          <w:rFonts w:ascii="Arial" w:hAnsi="Arial" w:cs="Arial"/>
          <w:sz w:val="22"/>
          <w:szCs w:val="22"/>
        </w:rPr>
        <w:t>s</w:t>
      </w:r>
      <w:r w:rsidR="00577409" w:rsidRPr="00337B87">
        <w:rPr>
          <w:rFonts w:ascii="Arial" w:hAnsi="Arial" w:cs="Arial"/>
          <w:sz w:val="22"/>
          <w:szCs w:val="22"/>
        </w:rPr>
        <w:t xml:space="preserve"> or </w:t>
      </w:r>
      <w:r w:rsidR="00090BD9" w:rsidRPr="00337B87">
        <w:rPr>
          <w:rFonts w:ascii="Arial" w:hAnsi="Arial" w:cs="Arial"/>
          <w:sz w:val="22"/>
          <w:szCs w:val="22"/>
        </w:rPr>
        <w:t xml:space="preserve">faults </w:t>
      </w:r>
      <w:r w:rsidR="00577409" w:rsidRPr="00337B87">
        <w:rPr>
          <w:rFonts w:ascii="Arial" w:hAnsi="Arial" w:cs="Arial"/>
          <w:sz w:val="22"/>
          <w:szCs w:val="22"/>
        </w:rPr>
        <w:t xml:space="preserve">in the utility service </w:t>
      </w:r>
      <w:r w:rsidR="00090BD9" w:rsidRPr="00337B87">
        <w:rPr>
          <w:rFonts w:ascii="Arial" w:hAnsi="Arial" w:cs="Arial"/>
          <w:sz w:val="22"/>
          <w:szCs w:val="22"/>
        </w:rPr>
        <w:t>or changes to the installation that could affect the safety or quality of the utility service</w:t>
      </w:r>
      <w:r w:rsidR="003839A8" w:rsidRPr="00337B87">
        <w:rPr>
          <w:rFonts w:ascii="Arial" w:hAnsi="Arial" w:cs="Arial"/>
          <w:sz w:val="22"/>
          <w:szCs w:val="22"/>
        </w:rPr>
        <w:t xml:space="preserve">. </w:t>
      </w:r>
    </w:p>
    <w:p w14:paraId="66804EF8" w14:textId="4EA7E2DF" w:rsidR="003839A8" w:rsidRPr="008402CA" w:rsidRDefault="003839A8" w:rsidP="008402CA">
      <w:pPr>
        <w:spacing w:before="60" w:afterLines="120" w:after="288"/>
        <w:rPr>
          <w:rFonts w:ascii="Arial" w:hAnsi="Arial" w:cs="Arial"/>
          <w:sz w:val="22"/>
          <w:szCs w:val="22"/>
        </w:rPr>
      </w:pPr>
      <w:r w:rsidRPr="008402CA">
        <w:rPr>
          <w:rFonts w:ascii="Arial" w:hAnsi="Arial" w:cs="Arial"/>
          <w:sz w:val="22"/>
          <w:szCs w:val="22"/>
        </w:rPr>
        <w:t xml:space="preserve">Clause 6 requires utilities to </w:t>
      </w:r>
      <w:r w:rsidR="003A4A8C" w:rsidRPr="008402CA">
        <w:rPr>
          <w:rFonts w:ascii="Arial" w:hAnsi="Arial" w:cs="Arial"/>
          <w:sz w:val="22"/>
          <w:szCs w:val="22"/>
        </w:rPr>
        <w:t xml:space="preserve">develop, implement and comply with complaints and dispute resolution </w:t>
      </w:r>
      <w:r w:rsidRPr="008402CA">
        <w:rPr>
          <w:rFonts w:ascii="Arial" w:hAnsi="Arial" w:cs="Arial"/>
          <w:sz w:val="22"/>
          <w:szCs w:val="22"/>
        </w:rPr>
        <w:t>procedures</w:t>
      </w:r>
      <w:r w:rsidR="003A4A8C" w:rsidRPr="008402CA">
        <w:rPr>
          <w:rFonts w:ascii="Arial" w:hAnsi="Arial" w:cs="Arial"/>
          <w:sz w:val="22"/>
          <w:szCs w:val="22"/>
        </w:rPr>
        <w:t xml:space="preserve">. The procedures </w:t>
      </w:r>
      <w:r w:rsidR="006E5E2E" w:rsidRPr="008402CA">
        <w:rPr>
          <w:rFonts w:ascii="Arial" w:hAnsi="Arial" w:cs="Arial"/>
          <w:sz w:val="22"/>
          <w:szCs w:val="22"/>
        </w:rPr>
        <w:t xml:space="preserve">must </w:t>
      </w:r>
      <w:r w:rsidRPr="008402CA">
        <w:rPr>
          <w:rFonts w:ascii="Arial" w:hAnsi="Arial" w:cs="Arial"/>
          <w:sz w:val="22"/>
          <w:szCs w:val="22"/>
        </w:rPr>
        <w:t xml:space="preserve">be in accordance with the </w:t>
      </w:r>
      <w:r w:rsidR="006E5E2E" w:rsidRPr="008402CA">
        <w:rPr>
          <w:rFonts w:ascii="Arial" w:hAnsi="Arial" w:cs="Arial"/>
          <w:sz w:val="22"/>
          <w:szCs w:val="22"/>
        </w:rPr>
        <w:t xml:space="preserve">current </w:t>
      </w:r>
      <w:r w:rsidRPr="008402CA">
        <w:rPr>
          <w:rFonts w:ascii="Arial" w:hAnsi="Arial" w:cs="Arial"/>
          <w:sz w:val="22"/>
          <w:szCs w:val="22"/>
        </w:rPr>
        <w:t>relevant Australian Standard</w:t>
      </w:r>
      <w:r w:rsidR="006E5E2E" w:rsidRPr="008402CA">
        <w:rPr>
          <w:rFonts w:ascii="Arial" w:hAnsi="Arial" w:cs="Arial"/>
          <w:sz w:val="22"/>
          <w:szCs w:val="22"/>
        </w:rPr>
        <w:t xml:space="preserve"> and a utility must keep records for a minimum of 12 months</w:t>
      </w:r>
      <w:r w:rsidRPr="008402CA">
        <w:rPr>
          <w:rFonts w:ascii="Arial" w:hAnsi="Arial" w:cs="Arial"/>
          <w:sz w:val="22"/>
          <w:szCs w:val="22"/>
        </w:rPr>
        <w:t xml:space="preserve">. </w:t>
      </w:r>
      <w:r w:rsidR="001207BE">
        <w:rPr>
          <w:rFonts w:ascii="Arial" w:hAnsi="Arial" w:cs="Arial"/>
          <w:sz w:val="22"/>
          <w:szCs w:val="22"/>
        </w:rPr>
        <w:t>Clause 6</w:t>
      </w:r>
      <w:r w:rsidR="006E5E2E" w:rsidRPr="008402CA">
        <w:rPr>
          <w:rFonts w:ascii="Arial" w:hAnsi="Arial" w:cs="Arial"/>
          <w:sz w:val="22"/>
          <w:szCs w:val="22"/>
        </w:rPr>
        <w:t xml:space="preserve"> has been updated to outline matters that must be </w:t>
      </w:r>
      <w:r w:rsidR="002F5CCA">
        <w:rPr>
          <w:rFonts w:ascii="Arial" w:hAnsi="Arial" w:cs="Arial"/>
          <w:sz w:val="22"/>
          <w:szCs w:val="22"/>
        </w:rPr>
        <w:t xml:space="preserve">included </w:t>
      </w:r>
      <w:r w:rsidR="006E5E2E" w:rsidRPr="008402CA">
        <w:rPr>
          <w:rFonts w:ascii="Arial" w:hAnsi="Arial" w:cs="Arial"/>
          <w:sz w:val="22"/>
          <w:szCs w:val="22"/>
        </w:rPr>
        <w:t xml:space="preserve">in </w:t>
      </w:r>
      <w:r w:rsidR="002F5CCA">
        <w:rPr>
          <w:rFonts w:ascii="Arial" w:hAnsi="Arial" w:cs="Arial"/>
          <w:sz w:val="22"/>
          <w:szCs w:val="22"/>
        </w:rPr>
        <w:t xml:space="preserve">complaints </w:t>
      </w:r>
      <w:r w:rsidR="006E5E2E" w:rsidRPr="008402CA">
        <w:rPr>
          <w:rFonts w:ascii="Arial" w:hAnsi="Arial" w:cs="Arial"/>
          <w:sz w:val="22"/>
          <w:szCs w:val="22"/>
        </w:rPr>
        <w:t xml:space="preserve">procedures and </w:t>
      </w:r>
      <w:r w:rsidR="00C0205D">
        <w:rPr>
          <w:rFonts w:ascii="Arial" w:hAnsi="Arial" w:cs="Arial"/>
          <w:sz w:val="22"/>
          <w:szCs w:val="22"/>
        </w:rPr>
        <w:t xml:space="preserve">to </w:t>
      </w:r>
      <w:r w:rsidR="006E5E2E" w:rsidRPr="008402CA">
        <w:rPr>
          <w:rFonts w:ascii="Arial" w:hAnsi="Arial" w:cs="Arial"/>
          <w:sz w:val="22"/>
          <w:szCs w:val="22"/>
        </w:rPr>
        <w:t>require a utility to address the substance of the complaint in its final decision or response.</w:t>
      </w:r>
    </w:p>
    <w:p w14:paraId="6362756E" w14:textId="59C034E4" w:rsidR="003839A8" w:rsidRPr="008402CA" w:rsidRDefault="003839A8" w:rsidP="008402CA">
      <w:pPr>
        <w:spacing w:before="60" w:afterLines="120" w:after="288"/>
        <w:rPr>
          <w:rFonts w:ascii="Arial" w:hAnsi="Arial" w:cs="Arial"/>
          <w:b/>
          <w:bCs/>
          <w:i/>
          <w:iCs/>
          <w:sz w:val="22"/>
          <w:szCs w:val="22"/>
        </w:rPr>
      </w:pPr>
      <w:r w:rsidRPr="008402CA">
        <w:rPr>
          <w:rFonts w:ascii="Arial" w:hAnsi="Arial" w:cs="Arial"/>
          <w:sz w:val="22"/>
          <w:szCs w:val="22"/>
        </w:rPr>
        <w:t>Clause 7 specifies information that utilities must give customers, for example, information about the utility services provided, meter readings and account</w:t>
      </w:r>
      <w:r w:rsidR="006E5E2E" w:rsidRPr="008402CA">
        <w:rPr>
          <w:rFonts w:ascii="Arial" w:hAnsi="Arial" w:cs="Arial"/>
          <w:sz w:val="22"/>
          <w:szCs w:val="22"/>
        </w:rPr>
        <w:t xml:space="preserve"> information</w:t>
      </w:r>
      <w:r w:rsidRPr="008402CA">
        <w:rPr>
          <w:rFonts w:ascii="Arial" w:hAnsi="Arial" w:cs="Arial"/>
          <w:sz w:val="22"/>
          <w:szCs w:val="22"/>
        </w:rPr>
        <w:t xml:space="preserve">. </w:t>
      </w:r>
      <w:r w:rsidR="006E5E2E" w:rsidRPr="008402CA">
        <w:rPr>
          <w:rFonts w:ascii="Arial" w:hAnsi="Arial" w:cs="Arial"/>
          <w:sz w:val="22"/>
          <w:szCs w:val="22"/>
        </w:rPr>
        <w:t>Subject to prior approval by the ICRC, a</w:t>
      </w:r>
      <w:r w:rsidRPr="008402CA">
        <w:rPr>
          <w:rFonts w:ascii="Arial" w:hAnsi="Arial" w:cs="Arial"/>
          <w:sz w:val="22"/>
          <w:szCs w:val="22"/>
        </w:rPr>
        <w:t xml:space="preserve"> utility may charge the reasonable cost of providing the information and must publish these charges on its website. </w:t>
      </w:r>
      <w:r w:rsidR="00E777E6" w:rsidRPr="008402CA">
        <w:rPr>
          <w:rFonts w:ascii="Arial" w:hAnsi="Arial" w:cs="Arial"/>
          <w:sz w:val="22"/>
          <w:szCs w:val="22"/>
        </w:rPr>
        <w:t>Clause 7.3 has been updated to</w:t>
      </w:r>
      <w:r w:rsidR="001207BE">
        <w:rPr>
          <w:rFonts w:ascii="Arial" w:hAnsi="Arial" w:cs="Arial"/>
          <w:sz w:val="22"/>
          <w:szCs w:val="22"/>
        </w:rPr>
        <w:t xml:space="preserve"> </w:t>
      </w:r>
      <w:r w:rsidR="00E777E6" w:rsidRPr="008402CA">
        <w:rPr>
          <w:rFonts w:ascii="Arial" w:hAnsi="Arial" w:cs="Arial"/>
          <w:sz w:val="22"/>
          <w:szCs w:val="22"/>
        </w:rPr>
        <w:t xml:space="preserve">allow a utility to </w:t>
      </w:r>
      <w:r w:rsidR="001207BE">
        <w:rPr>
          <w:rFonts w:ascii="Arial" w:hAnsi="Arial" w:cs="Arial"/>
          <w:sz w:val="22"/>
          <w:szCs w:val="22"/>
        </w:rPr>
        <w:t xml:space="preserve">only </w:t>
      </w:r>
      <w:r w:rsidR="00E777E6" w:rsidRPr="008402CA">
        <w:rPr>
          <w:rFonts w:ascii="Arial" w:hAnsi="Arial" w:cs="Arial"/>
          <w:sz w:val="22"/>
          <w:szCs w:val="22"/>
        </w:rPr>
        <w:t>disclose personal information in accordance with the law</w:t>
      </w:r>
      <w:r w:rsidRPr="008402CA">
        <w:rPr>
          <w:rFonts w:ascii="Arial" w:hAnsi="Arial" w:cs="Arial"/>
          <w:sz w:val="22"/>
          <w:szCs w:val="22"/>
        </w:rPr>
        <w:t xml:space="preserve">. </w:t>
      </w:r>
    </w:p>
    <w:p w14:paraId="533FE808" w14:textId="78791FA7" w:rsidR="003839A8" w:rsidRPr="008402CA" w:rsidRDefault="003839A8"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8 addresses the serving of notice on </w:t>
      </w:r>
      <w:r w:rsidR="00E777E6" w:rsidRPr="008402CA">
        <w:rPr>
          <w:rFonts w:ascii="Arial" w:hAnsi="Arial" w:cs="Arial"/>
          <w:snapToGrid w:val="0"/>
          <w:color w:val="000000"/>
          <w:sz w:val="22"/>
          <w:szCs w:val="22"/>
        </w:rPr>
        <w:t xml:space="preserve">customers or </w:t>
      </w:r>
      <w:r w:rsidRPr="008402CA">
        <w:rPr>
          <w:rFonts w:ascii="Arial" w:hAnsi="Arial" w:cs="Arial"/>
          <w:snapToGrid w:val="0"/>
          <w:color w:val="000000"/>
          <w:sz w:val="22"/>
          <w:szCs w:val="22"/>
        </w:rPr>
        <w:t xml:space="preserve">consumers. It spells out the requirements for effective notice, and when delivery is deemed. </w:t>
      </w:r>
      <w:r w:rsidR="00E777E6" w:rsidRPr="008402CA">
        <w:rPr>
          <w:rFonts w:ascii="Arial" w:hAnsi="Arial" w:cs="Arial"/>
          <w:snapToGrid w:val="0"/>
          <w:color w:val="000000"/>
          <w:sz w:val="22"/>
          <w:szCs w:val="22"/>
        </w:rPr>
        <w:t>The clause has been updated to remove delivery by facsimile</w:t>
      </w:r>
      <w:r w:rsidRPr="008402CA">
        <w:rPr>
          <w:rFonts w:ascii="Arial" w:hAnsi="Arial" w:cs="Arial"/>
          <w:snapToGrid w:val="0"/>
          <w:color w:val="000000"/>
          <w:sz w:val="22"/>
          <w:szCs w:val="22"/>
        </w:rPr>
        <w:t xml:space="preserve">. </w:t>
      </w:r>
    </w:p>
    <w:p w14:paraId="55B56A66" w14:textId="4C686F2D" w:rsidR="003839A8" w:rsidRPr="008402CA" w:rsidRDefault="003839A8"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9 requires utilities to </w:t>
      </w:r>
      <w:r w:rsidR="00E777E6" w:rsidRPr="008402CA">
        <w:rPr>
          <w:rFonts w:ascii="Arial" w:hAnsi="Arial" w:cs="Arial"/>
          <w:snapToGrid w:val="0"/>
          <w:color w:val="000000"/>
          <w:sz w:val="22"/>
          <w:szCs w:val="22"/>
        </w:rPr>
        <w:t>publish</w:t>
      </w:r>
      <w:r w:rsidRPr="008402CA">
        <w:rPr>
          <w:rFonts w:ascii="Arial" w:hAnsi="Arial" w:cs="Arial"/>
          <w:snapToGrid w:val="0"/>
          <w:color w:val="000000"/>
          <w:sz w:val="22"/>
          <w:szCs w:val="22"/>
        </w:rPr>
        <w:t xml:space="preserve"> summaries of </w:t>
      </w:r>
      <w:r w:rsidR="00803717">
        <w:rPr>
          <w:rFonts w:ascii="Arial" w:hAnsi="Arial" w:cs="Arial"/>
          <w:snapToGrid w:val="0"/>
          <w:color w:val="000000"/>
          <w:sz w:val="22"/>
          <w:szCs w:val="22"/>
        </w:rPr>
        <w:t xml:space="preserve">customer, </w:t>
      </w:r>
      <w:r w:rsidRPr="008402CA">
        <w:rPr>
          <w:rFonts w:ascii="Arial" w:hAnsi="Arial" w:cs="Arial"/>
          <w:snapToGrid w:val="0"/>
          <w:color w:val="000000"/>
          <w:sz w:val="22"/>
          <w:szCs w:val="22"/>
        </w:rPr>
        <w:t>consumer and utility rights. It requires utilities to make the summaries available in a number of specified formats and to provide</w:t>
      </w:r>
      <w:r w:rsidR="00815733">
        <w:rPr>
          <w:rFonts w:ascii="Arial" w:hAnsi="Arial" w:cs="Arial"/>
          <w:snapToGrid w:val="0"/>
          <w:color w:val="000000"/>
          <w:sz w:val="22"/>
          <w:szCs w:val="22"/>
        </w:rPr>
        <w:t xml:space="preserve"> customers and </w:t>
      </w:r>
      <w:r w:rsidRPr="008402CA">
        <w:rPr>
          <w:rFonts w:ascii="Arial" w:hAnsi="Arial" w:cs="Arial"/>
          <w:snapToGrid w:val="0"/>
          <w:color w:val="000000"/>
          <w:sz w:val="22"/>
          <w:szCs w:val="22"/>
        </w:rPr>
        <w:t xml:space="preserve">consumers with copies of the summary. The clause has been </w:t>
      </w:r>
      <w:r w:rsidR="00E777E6" w:rsidRPr="008402CA">
        <w:rPr>
          <w:rFonts w:ascii="Arial" w:hAnsi="Arial" w:cs="Arial"/>
          <w:snapToGrid w:val="0"/>
          <w:color w:val="000000"/>
          <w:sz w:val="22"/>
          <w:szCs w:val="22"/>
        </w:rPr>
        <w:t>updated to require the summary to be published on its website and to include information on guaranteed service levels. The clause does not apply to non-franchise customers</w:t>
      </w:r>
      <w:r w:rsidRPr="008402CA">
        <w:rPr>
          <w:rFonts w:ascii="Arial" w:hAnsi="Arial" w:cs="Arial"/>
          <w:snapToGrid w:val="0"/>
          <w:color w:val="000000"/>
          <w:sz w:val="22"/>
          <w:szCs w:val="22"/>
        </w:rPr>
        <w:t>.</w:t>
      </w:r>
    </w:p>
    <w:p w14:paraId="2BBFAFAF" w14:textId="3C12157D" w:rsidR="003839A8" w:rsidRPr="008402CA" w:rsidRDefault="003839A8"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10 places obligations </w:t>
      </w:r>
      <w:r w:rsidR="00C0205D">
        <w:rPr>
          <w:rFonts w:ascii="Arial" w:hAnsi="Arial" w:cs="Arial"/>
          <w:snapToGrid w:val="0"/>
          <w:color w:val="000000"/>
          <w:sz w:val="22"/>
          <w:szCs w:val="22"/>
        </w:rPr>
        <w:t xml:space="preserve">on utilities </w:t>
      </w:r>
      <w:r w:rsidR="0026407B" w:rsidRPr="008402CA">
        <w:rPr>
          <w:rFonts w:ascii="Arial" w:hAnsi="Arial" w:cs="Arial"/>
          <w:snapToGrid w:val="0"/>
          <w:color w:val="000000"/>
          <w:sz w:val="22"/>
          <w:szCs w:val="22"/>
        </w:rPr>
        <w:t>with respect to the registration, disconnection and interruption of drinking water utility services to premises occupied by persons using life support equipment</w:t>
      </w:r>
      <w:r w:rsidRPr="008402CA">
        <w:rPr>
          <w:rFonts w:ascii="Arial" w:hAnsi="Arial" w:cs="Arial"/>
          <w:snapToGrid w:val="0"/>
          <w:color w:val="000000"/>
          <w:sz w:val="22"/>
          <w:szCs w:val="22"/>
        </w:rPr>
        <w:t xml:space="preserve">. </w:t>
      </w:r>
      <w:r w:rsidR="0026407B" w:rsidRPr="008402CA">
        <w:rPr>
          <w:rFonts w:ascii="Arial" w:hAnsi="Arial" w:cs="Arial"/>
          <w:snapToGrid w:val="0"/>
          <w:color w:val="000000"/>
          <w:sz w:val="22"/>
          <w:szCs w:val="22"/>
        </w:rPr>
        <w:t>The clause has been updated to require the utility to notify customers or consumers</w:t>
      </w:r>
      <w:r w:rsidRPr="008402CA">
        <w:rPr>
          <w:rFonts w:ascii="Arial" w:hAnsi="Arial" w:cs="Arial"/>
          <w:snapToGrid w:val="0"/>
          <w:color w:val="000000"/>
          <w:sz w:val="22"/>
          <w:szCs w:val="22"/>
        </w:rPr>
        <w:t xml:space="preserve"> </w:t>
      </w:r>
      <w:r w:rsidR="0026407B" w:rsidRPr="008402CA">
        <w:rPr>
          <w:rFonts w:ascii="Arial" w:hAnsi="Arial" w:cs="Arial"/>
          <w:snapToGrid w:val="0"/>
          <w:color w:val="000000"/>
          <w:sz w:val="22"/>
          <w:szCs w:val="22"/>
        </w:rPr>
        <w:t xml:space="preserve">that the address has been registered as a life support </w:t>
      </w:r>
      <w:r w:rsidR="0026407B" w:rsidRPr="008402CA">
        <w:rPr>
          <w:rFonts w:ascii="Arial" w:hAnsi="Arial" w:cs="Arial"/>
          <w:snapToGrid w:val="0"/>
          <w:color w:val="000000"/>
          <w:sz w:val="22"/>
          <w:szCs w:val="22"/>
        </w:rPr>
        <w:lastRenderedPageBreak/>
        <w:t xml:space="preserve">address, and to ensure </w:t>
      </w:r>
      <w:r w:rsidR="00803717">
        <w:rPr>
          <w:rFonts w:ascii="Arial" w:hAnsi="Arial" w:cs="Arial"/>
          <w:snapToGrid w:val="0"/>
          <w:color w:val="000000"/>
          <w:sz w:val="22"/>
          <w:szCs w:val="22"/>
        </w:rPr>
        <w:t xml:space="preserve">that </w:t>
      </w:r>
      <w:r w:rsidR="0026407B" w:rsidRPr="008402CA">
        <w:rPr>
          <w:rFonts w:ascii="Arial" w:hAnsi="Arial" w:cs="Arial"/>
          <w:snapToGrid w:val="0"/>
          <w:color w:val="000000"/>
          <w:sz w:val="22"/>
          <w:szCs w:val="22"/>
        </w:rPr>
        <w:t>the utility does not deregister a premises for failure to provide medical confirmation without making minimum contact attempts.</w:t>
      </w:r>
    </w:p>
    <w:p w14:paraId="5DE63EB8" w14:textId="0AA350E3" w:rsidR="0026407B" w:rsidRPr="008402CA" w:rsidRDefault="0026407B" w:rsidP="008402CA">
      <w:pPr>
        <w:pStyle w:val="clauseheader"/>
        <w:spacing w:before="60" w:afterLines="120" w:after="288"/>
        <w:rPr>
          <w:sz w:val="22"/>
          <w:szCs w:val="22"/>
        </w:rPr>
      </w:pPr>
      <w:r w:rsidRPr="008402CA">
        <w:rPr>
          <w:sz w:val="22"/>
          <w:szCs w:val="22"/>
        </w:rPr>
        <w:t>Part 2.3 Protection of customers</w:t>
      </w:r>
    </w:p>
    <w:p w14:paraId="73C3A43D" w14:textId="1CCF235F" w:rsidR="003839A8" w:rsidRPr="008402CA" w:rsidRDefault="003839A8"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11 obliges utilities to comply with </w:t>
      </w:r>
      <w:r w:rsidR="0026407B" w:rsidRPr="008402CA">
        <w:rPr>
          <w:rFonts w:ascii="Arial" w:hAnsi="Arial" w:cs="Arial"/>
          <w:snapToGrid w:val="0"/>
          <w:color w:val="000000"/>
          <w:sz w:val="22"/>
          <w:szCs w:val="22"/>
        </w:rPr>
        <w:t>guaranteed service levels</w:t>
      </w:r>
      <w:r w:rsidR="00CB6FEC" w:rsidRPr="008402CA">
        <w:rPr>
          <w:rFonts w:ascii="Arial" w:hAnsi="Arial" w:cs="Arial"/>
          <w:snapToGrid w:val="0"/>
          <w:color w:val="000000"/>
          <w:sz w:val="22"/>
          <w:szCs w:val="22"/>
        </w:rPr>
        <w:t xml:space="preserve"> (GSL</w:t>
      </w:r>
      <w:r w:rsidR="00C0205D">
        <w:rPr>
          <w:rFonts w:ascii="Arial" w:hAnsi="Arial" w:cs="Arial"/>
          <w:snapToGrid w:val="0"/>
          <w:color w:val="000000"/>
          <w:sz w:val="22"/>
          <w:szCs w:val="22"/>
        </w:rPr>
        <w:t>s</w:t>
      </w:r>
      <w:r w:rsidR="00CB6FEC" w:rsidRPr="008402CA">
        <w:rPr>
          <w:rFonts w:ascii="Arial" w:hAnsi="Arial" w:cs="Arial"/>
          <w:snapToGrid w:val="0"/>
          <w:color w:val="000000"/>
          <w:sz w:val="22"/>
          <w:szCs w:val="22"/>
        </w:rPr>
        <w:t xml:space="preserve">), pay rebates to customers </w:t>
      </w:r>
      <w:r w:rsidR="00803717">
        <w:rPr>
          <w:rFonts w:ascii="Arial" w:hAnsi="Arial" w:cs="Arial"/>
          <w:snapToGrid w:val="0"/>
          <w:color w:val="000000"/>
          <w:sz w:val="22"/>
          <w:szCs w:val="22"/>
        </w:rPr>
        <w:t>when service performance has not met the GSL</w:t>
      </w:r>
      <w:r w:rsidR="00CB6FEC" w:rsidRPr="008402CA">
        <w:rPr>
          <w:rFonts w:ascii="Arial" w:hAnsi="Arial" w:cs="Arial"/>
          <w:snapToGrid w:val="0"/>
          <w:color w:val="000000"/>
          <w:sz w:val="22"/>
          <w:szCs w:val="22"/>
        </w:rPr>
        <w:t>, and provide customers with information about the GSLs</w:t>
      </w:r>
      <w:r w:rsidRPr="008402CA">
        <w:rPr>
          <w:rFonts w:ascii="Arial" w:hAnsi="Arial" w:cs="Arial"/>
          <w:snapToGrid w:val="0"/>
          <w:color w:val="000000"/>
          <w:sz w:val="22"/>
          <w:szCs w:val="22"/>
        </w:rPr>
        <w:t xml:space="preserve">. </w:t>
      </w:r>
      <w:r w:rsidR="00CB6FEC" w:rsidRPr="008402CA">
        <w:rPr>
          <w:rFonts w:ascii="Arial" w:hAnsi="Arial" w:cs="Arial"/>
          <w:snapToGrid w:val="0"/>
          <w:color w:val="000000"/>
          <w:sz w:val="22"/>
          <w:szCs w:val="22"/>
        </w:rPr>
        <w:t xml:space="preserve">The old </w:t>
      </w:r>
      <w:r w:rsidR="001244F1">
        <w:rPr>
          <w:rFonts w:ascii="Arial" w:hAnsi="Arial" w:cs="Arial"/>
          <w:snapToGrid w:val="0"/>
          <w:color w:val="000000"/>
          <w:sz w:val="22"/>
          <w:szCs w:val="22"/>
        </w:rPr>
        <w:t>C</w:t>
      </w:r>
      <w:r w:rsidR="00CB6FEC" w:rsidRPr="008402CA">
        <w:rPr>
          <w:rFonts w:ascii="Arial" w:hAnsi="Arial" w:cs="Arial"/>
          <w:snapToGrid w:val="0"/>
          <w:color w:val="000000"/>
          <w:sz w:val="22"/>
          <w:szCs w:val="22"/>
        </w:rPr>
        <w:t xml:space="preserve">ode required a customer to apply for a rebate when a minimum service standard was not met. </w:t>
      </w:r>
      <w:r w:rsidR="007C04BE">
        <w:rPr>
          <w:rFonts w:ascii="Arial" w:hAnsi="Arial" w:cs="Arial"/>
          <w:snapToGrid w:val="0"/>
          <w:color w:val="000000"/>
          <w:sz w:val="22"/>
          <w:szCs w:val="22"/>
        </w:rPr>
        <w:t xml:space="preserve">Clause 11 </w:t>
      </w:r>
      <w:r w:rsidR="00CB6FEC" w:rsidRPr="008402CA">
        <w:rPr>
          <w:rFonts w:ascii="Arial" w:hAnsi="Arial" w:cs="Arial"/>
          <w:snapToGrid w:val="0"/>
          <w:color w:val="000000"/>
          <w:sz w:val="22"/>
          <w:szCs w:val="22"/>
        </w:rPr>
        <w:t xml:space="preserve">has been updated to require a utility to monitor GSL compliance and to pay a customer the applicable rebate when the service level </w:t>
      </w:r>
      <w:r w:rsidR="00803717">
        <w:rPr>
          <w:rFonts w:ascii="Arial" w:hAnsi="Arial" w:cs="Arial"/>
          <w:snapToGrid w:val="0"/>
          <w:color w:val="000000"/>
          <w:sz w:val="22"/>
          <w:szCs w:val="22"/>
        </w:rPr>
        <w:t>parameters have been exceeded</w:t>
      </w:r>
      <w:r w:rsidR="00CB6FEC" w:rsidRPr="008402CA">
        <w:rPr>
          <w:rFonts w:ascii="Arial" w:hAnsi="Arial" w:cs="Arial"/>
          <w:snapToGrid w:val="0"/>
          <w:color w:val="000000"/>
          <w:sz w:val="22"/>
          <w:szCs w:val="22"/>
        </w:rPr>
        <w:t xml:space="preserve">. A customer is no longer required to apply for a rebate. The utility must advise the customer when they have made a GSL payment. </w:t>
      </w:r>
      <w:r w:rsidR="007C04BE">
        <w:rPr>
          <w:rFonts w:ascii="Arial" w:hAnsi="Arial" w:cs="Arial"/>
          <w:snapToGrid w:val="0"/>
          <w:color w:val="000000"/>
          <w:sz w:val="22"/>
          <w:szCs w:val="22"/>
        </w:rPr>
        <w:t>S</w:t>
      </w:r>
      <w:r w:rsidR="00CB6FEC" w:rsidRPr="008402CA">
        <w:rPr>
          <w:rFonts w:ascii="Arial" w:hAnsi="Arial" w:cs="Arial"/>
          <w:snapToGrid w:val="0"/>
          <w:color w:val="000000"/>
          <w:sz w:val="22"/>
          <w:szCs w:val="22"/>
        </w:rPr>
        <w:t>ubclause 11.4(1) clarif</w:t>
      </w:r>
      <w:r w:rsidR="007C04BE">
        <w:rPr>
          <w:rFonts w:ascii="Arial" w:hAnsi="Arial" w:cs="Arial"/>
          <w:snapToGrid w:val="0"/>
          <w:color w:val="000000"/>
          <w:sz w:val="22"/>
          <w:szCs w:val="22"/>
        </w:rPr>
        <w:t>ies</w:t>
      </w:r>
      <w:r w:rsidR="00CB6FEC" w:rsidRPr="008402CA">
        <w:rPr>
          <w:rFonts w:ascii="Arial" w:hAnsi="Arial" w:cs="Arial"/>
          <w:snapToGrid w:val="0"/>
          <w:color w:val="000000"/>
          <w:sz w:val="22"/>
          <w:szCs w:val="22"/>
        </w:rPr>
        <w:t xml:space="preserve"> that rebates are not compensation.</w:t>
      </w:r>
      <w:r w:rsidRPr="008402CA">
        <w:rPr>
          <w:rFonts w:ascii="Arial" w:hAnsi="Arial" w:cs="Arial"/>
          <w:snapToGrid w:val="0"/>
          <w:color w:val="000000"/>
          <w:sz w:val="22"/>
          <w:szCs w:val="22"/>
        </w:rPr>
        <w:t xml:space="preserve"> </w:t>
      </w:r>
    </w:p>
    <w:p w14:paraId="09D00909" w14:textId="6DB7D584" w:rsidR="00CB6FEC" w:rsidRPr="008402CA" w:rsidRDefault="00CB6FEC"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12 deals with the charges that utilities </w:t>
      </w:r>
      <w:r w:rsidR="00074B96">
        <w:rPr>
          <w:rFonts w:ascii="Arial" w:hAnsi="Arial" w:cs="Arial"/>
          <w:snapToGrid w:val="0"/>
          <w:color w:val="000000"/>
          <w:sz w:val="22"/>
          <w:szCs w:val="22"/>
        </w:rPr>
        <w:t>apply</w:t>
      </w:r>
      <w:r w:rsidR="00074B96" w:rsidRPr="008402CA">
        <w:rPr>
          <w:rFonts w:ascii="Arial" w:hAnsi="Arial" w:cs="Arial"/>
          <w:snapToGrid w:val="0"/>
          <w:color w:val="000000"/>
          <w:sz w:val="22"/>
          <w:szCs w:val="22"/>
        </w:rPr>
        <w:t xml:space="preserve"> </w:t>
      </w:r>
      <w:r w:rsidRPr="008402CA">
        <w:rPr>
          <w:rFonts w:ascii="Arial" w:hAnsi="Arial" w:cs="Arial"/>
          <w:snapToGrid w:val="0"/>
          <w:color w:val="000000"/>
          <w:sz w:val="22"/>
          <w:szCs w:val="22"/>
        </w:rPr>
        <w:t>for the supply or sale of utility services</w:t>
      </w:r>
      <w:r w:rsidR="00A87A9D" w:rsidRPr="008402CA">
        <w:rPr>
          <w:rFonts w:ascii="Arial" w:hAnsi="Arial" w:cs="Arial"/>
          <w:snapToGrid w:val="0"/>
          <w:color w:val="000000"/>
          <w:sz w:val="22"/>
          <w:szCs w:val="22"/>
        </w:rPr>
        <w:t xml:space="preserve">. </w:t>
      </w:r>
      <w:r w:rsidR="001F4505">
        <w:rPr>
          <w:rFonts w:ascii="Arial" w:hAnsi="Arial" w:cs="Arial"/>
          <w:snapToGrid w:val="0"/>
          <w:color w:val="000000"/>
          <w:sz w:val="22"/>
          <w:szCs w:val="22"/>
        </w:rPr>
        <w:t xml:space="preserve">Clause 12 </w:t>
      </w:r>
      <w:r w:rsidRPr="008402CA">
        <w:rPr>
          <w:rFonts w:ascii="Arial" w:hAnsi="Arial" w:cs="Arial"/>
          <w:snapToGrid w:val="0"/>
          <w:color w:val="000000"/>
          <w:sz w:val="22"/>
          <w:szCs w:val="22"/>
        </w:rPr>
        <w:t>require</w:t>
      </w:r>
      <w:r w:rsidR="00803717">
        <w:rPr>
          <w:rFonts w:ascii="Arial" w:hAnsi="Arial" w:cs="Arial"/>
          <w:snapToGrid w:val="0"/>
          <w:color w:val="000000"/>
          <w:sz w:val="22"/>
          <w:szCs w:val="22"/>
        </w:rPr>
        <w:t>s</w:t>
      </w:r>
      <w:r w:rsidRPr="008402CA">
        <w:rPr>
          <w:rFonts w:ascii="Arial" w:hAnsi="Arial" w:cs="Arial"/>
          <w:snapToGrid w:val="0"/>
          <w:color w:val="000000"/>
          <w:sz w:val="22"/>
          <w:szCs w:val="22"/>
        </w:rPr>
        <w:t xml:space="preserve"> utilities to make information about utility charges available to customers, </w:t>
      </w:r>
      <w:r w:rsidR="00A87A9D" w:rsidRPr="008402CA">
        <w:rPr>
          <w:rFonts w:ascii="Arial" w:hAnsi="Arial" w:cs="Arial"/>
          <w:snapToGrid w:val="0"/>
          <w:color w:val="000000"/>
          <w:sz w:val="22"/>
          <w:szCs w:val="22"/>
        </w:rPr>
        <w:t>as well as detailing how variations to charges are applied.</w:t>
      </w:r>
      <w:r w:rsidR="007C04BE">
        <w:rPr>
          <w:rFonts w:ascii="Arial" w:hAnsi="Arial" w:cs="Arial"/>
          <w:snapToGrid w:val="0"/>
          <w:color w:val="000000"/>
          <w:sz w:val="22"/>
          <w:szCs w:val="22"/>
        </w:rPr>
        <w:t xml:space="preserve"> S</w:t>
      </w:r>
      <w:r w:rsidR="00A87A9D" w:rsidRPr="008402CA">
        <w:rPr>
          <w:rFonts w:ascii="Arial" w:hAnsi="Arial" w:cs="Arial"/>
          <w:snapToGrid w:val="0"/>
          <w:color w:val="000000"/>
          <w:sz w:val="22"/>
          <w:szCs w:val="22"/>
        </w:rPr>
        <w:t>ubclause 12.2(2) clarif</w:t>
      </w:r>
      <w:r w:rsidR="007C04BE">
        <w:rPr>
          <w:rFonts w:ascii="Arial" w:hAnsi="Arial" w:cs="Arial"/>
          <w:snapToGrid w:val="0"/>
          <w:color w:val="000000"/>
          <w:sz w:val="22"/>
          <w:szCs w:val="22"/>
        </w:rPr>
        <w:t>ies</w:t>
      </w:r>
      <w:r w:rsidR="00A87A9D" w:rsidRPr="008402CA">
        <w:rPr>
          <w:rFonts w:ascii="Arial" w:hAnsi="Arial" w:cs="Arial"/>
          <w:snapToGrid w:val="0"/>
          <w:color w:val="000000"/>
          <w:sz w:val="22"/>
          <w:szCs w:val="22"/>
        </w:rPr>
        <w:t xml:space="preserve"> that a utility may calculate </w:t>
      </w:r>
      <w:r w:rsidR="00BC062C" w:rsidRPr="008402CA">
        <w:rPr>
          <w:rFonts w:ascii="Arial" w:hAnsi="Arial" w:cs="Arial"/>
          <w:snapToGrid w:val="0"/>
          <w:color w:val="000000"/>
          <w:sz w:val="22"/>
          <w:szCs w:val="22"/>
        </w:rPr>
        <w:t xml:space="preserve">and allocate </w:t>
      </w:r>
      <w:r w:rsidR="00A87A9D" w:rsidRPr="008402CA">
        <w:rPr>
          <w:rFonts w:ascii="Arial" w:hAnsi="Arial" w:cs="Arial"/>
          <w:snapToGrid w:val="0"/>
          <w:color w:val="000000"/>
          <w:sz w:val="22"/>
          <w:szCs w:val="22"/>
        </w:rPr>
        <w:t xml:space="preserve">charges on a pro rata basis to effect a </w:t>
      </w:r>
      <w:r w:rsidR="00BC062C" w:rsidRPr="008402CA">
        <w:rPr>
          <w:rFonts w:ascii="Arial" w:hAnsi="Arial" w:cs="Arial"/>
          <w:snapToGrid w:val="0"/>
          <w:color w:val="000000"/>
          <w:sz w:val="22"/>
          <w:szCs w:val="22"/>
        </w:rPr>
        <w:t xml:space="preserve">price </w:t>
      </w:r>
      <w:r w:rsidR="00A87A9D" w:rsidRPr="008402CA">
        <w:rPr>
          <w:rFonts w:ascii="Arial" w:hAnsi="Arial" w:cs="Arial"/>
          <w:snapToGrid w:val="0"/>
          <w:color w:val="000000"/>
          <w:sz w:val="22"/>
          <w:szCs w:val="22"/>
        </w:rPr>
        <w:t>variation whe</w:t>
      </w:r>
      <w:r w:rsidR="00BC062C" w:rsidRPr="008402CA">
        <w:rPr>
          <w:rFonts w:ascii="Arial" w:hAnsi="Arial" w:cs="Arial"/>
          <w:snapToGrid w:val="0"/>
          <w:color w:val="000000"/>
          <w:sz w:val="22"/>
          <w:szCs w:val="22"/>
        </w:rPr>
        <w:t>n</w:t>
      </w:r>
      <w:r w:rsidR="00A87A9D" w:rsidRPr="008402CA">
        <w:rPr>
          <w:rFonts w:ascii="Arial" w:hAnsi="Arial" w:cs="Arial"/>
          <w:snapToGrid w:val="0"/>
          <w:color w:val="000000"/>
          <w:sz w:val="22"/>
          <w:szCs w:val="22"/>
        </w:rPr>
        <w:t xml:space="preserve"> it falls within a billing period. </w:t>
      </w:r>
    </w:p>
    <w:p w14:paraId="0CF75DF6" w14:textId="27AD8470" w:rsidR="00CB6FEC" w:rsidRPr="008402CA" w:rsidRDefault="00CB6FEC"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13 deals with a range of customer </w:t>
      </w:r>
      <w:r w:rsidR="00BC062C" w:rsidRPr="008402CA">
        <w:rPr>
          <w:rFonts w:ascii="Arial" w:hAnsi="Arial" w:cs="Arial"/>
          <w:snapToGrid w:val="0"/>
          <w:color w:val="000000"/>
          <w:sz w:val="22"/>
          <w:szCs w:val="22"/>
        </w:rPr>
        <w:t xml:space="preserve">billing </w:t>
      </w:r>
      <w:r w:rsidRPr="008402CA">
        <w:rPr>
          <w:rFonts w:ascii="Arial" w:hAnsi="Arial" w:cs="Arial"/>
          <w:snapToGrid w:val="0"/>
          <w:color w:val="000000"/>
          <w:sz w:val="22"/>
          <w:szCs w:val="22"/>
        </w:rPr>
        <w:t>matters</w:t>
      </w:r>
      <w:r w:rsidR="00BC062C" w:rsidRPr="008402CA">
        <w:rPr>
          <w:rFonts w:ascii="Arial" w:hAnsi="Arial" w:cs="Arial"/>
          <w:snapToGrid w:val="0"/>
          <w:color w:val="000000"/>
          <w:sz w:val="22"/>
          <w:szCs w:val="22"/>
        </w:rPr>
        <w:t xml:space="preserve"> including </w:t>
      </w:r>
      <w:r w:rsidRPr="008402CA">
        <w:rPr>
          <w:rFonts w:ascii="Arial" w:hAnsi="Arial" w:cs="Arial"/>
          <w:snapToGrid w:val="0"/>
          <w:color w:val="000000"/>
          <w:sz w:val="22"/>
          <w:szCs w:val="22"/>
        </w:rPr>
        <w:t xml:space="preserve">billing periods, issuing and content of </w:t>
      </w:r>
      <w:r w:rsidR="00BC062C" w:rsidRPr="008402CA">
        <w:rPr>
          <w:rFonts w:ascii="Arial" w:hAnsi="Arial" w:cs="Arial"/>
          <w:snapToGrid w:val="0"/>
          <w:color w:val="000000"/>
          <w:sz w:val="22"/>
          <w:szCs w:val="22"/>
        </w:rPr>
        <w:t>bills</w:t>
      </w:r>
      <w:r w:rsidRPr="008402CA">
        <w:rPr>
          <w:rFonts w:ascii="Arial" w:hAnsi="Arial" w:cs="Arial"/>
          <w:snapToGrid w:val="0"/>
          <w:color w:val="000000"/>
          <w:sz w:val="22"/>
          <w:szCs w:val="22"/>
        </w:rPr>
        <w:t xml:space="preserve">, historical billing information, payment and review of </w:t>
      </w:r>
      <w:r w:rsidR="00BC062C" w:rsidRPr="008402CA">
        <w:rPr>
          <w:rFonts w:ascii="Arial" w:hAnsi="Arial" w:cs="Arial"/>
          <w:snapToGrid w:val="0"/>
          <w:color w:val="000000"/>
          <w:sz w:val="22"/>
          <w:szCs w:val="22"/>
        </w:rPr>
        <w:t>bills</w:t>
      </w:r>
      <w:r w:rsidRPr="008402CA">
        <w:rPr>
          <w:rFonts w:ascii="Arial" w:hAnsi="Arial" w:cs="Arial"/>
          <w:snapToGrid w:val="0"/>
          <w:color w:val="000000"/>
          <w:sz w:val="22"/>
          <w:szCs w:val="22"/>
        </w:rPr>
        <w:t>,</w:t>
      </w:r>
      <w:r w:rsidR="00BC062C" w:rsidRPr="008402CA">
        <w:rPr>
          <w:rFonts w:ascii="Arial" w:hAnsi="Arial" w:cs="Arial"/>
          <w:snapToGrid w:val="0"/>
          <w:color w:val="000000"/>
          <w:sz w:val="22"/>
          <w:szCs w:val="22"/>
        </w:rPr>
        <w:t xml:space="preserve"> overcharging, undercharging, </w:t>
      </w:r>
      <w:r w:rsidRPr="008402CA">
        <w:rPr>
          <w:rFonts w:ascii="Arial" w:hAnsi="Arial" w:cs="Arial"/>
          <w:snapToGrid w:val="0"/>
          <w:color w:val="000000"/>
          <w:sz w:val="22"/>
          <w:szCs w:val="22"/>
        </w:rPr>
        <w:t xml:space="preserve">final </w:t>
      </w:r>
      <w:r w:rsidR="00BC062C" w:rsidRPr="008402CA">
        <w:rPr>
          <w:rFonts w:ascii="Arial" w:hAnsi="Arial" w:cs="Arial"/>
          <w:snapToGrid w:val="0"/>
          <w:color w:val="000000"/>
          <w:sz w:val="22"/>
          <w:szCs w:val="22"/>
        </w:rPr>
        <w:t>bills</w:t>
      </w:r>
      <w:r w:rsidRPr="008402CA">
        <w:rPr>
          <w:rFonts w:ascii="Arial" w:hAnsi="Arial" w:cs="Arial"/>
          <w:snapToGrid w:val="0"/>
          <w:color w:val="000000"/>
          <w:sz w:val="22"/>
          <w:szCs w:val="22"/>
        </w:rPr>
        <w:t>, difficulties in payment of accounts, and government rebates</w:t>
      </w:r>
      <w:r w:rsidR="00BC062C" w:rsidRPr="008402CA">
        <w:rPr>
          <w:rFonts w:ascii="Arial" w:hAnsi="Arial" w:cs="Arial"/>
          <w:snapToGrid w:val="0"/>
          <w:color w:val="000000"/>
          <w:sz w:val="22"/>
          <w:szCs w:val="22"/>
        </w:rPr>
        <w:t xml:space="preserve">. </w:t>
      </w:r>
      <w:r w:rsidR="00A16A49">
        <w:rPr>
          <w:rFonts w:ascii="Arial" w:hAnsi="Arial" w:cs="Arial"/>
          <w:snapToGrid w:val="0"/>
          <w:color w:val="000000"/>
          <w:sz w:val="22"/>
          <w:szCs w:val="22"/>
        </w:rPr>
        <w:t>Clause</w:t>
      </w:r>
      <w:r w:rsidR="0075543A" w:rsidRPr="008402CA">
        <w:rPr>
          <w:rFonts w:ascii="Arial" w:hAnsi="Arial" w:cs="Arial"/>
          <w:snapToGrid w:val="0"/>
          <w:color w:val="000000"/>
          <w:sz w:val="22"/>
          <w:szCs w:val="22"/>
        </w:rPr>
        <w:t xml:space="preserve"> 13.2(2) clarif</w:t>
      </w:r>
      <w:r w:rsidR="00A16A49">
        <w:rPr>
          <w:rFonts w:ascii="Arial" w:hAnsi="Arial" w:cs="Arial"/>
          <w:snapToGrid w:val="0"/>
          <w:color w:val="000000"/>
          <w:sz w:val="22"/>
          <w:szCs w:val="22"/>
        </w:rPr>
        <w:t>ies</w:t>
      </w:r>
      <w:r w:rsidR="0075543A" w:rsidRPr="008402CA">
        <w:rPr>
          <w:rFonts w:ascii="Arial" w:hAnsi="Arial" w:cs="Arial"/>
          <w:snapToGrid w:val="0"/>
          <w:color w:val="000000"/>
          <w:sz w:val="22"/>
          <w:szCs w:val="22"/>
        </w:rPr>
        <w:t xml:space="preserve"> that a </w:t>
      </w:r>
      <w:r w:rsidR="00EA4D19">
        <w:rPr>
          <w:rFonts w:ascii="Arial" w:hAnsi="Arial" w:cs="Arial"/>
          <w:snapToGrid w:val="0"/>
          <w:color w:val="000000"/>
          <w:sz w:val="22"/>
          <w:szCs w:val="22"/>
        </w:rPr>
        <w:t xml:space="preserve">water and sewerage </w:t>
      </w:r>
      <w:r w:rsidR="0075543A" w:rsidRPr="008402CA">
        <w:rPr>
          <w:rFonts w:ascii="Arial" w:hAnsi="Arial" w:cs="Arial"/>
          <w:snapToGrid w:val="0"/>
          <w:color w:val="000000"/>
          <w:sz w:val="22"/>
          <w:szCs w:val="22"/>
        </w:rPr>
        <w:t xml:space="preserve">utility may charge </w:t>
      </w:r>
      <w:r w:rsidR="00EA4D19">
        <w:rPr>
          <w:rFonts w:ascii="Arial" w:hAnsi="Arial" w:cs="Arial"/>
          <w:snapToGrid w:val="0"/>
          <w:color w:val="000000"/>
          <w:sz w:val="22"/>
          <w:szCs w:val="22"/>
        </w:rPr>
        <w:t>a service charge in circumstances where the customer is not consuming the service, for example on a vacant block. T</w:t>
      </w:r>
      <w:r w:rsidR="0075543A" w:rsidRPr="008402CA">
        <w:rPr>
          <w:rFonts w:ascii="Arial" w:hAnsi="Arial" w:cs="Arial"/>
          <w:snapToGrid w:val="0"/>
          <w:color w:val="000000"/>
          <w:sz w:val="22"/>
          <w:szCs w:val="22"/>
        </w:rPr>
        <w:t xml:space="preserve">he requirements under </w:t>
      </w:r>
      <w:r w:rsidR="00A16A49">
        <w:rPr>
          <w:rFonts w:ascii="Arial" w:hAnsi="Arial" w:cs="Arial"/>
          <w:snapToGrid w:val="0"/>
          <w:color w:val="000000"/>
          <w:sz w:val="22"/>
          <w:szCs w:val="22"/>
        </w:rPr>
        <w:t xml:space="preserve">clause </w:t>
      </w:r>
      <w:r w:rsidR="0075543A" w:rsidRPr="008402CA">
        <w:rPr>
          <w:rFonts w:ascii="Arial" w:hAnsi="Arial" w:cs="Arial"/>
          <w:snapToGrid w:val="0"/>
          <w:color w:val="000000"/>
          <w:sz w:val="22"/>
          <w:szCs w:val="22"/>
        </w:rPr>
        <w:t xml:space="preserve">13.5 group similar items together and clarify content requirements. </w:t>
      </w:r>
    </w:p>
    <w:p w14:paraId="3BCCA0EB" w14:textId="77777777" w:rsidR="00577409" w:rsidRDefault="00CB6FEC"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14 </w:t>
      </w:r>
      <w:r w:rsidR="0075543A" w:rsidRPr="008402CA">
        <w:rPr>
          <w:rFonts w:ascii="Arial" w:hAnsi="Arial" w:cs="Arial"/>
          <w:snapToGrid w:val="0"/>
          <w:color w:val="000000"/>
          <w:sz w:val="22"/>
          <w:szCs w:val="22"/>
        </w:rPr>
        <w:t>specifies the requirements for utilities to develop and implement a hardship policy for customers in residential premises. The clause includes minimum requirements that must be covered in a hardship policy.</w:t>
      </w:r>
      <w:r w:rsidR="00A16A49">
        <w:rPr>
          <w:rFonts w:ascii="Arial" w:hAnsi="Arial" w:cs="Arial"/>
          <w:snapToGrid w:val="0"/>
          <w:color w:val="000000"/>
          <w:sz w:val="22"/>
          <w:szCs w:val="22"/>
        </w:rPr>
        <w:t xml:space="preserve"> </w:t>
      </w:r>
    </w:p>
    <w:p w14:paraId="505E5272" w14:textId="77777777" w:rsidR="00577409" w:rsidRDefault="0075543A"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 xml:space="preserve">Clause 15 </w:t>
      </w:r>
      <w:r w:rsidR="00A16A49">
        <w:rPr>
          <w:rFonts w:ascii="Arial" w:hAnsi="Arial" w:cs="Arial"/>
          <w:snapToGrid w:val="0"/>
          <w:color w:val="000000"/>
          <w:sz w:val="22"/>
          <w:szCs w:val="22"/>
        </w:rPr>
        <w:t>sets out</w:t>
      </w:r>
      <w:r w:rsidR="00A16A49" w:rsidRPr="008402CA">
        <w:rPr>
          <w:rFonts w:ascii="Arial" w:hAnsi="Arial" w:cs="Arial"/>
          <w:snapToGrid w:val="0"/>
          <w:color w:val="000000"/>
          <w:sz w:val="22"/>
          <w:szCs w:val="22"/>
        </w:rPr>
        <w:t xml:space="preserve"> </w:t>
      </w:r>
      <w:r w:rsidR="00CB6FEC" w:rsidRPr="008402CA">
        <w:rPr>
          <w:rFonts w:ascii="Arial" w:hAnsi="Arial" w:cs="Arial"/>
          <w:snapToGrid w:val="0"/>
          <w:color w:val="000000"/>
          <w:sz w:val="22"/>
          <w:szCs w:val="22"/>
        </w:rPr>
        <w:t xml:space="preserve">interest payable on accounts and other charges. </w:t>
      </w:r>
    </w:p>
    <w:p w14:paraId="37BE416A" w14:textId="0231ED04" w:rsidR="003C5C39" w:rsidRDefault="003C5C39" w:rsidP="008402CA">
      <w:pPr>
        <w:spacing w:before="60" w:afterLines="120" w:after="288"/>
        <w:rPr>
          <w:rFonts w:ascii="Arial" w:hAnsi="Arial" w:cs="Arial"/>
          <w:snapToGrid w:val="0"/>
          <w:color w:val="000000"/>
          <w:sz w:val="22"/>
          <w:szCs w:val="22"/>
        </w:rPr>
      </w:pPr>
      <w:r w:rsidRPr="008402CA">
        <w:rPr>
          <w:rFonts w:ascii="Arial" w:hAnsi="Arial" w:cs="Arial"/>
          <w:snapToGrid w:val="0"/>
          <w:color w:val="000000"/>
          <w:sz w:val="22"/>
          <w:szCs w:val="22"/>
        </w:rPr>
        <w:t>Clause 16</w:t>
      </w:r>
      <w:r w:rsidR="00EA4D19">
        <w:rPr>
          <w:rFonts w:ascii="Arial" w:hAnsi="Arial" w:cs="Arial"/>
          <w:snapToGrid w:val="0"/>
          <w:color w:val="000000"/>
          <w:sz w:val="22"/>
          <w:szCs w:val="22"/>
        </w:rPr>
        <w:t xml:space="preserve"> specifies information that a utility must provide to a customer </w:t>
      </w:r>
      <w:r w:rsidR="003A35D9">
        <w:rPr>
          <w:rFonts w:ascii="Arial" w:hAnsi="Arial" w:cs="Arial"/>
          <w:snapToGrid w:val="0"/>
          <w:color w:val="000000"/>
          <w:sz w:val="22"/>
          <w:szCs w:val="22"/>
        </w:rPr>
        <w:t xml:space="preserve">after </w:t>
      </w:r>
      <w:r w:rsidR="00EA4D19">
        <w:rPr>
          <w:rFonts w:ascii="Arial" w:hAnsi="Arial" w:cs="Arial"/>
          <w:snapToGrid w:val="0"/>
          <w:color w:val="000000"/>
          <w:sz w:val="22"/>
          <w:szCs w:val="22"/>
        </w:rPr>
        <w:t>entering a new contract.</w:t>
      </w:r>
    </w:p>
    <w:p w14:paraId="7E0BB5C8" w14:textId="5441D62C" w:rsidR="003A35D9" w:rsidRPr="003A35D9" w:rsidRDefault="003A35D9" w:rsidP="008402CA">
      <w:pPr>
        <w:spacing w:before="60" w:afterLines="120" w:after="288"/>
        <w:rPr>
          <w:rFonts w:ascii="Arial" w:hAnsi="Arial" w:cs="Arial"/>
          <w:b/>
          <w:bCs/>
          <w:snapToGrid w:val="0"/>
          <w:color w:val="000000"/>
          <w:sz w:val="22"/>
          <w:szCs w:val="22"/>
        </w:rPr>
      </w:pPr>
      <w:r w:rsidRPr="003A35D9">
        <w:rPr>
          <w:rFonts w:ascii="Arial" w:hAnsi="Arial" w:cs="Arial"/>
          <w:b/>
          <w:bCs/>
          <w:snapToGrid w:val="0"/>
          <w:color w:val="000000"/>
          <w:sz w:val="22"/>
          <w:szCs w:val="22"/>
        </w:rPr>
        <w:t xml:space="preserve">Part 3 Protection of </w:t>
      </w:r>
      <w:r w:rsidR="00A16A49">
        <w:rPr>
          <w:rFonts w:ascii="Arial" w:hAnsi="Arial" w:cs="Arial"/>
          <w:b/>
          <w:bCs/>
          <w:snapToGrid w:val="0"/>
          <w:color w:val="000000"/>
          <w:sz w:val="22"/>
          <w:szCs w:val="22"/>
        </w:rPr>
        <w:t>f</w:t>
      </w:r>
      <w:r w:rsidRPr="003A35D9">
        <w:rPr>
          <w:rFonts w:ascii="Arial" w:hAnsi="Arial" w:cs="Arial"/>
          <w:b/>
          <w:bCs/>
          <w:snapToGrid w:val="0"/>
          <w:color w:val="000000"/>
          <w:sz w:val="22"/>
          <w:szCs w:val="22"/>
        </w:rPr>
        <w:t xml:space="preserve">ranchise </w:t>
      </w:r>
      <w:r w:rsidR="00A16A49">
        <w:rPr>
          <w:rFonts w:ascii="Arial" w:hAnsi="Arial" w:cs="Arial"/>
          <w:b/>
          <w:bCs/>
          <w:snapToGrid w:val="0"/>
          <w:color w:val="000000"/>
          <w:sz w:val="22"/>
          <w:szCs w:val="22"/>
        </w:rPr>
        <w:t>c</w:t>
      </w:r>
      <w:r w:rsidRPr="003A35D9">
        <w:rPr>
          <w:rFonts w:ascii="Arial" w:hAnsi="Arial" w:cs="Arial"/>
          <w:b/>
          <w:bCs/>
          <w:snapToGrid w:val="0"/>
          <w:color w:val="000000"/>
          <w:sz w:val="22"/>
          <w:szCs w:val="22"/>
        </w:rPr>
        <w:t>ustomers</w:t>
      </w:r>
    </w:p>
    <w:p w14:paraId="69ABD277" w14:textId="3A075511" w:rsidR="003A35D9" w:rsidRDefault="003A35D9" w:rsidP="008402CA">
      <w:pPr>
        <w:spacing w:before="60" w:afterLines="120" w:after="288"/>
        <w:rPr>
          <w:rFonts w:ascii="Arial" w:hAnsi="Arial" w:cs="Arial"/>
          <w:snapToGrid w:val="0"/>
          <w:color w:val="000000"/>
          <w:sz w:val="22"/>
          <w:szCs w:val="22"/>
        </w:rPr>
      </w:pPr>
      <w:r>
        <w:rPr>
          <w:rFonts w:ascii="Arial" w:hAnsi="Arial" w:cs="Arial"/>
          <w:snapToGrid w:val="0"/>
          <w:color w:val="000000"/>
          <w:sz w:val="22"/>
          <w:szCs w:val="22"/>
        </w:rPr>
        <w:t xml:space="preserve">Part 3 deals with protections for </w:t>
      </w:r>
      <w:r w:rsidR="00A16A49">
        <w:rPr>
          <w:rFonts w:ascii="Arial" w:hAnsi="Arial" w:cs="Arial"/>
          <w:snapToGrid w:val="0"/>
          <w:color w:val="000000"/>
          <w:sz w:val="22"/>
          <w:szCs w:val="22"/>
        </w:rPr>
        <w:t>f</w:t>
      </w:r>
      <w:r>
        <w:rPr>
          <w:rFonts w:ascii="Arial" w:hAnsi="Arial" w:cs="Arial"/>
          <w:snapToGrid w:val="0"/>
          <w:color w:val="000000"/>
          <w:sz w:val="22"/>
          <w:szCs w:val="22"/>
        </w:rPr>
        <w:t xml:space="preserve">ranchise </w:t>
      </w:r>
      <w:r w:rsidR="00A16A49">
        <w:rPr>
          <w:rFonts w:ascii="Arial" w:hAnsi="Arial" w:cs="Arial"/>
          <w:snapToGrid w:val="0"/>
          <w:color w:val="000000"/>
          <w:sz w:val="22"/>
          <w:szCs w:val="22"/>
        </w:rPr>
        <w:t>c</w:t>
      </w:r>
      <w:r>
        <w:rPr>
          <w:rFonts w:ascii="Arial" w:hAnsi="Arial" w:cs="Arial"/>
          <w:snapToGrid w:val="0"/>
          <w:color w:val="000000"/>
          <w:sz w:val="22"/>
          <w:szCs w:val="22"/>
        </w:rPr>
        <w:t xml:space="preserve">ustomers. Franchise </w:t>
      </w:r>
      <w:r w:rsidR="00A16A49">
        <w:rPr>
          <w:rFonts w:ascii="Arial" w:hAnsi="Arial" w:cs="Arial"/>
          <w:snapToGrid w:val="0"/>
          <w:color w:val="000000"/>
          <w:sz w:val="22"/>
          <w:szCs w:val="22"/>
        </w:rPr>
        <w:t>c</w:t>
      </w:r>
      <w:r>
        <w:rPr>
          <w:rFonts w:ascii="Arial" w:hAnsi="Arial" w:cs="Arial"/>
          <w:snapToGrid w:val="0"/>
          <w:color w:val="000000"/>
          <w:sz w:val="22"/>
          <w:szCs w:val="22"/>
        </w:rPr>
        <w:t xml:space="preserve">ustomers are defined under the Utilities Act. </w:t>
      </w:r>
    </w:p>
    <w:p w14:paraId="0D101AE6" w14:textId="1B666BFC" w:rsidR="003A35D9" w:rsidRPr="003879F0" w:rsidRDefault="003A35D9" w:rsidP="008402CA">
      <w:pPr>
        <w:spacing w:before="60" w:afterLines="120" w:after="288"/>
        <w:rPr>
          <w:rFonts w:ascii="Arial" w:hAnsi="Arial" w:cs="Arial"/>
          <w:b/>
          <w:bCs/>
          <w:snapToGrid w:val="0"/>
          <w:color w:val="000000"/>
          <w:sz w:val="22"/>
          <w:szCs w:val="22"/>
        </w:rPr>
      </w:pPr>
      <w:r w:rsidRPr="003879F0">
        <w:rPr>
          <w:rFonts w:ascii="Arial" w:hAnsi="Arial" w:cs="Arial"/>
          <w:b/>
          <w:bCs/>
          <w:snapToGrid w:val="0"/>
          <w:color w:val="000000"/>
          <w:sz w:val="22"/>
          <w:szCs w:val="22"/>
        </w:rPr>
        <w:t xml:space="preserve">Part 3.1 Standard </w:t>
      </w:r>
      <w:r w:rsidR="00A16A49">
        <w:rPr>
          <w:rFonts w:ascii="Arial" w:hAnsi="Arial" w:cs="Arial"/>
          <w:b/>
          <w:bCs/>
          <w:snapToGrid w:val="0"/>
          <w:color w:val="000000"/>
          <w:sz w:val="22"/>
          <w:szCs w:val="22"/>
        </w:rPr>
        <w:t>c</w:t>
      </w:r>
      <w:r w:rsidRPr="003879F0">
        <w:rPr>
          <w:rFonts w:ascii="Arial" w:hAnsi="Arial" w:cs="Arial"/>
          <w:b/>
          <w:bCs/>
          <w:snapToGrid w:val="0"/>
          <w:color w:val="000000"/>
          <w:sz w:val="22"/>
          <w:szCs w:val="22"/>
        </w:rPr>
        <w:t xml:space="preserve">ustomer </w:t>
      </w:r>
      <w:r w:rsidR="00A16A49">
        <w:rPr>
          <w:rFonts w:ascii="Arial" w:hAnsi="Arial" w:cs="Arial"/>
          <w:b/>
          <w:bCs/>
          <w:snapToGrid w:val="0"/>
          <w:color w:val="000000"/>
          <w:sz w:val="22"/>
          <w:szCs w:val="22"/>
        </w:rPr>
        <w:t>c</w:t>
      </w:r>
      <w:r w:rsidRPr="003879F0">
        <w:rPr>
          <w:rFonts w:ascii="Arial" w:hAnsi="Arial" w:cs="Arial"/>
          <w:b/>
          <w:bCs/>
          <w:snapToGrid w:val="0"/>
          <w:color w:val="000000"/>
          <w:sz w:val="22"/>
          <w:szCs w:val="22"/>
        </w:rPr>
        <w:t>ontracts</w:t>
      </w:r>
    </w:p>
    <w:p w14:paraId="6BF65FB9" w14:textId="118578AC" w:rsidR="003D3033" w:rsidRDefault="003D3033" w:rsidP="008402CA">
      <w:pPr>
        <w:spacing w:before="60" w:afterLines="120" w:after="288"/>
        <w:rPr>
          <w:rFonts w:ascii="Arial" w:hAnsi="Arial" w:cs="Arial"/>
          <w:snapToGrid w:val="0"/>
          <w:color w:val="000000"/>
          <w:sz w:val="22"/>
          <w:szCs w:val="22"/>
        </w:rPr>
      </w:pPr>
      <w:r>
        <w:rPr>
          <w:rFonts w:ascii="Arial" w:hAnsi="Arial" w:cs="Arial"/>
          <w:snapToGrid w:val="0"/>
          <w:color w:val="000000"/>
          <w:sz w:val="22"/>
          <w:szCs w:val="22"/>
        </w:rPr>
        <w:t xml:space="preserve">Part 3.1 relates to standard customer contracts for </w:t>
      </w:r>
      <w:r w:rsidR="00A16A49">
        <w:rPr>
          <w:rFonts w:ascii="Arial" w:hAnsi="Arial" w:cs="Arial"/>
          <w:snapToGrid w:val="0"/>
          <w:color w:val="000000"/>
          <w:sz w:val="22"/>
          <w:szCs w:val="22"/>
        </w:rPr>
        <w:t>f</w:t>
      </w:r>
      <w:r>
        <w:rPr>
          <w:rFonts w:ascii="Arial" w:hAnsi="Arial" w:cs="Arial"/>
          <w:snapToGrid w:val="0"/>
          <w:color w:val="000000"/>
          <w:sz w:val="22"/>
          <w:szCs w:val="22"/>
        </w:rPr>
        <w:t xml:space="preserve">ranchise </w:t>
      </w:r>
      <w:r w:rsidR="00A16A49">
        <w:rPr>
          <w:rFonts w:ascii="Arial" w:hAnsi="Arial" w:cs="Arial"/>
          <w:snapToGrid w:val="0"/>
          <w:color w:val="000000"/>
          <w:sz w:val="22"/>
          <w:szCs w:val="22"/>
        </w:rPr>
        <w:t>c</w:t>
      </w:r>
      <w:r>
        <w:rPr>
          <w:rFonts w:ascii="Arial" w:hAnsi="Arial" w:cs="Arial"/>
          <w:snapToGrid w:val="0"/>
          <w:color w:val="000000"/>
          <w:sz w:val="22"/>
          <w:szCs w:val="22"/>
        </w:rPr>
        <w:t xml:space="preserve">ustomers. </w:t>
      </w:r>
      <w:r w:rsidR="00A50AE0">
        <w:rPr>
          <w:rFonts w:ascii="Arial" w:hAnsi="Arial" w:cs="Arial"/>
          <w:snapToGrid w:val="0"/>
          <w:color w:val="000000"/>
          <w:sz w:val="22"/>
          <w:szCs w:val="22"/>
        </w:rPr>
        <w:t xml:space="preserve">Part 3.1 </w:t>
      </w:r>
      <w:r>
        <w:rPr>
          <w:rFonts w:ascii="Arial" w:hAnsi="Arial" w:cs="Arial"/>
          <w:snapToGrid w:val="0"/>
          <w:color w:val="000000"/>
          <w:sz w:val="22"/>
          <w:szCs w:val="22"/>
        </w:rPr>
        <w:t>differs to part 3.2</w:t>
      </w:r>
      <w:r w:rsidR="00EB789B">
        <w:rPr>
          <w:rFonts w:ascii="Arial" w:hAnsi="Arial" w:cs="Arial"/>
          <w:snapToGrid w:val="0"/>
          <w:color w:val="000000"/>
          <w:sz w:val="22"/>
          <w:szCs w:val="22"/>
        </w:rPr>
        <w:t xml:space="preserve"> (below), in that the latter</w:t>
      </w:r>
      <w:r>
        <w:rPr>
          <w:rFonts w:ascii="Arial" w:hAnsi="Arial" w:cs="Arial"/>
          <w:snapToGrid w:val="0"/>
          <w:color w:val="000000"/>
          <w:sz w:val="22"/>
          <w:szCs w:val="22"/>
        </w:rPr>
        <w:t xml:space="preserve"> covers requirements for both standard customer contracts and negotiated customer contracts.</w:t>
      </w:r>
    </w:p>
    <w:p w14:paraId="5C6085EF" w14:textId="69E0B115" w:rsidR="003A35D9" w:rsidRDefault="000E1E5F" w:rsidP="008402CA">
      <w:pPr>
        <w:spacing w:before="60" w:afterLines="120" w:after="288"/>
        <w:rPr>
          <w:rFonts w:ascii="Arial" w:hAnsi="Arial" w:cs="Arial"/>
          <w:snapToGrid w:val="0"/>
          <w:color w:val="000000"/>
          <w:sz w:val="22"/>
          <w:szCs w:val="22"/>
        </w:rPr>
      </w:pPr>
      <w:r>
        <w:rPr>
          <w:rFonts w:ascii="Arial" w:hAnsi="Arial" w:cs="Arial"/>
          <w:snapToGrid w:val="0"/>
          <w:color w:val="000000"/>
          <w:sz w:val="22"/>
          <w:szCs w:val="22"/>
        </w:rPr>
        <w:t>Clause 17</w:t>
      </w:r>
      <w:r w:rsidR="003879F0">
        <w:rPr>
          <w:rFonts w:ascii="Arial" w:hAnsi="Arial" w:cs="Arial"/>
          <w:snapToGrid w:val="0"/>
          <w:color w:val="000000"/>
          <w:sz w:val="22"/>
          <w:szCs w:val="22"/>
        </w:rPr>
        <w:t xml:space="preserve"> </w:t>
      </w:r>
      <w:r w:rsidR="003879F0" w:rsidRPr="003879F0">
        <w:rPr>
          <w:rFonts w:ascii="Arial" w:hAnsi="Arial" w:cs="Arial"/>
          <w:snapToGrid w:val="0"/>
          <w:color w:val="000000"/>
          <w:sz w:val="22"/>
          <w:szCs w:val="22"/>
        </w:rPr>
        <w:t xml:space="preserve">is concerned with standard customer contracts. It </w:t>
      </w:r>
      <w:r w:rsidR="00CD47B3">
        <w:rPr>
          <w:rFonts w:ascii="Arial" w:hAnsi="Arial" w:cs="Arial"/>
          <w:snapToGrid w:val="0"/>
          <w:color w:val="000000"/>
          <w:sz w:val="22"/>
          <w:szCs w:val="22"/>
        </w:rPr>
        <w:t xml:space="preserve">explains </w:t>
      </w:r>
      <w:r w:rsidR="003879F0" w:rsidRPr="003879F0">
        <w:rPr>
          <w:rFonts w:ascii="Arial" w:hAnsi="Arial" w:cs="Arial"/>
          <w:snapToGrid w:val="0"/>
          <w:color w:val="000000"/>
          <w:sz w:val="22"/>
          <w:szCs w:val="22"/>
        </w:rPr>
        <w:t>when a utility is required to use a standard customer contract and what such contracts must contain.</w:t>
      </w:r>
    </w:p>
    <w:p w14:paraId="5D58277A" w14:textId="40870CD5" w:rsidR="003D3033" w:rsidRDefault="00CD47B3" w:rsidP="00CD47B3">
      <w:pPr>
        <w:spacing w:before="60" w:afterLines="120" w:after="288"/>
        <w:rPr>
          <w:rFonts w:ascii="Arial" w:hAnsi="Arial" w:cs="Arial"/>
          <w:snapToGrid w:val="0"/>
          <w:color w:val="000000"/>
          <w:sz w:val="22"/>
          <w:szCs w:val="22"/>
        </w:rPr>
      </w:pPr>
      <w:r>
        <w:rPr>
          <w:rFonts w:ascii="Arial" w:hAnsi="Arial" w:cs="Arial"/>
          <w:snapToGrid w:val="0"/>
          <w:color w:val="000000"/>
          <w:sz w:val="22"/>
          <w:szCs w:val="22"/>
        </w:rPr>
        <w:lastRenderedPageBreak/>
        <w:t xml:space="preserve">Clause 18 </w:t>
      </w:r>
      <w:r w:rsidR="00EB789B">
        <w:rPr>
          <w:rFonts w:ascii="Arial" w:hAnsi="Arial" w:cs="Arial"/>
          <w:snapToGrid w:val="0"/>
          <w:color w:val="000000"/>
          <w:sz w:val="22"/>
          <w:szCs w:val="22"/>
        </w:rPr>
        <w:t>sets out</w:t>
      </w:r>
      <w:r w:rsidR="00EB789B" w:rsidRPr="00CD47B3">
        <w:rPr>
          <w:rFonts w:ascii="Arial" w:hAnsi="Arial" w:cs="Arial"/>
          <w:snapToGrid w:val="0"/>
          <w:color w:val="000000"/>
          <w:sz w:val="22"/>
          <w:szCs w:val="22"/>
        </w:rPr>
        <w:t xml:space="preserve"> </w:t>
      </w:r>
      <w:r w:rsidR="00074B96">
        <w:rPr>
          <w:rFonts w:ascii="Arial" w:hAnsi="Arial" w:cs="Arial"/>
          <w:snapToGrid w:val="0"/>
          <w:color w:val="000000"/>
          <w:sz w:val="22"/>
          <w:szCs w:val="22"/>
        </w:rPr>
        <w:t>a</w:t>
      </w:r>
      <w:r w:rsidR="00074B96" w:rsidRPr="00CD47B3">
        <w:rPr>
          <w:rFonts w:ascii="Arial" w:hAnsi="Arial" w:cs="Arial"/>
          <w:snapToGrid w:val="0"/>
          <w:color w:val="000000"/>
          <w:sz w:val="22"/>
          <w:szCs w:val="22"/>
        </w:rPr>
        <w:t xml:space="preserve"> </w:t>
      </w:r>
      <w:r w:rsidRPr="00CD47B3">
        <w:rPr>
          <w:rFonts w:ascii="Arial" w:hAnsi="Arial" w:cs="Arial"/>
          <w:snapToGrid w:val="0"/>
          <w:color w:val="000000"/>
          <w:sz w:val="22"/>
          <w:szCs w:val="22"/>
        </w:rPr>
        <w:t>utility’s obligation to provide utility services to customers</w:t>
      </w:r>
      <w:r w:rsidR="008509F2">
        <w:rPr>
          <w:rFonts w:ascii="Arial" w:hAnsi="Arial" w:cs="Arial"/>
          <w:snapToGrid w:val="0"/>
          <w:color w:val="000000"/>
          <w:sz w:val="22"/>
          <w:szCs w:val="22"/>
        </w:rPr>
        <w:t>,</w:t>
      </w:r>
      <w:r w:rsidRPr="00CD47B3">
        <w:rPr>
          <w:rFonts w:ascii="Arial" w:hAnsi="Arial" w:cs="Arial"/>
          <w:snapToGrid w:val="0"/>
          <w:color w:val="000000"/>
          <w:sz w:val="22"/>
          <w:szCs w:val="22"/>
        </w:rPr>
        <w:t xml:space="preserve"> the circumstances under which this obligation does not apply</w:t>
      </w:r>
      <w:r w:rsidR="00C262F4">
        <w:rPr>
          <w:rFonts w:ascii="Arial" w:hAnsi="Arial" w:cs="Arial"/>
          <w:snapToGrid w:val="0"/>
          <w:color w:val="000000"/>
          <w:sz w:val="22"/>
          <w:szCs w:val="22"/>
        </w:rPr>
        <w:t>, and</w:t>
      </w:r>
      <w:r w:rsidR="003D3033">
        <w:rPr>
          <w:rFonts w:ascii="Arial" w:hAnsi="Arial" w:cs="Arial"/>
          <w:snapToGrid w:val="0"/>
          <w:color w:val="000000"/>
          <w:sz w:val="22"/>
          <w:szCs w:val="22"/>
        </w:rPr>
        <w:t xml:space="preserve"> when a customer is deemed to have entered into a contract</w:t>
      </w:r>
      <w:r w:rsidRPr="00CD47B3">
        <w:rPr>
          <w:rFonts w:ascii="Arial" w:hAnsi="Arial" w:cs="Arial"/>
          <w:snapToGrid w:val="0"/>
          <w:color w:val="000000"/>
          <w:sz w:val="22"/>
          <w:szCs w:val="22"/>
        </w:rPr>
        <w:t>.</w:t>
      </w:r>
    </w:p>
    <w:p w14:paraId="568F2B8F" w14:textId="43290652" w:rsidR="00CD47B3" w:rsidRDefault="003D3033" w:rsidP="00CD47B3">
      <w:pPr>
        <w:spacing w:before="60" w:afterLines="120" w:after="288"/>
        <w:rPr>
          <w:rFonts w:ascii="Arial" w:hAnsi="Arial" w:cs="Arial"/>
          <w:snapToGrid w:val="0"/>
          <w:color w:val="000000"/>
          <w:sz w:val="22"/>
          <w:szCs w:val="22"/>
        </w:rPr>
      </w:pPr>
      <w:r>
        <w:rPr>
          <w:rFonts w:ascii="Arial" w:hAnsi="Arial" w:cs="Arial"/>
          <w:snapToGrid w:val="0"/>
          <w:color w:val="000000"/>
          <w:sz w:val="22"/>
          <w:szCs w:val="22"/>
        </w:rPr>
        <w:t>Clause 19</w:t>
      </w:r>
      <w:r w:rsidR="00CD47B3" w:rsidRPr="00CD47B3">
        <w:rPr>
          <w:rFonts w:ascii="Arial" w:hAnsi="Arial" w:cs="Arial"/>
          <w:snapToGrid w:val="0"/>
          <w:color w:val="000000"/>
          <w:sz w:val="22"/>
          <w:szCs w:val="22"/>
        </w:rPr>
        <w:t xml:space="preserve"> </w:t>
      </w:r>
      <w:r w:rsidRPr="003D3033">
        <w:rPr>
          <w:rFonts w:ascii="Arial" w:hAnsi="Arial" w:cs="Arial"/>
          <w:snapToGrid w:val="0"/>
          <w:color w:val="000000"/>
          <w:sz w:val="22"/>
          <w:szCs w:val="22"/>
        </w:rPr>
        <w:t>deals with the availability of standard customer contracts and variations to standard customer contracts.</w:t>
      </w:r>
    </w:p>
    <w:p w14:paraId="17E448DD" w14:textId="540C2CFE" w:rsidR="003D3033" w:rsidRPr="003D3033" w:rsidRDefault="003D3033" w:rsidP="00EA02CF">
      <w:pPr>
        <w:keepNext/>
        <w:keepLines/>
        <w:spacing w:before="60" w:afterLines="120" w:after="288"/>
        <w:rPr>
          <w:rFonts w:ascii="Arial" w:hAnsi="Arial" w:cs="Arial"/>
          <w:b/>
          <w:bCs/>
          <w:snapToGrid w:val="0"/>
          <w:color w:val="000000"/>
          <w:sz w:val="22"/>
          <w:szCs w:val="22"/>
        </w:rPr>
      </w:pPr>
      <w:r w:rsidRPr="003D3033">
        <w:rPr>
          <w:rFonts w:ascii="Arial" w:hAnsi="Arial" w:cs="Arial"/>
          <w:b/>
          <w:bCs/>
          <w:snapToGrid w:val="0"/>
          <w:color w:val="000000"/>
          <w:sz w:val="22"/>
          <w:szCs w:val="22"/>
        </w:rPr>
        <w:t xml:space="preserve">Part 3.2 Standard </w:t>
      </w:r>
      <w:r w:rsidR="00EB789B">
        <w:rPr>
          <w:rFonts w:ascii="Arial" w:hAnsi="Arial" w:cs="Arial"/>
          <w:b/>
          <w:bCs/>
          <w:snapToGrid w:val="0"/>
          <w:color w:val="000000"/>
          <w:sz w:val="22"/>
          <w:szCs w:val="22"/>
        </w:rPr>
        <w:t>c</w:t>
      </w:r>
      <w:r w:rsidRPr="003D3033">
        <w:rPr>
          <w:rFonts w:ascii="Arial" w:hAnsi="Arial" w:cs="Arial"/>
          <w:b/>
          <w:bCs/>
          <w:snapToGrid w:val="0"/>
          <w:color w:val="000000"/>
          <w:sz w:val="22"/>
          <w:szCs w:val="22"/>
        </w:rPr>
        <w:t xml:space="preserve">ustomer </w:t>
      </w:r>
      <w:r w:rsidR="00EB789B">
        <w:rPr>
          <w:rFonts w:ascii="Arial" w:hAnsi="Arial" w:cs="Arial"/>
          <w:b/>
          <w:bCs/>
          <w:snapToGrid w:val="0"/>
          <w:color w:val="000000"/>
          <w:sz w:val="22"/>
          <w:szCs w:val="22"/>
        </w:rPr>
        <w:t>c</w:t>
      </w:r>
      <w:r w:rsidRPr="003D3033">
        <w:rPr>
          <w:rFonts w:ascii="Arial" w:hAnsi="Arial" w:cs="Arial"/>
          <w:b/>
          <w:bCs/>
          <w:snapToGrid w:val="0"/>
          <w:color w:val="000000"/>
          <w:sz w:val="22"/>
          <w:szCs w:val="22"/>
        </w:rPr>
        <w:t xml:space="preserve">ontracts and </w:t>
      </w:r>
      <w:r w:rsidR="00EB789B">
        <w:rPr>
          <w:rFonts w:ascii="Arial" w:hAnsi="Arial" w:cs="Arial"/>
          <w:b/>
          <w:bCs/>
          <w:snapToGrid w:val="0"/>
          <w:color w:val="000000"/>
          <w:sz w:val="22"/>
          <w:szCs w:val="22"/>
        </w:rPr>
        <w:t>n</w:t>
      </w:r>
      <w:r w:rsidRPr="003D3033">
        <w:rPr>
          <w:rFonts w:ascii="Arial" w:hAnsi="Arial" w:cs="Arial"/>
          <w:b/>
          <w:bCs/>
          <w:snapToGrid w:val="0"/>
          <w:color w:val="000000"/>
          <w:sz w:val="22"/>
          <w:szCs w:val="22"/>
        </w:rPr>
        <w:t xml:space="preserve">egotiated </w:t>
      </w:r>
      <w:r w:rsidR="00EB789B">
        <w:rPr>
          <w:rFonts w:ascii="Arial" w:hAnsi="Arial" w:cs="Arial"/>
          <w:b/>
          <w:bCs/>
          <w:snapToGrid w:val="0"/>
          <w:color w:val="000000"/>
          <w:sz w:val="22"/>
          <w:szCs w:val="22"/>
        </w:rPr>
        <w:t>c</w:t>
      </w:r>
      <w:r w:rsidRPr="003D3033">
        <w:rPr>
          <w:rFonts w:ascii="Arial" w:hAnsi="Arial" w:cs="Arial"/>
          <w:b/>
          <w:bCs/>
          <w:snapToGrid w:val="0"/>
          <w:color w:val="000000"/>
          <w:sz w:val="22"/>
          <w:szCs w:val="22"/>
        </w:rPr>
        <w:t xml:space="preserve">ustomer </w:t>
      </w:r>
      <w:r w:rsidR="00EB789B">
        <w:rPr>
          <w:rFonts w:ascii="Arial" w:hAnsi="Arial" w:cs="Arial"/>
          <w:b/>
          <w:bCs/>
          <w:snapToGrid w:val="0"/>
          <w:color w:val="000000"/>
          <w:sz w:val="22"/>
          <w:szCs w:val="22"/>
        </w:rPr>
        <w:t>c</w:t>
      </w:r>
      <w:r w:rsidRPr="003D3033">
        <w:rPr>
          <w:rFonts w:ascii="Arial" w:hAnsi="Arial" w:cs="Arial"/>
          <w:b/>
          <w:bCs/>
          <w:snapToGrid w:val="0"/>
          <w:color w:val="000000"/>
          <w:sz w:val="22"/>
          <w:szCs w:val="22"/>
        </w:rPr>
        <w:t>ontracts</w:t>
      </w:r>
    </w:p>
    <w:p w14:paraId="63DB18E2" w14:textId="5981350B" w:rsidR="00583E4A" w:rsidRDefault="003D3033" w:rsidP="00EA02CF">
      <w:pPr>
        <w:keepNext/>
        <w:keepLines/>
        <w:spacing w:before="60" w:afterLines="120" w:after="288"/>
        <w:rPr>
          <w:rFonts w:ascii="Arial" w:hAnsi="Arial" w:cs="Arial"/>
          <w:snapToGrid w:val="0"/>
          <w:color w:val="000000"/>
          <w:sz w:val="22"/>
          <w:szCs w:val="22"/>
        </w:rPr>
      </w:pPr>
      <w:r>
        <w:rPr>
          <w:rFonts w:ascii="Arial" w:hAnsi="Arial" w:cs="Arial"/>
          <w:snapToGrid w:val="0"/>
          <w:color w:val="000000"/>
          <w:sz w:val="22"/>
          <w:szCs w:val="22"/>
        </w:rPr>
        <w:t xml:space="preserve">Part 3.2 </w:t>
      </w:r>
      <w:r w:rsidR="00583E4A">
        <w:rPr>
          <w:rFonts w:ascii="Arial" w:hAnsi="Arial" w:cs="Arial"/>
          <w:snapToGrid w:val="0"/>
          <w:color w:val="000000"/>
          <w:sz w:val="22"/>
          <w:szCs w:val="22"/>
        </w:rPr>
        <w:t>sets out matters that apply to franchise customers on a standard customer contract or a negotiated customer contract.</w:t>
      </w:r>
    </w:p>
    <w:p w14:paraId="59C22390" w14:textId="57F5281D" w:rsidR="00DB7716" w:rsidRPr="00DB7716" w:rsidRDefault="00583E4A" w:rsidP="00DB7716">
      <w:pPr>
        <w:pStyle w:val="BodyText2"/>
        <w:ind w:left="0"/>
        <w:rPr>
          <w:rFonts w:ascii="Arial" w:hAnsi="Arial" w:cs="Arial"/>
          <w:snapToGrid w:val="0"/>
          <w:color w:val="000000"/>
          <w:sz w:val="22"/>
          <w:szCs w:val="22"/>
        </w:rPr>
      </w:pPr>
      <w:r>
        <w:rPr>
          <w:rFonts w:ascii="Arial" w:hAnsi="Arial" w:cs="Arial"/>
          <w:snapToGrid w:val="0"/>
          <w:color w:val="000000"/>
          <w:sz w:val="22"/>
          <w:szCs w:val="22"/>
        </w:rPr>
        <w:t xml:space="preserve">Clause 20 </w:t>
      </w:r>
      <w:r w:rsidRPr="00583E4A">
        <w:rPr>
          <w:rFonts w:ascii="Arial" w:hAnsi="Arial" w:cs="Arial"/>
          <w:snapToGrid w:val="0"/>
          <w:color w:val="000000"/>
          <w:sz w:val="22"/>
          <w:szCs w:val="22"/>
        </w:rPr>
        <w:t xml:space="preserve">deals with the disconnection of premises from </w:t>
      </w:r>
      <w:r>
        <w:rPr>
          <w:rFonts w:ascii="Arial" w:hAnsi="Arial" w:cs="Arial"/>
          <w:snapToGrid w:val="0"/>
          <w:color w:val="000000"/>
          <w:sz w:val="22"/>
          <w:szCs w:val="22"/>
        </w:rPr>
        <w:t xml:space="preserve">a water or sewerage </w:t>
      </w:r>
      <w:r w:rsidRPr="00583E4A">
        <w:rPr>
          <w:rFonts w:ascii="Arial" w:hAnsi="Arial" w:cs="Arial"/>
          <w:snapToGrid w:val="0"/>
          <w:color w:val="000000"/>
          <w:sz w:val="22"/>
          <w:szCs w:val="22"/>
        </w:rPr>
        <w:t xml:space="preserve">network and the restriction of water supply. It specifies the circumstances in which supply may be disconnected or restricted and the process to be followed </w:t>
      </w:r>
      <w:r w:rsidR="000553F6">
        <w:rPr>
          <w:rFonts w:ascii="Arial" w:hAnsi="Arial" w:cs="Arial"/>
          <w:snapToGrid w:val="0"/>
          <w:color w:val="000000"/>
          <w:sz w:val="22"/>
          <w:szCs w:val="22"/>
        </w:rPr>
        <w:t xml:space="preserve">by the utility </w:t>
      </w:r>
      <w:r w:rsidRPr="00583E4A">
        <w:rPr>
          <w:rFonts w:ascii="Arial" w:hAnsi="Arial" w:cs="Arial"/>
          <w:snapToGrid w:val="0"/>
          <w:color w:val="000000"/>
          <w:sz w:val="22"/>
          <w:szCs w:val="22"/>
        </w:rPr>
        <w:t xml:space="preserve">before supply can be restricted after a customer has failed to pay their account. </w:t>
      </w:r>
      <w:r w:rsidR="001D49A1">
        <w:rPr>
          <w:rFonts w:ascii="Arial" w:hAnsi="Arial" w:cs="Arial"/>
          <w:snapToGrid w:val="0"/>
          <w:color w:val="000000"/>
          <w:sz w:val="22"/>
          <w:szCs w:val="22"/>
        </w:rPr>
        <w:t xml:space="preserve">Clause </w:t>
      </w:r>
      <w:r>
        <w:rPr>
          <w:rFonts w:ascii="Arial" w:hAnsi="Arial" w:cs="Arial"/>
          <w:snapToGrid w:val="0"/>
          <w:color w:val="000000"/>
          <w:sz w:val="22"/>
          <w:szCs w:val="22"/>
        </w:rPr>
        <w:t xml:space="preserve">20.5 </w:t>
      </w:r>
      <w:r w:rsidR="001D49A1">
        <w:rPr>
          <w:rFonts w:ascii="Arial" w:hAnsi="Arial" w:cs="Arial"/>
          <w:snapToGrid w:val="0"/>
          <w:color w:val="000000"/>
          <w:sz w:val="22"/>
          <w:szCs w:val="22"/>
        </w:rPr>
        <w:t>limits a utilit</w:t>
      </w:r>
      <w:r w:rsidR="000553F6">
        <w:rPr>
          <w:rFonts w:ascii="Arial" w:hAnsi="Arial" w:cs="Arial"/>
          <w:snapToGrid w:val="0"/>
          <w:color w:val="000000"/>
          <w:sz w:val="22"/>
          <w:szCs w:val="22"/>
        </w:rPr>
        <w:t>y’</w:t>
      </w:r>
      <w:r w:rsidR="001D49A1">
        <w:rPr>
          <w:rFonts w:ascii="Arial" w:hAnsi="Arial" w:cs="Arial"/>
          <w:snapToGrid w:val="0"/>
          <w:color w:val="000000"/>
          <w:sz w:val="22"/>
          <w:szCs w:val="22"/>
        </w:rPr>
        <w:t xml:space="preserve">s right to restrict water to </w:t>
      </w:r>
      <w:r w:rsidR="000553F6">
        <w:rPr>
          <w:rFonts w:ascii="Arial" w:hAnsi="Arial" w:cs="Arial"/>
          <w:snapToGrid w:val="0"/>
          <w:color w:val="000000"/>
          <w:sz w:val="22"/>
          <w:szCs w:val="22"/>
        </w:rPr>
        <w:t xml:space="preserve">a </w:t>
      </w:r>
      <w:r w:rsidR="001D49A1">
        <w:rPr>
          <w:rFonts w:ascii="Arial" w:hAnsi="Arial" w:cs="Arial"/>
          <w:snapToGrid w:val="0"/>
          <w:color w:val="000000"/>
          <w:sz w:val="22"/>
          <w:szCs w:val="22"/>
        </w:rPr>
        <w:t>premises to a flow rate of no less than two litres per minute.</w:t>
      </w:r>
      <w:r w:rsidR="00DB7716">
        <w:rPr>
          <w:rFonts w:ascii="Arial" w:hAnsi="Arial" w:cs="Arial"/>
          <w:snapToGrid w:val="0"/>
          <w:color w:val="000000"/>
          <w:sz w:val="22"/>
          <w:szCs w:val="22"/>
        </w:rPr>
        <w:t xml:space="preserve"> </w:t>
      </w:r>
      <w:r w:rsidR="00B91749">
        <w:rPr>
          <w:rFonts w:ascii="Arial" w:hAnsi="Arial" w:cs="Arial"/>
          <w:snapToGrid w:val="0"/>
          <w:color w:val="000000"/>
          <w:sz w:val="22"/>
          <w:szCs w:val="22"/>
        </w:rPr>
        <w:t xml:space="preserve">This clause </w:t>
      </w:r>
      <w:r w:rsidR="00D93367">
        <w:rPr>
          <w:rFonts w:ascii="Arial" w:hAnsi="Arial" w:cs="Arial"/>
          <w:snapToGrid w:val="0"/>
          <w:color w:val="000000"/>
          <w:sz w:val="22"/>
          <w:szCs w:val="22"/>
        </w:rPr>
        <w:t xml:space="preserve">sets out </w:t>
      </w:r>
      <w:r w:rsidR="00B91749">
        <w:rPr>
          <w:rFonts w:ascii="Arial" w:hAnsi="Arial" w:cs="Arial"/>
          <w:snapToGrid w:val="0"/>
          <w:color w:val="000000"/>
          <w:sz w:val="22"/>
          <w:szCs w:val="22"/>
        </w:rPr>
        <w:t>that a utility cannot disconnect water supply for an outstanding debt.</w:t>
      </w:r>
    </w:p>
    <w:p w14:paraId="171E33C6" w14:textId="6531C1FE" w:rsidR="00DB7716" w:rsidRDefault="001D49A1" w:rsidP="00DB7716">
      <w:pPr>
        <w:pStyle w:val="BodyText2"/>
        <w:ind w:left="0"/>
        <w:rPr>
          <w:lang w:val="en-US"/>
        </w:rPr>
      </w:pPr>
      <w:r>
        <w:rPr>
          <w:rFonts w:ascii="Arial" w:hAnsi="Arial" w:cs="Arial"/>
          <w:snapToGrid w:val="0"/>
          <w:color w:val="000000"/>
          <w:sz w:val="22"/>
          <w:szCs w:val="22"/>
        </w:rPr>
        <w:t>Clause 21</w:t>
      </w:r>
      <w:r w:rsidR="00DB7716">
        <w:rPr>
          <w:rFonts w:ascii="Arial" w:hAnsi="Arial" w:cs="Arial"/>
          <w:snapToGrid w:val="0"/>
          <w:color w:val="000000"/>
          <w:sz w:val="22"/>
          <w:szCs w:val="22"/>
        </w:rPr>
        <w:t xml:space="preserve"> </w:t>
      </w:r>
      <w:r w:rsidR="00DB7716" w:rsidRPr="00DB7716">
        <w:rPr>
          <w:rFonts w:ascii="Arial" w:hAnsi="Arial" w:cs="Arial"/>
          <w:snapToGrid w:val="0"/>
          <w:color w:val="000000"/>
          <w:sz w:val="22"/>
          <w:szCs w:val="22"/>
        </w:rPr>
        <w:t>provides that disconnections and restrictions of supply may also occur in emergencies or under restriction schemes</w:t>
      </w:r>
      <w:r w:rsidR="00572541">
        <w:rPr>
          <w:rFonts w:ascii="Arial" w:hAnsi="Arial" w:cs="Arial"/>
          <w:snapToGrid w:val="0"/>
          <w:color w:val="000000"/>
          <w:sz w:val="22"/>
          <w:szCs w:val="22"/>
        </w:rPr>
        <w:t>,</w:t>
      </w:r>
      <w:r w:rsidR="00DB7716" w:rsidRPr="00DB7716">
        <w:rPr>
          <w:rFonts w:ascii="Arial" w:hAnsi="Arial" w:cs="Arial"/>
          <w:snapToGrid w:val="0"/>
          <w:color w:val="000000"/>
          <w:sz w:val="22"/>
          <w:szCs w:val="22"/>
        </w:rPr>
        <w:t xml:space="preserve"> and that any restriction or rationing of supply must be in accordance with the utility’s emergency plan or restriction scheme.</w:t>
      </w:r>
      <w:r w:rsidR="00DB7716" w:rsidRPr="00DB7716">
        <w:rPr>
          <w:lang w:val="en-US"/>
        </w:rPr>
        <w:t xml:space="preserve"> </w:t>
      </w:r>
    </w:p>
    <w:p w14:paraId="1CAFE83E" w14:textId="592F3AEC" w:rsidR="00DB7716" w:rsidRDefault="00DB7716" w:rsidP="00DB7716">
      <w:pPr>
        <w:pStyle w:val="BodyText2"/>
        <w:ind w:left="0"/>
        <w:rPr>
          <w:rFonts w:ascii="Arial" w:hAnsi="Arial" w:cs="Arial"/>
          <w:snapToGrid w:val="0"/>
          <w:color w:val="000000"/>
          <w:sz w:val="22"/>
          <w:szCs w:val="22"/>
        </w:rPr>
      </w:pPr>
      <w:r w:rsidRPr="00DB7716">
        <w:rPr>
          <w:rFonts w:ascii="Arial" w:hAnsi="Arial" w:cs="Arial"/>
          <w:snapToGrid w:val="0"/>
          <w:color w:val="000000"/>
          <w:sz w:val="22"/>
          <w:szCs w:val="22"/>
        </w:rPr>
        <w:t>Clause 22</w:t>
      </w:r>
      <w:r>
        <w:rPr>
          <w:rFonts w:ascii="Arial" w:hAnsi="Arial" w:cs="Arial"/>
          <w:snapToGrid w:val="0"/>
          <w:color w:val="000000"/>
          <w:sz w:val="22"/>
          <w:szCs w:val="22"/>
        </w:rPr>
        <w:t xml:space="preserve"> </w:t>
      </w:r>
      <w:r w:rsidRPr="00DB7716">
        <w:rPr>
          <w:rFonts w:ascii="Arial" w:hAnsi="Arial" w:cs="Arial"/>
          <w:snapToGrid w:val="0"/>
          <w:color w:val="000000"/>
          <w:sz w:val="22"/>
          <w:szCs w:val="22"/>
        </w:rPr>
        <w:t xml:space="preserve">outlines the circumstances in which a utility may interrupt the supply of utility services, the notice a utility must give in the case of planned interruptions, and a utility’s obligation to restore supply as soon as practicable. </w:t>
      </w:r>
    </w:p>
    <w:p w14:paraId="03F46873" w14:textId="6C718EE5" w:rsidR="00B91749" w:rsidRDefault="00B91749" w:rsidP="00DB7716">
      <w:pPr>
        <w:pStyle w:val="BodyText2"/>
        <w:ind w:left="0"/>
        <w:rPr>
          <w:rFonts w:ascii="Arial" w:hAnsi="Arial" w:cs="Arial"/>
          <w:snapToGrid w:val="0"/>
          <w:color w:val="000000"/>
          <w:sz w:val="22"/>
          <w:szCs w:val="22"/>
        </w:rPr>
      </w:pPr>
      <w:r>
        <w:rPr>
          <w:rFonts w:ascii="Arial" w:hAnsi="Arial" w:cs="Arial"/>
          <w:snapToGrid w:val="0"/>
          <w:color w:val="000000"/>
          <w:sz w:val="22"/>
          <w:szCs w:val="22"/>
        </w:rPr>
        <w:t xml:space="preserve">Clause 23 </w:t>
      </w:r>
      <w:r w:rsidRPr="00B91749">
        <w:rPr>
          <w:rFonts w:ascii="Arial" w:hAnsi="Arial" w:cs="Arial"/>
          <w:snapToGrid w:val="0"/>
          <w:color w:val="000000"/>
          <w:sz w:val="22"/>
          <w:szCs w:val="22"/>
        </w:rPr>
        <w:t>deals with security deposits. It specifies the circumstances in which a utility may require a security deposit, the maximum amount that may be required, interest on, and repayment of, security deposits, and the purposes for which security deposits may be used.</w:t>
      </w:r>
    </w:p>
    <w:p w14:paraId="5B83CBE5" w14:textId="77777777" w:rsidR="00B91749" w:rsidRPr="00DB7716" w:rsidRDefault="00B91749" w:rsidP="00DB7716">
      <w:pPr>
        <w:pStyle w:val="BodyText2"/>
        <w:ind w:left="0"/>
        <w:rPr>
          <w:rFonts w:ascii="Arial" w:hAnsi="Arial" w:cs="Arial"/>
          <w:snapToGrid w:val="0"/>
          <w:color w:val="000000"/>
          <w:sz w:val="22"/>
          <w:szCs w:val="22"/>
        </w:rPr>
      </w:pPr>
    </w:p>
    <w:p w14:paraId="6BD5B136" w14:textId="77777777" w:rsidR="00B91749" w:rsidRPr="00DF6B7F" w:rsidRDefault="00B91749" w:rsidP="00DF6B7F">
      <w:pPr>
        <w:spacing w:before="60" w:afterLines="120" w:after="288"/>
        <w:rPr>
          <w:rFonts w:ascii="Arial" w:hAnsi="Arial" w:cs="Arial"/>
          <w:b/>
          <w:bCs/>
          <w:snapToGrid w:val="0"/>
          <w:color w:val="000000"/>
          <w:sz w:val="22"/>
          <w:szCs w:val="22"/>
        </w:rPr>
      </w:pPr>
      <w:r w:rsidRPr="00DF6B7F">
        <w:rPr>
          <w:rFonts w:ascii="Arial" w:hAnsi="Arial" w:cs="Arial"/>
          <w:b/>
          <w:bCs/>
          <w:snapToGrid w:val="0"/>
          <w:color w:val="000000"/>
          <w:sz w:val="22"/>
          <w:szCs w:val="22"/>
        </w:rPr>
        <w:t>Dictionary</w:t>
      </w:r>
    </w:p>
    <w:p w14:paraId="7FFC4DF6" w14:textId="7310C22A" w:rsidR="00B91749" w:rsidRPr="00B91749" w:rsidRDefault="00B91749" w:rsidP="00B91749">
      <w:pPr>
        <w:pStyle w:val="BodyText2"/>
        <w:ind w:left="0"/>
        <w:rPr>
          <w:rFonts w:ascii="Arial" w:hAnsi="Arial" w:cs="Arial"/>
          <w:snapToGrid w:val="0"/>
          <w:color w:val="000000"/>
          <w:sz w:val="22"/>
          <w:szCs w:val="22"/>
        </w:rPr>
      </w:pPr>
      <w:r w:rsidRPr="00B91749">
        <w:rPr>
          <w:rFonts w:ascii="Arial" w:hAnsi="Arial" w:cs="Arial"/>
          <w:snapToGrid w:val="0"/>
          <w:color w:val="000000"/>
          <w:sz w:val="22"/>
          <w:szCs w:val="22"/>
        </w:rPr>
        <w:t xml:space="preserve">The </w:t>
      </w:r>
      <w:r w:rsidR="00572541">
        <w:rPr>
          <w:rFonts w:ascii="Arial" w:hAnsi="Arial" w:cs="Arial"/>
          <w:snapToGrid w:val="0"/>
          <w:color w:val="000000"/>
          <w:sz w:val="22"/>
          <w:szCs w:val="22"/>
        </w:rPr>
        <w:t>d</w:t>
      </w:r>
      <w:r w:rsidRPr="00B91749">
        <w:rPr>
          <w:rFonts w:ascii="Arial" w:hAnsi="Arial" w:cs="Arial"/>
          <w:snapToGrid w:val="0"/>
          <w:color w:val="000000"/>
          <w:sz w:val="22"/>
          <w:szCs w:val="22"/>
        </w:rPr>
        <w:t>ictionary forms part of the Code.</w:t>
      </w:r>
    </w:p>
    <w:p w14:paraId="2D0BE05C" w14:textId="77777777" w:rsidR="00B91749" w:rsidRDefault="00B91749" w:rsidP="00B91749">
      <w:pPr>
        <w:pStyle w:val="BodyText"/>
        <w:tabs>
          <w:tab w:val="num" w:pos="0"/>
        </w:tabs>
        <w:spacing w:before="60" w:after="60"/>
      </w:pPr>
    </w:p>
    <w:p w14:paraId="0D47E58F" w14:textId="1B42344F" w:rsidR="00B91749" w:rsidRPr="00DF6B7F" w:rsidRDefault="00B91749" w:rsidP="00DF6B7F">
      <w:pPr>
        <w:spacing w:before="60" w:afterLines="120" w:after="288"/>
        <w:rPr>
          <w:rFonts w:ascii="Arial" w:hAnsi="Arial" w:cs="Arial"/>
          <w:b/>
          <w:bCs/>
          <w:snapToGrid w:val="0"/>
          <w:color w:val="000000"/>
          <w:sz w:val="22"/>
          <w:szCs w:val="22"/>
        </w:rPr>
      </w:pPr>
      <w:r w:rsidRPr="00DF6B7F">
        <w:rPr>
          <w:rFonts w:ascii="Arial" w:hAnsi="Arial" w:cs="Arial"/>
          <w:b/>
          <w:bCs/>
          <w:snapToGrid w:val="0"/>
          <w:color w:val="000000"/>
          <w:sz w:val="22"/>
          <w:szCs w:val="22"/>
        </w:rPr>
        <w:t xml:space="preserve">Schedule 1: Water and </w:t>
      </w:r>
      <w:r w:rsidR="00572541">
        <w:rPr>
          <w:rFonts w:ascii="Arial" w:hAnsi="Arial" w:cs="Arial"/>
          <w:b/>
          <w:bCs/>
          <w:snapToGrid w:val="0"/>
          <w:color w:val="000000"/>
          <w:sz w:val="22"/>
          <w:szCs w:val="22"/>
        </w:rPr>
        <w:t>s</w:t>
      </w:r>
      <w:r w:rsidRPr="00DF6B7F">
        <w:rPr>
          <w:rFonts w:ascii="Arial" w:hAnsi="Arial" w:cs="Arial"/>
          <w:b/>
          <w:bCs/>
          <w:snapToGrid w:val="0"/>
          <w:color w:val="000000"/>
          <w:sz w:val="22"/>
          <w:szCs w:val="22"/>
        </w:rPr>
        <w:t xml:space="preserve">ewerage </w:t>
      </w:r>
      <w:r w:rsidR="00572541">
        <w:rPr>
          <w:rFonts w:ascii="Arial" w:hAnsi="Arial" w:cs="Arial"/>
          <w:b/>
          <w:bCs/>
          <w:snapToGrid w:val="0"/>
          <w:color w:val="000000"/>
          <w:sz w:val="22"/>
          <w:szCs w:val="22"/>
        </w:rPr>
        <w:t>s</w:t>
      </w:r>
      <w:r w:rsidRPr="00DF6B7F">
        <w:rPr>
          <w:rFonts w:ascii="Arial" w:hAnsi="Arial" w:cs="Arial"/>
          <w:b/>
          <w:bCs/>
          <w:snapToGrid w:val="0"/>
          <w:color w:val="000000"/>
          <w:sz w:val="22"/>
          <w:szCs w:val="22"/>
        </w:rPr>
        <w:t xml:space="preserve">ervices </w:t>
      </w:r>
      <w:r w:rsidR="00572541">
        <w:rPr>
          <w:rFonts w:ascii="Arial" w:hAnsi="Arial" w:cs="Arial"/>
          <w:b/>
          <w:bCs/>
          <w:snapToGrid w:val="0"/>
          <w:color w:val="000000"/>
          <w:sz w:val="22"/>
          <w:szCs w:val="22"/>
        </w:rPr>
        <w:t>g</w:t>
      </w:r>
      <w:r w:rsidRPr="00DF6B7F">
        <w:rPr>
          <w:rFonts w:ascii="Arial" w:hAnsi="Arial" w:cs="Arial"/>
          <w:b/>
          <w:bCs/>
          <w:snapToGrid w:val="0"/>
          <w:color w:val="000000"/>
          <w:sz w:val="22"/>
          <w:szCs w:val="22"/>
        </w:rPr>
        <w:t>uaranteed service levels</w:t>
      </w:r>
    </w:p>
    <w:p w14:paraId="647C0E4D" w14:textId="2B8F852D" w:rsidR="00B91749" w:rsidRDefault="00B91749" w:rsidP="00DB7716">
      <w:pPr>
        <w:pStyle w:val="BodyText2"/>
        <w:ind w:left="0"/>
        <w:rPr>
          <w:rFonts w:ascii="Arial" w:hAnsi="Arial" w:cs="Arial"/>
          <w:snapToGrid w:val="0"/>
          <w:color w:val="000000"/>
          <w:sz w:val="22"/>
          <w:szCs w:val="22"/>
        </w:rPr>
      </w:pPr>
      <w:r>
        <w:rPr>
          <w:rFonts w:ascii="Arial" w:hAnsi="Arial" w:cs="Arial"/>
          <w:snapToGrid w:val="0"/>
          <w:color w:val="000000"/>
          <w:sz w:val="22"/>
          <w:szCs w:val="22"/>
        </w:rPr>
        <w:t>S</w:t>
      </w:r>
      <w:r w:rsidRPr="00B91749">
        <w:rPr>
          <w:rFonts w:ascii="Arial" w:hAnsi="Arial" w:cs="Arial"/>
          <w:snapToGrid w:val="0"/>
          <w:color w:val="000000"/>
          <w:sz w:val="22"/>
          <w:szCs w:val="22"/>
        </w:rPr>
        <w:t xml:space="preserve">chedule </w:t>
      </w:r>
      <w:r>
        <w:rPr>
          <w:rFonts w:ascii="Arial" w:hAnsi="Arial" w:cs="Arial"/>
          <w:snapToGrid w:val="0"/>
          <w:color w:val="000000"/>
          <w:sz w:val="22"/>
          <w:szCs w:val="22"/>
        </w:rPr>
        <w:t xml:space="preserve">1 </w:t>
      </w:r>
      <w:r w:rsidR="00572541">
        <w:rPr>
          <w:rFonts w:ascii="Arial" w:hAnsi="Arial" w:cs="Arial"/>
          <w:snapToGrid w:val="0"/>
          <w:color w:val="000000"/>
          <w:sz w:val="22"/>
          <w:szCs w:val="22"/>
        </w:rPr>
        <w:t>sets out</w:t>
      </w:r>
      <w:r w:rsidR="00572541" w:rsidRPr="00B91749">
        <w:rPr>
          <w:rFonts w:ascii="Arial" w:hAnsi="Arial" w:cs="Arial"/>
          <w:snapToGrid w:val="0"/>
          <w:color w:val="000000"/>
          <w:sz w:val="22"/>
          <w:szCs w:val="22"/>
        </w:rPr>
        <w:t xml:space="preserve"> </w:t>
      </w:r>
      <w:r w:rsidR="00DF6B7F">
        <w:rPr>
          <w:rFonts w:ascii="Arial" w:hAnsi="Arial" w:cs="Arial"/>
          <w:snapToGrid w:val="0"/>
          <w:color w:val="000000"/>
          <w:sz w:val="22"/>
          <w:szCs w:val="22"/>
        </w:rPr>
        <w:t>GSL</w:t>
      </w:r>
      <w:r w:rsidR="00577409">
        <w:rPr>
          <w:rFonts w:ascii="Arial" w:hAnsi="Arial" w:cs="Arial"/>
          <w:snapToGrid w:val="0"/>
          <w:color w:val="000000"/>
          <w:sz w:val="22"/>
          <w:szCs w:val="22"/>
        </w:rPr>
        <w:t>s</w:t>
      </w:r>
      <w:r w:rsidR="00DF6B7F">
        <w:rPr>
          <w:rFonts w:ascii="Arial" w:hAnsi="Arial" w:cs="Arial"/>
          <w:snapToGrid w:val="0"/>
          <w:color w:val="000000"/>
          <w:sz w:val="22"/>
          <w:szCs w:val="22"/>
        </w:rPr>
        <w:t xml:space="preserve"> for water and sewerage services. The schedule includes a table that includes GSL parameters</w:t>
      </w:r>
      <w:r w:rsidRPr="00B91749">
        <w:rPr>
          <w:rFonts w:ascii="Arial" w:hAnsi="Arial" w:cs="Arial"/>
          <w:snapToGrid w:val="0"/>
          <w:color w:val="000000"/>
          <w:sz w:val="22"/>
          <w:szCs w:val="22"/>
        </w:rPr>
        <w:t xml:space="preserve">, thresholds and rebates that must be paid to customers </w:t>
      </w:r>
      <w:r>
        <w:rPr>
          <w:rFonts w:ascii="Arial" w:hAnsi="Arial" w:cs="Arial"/>
          <w:snapToGrid w:val="0"/>
          <w:color w:val="000000"/>
          <w:sz w:val="22"/>
          <w:szCs w:val="22"/>
        </w:rPr>
        <w:t>by a utility if the threshold is not met.</w:t>
      </w:r>
      <w:r w:rsidR="00DF6B7F">
        <w:rPr>
          <w:rFonts w:ascii="Arial" w:hAnsi="Arial" w:cs="Arial"/>
          <w:snapToGrid w:val="0"/>
          <w:color w:val="000000"/>
          <w:sz w:val="22"/>
          <w:szCs w:val="22"/>
        </w:rPr>
        <w:t xml:space="preserve"> The schedule includes information regarding GSL parameters and exclusions.</w:t>
      </w:r>
    </w:p>
    <w:p w14:paraId="67221B1E" w14:textId="77777777" w:rsidR="00DF6B7F" w:rsidRDefault="00DF6B7F" w:rsidP="00DB7716">
      <w:pPr>
        <w:pStyle w:val="BodyText2"/>
        <w:ind w:left="0"/>
        <w:rPr>
          <w:rFonts w:ascii="Arial" w:hAnsi="Arial" w:cs="Arial"/>
          <w:snapToGrid w:val="0"/>
          <w:color w:val="000000"/>
          <w:sz w:val="22"/>
          <w:szCs w:val="22"/>
        </w:rPr>
      </w:pPr>
    </w:p>
    <w:p w14:paraId="152F315C" w14:textId="631EDB10" w:rsidR="00DF6B7F" w:rsidRPr="00DF6B7F" w:rsidRDefault="00DF6B7F" w:rsidP="00DF6B7F">
      <w:pPr>
        <w:spacing w:before="60" w:afterLines="120" w:after="288"/>
        <w:rPr>
          <w:rFonts w:ascii="Arial" w:hAnsi="Arial" w:cs="Arial"/>
          <w:b/>
          <w:bCs/>
          <w:snapToGrid w:val="0"/>
          <w:color w:val="000000"/>
          <w:sz w:val="22"/>
          <w:szCs w:val="22"/>
        </w:rPr>
      </w:pPr>
      <w:r w:rsidRPr="00DF6B7F">
        <w:rPr>
          <w:rFonts w:ascii="Arial" w:hAnsi="Arial" w:cs="Arial"/>
          <w:b/>
          <w:bCs/>
          <w:snapToGrid w:val="0"/>
          <w:color w:val="000000"/>
          <w:sz w:val="22"/>
          <w:szCs w:val="22"/>
        </w:rPr>
        <w:t>Schedule 2: NERL retailer, gas distributor and electricity distributor guaranteed service levels</w:t>
      </w:r>
    </w:p>
    <w:p w14:paraId="4E855968" w14:textId="07EC8E56" w:rsidR="00DF6B7F" w:rsidRDefault="00DF6B7F" w:rsidP="00DF6B7F">
      <w:pPr>
        <w:pStyle w:val="BodyText2"/>
        <w:ind w:left="0"/>
        <w:rPr>
          <w:rFonts w:ascii="Arial" w:hAnsi="Arial" w:cs="Arial"/>
          <w:snapToGrid w:val="0"/>
          <w:color w:val="000000"/>
          <w:sz w:val="22"/>
          <w:szCs w:val="22"/>
        </w:rPr>
      </w:pPr>
      <w:r>
        <w:rPr>
          <w:rFonts w:ascii="Arial" w:hAnsi="Arial" w:cs="Arial"/>
          <w:snapToGrid w:val="0"/>
          <w:color w:val="000000"/>
          <w:sz w:val="22"/>
          <w:szCs w:val="22"/>
        </w:rPr>
        <w:t>S</w:t>
      </w:r>
      <w:r w:rsidRPr="00B91749">
        <w:rPr>
          <w:rFonts w:ascii="Arial" w:hAnsi="Arial" w:cs="Arial"/>
          <w:snapToGrid w:val="0"/>
          <w:color w:val="000000"/>
          <w:sz w:val="22"/>
          <w:szCs w:val="22"/>
        </w:rPr>
        <w:t xml:space="preserve">chedule </w:t>
      </w:r>
      <w:r>
        <w:rPr>
          <w:rFonts w:ascii="Arial" w:hAnsi="Arial" w:cs="Arial"/>
          <w:snapToGrid w:val="0"/>
          <w:color w:val="000000"/>
          <w:sz w:val="22"/>
          <w:szCs w:val="22"/>
        </w:rPr>
        <w:t xml:space="preserve">2 </w:t>
      </w:r>
      <w:r w:rsidR="00572541">
        <w:rPr>
          <w:rFonts w:ascii="Arial" w:hAnsi="Arial" w:cs="Arial"/>
          <w:snapToGrid w:val="0"/>
          <w:color w:val="000000"/>
          <w:sz w:val="22"/>
          <w:szCs w:val="22"/>
        </w:rPr>
        <w:t>sets out</w:t>
      </w:r>
      <w:r w:rsidR="00572541" w:rsidRPr="00B91749">
        <w:rPr>
          <w:rFonts w:ascii="Arial" w:hAnsi="Arial" w:cs="Arial"/>
          <w:snapToGrid w:val="0"/>
          <w:color w:val="000000"/>
          <w:sz w:val="22"/>
          <w:szCs w:val="22"/>
        </w:rPr>
        <w:t xml:space="preserve"> </w:t>
      </w:r>
      <w:r>
        <w:rPr>
          <w:rFonts w:ascii="Arial" w:hAnsi="Arial" w:cs="Arial"/>
          <w:snapToGrid w:val="0"/>
          <w:color w:val="000000"/>
          <w:sz w:val="22"/>
          <w:szCs w:val="22"/>
        </w:rPr>
        <w:t>GSL</w:t>
      </w:r>
      <w:r w:rsidR="00577409">
        <w:rPr>
          <w:rFonts w:ascii="Arial" w:hAnsi="Arial" w:cs="Arial"/>
          <w:snapToGrid w:val="0"/>
          <w:color w:val="000000"/>
          <w:sz w:val="22"/>
          <w:szCs w:val="22"/>
        </w:rPr>
        <w:t>s</w:t>
      </w:r>
      <w:r>
        <w:rPr>
          <w:rFonts w:ascii="Arial" w:hAnsi="Arial" w:cs="Arial"/>
          <w:snapToGrid w:val="0"/>
          <w:color w:val="000000"/>
          <w:sz w:val="22"/>
          <w:szCs w:val="22"/>
        </w:rPr>
        <w:t xml:space="preserve"> for NERL retailers, gas distributors and electricity distributors. The schedule includes a table that includes GSL parameters</w:t>
      </w:r>
      <w:r w:rsidRPr="00B91749">
        <w:rPr>
          <w:rFonts w:ascii="Arial" w:hAnsi="Arial" w:cs="Arial"/>
          <w:snapToGrid w:val="0"/>
          <w:color w:val="000000"/>
          <w:sz w:val="22"/>
          <w:szCs w:val="22"/>
        </w:rPr>
        <w:t xml:space="preserve">, thresholds and rebates that must be paid to customers </w:t>
      </w:r>
      <w:r>
        <w:rPr>
          <w:rFonts w:ascii="Arial" w:hAnsi="Arial" w:cs="Arial"/>
          <w:snapToGrid w:val="0"/>
          <w:color w:val="000000"/>
          <w:sz w:val="22"/>
          <w:szCs w:val="22"/>
        </w:rPr>
        <w:t>by a utility if the threshold is not met. Some of the GSLs do not apply to NERL retailers as they relate to the performance of the distribution network. The schedule includes information regarding GSL parameters and exclusions.</w:t>
      </w:r>
    </w:p>
    <w:p w14:paraId="514866EF" w14:textId="21B52971" w:rsidR="00DF6B7F" w:rsidRDefault="00DF6B7F" w:rsidP="00DF6B7F">
      <w:pPr>
        <w:pStyle w:val="BodyText2"/>
        <w:ind w:left="0"/>
        <w:rPr>
          <w:rFonts w:ascii="Arial" w:hAnsi="Arial" w:cs="Arial"/>
          <w:snapToGrid w:val="0"/>
          <w:color w:val="000000"/>
          <w:sz w:val="22"/>
          <w:szCs w:val="22"/>
        </w:rPr>
      </w:pPr>
    </w:p>
    <w:p w14:paraId="1275527A" w14:textId="69271896" w:rsidR="00DF6B7F" w:rsidRPr="00DF6B7F" w:rsidRDefault="00DF6B7F" w:rsidP="00DF6B7F">
      <w:pPr>
        <w:spacing w:before="60" w:afterLines="120" w:after="288"/>
        <w:rPr>
          <w:rFonts w:ascii="Arial" w:hAnsi="Arial" w:cs="Arial"/>
          <w:b/>
          <w:bCs/>
          <w:snapToGrid w:val="0"/>
          <w:color w:val="000000"/>
          <w:sz w:val="22"/>
          <w:szCs w:val="22"/>
        </w:rPr>
      </w:pPr>
      <w:r w:rsidRPr="00DF6B7F">
        <w:rPr>
          <w:rFonts w:ascii="Arial" w:hAnsi="Arial" w:cs="Arial"/>
          <w:b/>
          <w:bCs/>
          <w:snapToGrid w:val="0"/>
          <w:color w:val="000000"/>
          <w:sz w:val="22"/>
          <w:szCs w:val="22"/>
        </w:rPr>
        <w:t>Schedule 3: Application to NERL retailers</w:t>
      </w:r>
    </w:p>
    <w:p w14:paraId="0EEA2C83" w14:textId="191D28F9" w:rsidR="00CD47B3" w:rsidRPr="008402CA" w:rsidRDefault="00DF6B7F" w:rsidP="00DF6B7F">
      <w:pPr>
        <w:pStyle w:val="BodyText2"/>
        <w:ind w:left="0"/>
        <w:rPr>
          <w:rFonts w:ascii="Arial" w:hAnsi="Arial" w:cs="Arial"/>
          <w:snapToGrid w:val="0"/>
          <w:color w:val="000000"/>
          <w:sz w:val="22"/>
          <w:szCs w:val="22"/>
        </w:rPr>
      </w:pPr>
      <w:r>
        <w:rPr>
          <w:rFonts w:ascii="Arial" w:hAnsi="Arial" w:cs="Arial"/>
          <w:snapToGrid w:val="0"/>
          <w:color w:val="000000"/>
          <w:sz w:val="22"/>
          <w:szCs w:val="22"/>
        </w:rPr>
        <w:t>S</w:t>
      </w:r>
      <w:r w:rsidRPr="00B91749">
        <w:rPr>
          <w:rFonts w:ascii="Arial" w:hAnsi="Arial" w:cs="Arial"/>
          <w:snapToGrid w:val="0"/>
          <w:color w:val="000000"/>
          <w:sz w:val="22"/>
          <w:szCs w:val="22"/>
        </w:rPr>
        <w:t xml:space="preserve">chedule </w:t>
      </w:r>
      <w:r>
        <w:rPr>
          <w:rFonts w:ascii="Arial" w:hAnsi="Arial" w:cs="Arial"/>
          <w:snapToGrid w:val="0"/>
          <w:color w:val="000000"/>
          <w:sz w:val="22"/>
          <w:szCs w:val="22"/>
        </w:rPr>
        <w:t xml:space="preserve">3 </w:t>
      </w:r>
      <w:r w:rsidR="00572541">
        <w:rPr>
          <w:rFonts w:ascii="Arial" w:hAnsi="Arial" w:cs="Arial"/>
          <w:snapToGrid w:val="0"/>
          <w:color w:val="000000"/>
          <w:sz w:val="22"/>
          <w:szCs w:val="22"/>
        </w:rPr>
        <w:t xml:space="preserve">sets out </w:t>
      </w:r>
      <w:r>
        <w:rPr>
          <w:rFonts w:ascii="Arial" w:hAnsi="Arial" w:cs="Arial"/>
          <w:snapToGrid w:val="0"/>
          <w:color w:val="000000"/>
          <w:sz w:val="22"/>
          <w:szCs w:val="22"/>
        </w:rPr>
        <w:t>which clauses of the Code apply to NERL retailers.</w:t>
      </w:r>
    </w:p>
    <w:sectPr w:rsidR="00CD47B3" w:rsidRPr="008402CA" w:rsidSect="00D607BD">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C3FA" w14:textId="77777777" w:rsidR="00761044" w:rsidRDefault="00761044">
      <w:r>
        <w:separator/>
      </w:r>
    </w:p>
  </w:endnote>
  <w:endnote w:type="continuationSeparator" w:id="0">
    <w:p w14:paraId="26D3E759" w14:textId="77777777" w:rsidR="00761044" w:rsidRDefault="0076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94C7" w14:textId="77777777" w:rsidR="00241240" w:rsidRDefault="00241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17FD" w14:textId="7D867EEF" w:rsidR="00286FAD" w:rsidRPr="00241240" w:rsidRDefault="00241240" w:rsidP="00241240">
    <w:pPr>
      <w:pStyle w:val="Footer"/>
      <w:jc w:val="center"/>
      <w:rPr>
        <w:sz w:val="14"/>
      </w:rPr>
    </w:pPr>
    <w:r w:rsidRPr="0024124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9D53" w14:textId="498B3BEB" w:rsidR="00286FAD" w:rsidRPr="00241240" w:rsidRDefault="00241240" w:rsidP="00241240">
    <w:pPr>
      <w:pStyle w:val="Footer"/>
      <w:jc w:val="center"/>
      <w:rPr>
        <w:sz w:val="14"/>
      </w:rPr>
    </w:pPr>
    <w:r w:rsidRPr="0024124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71E2" w14:textId="77777777" w:rsidR="00761044" w:rsidRDefault="00761044">
      <w:r>
        <w:separator/>
      </w:r>
    </w:p>
  </w:footnote>
  <w:footnote w:type="continuationSeparator" w:id="0">
    <w:p w14:paraId="50D932BE" w14:textId="77777777" w:rsidR="00761044" w:rsidRDefault="0076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9ADC" w14:textId="77777777" w:rsidR="00241240" w:rsidRDefault="00241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B3AD" w14:textId="77777777" w:rsidR="00286FAD" w:rsidRPr="002E320E" w:rsidRDefault="00286FAD" w:rsidP="00FD2E77">
    <w:pPr>
      <w:pStyle w:val="Header"/>
      <w:jc w:val="center"/>
      <w:rPr>
        <w:rFonts w:ascii="Arial" w:hAnsi="Arial" w:cs="Arial"/>
        <w:sz w:val="22"/>
        <w:szCs w:val="22"/>
      </w:rPr>
    </w:pPr>
    <w:r w:rsidRPr="002E320E">
      <w:rPr>
        <w:rStyle w:val="PageNumber"/>
        <w:rFonts w:ascii="Arial" w:hAnsi="Arial" w:cs="Arial"/>
        <w:sz w:val="22"/>
        <w:szCs w:val="22"/>
      </w:rPr>
      <w:fldChar w:fldCharType="begin"/>
    </w:r>
    <w:r w:rsidRPr="002E320E">
      <w:rPr>
        <w:rStyle w:val="PageNumber"/>
        <w:rFonts w:ascii="Arial" w:hAnsi="Arial" w:cs="Arial"/>
        <w:sz w:val="22"/>
        <w:szCs w:val="22"/>
      </w:rPr>
      <w:instrText xml:space="preserve"> PAGE </w:instrText>
    </w:r>
    <w:r w:rsidRPr="002E320E">
      <w:rPr>
        <w:rStyle w:val="PageNumber"/>
        <w:rFonts w:ascii="Arial" w:hAnsi="Arial" w:cs="Arial"/>
        <w:sz w:val="22"/>
        <w:szCs w:val="22"/>
      </w:rPr>
      <w:fldChar w:fldCharType="separate"/>
    </w:r>
    <w:r w:rsidRPr="002E320E">
      <w:rPr>
        <w:rStyle w:val="PageNumber"/>
        <w:rFonts w:ascii="Arial" w:hAnsi="Arial" w:cs="Arial"/>
        <w:noProof/>
        <w:sz w:val="22"/>
        <w:szCs w:val="22"/>
      </w:rPr>
      <w:t>2</w:t>
    </w:r>
    <w:r w:rsidRPr="002E320E">
      <w:rPr>
        <w:rStyle w:val="PageNumbe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B832" w14:textId="77777777" w:rsidR="00241240" w:rsidRDefault="00241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1A6A53"/>
    <w:multiLevelType w:val="hybridMultilevel"/>
    <w:tmpl w:val="6636ADB6"/>
    <w:lvl w:ilvl="0" w:tplc="A46AF04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bCs/>
        <w:i w:val="0"/>
        <w:iCs w:val="0"/>
      </w:rPr>
    </w:lvl>
    <w:lvl w:ilvl="5">
      <w:start w:val="1"/>
      <w:numFmt w:val="decimal"/>
      <w:lvlText w:val="(%6)"/>
      <w:lvlJc w:val="right"/>
      <w:pPr>
        <w:tabs>
          <w:tab w:val="num" w:pos="700"/>
        </w:tabs>
        <w:ind w:left="700" w:hanging="200"/>
      </w:pPr>
      <w:rPr>
        <w:rFonts w:cs="Times New Roman"/>
        <w:b w:val="0"/>
        <w:bCs w:val="0"/>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lowerRoman"/>
      <w:lvlText w:val="(%8)"/>
      <w:lvlJc w:val="right"/>
      <w:pPr>
        <w:tabs>
          <w:tab w:val="num" w:pos="1740"/>
        </w:tabs>
        <w:ind w:left="1740" w:hanging="200"/>
      </w:pPr>
      <w:rPr>
        <w:rFonts w:cs="Times New Roman"/>
        <w:b w:val="0"/>
        <w:bCs w:val="0"/>
        <w:i w:val="0"/>
        <w:iCs w:val="0"/>
      </w:rPr>
    </w:lvl>
    <w:lvl w:ilvl="8">
      <w:start w:val="1"/>
      <w:numFmt w:val="upperLetter"/>
      <w:lvlText w:val="(%9)"/>
      <w:lvlJc w:val="right"/>
      <w:pPr>
        <w:tabs>
          <w:tab w:val="num" w:pos="2260"/>
        </w:tabs>
        <w:ind w:left="2260" w:hanging="200"/>
      </w:pPr>
      <w:rPr>
        <w:rFonts w:cs="Times New Roman"/>
        <w:b w:val="0"/>
        <w:bCs w:val="0"/>
        <w:i w:val="0"/>
        <w:iCs w:val="0"/>
      </w:rPr>
    </w:lvl>
  </w:abstractNum>
  <w:abstractNum w:abstractNumId="4" w15:restartNumberingAfterBreak="0">
    <w:nsid w:val="0D25718D"/>
    <w:multiLevelType w:val="hybridMultilevel"/>
    <w:tmpl w:val="1B56FC3C"/>
    <w:lvl w:ilvl="0" w:tplc="EDCC34EE">
      <w:start w:val="1"/>
      <w:numFmt w:val="bullet"/>
      <w:lvlText w:val=""/>
      <w:lvlJc w:val="left"/>
      <w:pPr>
        <w:tabs>
          <w:tab w:val="num" w:pos="36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443C67"/>
    <w:multiLevelType w:val="hybridMultilevel"/>
    <w:tmpl w:val="F9DAD62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52441"/>
    <w:multiLevelType w:val="hybridMultilevel"/>
    <w:tmpl w:val="253244C2"/>
    <w:lvl w:ilvl="0" w:tplc="EDCC34EE">
      <w:start w:val="1"/>
      <w:numFmt w:val="bullet"/>
      <w:lvlText w:val=""/>
      <w:lvlJc w:val="left"/>
      <w:pPr>
        <w:tabs>
          <w:tab w:val="num" w:pos="36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EA46C05"/>
    <w:multiLevelType w:val="hybridMultilevel"/>
    <w:tmpl w:val="B02C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0442D"/>
    <w:multiLevelType w:val="hybridMultilevel"/>
    <w:tmpl w:val="6330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773F3"/>
    <w:multiLevelType w:val="hybridMultilevel"/>
    <w:tmpl w:val="1EB8D760"/>
    <w:lvl w:ilvl="0" w:tplc="EDCC34EE">
      <w:start w:val="1"/>
      <w:numFmt w:val="bullet"/>
      <w:lvlText w:val=""/>
      <w:lvlJc w:val="left"/>
      <w:pPr>
        <w:tabs>
          <w:tab w:val="num" w:pos="644"/>
        </w:tabs>
        <w:ind w:left="568"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87F1F80"/>
    <w:multiLevelType w:val="multilevel"/>
    <w:tmpl w:val="47DE94E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70C0580F"/>
    <w:multiLevelType w:val="hybridMultilevel"/>
    <w:tmpl w:val="7BB0ADC0"/>
    <w:lvl w:ilvl="0" w:tplc="A3603D04">
      <w:start w:val="1"/>
      <w:numFmt w:val="bullet"/>
      <w:pStyle w:val="Bullet"/>
      <w:lvlText w:val="–"/>
      <w:lvlJc w:val="left"/>
      <w:pPr>
        <w:tabs>
          <w:tab w:val="num" w:pos="2858"/>
        </w:tabs>
        <w:ind w:left="2858" w:hanging="720"/>
      </w:pPr>
      <w:rPr>
        <w:rFonts w:ascii="Verdana" w:hAnsi="Verdana" w:hint="default"/>
      </w:rPr>
    </w:lvl>
    <w:lvl w:ilvl="1" w:tplc="04090019">
      <w:start w:val="1"/>
      <w:numFmt w:val="bullet"/>
      <w:lvlText w:val="o"/>
      <w:lvlJc w:val="left"/>
      <w:pPr>
        <w:tabs>
          <w:tab w:val="num" w:pos="2498"/>
        </w:tabs>
        <w:ind w:left="2498" w:hanging="360"/>
      </w:pPr>
      <w:rPr>
        <w:rFonts w:ascii="Courier New" w:hAnsi="Courier New" w:hint="default"/>
      </w:rPr>
    </w:lvl>
    <w:lvl w:ilvl="2" w:tplc="0409001B">
      <w:start w:val="1"/>
      <w:numFmt w:val="bullet"/>
      <w:lvlText w:val=""/>
      <w:lvlJc w:val="left"/>
      <w:pPr>
        <w:tabs>
          <w:tab w:val="num" w:pos="3218"/>
        </w:tabs>
        <w:ind w:left="3218" w:hanging="360"/>
      </w:pPr>
      <w:rPr>
        <w:rFonts w:ascii="Wingdings" w:hAnsi="Wingdings" w:hint="default"/>
      </w:rPr>
    </w:lvl>
    <w:lvl w:ilvl="3" w:tplc="0409000F">
      <w:start w:val="1"/>
      <w:numFmt w:val="bullet"/>
      <w:lvlText w:val=""/>
      <w:lvlJc w:val="left"/>
      <w:pPr>
        <w:tabs>
          <w:tab w:val="num" w:pos="3938"/>
        </w:tabs>
        <w:ind w:left="3938" w:hanging="360"/>
      </w:pPr>
      <w:rPr>
        <w:rFonts w:ascii="Symbol" w:hAnsi="Symbol" w:hint="default"/>
      </w:rPr>
    </w:lvl>
    <w:lvl w:ilvl="4" w:tplc="04090019">
      <w:start w:val="1"/>
      <w:numFmt w:val="bullet"/>
      <w:lvlText w:val="o"/>
      <w:lvlJc w:val="left"/>
      <w:pPr>
        <w:tabs>
          <w:tab w:val="num" w:pos="4658"/>
        </w:tabs>
        <w:ind w:left="4658" w:hanging="360"/>
      </w:pPr>
      <w:rPr>
        <w:rFonts w:ascii="Courier New" w:hAnsi="Courier New" w:hint="default"/>
      </w:rPr>
    </w:lvl>
    <w:lvl w:ilvl="5" w:tplc="0409001B">
      <w:start w:val="1"/>
      <w:numFmt w:val="bullet"/>
      <w:lvlText w:val=""/>
      <w:lvlJc w:val="left"/>
      <w:pPr>
        <w:tabs>
          <w:tab w:val="num" w:pos="5378"/>
        </w:tabs>
        <w:ind w:left="5378" w:hanging="360"/>
      </w:pPr>
      <w:rPr>
        <w:rFonts w:ascii="Wingdings" w:hAnsi="Wingdings" w:hint="default"/>
      </w:rPr>
    </w:lvl>
    <w:lvl w:ilvl="6" w:tplc="0409000F">
      <w:start w:val="1"/>
      <w:numFmt w:val="bullet"/>
      <w:lvlText w:val=""/>
      <w:lvlJc w:val="left"/>
      <w:pPr>
        <w:tabs>
          <w:tab w:val="num" w:pos="6098"/>
        </w:tabs>
        <w:ind w:left="6098" w:hanging="360"/>
      </w:pPr>
      <w:rPr>
        <w:rFonts w:ascii="Symbol" w:hAnsi="Symbol" w:hint="default"/>
      </w:rPr>
    </w:lvl>
    <w:lvl w:ilvl="7" w:tplc="04090019">
      <w:start w:val="1"/>
      <w:numFmt w:val="bullet"/>
      <w:lvlText w:val="o"/>
      <w:lvlJc w:val="left"/>
      <w:pPr>
        <w:tabs>
          <w:tab w:val="num" w:pos="6818"/>
        </w:tabs>
        <w:ind w:left="6818" w:hanging="360"/>
      </w:pPr>
      <w:rPr>
        <w:rFonts w:ascii="Courier New" w:hAnsi="Courier New" w:hint="default"/>
      </w:rPr>
    </w:lvl>
    <w:lvl w:ilvl="8" w:tplc="0409001B">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752C5A1C"/>
    <w:multiLevelType w:val="hybridMultilevel"/>
    <w:tmpl w:val="729C4B76"/>
    <w:lvl w:ilvl="0" w:tplc="E49E3938">
      <w:start w:val="1"/>
      <w:numFmt w:val="bullet"/>
      <w:lvlText w:val=""/>
      <w:lvlJc w:val="left"/>
      <w:pPr>
        <w:tabs>
          <w:tab w:val="num" w:pos="992"/>
        </w:tabs>
        <w:ind w:left="992"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05CE0"/>
    <w:multiLevelType w:val="singleLevel"/>
    <w:tmpl w:val="463A91C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10"/>
  </w:num>
  <w:num w:numId="5">
    <w:abstractNumId w:val="15"/>
  </w:num>
  <w:num w:numId="6">
    <w:abstractNumId w:val="2"/>
  </w:num>
  <w:num w:numId="7">
    <w:abstractNumId w:val="8"/>
  </w:num>
  <w:num w:numId="8">
    <w:abstractNumId w:val="9"/>
  </w:num>
  <w:num w:numId="9">
    <w:abstractNumId w:val="18"/>
  </w:num>
  <w:num w:numId="10">
    <w:abstractNumId w:val="6"/>
  </w:num>
  <w:num w:numId="11">
    <w:abstractNumId w:val="13"/>
  </w:num>
  <w:num w:numId="12">
    <w:abstractNumId w:val="1"/>
  </w:num>
  <w:num w:numId="13">
    <w:abstractNumId w:val="17"/>
  </w:num>
  <w:num w:numId="14">
    <w:abstractNumId w:val="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78"/>
    <w:rsid w:val="000105A3"/>
    <w:rsid w:val="00024823"/>
    <w:rsid w:val="00041D2F"/>
    <w:rsid w:val="00043AFA"/>
    <w:rsid w:val="0004523D"/>
    <w:rsid w:val="00051656"/>
    <w:rsid w:val="00052B86"/>
    <w:rsid w:val="000553F6"/>
    <w:rsid w:val="00064442"/>
    <w:rsid w:val="00066A96"/>
    <w:rsid w:val="00067FC4"/>
    <w:rsid w:val="00074B96"/>
    <w:rsid w:val="00090BD9"/>
    <w:rsid w:val="00092748"/>
    <w:rsid w:val="00095C48"/>
    <w:rsid w:val="000A1D5B"/>
    <w:rsid w:val="000A1DCF"/>
    <w:rsid w:val="000B2CD9"/>
    <w:rsid w:val="000C1110"/>
    <w:rsid w:val="000C40A3"/>
    <w:rsid w:val="000D7227"/>
    <w:rsid w:val="000E1E5F"/>
    <w:rsid w:val="000F3C3E"/>
    <w:rsid w:val="000F6468"/>
    <w:rsid w:val="000F6F76"/>
    <w:rsid w:val="001054EF"/>
    <w:rsid w:val="00111282"/>
    <w:rsid w:val="001207BE"/>
    <w:rsid w:val="001208B8"/>
    <w:rsid w:val="00120ECD"/>
    <w:rsid w:val="00123A67"/>
    <w:rsid w:val="001244F1"/>
    <w:rsid w:val="001362BE"/>
    <w:rsid w:val="00144A39"/>
    <w:rsid w:val="00144CDF"/>
    <w:rsid w:val="00145545"/>
    <w:rsid w:val="00156172"/>
    <w:rsid w:val="00163A5A"/>
    <w:rsid w:val="00173D35"/>
    <w:rsid w:val="001810CC"/>
    <w:rsid w:val="00182CE4"/>
    <w:rsid w:val="00184478"/>
    <w:rsid w:val="001A5111"/>
    <w:rsid w:val="001B6E96"/>
    <w:rsid w:val="001B7289"/>
    <w:rsid w:val="001C4D9F"/>
    <w:rsid w:val="001D49A1"/>
    <w:rsid w:val="001E5A1B"/>
    <w:rsid w:val="001E7AC9"/>
    <w:rsid w:val="001E7E01"/>
    <w:rsid w:val="001F34C5"/>
    <w:rsid w:val="001F4505"/>
    <w:rsid w:val="001F5286"/>
    <w:rsid w:val="00200483"/>
    <w:rsid w:val="00217926"/>
    <w:rsid w:val="00233CBA"/>
    <w:rsid w:val="00241240"/>
    <w:rsid w:val="00253DF6"/>
    <w:rsid w:val="00254D00"/>
    <w:rsid w:val="0026407B"/>
    <w:rsid w:val="00267879"/>
    <w:rsid w:val="00277805"/>
    <w:rsid w:val="00286FAD"/>
    <w:rsid w:val="002A2674"/>
    <w:rsid w:val="002E320E"/>
    <w:rsid w:val="002F4995"/>
    <w:rsid w:val="002F5CCA"/>
    <w:rsid w:val="00310CFD"/>
    <w:rsid w:val="00311F86"/>
    <w:rsid w:val="003144B3"/>
    <w:rsid w:val="00320554"/>
    <w:rsid w:val="0032128E"/>
    <w:rsid w:val="00321CB9"/>
    <w:rsid w:val="003275AB"/>
    <w:rsid w:val="00337B87"/>
    <w:rsid w:val="003415B9"/>
    <w:rsid w:val="003449C1"/>
    <w:rsid w:val="00347B58"/>
    <w:rsid w:val="00353F79"/>
    <w:rsid w:val="00366BE7"/>
    <w:rsid w:val="00370676"/>
    <w:rsid w:val="00376367"/>
    <w:rsid w:val="00376CEF"/>
    <w:rsid w:val="003829D7"/>
    <w:rsid w:val="003839A8"/>
    <w:rsid w:val="003879F0"/>
    <w:rsid w:val="0039466F"/>
    <w:rsid w:val="003A35D9"/>
    <w:rsid w:val="003A4919"/>
    <w:rsid w:val="003A4A8C"/>
    <w:rsid w:val="003A4FCA"/>
    <w:rsid w:val="003A65B5"/>
    <w:rsid w:val="003B2E92"/>
    <w:rsid w:val="003C3DBC"/>
    <w:rsid w:val="003C5C39"/>
    <w:rsid w:val="003C6F78"/>
    <w:rsid w:val="003C7B83"/>
    <w:rsid w:val="003D22E9"/>
    <w:rsid w:val="003D3033"/>
    <w:rsid w:val="003D5E0A"/>
    <w:rsid w:val="004043CC"/>
    <w:rsid w:val="00405CA7"/>
    <w:rsid w:val="004100EE"/>
    <w:rsid w:val="0041481E"/>
    <w:rsid w:val="00470B16"/>
    <w:rsid w:val="004766A0"/>
    <w:rsid w:val="00496014"/>
    <w:rsid w:val="004C6AD1"/>
    <w:rsid w:val="004D095E"/>
    <w:rsid w:val="004D0C1D"/>
    <w:rsid w:val="004D770E"/>
    <w:rsid w:val="004E7C58"/>
    <w:rsid w:val="004F4D27"/>
    <w:rsid w:val="005021D5"/>
    <w:rsid w:val="00533A9C"/>
    <w:rsid w:val="005367EB"/>
    <w:rsid w:val="0054517E"/>
    <w:rsid w:val="00554CB6"/>
    <w:rsid w:val="00566AFD"/>
    <w:rsid w:val="00567109"/>
    <w:rsid w:val="00572541"/>
    <w:rsid w:val="00574C9C"/>
    <w:rsid w:val="00577409"/>
    <w:rsid w:val="00583E4A"/>
    <w:rsid w:val="00592276"/>
    <w:rsid w:val="0059637A"/>
    <w:rsid w:val="00596A11"/>
    <w:rsid w:val="005A06EA"/>
    <w:rsid w:val="005A2847"/>
    <w:rsid w:val="005B6443"/>
    <w:rsid w:val="005C03E3"/>
    <w:rsid w:val="005C3E7D"/>
    <w:rsid w:val="005D28FF"/>
    <w:rsid w:val="005E7130"/>
    <w:rsid w:val="005E7313"/>
    <w:rsid w:val="005F162E"/>
    <w:rsid w:val="005F18CF"/>
    <w:rsid w:val="006066B7"/>
    <w:rsid w:val="00615852"/>
    <w:rsid w:val="00632726"/>
    <w:rsid w:val="0064060F"/>
    <w:rsid w:val="006426D9"/>
    <w:rsid w:val="00646241"/>
    <w:rsid w:val="00675B52"/>
    <w:rsid w:val="006864FB"/>
    <w:rsid w:val="006921A4"/>
    <w:rsid w:val="00694C3E"/>
    <w:rsid w:val="006C57EC"/>
    <w:rsid w:val="006C5AD6"/>
    <w:rsid w:val="006C5EAE"/>
    <w:rsid w:val="006E51F0"/>
    <w:rsid w:val="006E5E2E"/>
    <w:rsid w:val="006F11F2"/>
    <w:rsid w:val="006F2A98"/>
    <w:rsid w:val="00752610"/>
    <w:rsid w:val="0075543A"/>
    <w:rsid w:val="00761044"/>
    <w:rsid w:val="00764BDD"/>
    <w:rsid w:val="007B6662"/>
    <w:rsid w:val="007C04BE"/>
    <w:rsid w:val="007C1596"/>
    <w:rsid w:val="007C4017"/>
    <w:rsid w:val="00801FC9"/>
    <w:rsid w:val="00803717"/>
    <w:rsid w:val="00815733"/>
    <w:rsid w:val="00825C78"/>
    <w:rsid w:val="008319B0"/>
    <w:rsid w:val="0083347B"/>
    <w:rsid w:val="0083683C"/>
    <w:rsid w:val="00837DB1"/>
    <w:rsid w:val="008402CA"/>
    <w:rsid w:val="00842198"/>
    <w:rsid w:val="0084298E"/>
    <w:rsid w:val="00847D75"/>
    <w:rsid w:val="008509F2"/>
    <w:rsid w:val="0086353C"/>
    <w:rsid w:val="0086679D"/>
    <w:rsid w:val="008707C7"/>
    <w:rsid w:val="0087755E"/>
    <w:rsid w:val="00881795"/>
    <w:rsid w:val="00896FDC"/>
    <w:rsid w:val="00897AF7"/>
    <w:rsid w:val="008C10CA"/>
    <w:rsid w:val="008C22EB"/>
    <w:rsid w:val="008D0E7E"/>
    <w:rsid w:val="008E0181"/>
    <w:rsid w:val="008F0CA3"/>
    <w:rsid w:val="008F773B"/>
    <w:rsid w:val="00902834"/>
    <w:rsid w:val="00903438"/>
    <w:rsid w:val="00926A45"/>
    <w:rsid w:val="009315A9"/>
    <w:rsid w:val="00934883"/>
    <w:rsid w:val="009424A0"/>
    <w:rsid w:val="00950F04"/>
    <w:rsid w:val="00966194"/>
    <w:rsid w:val="00966FD1"/>
    <w:rsid w:val="00975F4E"/>
    <w:rsid w:val="0099797A"/>
    <w:rsid w:val="009A1F52"/>
    <w:rsid w:val="009B4C45"/>
    <w:rsid w:val="009B551F"/>
    <w:rsid w:val="009C2F90"/>
    <w:rsid w:val="009C7716"/>
    <w:rsid w:val="009C79F0"/>
    <w:rsid w:val="00A035A1"/>
    <w:rsid w:val="00A100D2"/>
    <w:rsid w:val="00A16A49"/>
    <w:rsid w:val="00A2416D"/>
    <w:rsid w:val="00A50AE0"/>
    <w:rsid w:val="00A53F87"/>
    <w:rsid w:val="00A65E41"/>
    <w:rsid w:val="00A743C5"/>
    <w:rsid w:val="00A8791C"/>
    <w:rsid w:val="00A87A9D"/>
    <w:rsid w:val="00A949D4"/>
    <w:rsid w:val="00AC4020"/>
    <w:rsid w:val="00AC5CE3"/>
    <w:rsid w:val="00AD3CB8"/>
    <w:rsid w:val="00AE4184"/>
    <w:rsid w:val="00AF0E2A"/>
    <w:rsid w:val="00AF7C80"/>
    <w:rsid w:val="00B00BA4"/>
    <w:rsid w:val="00B0136C"/>
    <w:rsid w:val="00B16344"/>
    <w:rsid w:val="00B3127C"/>
    <w:rsid w:val="00B34EE0"/>
    <w:rsid w:val="00B443B0"/>
    <w:rsid w:val="00B45C00"/>
    <w:rsid w:val="00B472BD"/>
    <w:rsid w:val="00B74F6C"/>
    <w:rsid w:val="00B83810"/>
    <w:rsid w:val="00B91749"/>
    <w:rsid w:val="00B9290A"/>
    <w:rsid w:val="00BA3813"/>
    <w:rsid w:val="00BB2A00"/>
    <w:rsid w:val="00BB7A01"/>
    <w:rsid w:val="00BC062C"/>
    <w:rsid w:val="00BC41C1"/>
    <w:rsid w:val="00BD1285"/>
    <w:rsid w:val="00BD5489"/>
    <w:rsid w:val="00BE4E75"/>
    <w:rsid w:val="00BE66C2"/>
    <w:rsid w:val="00BE6B09"/>
    <w:rsid w:val="00BE7ED7"/>
    <w:rsid w:val="00BF506A"/>
    <w:rsid w:val="00C0205D"/>
    <w:rsid w:val="00C03E96"/>
    <w:rsid w:val="00C0652E"/>
    <w:rsid w:val="00C24AE6"/>
    <w:rsid w:val="00C262F4"/>
    <w:rsid w:val="00C27892"/>
    <w:rsid w:val="00C31FDE"/>
    <w:rsid w:val="00C4000B"/>
    <w:rsid w:val="00C40628"/>
    <w:rsid w:val="00C51EAC"/>
    <w:rsid w:val="00C54755"/>
    <w:rsid w:val="00C57D8F"/>
    <w:rsid w:val="00C81B71"/>
    <w:rsid w:val="00C9014A"/>
    <w:rsid w:val="00C91F75"/>
    <w:rsid w:val="00CA0359"/>
    <w:rsid w:val="00CB6FEC"/>
    <w:rsid w:val="00CC1931"/>
    <w:rsid w:val="00CC3ACC"/>
    <w:rsid w:val="00CD47B3"/>
    <w:rsid w:val="00CD5DF8"/>
    <w:rsid w:val="00D02FF5"/>
    <w:rsid w:val="00D07A6D"/>
    <w:rsid w:val="00D10DC4"/>
    <w:rsid w:val="00D13436"/>
    <w:rsid w:val="00D1529E"/>
    <w:rsid w:val="00D350C5"/>
    <w:rsid w:val="00D40980"/>
    <w:rsid w:val="00D53699"/>
    <w:rsid w:val="00D54177"/>
    <w:rsid w:val="00D607BD"/>
    <w:rsid w:val="00D65175"/>
    <w:rsid w:val="00D91754"/>
    <w:rsid w:val="00D93367"/>
    <w:rsid w:val="00DA687B"/>
    <w:rsid w:val="00DB03F7"/>
    <w:rsid w:val="00DB7716"/>
    <w:rsid w:val="00DC14FC"/>
    <w:rsid w:val="00DE7DB7"/>
    <w:rsid w:val="00DF200D"/>
    <w:rsid w:val="00DF2346"/>
    <w:rsid w:val="00DF6658"/>
    <w:rsid w:val="00DF6B7F"/>
    <w:rsid w:val="00E038E5"/>
    <w:rsid w:val="00E15FC8"/>
    <w:rsid w:val="00E20313"/>
    <w:rsid w:val="00E230E9"/>
    <w:rsid w:val="00E256C9"/>
    <w:rsid w:val="00E42A83"/>
    <w:rsid w:val="00E54A3A"/>
    <w:rsid w:val="00E6276C"/>
    <w:rsid w:val="00E67C99"/>
    <w:rsid w:val="00E777E6"/>
    <w:rsid w:val="00E84427"/>
    <w:rsid w:val="00EA02CF"/>
    <w:rsid w:val="00EA4CDA"/>
    <w:rsid w:val="00EA4D19"/>
    <w:rsid w:val="00EB6CBC"/>
    <w:rsid w:val="00EB789B"/>
    <w:rsid w:val="00EC0E37"/>
    <w:rsid w:val="00EC21C4"/>
    <w:rsid w:val="00EE1B50"/>
    <w:rsid w:val="00EE2413"/>
    <w:rsid w:val="00EE5D6B"/>
    <w:rsid w:val="00EF1524"/>
    <w:rsid w:val="00EF179A"/>
    <w:rsid w:val="00F0135B"/>
    <w:rsid w:val="00F04678"/>
    <w:rsid w:val="00F06B1C"/>
    <w:rsid w:val="00F124D9"/>
    <w:rsid w:val="00F2690E"/>
    <w:rsid w:val="00F26EFA"/>
    <w:rsid w:val="00F40D32"/>
    <w:rsid w:val="00F47D0C"/>
    <w:rsid w:val="00F563F6"/>
    <w:rsid w:val="00F57A73"/>
    <w:rsid w:val="00F71257"/>
    <w:rsid w:val="00F83A43"/>
    <w:rsid w:val="00F8682F"/>
    <w:rsid w:val="00F869CB"/>
    <w:rsid w:val="00F96999"/>
    <w:rsid w:val="00FC743D"/>
    <w:rsid w:val="00FD082E"/>
    <w:rsid w:val="00FD2E77"/>
    <w:rsid w:val="00FD7A03"/>
    <w:rsid w:val="00FD7DA2"/>
    <w:rsid w:val="00FE2707"/>
    <w:rsid w:val="00FE2ADC"/>
    <w:rsid w:val="00FF3419"/>
    <w:rsid w:val="00FF39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391FA2"/>
  <w14:defaultImageDpi w14:val="96"/>
  <w15:docId w15:val="{DF53CC4B-00F8-4306-AD4F-98BD3E1F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AC9"/>
    <w:pPr>
      <w:spacing w:after="0" w:line="240" w:lineRule="auto"/>
    </w:pPr>
    <w:rPr>
      <w:sz w:val="24"/>
      <w:szCs w:val="24"/>
      <w:lang w:eastAsia="en-US"/>
    </w:rPr>
  </w:style>
  <w:style w:type="paragraph" w:styleId="Heading1">
    <w:name w:val="heading 1"/>
    <w:basedOn w:val="Normal"/>
    <w:next w:val="Normal"/>
    <w:link w:val="Heading1Char"/>
    <w:uiPriority w:val="99"/>
    <w:qFormat/>
    <w:rsid w:val="00FE2ADC"/>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autoRedefine/>
    <w:uiPriority w:val="99"/>
    <w:qFormat/>
    <w:rsid w:val="0041481E"/>
    <w:pPr>
      <w:keepNext/>
      <w:widowControl w:val="0"/>
      <w:spacing w:after="100"/>
      <w:outlineLvl w:val="1"/>
    </w:pPr>
    <w:rPr>
      <w:i/>
      <w:iCs/>
    </w:rPr>
  </w:style>
  <w:style w:type="paragraph" w:styleId="Heading3">
    <w:name w:val="heading 3"/>
    <w:basedOn w:val="Normal"/>
    <w:next w:val="Normal"/>
    <w:link w:val="Heading3Char"/>
    <w:uiPriority w:val="99"/>
    <w:qFormat/>
    <w:rsid w:val="003D22E9"/>
    <w:pPr>
      <w:keepNext/>
      <w:spacing w:after="100"/>
      <w:outlineLvl w:val="2"/>
    </w:pPr>
    <w:rPr>
      <w:iCs/>
      <w:szCs w:val="22"/>
      <w:u w:val="single"/>
    </w:rPr>
  </w:style>
  <w:style w:type="paragraph" w:styleId="Heading4">
    <w:name w:val="heading 4"/>
    <w:basedOn w:val="Normal"/>
    <w:next w:val="Normal"/>
    <w:link w:val="Heading4Char"/>
    <w:uiPriority w:val="99"/>
    <w:qFormat/>
    <w:rsid w:val="00FE2AD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2AD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FE2AD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FE2AD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FE2ADC"/>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sid w:val="00FE2ADC"/>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sid w:val="00FE2ADC"/>
    <w:rPr>
      <w:rFonts w:ascii="Tahoma" w:hAnsi="Tahoma" w:cs="Tahoma"/>
      <w:sz w:val="16"/>
      <w:szCs w:val="16"/>
      <w:lang w:val="x-none" w:eastAsia="en-US"/>
    </w:rPr>
  </w:style>
  <w:style w:type="paragraph" w:styleId="Title">
    <w:name w:val="Title"/>
    <w:basedOn w:val="Normal"/>
    <w:link w:val="TitleChar"/>
    <w:uiPriority w:val="99"/>
    <w:qFormat/>
    <w:rsid w:val="00FE2ADC"/>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locked/>
    <w:rsid w:val="00FE2ADC"/>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FE2ADC"/>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FE2ADC"/>
    <w:rPr>
      <w:rFonts w:cs="Times New Roman"/>
      <w:sz w:val="24"/>
      <w:szCs w:val="24"/>
      <w:lang w:val="x-none" w:eastAsia="en-US"/>
    </w:rPr>
  </w:style>
  <w:style w:type="paragraph" w:customStyle="1" w:styleId="Billname">
    <w:name w:val="Billname"/>
    <w:basedOn w:val="Normal"/>
    <w:uiPriority w:val="99"/>
    <w:rsid w:val="00FE2ADC"/>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FE2ADC"/>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FE2ADC"/>
    <w:pPr>
      <w:pBdr>
        <w:bottom w:val="single" w:sz="12" w:space="1" w:color="auto"/>
      </w:pBdr>
      <w:jc w:val="both"/>
    </w:pPr>
  </w:style>
  <w:style w:type="paragraph" w:customStyle="1" w:styleId="madeunder">
    <w:name w:val="made under"/>
    <w:basedOn w:val="Normal"/>
    <w:uiPriority w:val="99"/>
    <w:rsid w:val="00FE2ADC"/>
    <w:pPr>
      <w:spacing w:before="180" w:after="60"/>
      <w:jc w:val="both"/>
    </w:pPr>
  </w:style>
  <w:style w:type="paragraph" w:customStyle="1" w:styleId="CoverActName">
    <w:name w:val="CoverActName"/>
    <w:basedOn w:val="Normal"/>
    <w:uiPriority w:val="99"/>
    <w:rsid w:val="00FE2ADC"/>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FE2ADC"/>
    <w:pPr>
      <w:tabs>
        <w:tab w:val="left" w:pos="2880"/>
      </w:tabs>
    </w:pPr>
  </w:style>
  <w:style w:type="paragraph" w:customStyle="1" w:styleId="Apara">
    <w:name w:val="A para"/>
    <w:basedOn w:val="Normal"/>
    <w:uiPriority w:val="99"/>
    <w:rsid w:val="00FE2ADC"/>
    <w:pPr>
      <w:spacing w:before="80" w:after="60"/>
      <w:jc w:val="both"/>
      <w:outlineLvl w:val="6"/>
    </w:pPr>
  </w:style>
  <w:style w:type="paragraph" w:customStyle="1" w:styleId="Asubpara">
    <w:name w:val="A subpara"/>
    <w:basedOn w:val="Normal"/>
    <w:uiPriority w:val="99"/>
    <w:rsid w:val="00FE2ADC"/>
    <w:pPr>
      <w:tabs>
        <w:tab w:val="num" w:pos="5760"/>
      </w:tabs>
      <w:spacing w:before="80" w:after="60"/>
      <w:ind w:left="5760" w:hanging="720"/>
      <w:jc w:val="both"/>
      <w:outlineLvl w:val="7"/>
    </w:pPr>
  </w:style>
  <w:style w:type="paragraph" w:customStyle="1" w:styleId="Asubsubpara">
    <w:name w:val="A subsubpara"/>
    <w:basedOn w:val="Normal"/>
    <w:uiPriority w:val="99"/>
    <w:rsid w:val="00FE2ADC"/>
    <w:pPr>
      <w:tabs>
        <w:tab w:val="num" w:pos="6480"/>
      </w:tabs>
      <w:spacing w:before="80" w:after="60"/>
      <w:ind w:left="6480" w:hanging="720"/>
      <w:jc w:val="both"/>
      <w:outlineLvl w:val="8"/>
    </w:pPr>
  </w:style>
  <w:style w:type="paragraph" w:customStyle="1" w:styleId="AH5Sec">
    <w:name w:val="A H5 Sec"/>
    <w:basedOn w:val="Normal"/>
    <w:next w:val="Amain"/>
    <w:uiPriority w:val="99"/>
    <w:rsid w:val="00FE2ADC"/>
    <w:pPr>
      <w:keepNext/>
      <w:tabs>
        <w:tab w:val="num" w:pos="700"/>
      </w:tabs>
      <w:spacing w:before="180" w:after="60"/>
      <w:ind w:left="700" w:hanging="700"/>
      <w:outlineLvl w:val="4"/>
    </w:pPr>
    <w:rPr>
      <w:rFonts w:ascii="Arial" w:hAnsi="Arial" w:cs="Arial"/>
      <w:b/>
      <w:bCs/>
    </w:rPr>
  </w:style>
  <w:style w:type="paragraph" w:styleId="Header">
    <w:name w:val="header"/>
    <w:basedOn w:val="Normal"/>
    <w:link w:val="HeaderChar"/>
    <w:uiPriority w:val="99"/>
    <w:rsid w:val="00FE2ADC"/>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FE2ADC"/>
    <w:rPr>
      <w:rFonts w:cs="Times New Roman"/>
      <w:sz w:val="24"/>
      <w:szCs w:val="24"/>
      <w:lang w:val="x-none" w:eastAsia="en-US"/>
    </w:rPr>
  </w:style>
  <w:style w:type="paragraph" w:customStyle="1" w:styleId="ref">
    <w:name w:val="ref"/>
    <w:basedOn w:val="Normal"/>
    <w:next w:val="Normal"/>
    <w:uiPriority w:val="99"/>
    <w:rsid w:val="00FE2ADC"/>
    <w:pPr>
      <w:spacing w:after="60"/>
      <w:jc w:val="both"/>
    </w:pPr>
    <w:rPr>
      <w:sz w:val="18"/>
      <w:szCs w:val="18"/>
    </w:rPr>
  </w:style>
  <w:style w:type="character" w:customStyle="1" w:styleId="CharDivText">
    <w:name w:val="CharDivText"/>
    <w:basedOn w:val="DefaultParagraphFont"/>
    <w:uiPriority w:val="99"/>
    <w:rsid w:val="00FE2ADC"/>
    <w:rPr>
      <w:rFonts w:cs="Times New Roman"/>
    </w:rPr>
  </w:style>
  <w:style w:type="paragraph" w:customStyle="1" w:styleId="CoverInForce">
    <w:name w:val="CoverInForce"/>
    <w:basedOn w:val="Normal"/>
    <w:uiPriority w:val="99"/>
    <w:rsid w:val="00FE2ADC"/>
    <w:pPr>
      <w:tabs>
        <w:tab w:val="left" w:pos="2600"/>
      </w:tabs>
      <w:spacing w:before="200" w:after="60"/>
      <w:jc w:val="both"/>
    </w:pPr>
    <w:rPr>
      <w:rFonts w:ascii="Arial" w:hAnsi="Arial" w:cs="Arial"/>
    </w:rPr>
  </w:style>
  <w:style w:type="paragraph" w:customStyle="1" w:styleId="AFHdg">
    <w:name w:val="AFHdg"/>
    <w:basedOn w:val="Normal"/>
    <w:uiPriority w:val="99"/>
    <w:rsid w:val="00FE2ADC"/>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FE2ADC"/>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FE2ADC"/>
    <w:rPr>
      <w:rFonts w:cs="Times New Roman"/>
    </w:rPr>
  </w:style>
  <w:style w:type="paragraph" w:customStyle="1" w:styleId="Aparabullet">
    <w:name w:val="A para bullet"/>
    <w:basedOn w:val="Normal"/>
    <w:uiPriority w:val="99"/>
    <w:rsid w:val="00FE2ADC"/>
    <w:pPr>
      <w:numPr>
        <w:numId w:val="4"/>
      </w:numPr>
    </w:pPr>
  </w:style>
  <w:style w:type="paragraph" w:styleId="TOC1">
    <w:name w:val="toc 1"/>
    <w:basedOn w:val="Normal"/>
    <w:next w:val="Normal"/>
    <w:autoRedefine/>
    <w:uiPriority w:val="99"/>
    <w:rsid w:val="00FE2ADC"/>
  </w:style>
  <w:style w:type="paragraph" w:styleId="TOC2">
    <w:name w:val="toc 2"/>
    <w:basedOn w:val="Normal"/>
    <w:next w:val="Normal"/>
    <w:autoRedefine/>
    <w:uiPriority w:val="99"/>
    <w:rsid w:val="00FE2ADC"/>
    <w:pPr>
      <w:ind w:left="240"/>
    </w:pPr>
  </w:style>
  <w:style w:type="paragraph" w:styleId="TOC3">
    <w:name w:val="toc 3"/>
    <w:basedOn w:val="Normal"/>
    <w:next w:val="Normal"/>
    <w:autoRedefine/>
    <w:uiPriority w:val="99"/>
    <w:rsid w:val="00FE2ADC"/>
    <w:pPr>
      <w:ind w:left="480"/>
    </w:pPr>
  </w:style>
  <w:style w:type="paragraph" w:styleId="TOC4">
    <w:name w:val="toc 4"/>
    <w:basedOn w:val="Normal"/>
    <w:next w:val="Normal"/>
    <w:autoRedefine/>
    <w:uiPriority w:val="99"/>
    <w:rsid w:val="00FE2ADC"/>
    <w:pPr>
      <w:ind w:left="720"/>
    </w:pPr>
  </w:style>
  <w:style w:type="paragraph" w:styleId="TOC5">
    <w:name w:val="toc 5"/>
    <w:basedOn w:val="Normal"/>
    <w:next w:val="Normal"/>
    <w:autoRedefine/>
    <w:uiPriority w:val="99"/>
    <w:rsid w:val="00FE2ADC"/>
    <w:pPr>
      <w:ind w:left="960"/>
    </w:pPr>
  </w:style>
  <w:style w:type="paragraph" w:styleId="TOC6">
    <w:name w:val="toc 6"/>
    <w:basedOn w:val="Normal"/>
    <w:next w:val="Normal"/>
    <w:autoRedefine/>
    <w:uiPriority w:val="99"/>
    <w:rsid w:val="00FE2ADC"/>
    <w:pPr>
      <w:ind w:left="1200"/>
    </w:pPr>
  </w:style>
  <w:style w:type="paragraph" w:styleId="TOC7">
    <w:name w:val="toc 7"/>
    <w:basedOn w:val="Normal"/>
    <w:next w:val="Normal"/>
    <w:autoRedefine/>
    <w:uiPriority w:val="99"/>
    <w:rsid w:val="00FE2ADC"/>
    <w:pPr>
      <w:ind w:left="1440"/>
    </w:pPr>
  </w:style>
  <w:style w:type="paragraph" w:styleId="TOC8">
    <w:name w:val="toc 8"/>
    <w:basedOn w:val="Normal"/>
    <w:next w:val="Normal"/>
    <w:autoRedefine/>
    <w:uiPriority w:val="99"/>
    <w:rsid w:val="00FE2ADC"/>
    <w:pPr>
      <w:ind w:left="1680"/>
    </w:pPr>
  </w:style>
  <w:style w:type="paragraph" w:styleId="TOC9">
    <w:name w:val="toc 9"/>
    <w:basedOn w:val="Normal"/>
    <w:next w:val="Normal"/>
    <w:autoRedefine/>
    <w:uiPriority w:val="99"/>
    <w:rsid w:val="00FE2ADC"/>
    <w:pPr>
      <w:ind w:left="1920"/>
    </w:pPr>
  </w:style>
  <w:style w:type="character" w:styleId="Hyperlink">
    <w:name w:val="Hyperlink"/>
    <w:basedOn w:val="DefaultParagraphFont"/>
    <w:uiPriority w:val="99"/>
    <w:rsid w:val="00FE2ADC"/>
    <w:rPr>
      <w:rFonts w:cs="Times New Roman"/>
      <w:color w:val="0000FF"/>
      <w:u w:val="single"/>
    </w:rPr>
  </w:style>
  <w:style w:type="paragraph" w:styleId="BodyText2">
    <w:name w:val="Body Text 2"/>
    <w:basedOn w:val="Normal"/>
    <w:link w:val="BodyText2Char"/>
    <w:uiPriority w:val="99"/>
    <w:rsid w:val="00FE2ADC"/>
    <w:pPr>
      <w:spacing w:before="120" w:after="60"/>
      <w:ind w:left="709"/>
    </w:pPr>
  </w:style>
  <w:style w:type="character" w:customStyle="1" w:styleId="BodyText2Char">
    <w:name w:val="Body Text 2 Char"/>
    <w:basedOn w:val="DefaultParagraphFont"/>
    <w:link w:val="BodyText2"/>
    <w:uiPriority w:val="99"/>
    <w:semiHidden/>
    <w:locked/>
    <w:rsid w:val="00FE2ADC"/>
    <w:rPr>
      <w:rFonts w:cs="Times New Roman"/>
      <w:sz w:val="24"/>
      <w:szCs w:val="24"/>
      <w:lang w:val="x-none" w:eastAsia="en-US"/>
    </w:rPr>
  </w:style>
  <w:style w:type="paragraph" w:customStyle="1" w:styleId="Minister">
    <w:name w:val="Minister"/>
    <w:basedOn w:val="Normal"/>
    <w:uiPriority w:val="99"/>
    <w:rsid w:val="00FE2ADC"/>
    <w:pPr>
      <w:spacing w:before="880" w:after="60"/>
      <w:jc w:val="right"/>
    </w:pPr>
    <w:rPr>
      <w:caps/>
    </w:rPr>
  </w:style>
  <w:style w:type="paragraph" w:customStyle="1" w:styleId="DateLine">
    <w:name w:val="DateLine"/>
    <w:basedOn w:val="Normal"/>
    <w:uiPriority w:val="99"/>
    <w:rsid w:val="00FE2ADC"/>
    <w:pPr>
      <w:tabs>
        <w:tab w:val="left" w:pos="4320"/>
      </w:tabs>
      <w:spacing w:before="80" w:after="60"/>
      <w:jc w:val="both"/>
    </w:pPr>
  </w:style>
  <w:style w:type="paragraph" w:customStyle="1" w:styleId="MinisterWord">
    <w:name w:val="MinisterWord"/>
    <w:basedOn w:val="Normal"/>
    <w:uiPriority w:val="99"/>
    <w:rsid w:val="00FE2ADC"/>
    <w:pPr>
      <w:tabs>
        <w:tab w:val="left" w:pos="2880"/>
      </w:tabs>
      <w:jc w:val="right"/>
    </w:pPr>
  </w:style>
  <w:style w:type="character" w:styleId="FollowedHyperlink">
    <w:name w:val="FollowedHyperlink"/>
    <w:basedOn w:val="DefaultParagraphFont"/>
    <w:uiPriority w:val="99"/>
    <w:rsid w:val="00FE2ADC"/>
    <w:rPr>
      <w:rFonts w:cs="Times New Roman"/>
      <w:color w:val="800080"/>
      <w:u w:val="single"/>
    </w:rPr>
  </w:style>
  <w:style w:type="character" w:styleId="FootnoteReference">
    <w:name w:val="footnote reference"/>
    <w:basedOn w:val="DefaultParagraphFont"/>
    <w:uiPriority w:val="99"/>
    <w:rsid w:val="00FE2AD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FE2ADC"/>
    <w:pPr>
      <w:spacing w:before="80" w:after="60"/>
      <w:jc w:val="both"/>
    </w:pPr>
  </w:style>
  <w:style w:type="character" w:customStyle="1" w:styleId="FootnoteTextChar">
    <w:name w:val="Footnote Text Char"/>
    <w:basedOn w:val="DefaultParagraphFont"/>
    <w:link w:val="FootnoteText"/>
    <w:uiPriority w:val="99"/>
    <w:semiHidden/>
    <w:locked/>
    <w:rsid w:val="00FE2ADC"/>
    <w:rPr>
      <w:rFonts w:cs="Times New Roman"/>
      <w:sz w:val="20"/>
      <w:szCs w:val="20"/>
      <w:lang w:val="x-none" w:eastAsia="en-US"/>
    </w:rPr>
  </w:style>
  <w:style w:type="paragraph" w:customStyle="1" w:styleId="ShadedSchClause">
    <w:name w:val="Shaded Sch Clause"/>
    <w:basedOn w:val="Normal"/>
    <w:next w:val="Normal"/>
    <w:uiPriority w:val="99"/>
    <w:rsid w:val="00FE2ADC"/>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FE2ADC"/>
    <w:rPr>
      <w:rFonts w:cs="Times New Roman"/>
    </w:rPr>
  </w:style>
  <w:style w:type="paragraph" w:styleId="BodyText">
    <w:name w:val="Body Text"/>
    <w:basedOn w:val="Normal"/>
    <w:link w:val="BodyTextChar"/>
    <w:uiPriority w:val="99"/>
    <w:rsid w:val="00FE2ADC"/>
    <w:rPr>
      <w:color w:val="000000"/>
    </w:rPr>
  </w:style>
  <w:style w:type="character" w:customStyle="1" w:styleId="BodyTextChar">
    <w:name w:val="Body Text Char"/>
    <w:basedOn w:val="DefaultParagraphFont"/>
    <w:link w:val="BodyText"/>
    <w:uiPriority w:val="99"/>
    <w:semiHidden/>
    <w:locked/>
    <w:rsid w:val="00FE2ADC"/>
    <w:rPr>
      <w:rFonts w:cs="Times New Roman"/>
      <w:sz w:val="24"/>
      <w:szCs w:val="24"/>
      <w:lang w:val="x-none" w:eastAsia="en-US"/>
    </w:rPr>
  </w:style>
  <w:style w:type="paragraph" w:customStyle="1" w:styleId="BodyText1">
    <w:name w:val="Body Text 1"/>
    <w:basedOn w:val="Normal"/>
    <w:uiPriority w:val="99"/>
    <w:rsid w:val="00FE2ADC"/>
    <w:pPr>
      <w:spacing w:before="240"/>
      <w:ind w:left="709"/>
      <w:jc w:val="both"/>
    </w:pPr>
    <w:rPr>
      <w:rFonts w:ascii="Arial" w:hAnsi="Arial" w:cs="Arial"/>
      <w:sz w:val="22"/>
      <w:szCs w:val="22"/>
    </w:rPr>
  </w:style>
  <w:style w:type="paragraph" w:customStyle="1" w:styleId="Amainreturn">
    <w:name w:val="A main return"/>
    <w:basedOn w:val="Normal"/>
    <w:uiPriority w:val="99"/>
    <w:rsid w:val="00092748"/>
    <w:pPr>
      <w:spacing w:before="80" w:after="60"/>
      <w:ind w:left="1100"/>
      <w:jc w:val="both"/>
    </w:pPr>
  </w:style>
  <w:style w:type="character" w:customStyle="1" w:styleId="charItals">
    <w:name w:val="charItals"/>
    <w:basedOn w:val="DefaultParagraphFont"/>
    <w:uiPriority w:val="99"/>
    <w:rsid w:val="00092748"/>
    <w:rPr>
      <w:rFonts w:cs="Times New Roman"/>
      <w:i/>
      <w:iCs/>
    </w:rPr>
  </w:style>
  <w:style w:type="table" w:styleId="TableGrid">
    <w:name w:val="Table Grid"/>
    <w:basedOn w:val="TableNormal"/>
    <w:uiPriority w:val="99"/>
    <w:rsid w:val="003B2E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TimesNewRoman12ptNotItalicUnderlineLe">
    <w:name w:val="Style Heading 2 + Times New Roman 12 pt Not Italic Underline Le..."/>
    <w:basedOn w:val="Heading2"/>
    <w:uiPriority w:val="99"/>
    <w:rsid w:val="0041481E"/>
    <w:rPr>
      <w:i w:val="0"/>
      <w:iCs w:val="0"/>
      <w:szCs w:val="20"/>
      <w:u w:val="single"/>
    </w:rPr>
  </w:style>
  <w:style w:type="paragraph" w:customStyle="1" w:styleId="StyleHeading3Italic">
    <w:name w:val="Style Heading 3 + Italic"/>
    <w:basedOn w:val="Heading3"/>
    <w:uiPriority w:val="99"/>
    <w:rsid w:val="004D095E"/>
  </w:style>
  <w:style w:type="paragraph" w:customStyle="1" w:styleId="NoteBolddash">
    <w:name w:val="NoteBold (dash)"/>
    <w:basedOn w:val="Normal"/>
    <w:uiPriority w:val="99"/>
    <w:rsid w:val="00903438"/>
    <w:pPr>
      <w:tabs>
        <w:tab w:val="num" w:pos="1440"/>
      </w:tabs>
      <w:spacing w:after="240"/>
      <w:ind w:left="1800" w:hanging="360"/>
    </w:pPr>
    <w:rPr>
      <w:rFonts w:ascii="Arial Bold" w:hAnsi="Arial Bold" w:cs="Arial"/>
      <w:b/>
      <w:sz w:val="20"/>
      <w:szCs w:val="20"/>
      <w:lang w:val="en-GB"/>
    </w:rPr>
  </w:style>
  <w:style w:type="paragraph" w:customStyle="1" w:styleId="Bullet">
    <w:name w:val="Bullet"/>
    <w:basedOn w:val="Normal"/>
    <w:uiPriority w:val="99"/>
    <w:rsid w:val="00903438"/>
    <w:pPr>
      <w:numPr>
        <w:numId w:val="16"/>
      </w:numPr>
      <w:tabs>
        <w:tab w:val="num" w:pos="1080"/>
      </w:tabs>
      <w:spacing w:after="240"/>
      <w:ind w:left="1080" w:hanging="360"/>
    </w:pPr>
    <w:rPr>
      <w:rFonts w:ascii="Arial" w:hAnsi="Arial"/>
      <w:sz w:val="22"/>
      <w:szCs w:val="20"/>
      <w:lang w:val="en-GB"/>
    </w:rPr>
  </w:style>
  <w:style w:type="paragraph" w:customStyle="1" w:styleId="1paragraphs">
    <w:name w:val="(1) paragraphs"/>
    <w:basedOn w:val="Normal"/>
    <w:uiPriority w:val="99"/>
    <w:rsid w:val="00470B16"/>
    <w:pPr>
      <w:tabs>
        <w:tab w:val="num" w:pos="1080"/>
      </w:tabs>
      <w:spacing w:after="240"/>
      <w:ind w:left="1080" w:hanging="360"/>
    </w:pPr>
    <w:rPr>
      <w:rFonts w:ascii="Arial" w:hAnsi="Arial" w:cs="Arial"/>
      <w:bCs/>
      <w:iCs/>
      <w:sz w:val="22"/>
      <w:szCs w:val="20"/>
      <w:lang w:val="en-GB"/>
    </w:rPr>
  </w:style>
  <w:style w:type="paragraph" w:styleId="ListParagraph">
    <w:name w:val="List Paragraph"/>
    <w:basedOn w:val="Normal"/>
    <w:uiPriority w:val="34"/>
    <w:qFormat/>
    <w:rsid w:val="00267879"/>
    <w:pPr>
      <w:ind w:left="720"/>
      <w:contextualSpacing/>
    </w:pPr>
  </w:style>
  <w:style w:type="character" w:styleId="CommentReference">
    <w:name w:val="annotation reference"/>
    <w:basedOn w:val="DefaultParagraphFont"/>
    <w:uiPriority w:val="99"/>
    <w:semiHidden/>
    <w:unhideWhenUsed/>
    <w:rsid w:val="0099797A"/>
    <w:rPr>
      <w:rFonts w:cs="Times New Roman"/>
      <w:sz w:val="16"/>
      <w:szCs w:val="16"/>
    </w:rPr>
  </w:style>
  <w:style w:type="paragraph" w:styleId="CommentText">
    <w:name w:val="annotation text"/>
    <w:basedOn w:val="Normal"/>
    <w:link w:val="CommentTextChar"/>
    <w:uiPriority w:val="99"/>
    <w:semiHidden/>
    <w:unhideWhenUsed/>
    <w:rsid w:val="0099797A"/>
    <w:rPr>
      <w:sz w:val="20"/>
      <w:szCs w:val="20"/>
    </w:rPr>
  </w:style>
  <w:style w:type="character" w:customStyle="1" w:styleId="CommentTextChar">
    <w:name w:val="Comment Text Char"/>
    <w:basedOn w:val="DefaultParagraphFont"/>
    <w:link w:val="CommentText"/>
    <w:uiPriority w:val="99"/>
    <w:semiHidden/>
    <w:locked/>
    <w:rsid w:val="0099797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99797A"/>
    <w:rPr>
      <w:b/>
      <w:bCs/>
    </w:rPr>
  </w:style>
  <w:style w:type="character" w:customStyle="1" w:styleId="CommentSubjectChar">
    <w:name w:val="Comment Subject Char"/>
    <w:basedOn w:val="CommentTextChar"/>
    <w:link w:val="CommentSubject"/>
    <w:uiPriority w:val="99"/>
    <w:semiHidden/>
    <w:locked/>
    <w:rsid w:val="0099797A"/>
    <w:rPr>
      <w:rFonts w:cs="Times New Roman"/>
      <w:b/>
      <w:bCs/>
      <w:sz w:val="20"/>
      <w:szCs w:val="20"/>
      <w:lang w:val="x-none" w:eastAsia="en-US"/>
    </w:rPr>
  </w:style>
  <w:style w:type="paragraph" w:styleId="BodyText3">
    <w:name w:val="Body Text 3"/>
    <w:basedOn w:val="Normal"/>
    <w:link w:val="BodyText3Char"/>
    <w:uiPriority w:val="99"/>
    <w:rsid w:val="002E320E"/>
    <w:pPr>
      <w:spacing w:after="120"/>
    </w:pPr>
    <w:rPr>
      <w:sz w:val="16"/>
      <w:szCs w:val="16"/>
    </w:rPr>
  </w:style>
  <w:style w:type="character" w:customStyle="1" w:styleId="BodyText3Char">
    <w:name w:val="Body Text 3 Char"/>
    <w:basedOn w:val="DefaultParagraphFont"/>
    <w:link w:val="BodyText3"/>
    <w:uiPriority w:val="99"/>
    <w:rsid w:val="002E320E"/>
    <w:rPr>
      <w:sz w:val="16"/>
      <w:szCs w:val="16"/>
      <w:lang w:eastAsia="en-US"/>
    </w:rPr>
  </w:style>
  <w:style w:type="paragraph" w:customStyle="1" w:styleId="clauseheader">
    <w:name w:val="clause header"/>
    <w:basedOn w:val="Normal"/>
    <w:uiPriority w:val="99"/>
    <w:rsid w:val="002E320E"/>
    <w:pPr>
      <w:keepNext/>
      <w:spacing w:after="120"/>
    </w:pPr>
    <w:rPr>
      <w:rFonts w:ascii="Arial" w:eastAsiaTheme="minorEastAsia" w:hAnsi="Arial" w:cs="Arial"/>
      <w:b/>
      <w:bCs/>
      <w:lang w:val="en-US"/>
    </w:rPr>
  </w:style>
  <w:style w:type="paragraph" w:styleId="Revision">
    <w:name w:val="Revision"/>
    <w:hidden/>
    <w:uiPriority w:val="99"/>
    <w:semiHidden/>
    <w:rsid w:val="00C91F75"/>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76508">
      <w:marLeft w:val="0"/>
      <w:marRight w:val="0"/>
      <w:marTop w:val="0"/>
      <w:marBottom w:val="0"/>
      <w:divBdr>
        <w:top w:val="none" w:sz="0" w:space="0" w:color="auto"/>
        <w:left w:val="none" w:sz="0" w:space="0" w:color="auto"/>
        <w:bottom w:val="none" w:sz="0" w:space="0" w:color="auto"/>
        <w:right w:val="none" w:sz="0" w:space="0" w:color="auto"/>
      </w:divBdr>
    </w:div>
    <w:div w:id="1296176509">
      <w:marLeft w:val="0"/>
      <w:marRight w:val="0"/>
      <w:marTop w:val="0"/>
      <w:marBottom w:val="0"/>
      <w:divBdr>
        <w:top w:val="none" w:sz="0" w:space="0" w:color="auto"/>
        <w:left w:val="none" w:sz="0" w:space="0" w:color="auto"/>
        <w:bottom w:val="none" w:sz="0" w:space="0" w:color="auto"/>
        <w:right w:val="none" w:sz="0" w:space="0" w:color="auto"/>
      </w:divBdr>
    </w:div>
    <w:div w:id="1296176510">
      <w:marLeft w:val="0"/>
      <w:marRight w:val="0"/>
      <w:marTop w:val="0"/>
      <w:marBottom w:val="0"/>
      <w:divBdr>
        <w:top w:val="none" w:sz="0" w:space="0" w:color="auto"/>
        <w:left w:val="none" w:sz="0" w:space="0" w:color="auto"/>
        <w:bottom w:val="none" w:sz="0" w:space="0" w:color="auto"/>
        <w:right w:val="none" w:sz="0" w:space="0" w:color="auto"/>
      </w:divBdr>
    </w:div>
    <w:div w:id="1296176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ac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rc.ac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11071</Characters>
  <Application>Microsoft Office Word</Application>
  <DocSecurity>0</DocSecurity>
  <Lines>201</Lines>
  <Paragraphs>69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2019-12-03T06:22:00Z</cp:lastPrinted>
  <dcterms:created xsi:type="dcterms:W3CDTF">2020-01-15T02:06:00Z</dcterms:created>
  <dcterms:modified xsi:type="dcterms:W3CDTF">2020-01-15T02:06:00Z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HYM</vt:lpwstr>
  </property>
  <property fmtid="{D5CDD505-2E9C-101B-9397-08002B2CF9AE}" pid="3" name="DMSCountry">
    <vt:lpwstr>AUSTRALIA</vt:lpwstr>
  </property>
  <property fmtid="{D5CDD505-2E9C-101B-9397-08002B2CF9AE}" pid="4" name="DocID">
    <vt:lpwstr>221113179_1</vt:lpwstr>
  </property>
  <property fmtid="{D5CDD505-2E9C-101B-9397-08002B2CF9AE}" pid="5" name="Objective-Id">
    <vt:lpwstr>A24206294</vt:lpwstr>
  </property>
  <property fmtid="{D5CDD505-2E9C-101B-9397-08002B2CF9AE}" pid="6" name="Objective-Title">
    <vt:lpwstr>ES 2020 -  explanatory statement - consumer protection code</vt:lpwstr>
  </property>
  <property fmtid="{D5CDD505-2E9C-101B-9397-08002B2CF9AE}" pid="7" name="Objective-Comment">
    <vt:lpwstr/>
  </property>
  <property fmtid="{D5CDD505-2E9C-101B-9397-08002B2CF9AE}" pid="8" name="Objective-CreationStamp">
    <vt:filetime>2019-12-05T06:07:44Z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2020-01-14T23:08:04Z</vt:filetime>
  </property>
  <property fmtid="{D5CDD505-2E9C-101B-9397-08002B2CF9AE}" pid="12" name="Objective-ModificationStamp">
    <vt:filetime>2020-01-14T23:08:04Z</vt:filetime>
  </property>
  <property fmtid="{D5CDD505-2E9C-101B-9397-08002B2CF9AE}" pid="13" name="Objective-Owner">
    <vt:lpwstr>Cath Collins</vt:lpwstr>
  </property>
  <property fmtid="{D5CDD505-2E9C-101B-9397-08002B2CF9AE}" pid="14" name="Objective-Path">
    <vt:lpwstr>Whole of ACT Government:ICRC - Independent Competition and Regulatory Commission:05. UTILITIES &amp; INFRASTRUCTURE REGULATION:Industry Codes:Consumer Protection Code:14. legislative instruments:</vt:lpwstr>
  </property>
  <property fmtid="{D5CDD505-2E9C-101B-9397-08002B2CF9AE}" pid="15" name="Objective-Parent">
    <vt:lpwstr>14. legislative instruments</vt:lpwstr>
  </property>
  <property fmtid="{D5CDD505-2E9C-101B-9397-08002B2CF9AE}" pid="16" name="Objective-State">
    <vt:lpwstr>Published</vt:lpwstr>
  </property>
  <property fmtid="{D5CDD505-2E9C-101B-9397-08002B2CF9AE}" pid="17" name="Objective-Version">
    <vt:lpwstr>14.0</vt:lpwstr>
  </property>
  <property fmtid="{D5CDD505-2E9C-101B-9397-08002B2CF9AE}" pid="18" name="Objective-VersionNumber">
    <vt:r8>16</vt:r8>
  </property>
  <property fmtid="{D5CDD505-2E9C-101B-9397-08002B2CF9AE}" pid="19" name="Objective-VersionComment">
    <vt:lpwstr/>
  </property>
  <property fmtid="{D5CDD505-2E9C-101B-9397-08002B2CF9AE}" pid="20" name="Objective-FileNumber">
    <vt:lpwstr>1-2019/24022</vt:lpwstr>
  </property>
  <property fmtid="{D5CDD505-2E9C-101B-9397-08002B2CF9AE}" pid="21" name="Objective-Classification">
    <vt:lpwstr>[Inherited - In Confidence (green file cover)]</vt:lpwstr>
  </property>
  <property fmtid="{D5CDD505-2E9C-101B-9397-08002B2CF9AE}" pid="22" name="Objective-Caveats">
    <vt:lpwstr/>
  </property>
  <property fmtid="{D5CDD505-2E9C-101B-9397-08002B2CF9AE}" pid="23" name="Objective-Owner Agency [system]">
    <vt:lpwstr>ICRC</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Cath Collins</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