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9F7" w:rsidRDefault="00BA79F7">
      <w:pPr>
        <w:jc w:val="center"/>
        <w:rPr>
          <w:rFonts w:ascii="Arial Narrow" w:hAnsi="Arial Narrow" w:cs="Arial Narrow"/>
          <w:sz w:val="28"/>
          <w:szCs w:val="28"/>
        </w:rPr>
      </w:pPr>
      <w:bookmarkStart w:id="0" w:name="_GoBack"/>
      <w:bookmarkEnd w:id="0"/>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pStyle w:val="Heading7"/>
        <w:spacing w:line="360" w:lineRule="auto"/>
        <w:rPr>
          <w:rFonts w:ascii="Arial Narrow" w:hAnsi="Arial Narrow" w:cs="Arial Narrow"/>
        </w:rPr>
      </w:pPr>
      <w:r>
        <w:rPr>
          <w:rFonts w:ascii="Arial Narrow" w:hAnsi="Arial Narrow" w:cs="Arial Narrow"/>
        </w:rPr>
        <w:t>THE LEGISLATIVE ASSEMBLY FOR</w:t>
      </w:r>
    </w:p>
    <w:p w:rsidR="00BA79F7" w:rsidRDefault="00BA79F7">
      <w:pPr>
        <w:pStyle w:val="Heading7"/>
        <w:rPr>
          <w:rFonts w:ascii="Arial Narrow" w:hAnsi="Arial Narrow" w:cs="Arial Narrow"/>
        </w:rPr>
      </w:pPr>
      <w:r>
        <w:rPr>
          <w:rFonts w:ascii="Arial Narrow" w:hAnsi="Arial Narrow" w:cs="Arial Narrow"/>
        </w:rPr>
        <w:t xml:space="preserve">THE </w:t>
      </w:r>
      <w:smartTag w:uri="urn:schemas-microsoft-com:office:smarttags" w:element="place">
        <w:smartTag w:uri="urn:schemas-microsoft-com:office:smarttags" w:element="State">
          <w:r>
            <w:rPr>
              <w:rFonts w:ascii="Arial Narrow" w:hAnsi="Arial Narrow" w:cs="Arial Narrow"/>
            </w:rPr>
            <w:t>AUSTRALIAN CAPITAL TERRITORY</w:t>
          </w:r>
        </w:smartTag>
      </w:smartTag>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pStyle w:val="Heading7"/>
        <w:rPr>
          <w:rFonts w:ascii="Arial Narrow" w:hAnsi="Arial Narrow" w:cs="Arial Narrow"/>
          <w:b w:val="0"/>
          <w:bCs w:val="0"/>
          <w:caps/>
        </w:rPr>
      </w:pPr>
      <w:r>
        <w:rPr>
          <w:rFonts w:ascii="Arial Narrow" w:hAnsi="Arial Narrow" w:cs="Arial Narrow"/>
          <w:caps/>
        </w:rPr>
        <w:t xml:space="preserve">Medicines, poisons and Therapeutic GOODS </w:t>
      </w:r>
      <w:r w:rsidR="00F8707E">
        <w:rPr>
          <w:rFonts w:ascii="Arial Narrow" w:hAnsi="Arial Narrow" w:cs="Arial Narrow"/>
          <w:caps/>
        </w:rPr>
        <w:t xml:space="preserve">(Continued Dispensing) </w:t>
      </w:r>
      <w:r w:rsidR="00972570">
        <w:rPr>
          <w:rFonts w:ascii="Arial Narrow" w:hAnsi="Arial Narrow" w:cs="Arial Narrow"/>
          <w:caps/>
        </w:rPr>
        <w:t xml:space="preserve">AMENDMENT </w:t>
      </w:r>
      <w:r>
        <w:rPr>
          <w:rFonts w:ascii="Arial Narrow" w:hAnsi="Arial Narrow" w:cs="Arial Narrow"/>
          <w:caps/>
        </w:rPr>
        <w:t>Regulation 20</w:t>
      </w:r>
      <w:r w:rsidR="00F8707E">
        <w:rPr>
          <w:rFonts w:ascii="Arial Narrow" w:hAnsi="Arial Narrow" w:cs="Arial Narrow"/>
          <w:caps/>
        </w:rPr>
        <w:t>2</w:t>
      </w:r>
      <w:r>
        <w:rPr>
          <w:rFonts w:ascii="Arial Narrow" w:hAnsi="Arial Narrow" w:cs="Arial Narrow"/>
          <w:caps/>
        </w:rPr>
        <w:t>0</w:t>
      </w:r>
      <w:r w:rsidR="00BA44DB">
        <w:rPr>
          <w:rFonts w:ascii="Arial Narrow" w:hAnsi="Arial Narrow" w:cs="Arial Narrow"/>
          <w:caps/>
        </w:rPr>
        <w:t> (No </w:t>
      </w:r>
      <w:r w:rsidR="00552CF2">
        <w:rPr>
          <w:rFonts w:ascii="Arial Narrow" w:hAnsi="Arial Narrow" w:cs="Arial Narrow"/>
          <w:caps/>
        </w:rPr>
        <w:t>1</w:t>
      </w:r>
      <w:r w:rsidR="00BA44DB">
        <w:rPr>
          <w:rFonts w:ascii="Arial Narrow" w:hAnsi="Arial Narrow" w:cs="Arial Narrow"/>
          <w:caps/>
        </w:rPr>
        <w:t>)</w:t>
      </w: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r>
        <w:rPr>
          <w:rFonts w:ascii="Arial Narrow" w:hAnsi="Arial Narrow" w:cs="Arial Narrow"/>
          <w:sz w:val="28"/>
          <w:szCs w:val="28"/>
        </w:rPr>
        <w:t>SL20</w:t>
      </w:r>
      <w:r w:rsidR="00F8707E">
        <w:rPr>
          <w:rFonts w:ascii="Arial Narrow" w:hAnsi="Arial Narrow" w:cs="Arial Narrow"/>
          <w:sz w:val="28"/>
          <w:szCs w:val="28"/>
        </w:rPr>
        <w:t>2</w:t>
      </w:r>
      <w:r>
        <w:rPr>
          <w:rFonts w:ascii="Arial Narrow" w:hAnsi="Arial Narrow" w:cs="Arial Narrow"/>
          <w:sz w:val="28"/>
          <w:szCs w:val="28"/>
        </w:rPr>
        <w:t>0-</w:t>
      </w:r>
      <w:r w:rsidR="006F6B7F">
        <w:rPr>
          <w:rFonts w:ascii="Arial Narrow" w:hAnsi="Arial Narrow" w:cs="Arial Narrow"/>
          <w:sz w:val="28"/>
          <w:szCs w:val="28"/>
        </w:rPr>
        <w:t>3</w:t>
      </w: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pStyle w:val="Heading7"/>
        <w:rPr>
          <w:rFonts w:ascii="Arial Narrow" w:hAnsi="Arial Narrow" w:cs="Arial Narrow"/>
        </w:rPr>
      </w:pPr>
      <w:r>
        <w:rPr>
          <w:rFonts w:ascii="Arial Narrow" w:hAnsi="Arial Narrow" w:cs="Arial Narrow"/>
        </w:rPr>
        <w:t>EXPLANATORY STATEMENT</w:t>
      </w: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jc w:val="center"/>
        <w:rPr>
          <w:rFonts w:ascii="Arial Narrow" w:hAnsi="Arial Narrow" w:cs="Arial Narrow"/>
          <w:sz w:val="28"/>
          <w:szCs w:val="28"/>
        </w:rPr>
      </w:pPr>
    </w:p>
    <w:p w:rsidR="00BA79F7" w:rsidRDefault="00BA79F7">
      <w:pPr>
        <w:pStyle w:val="Heading3"/>
        <w:ind w:right="-284"/>
        <w:jc w:val="right"/>
        <w:rPr>
          <w:rFonts w:ascii="Arial Narrow" w:hAnsi="Arial Narrow" w:cs="Arial Narrow"/>
          <w:sz w:val="28"/>
          <w:szCs w:val="28"/>
        </w:rPr>
      </w:pPr>
      <w:r>
        <w:rPr>
          <w:rFonts w:ascii="Arial Narrow" w:hAnsi="Arial Narrow" w:cs="Arial Narrow"/>
          <w:sz w:val="28"/>
          <w:szCs w:val="28"/>
        </w:rPr>
        <w:t xml:space="preserve">Circulated by the authority of </w:t>
      </w:r>
    </w:p>
    <w:p w:rsidR="00BA79F7" w:rsidRDefault="00F8707E">
      <w:pPr>
        <w:pStyle w:val="Heading4"/>
        <w:ind w:right="-284"/>
        <w:rPr>
          <w:rFonts w:ascii="Arial Narrow" w:hAnsi="Arial Narrow" w:cs="Arial Narrow"/>
          <w:sz w:val="28"/>
          <w:szCs w:val="28"/>
        </w:rPr>
      </w:pPr>
      <w:r>
        <w:rPr>
          <w:rFonts w:ascii="Arial Narrow" w:hAnsi="Arial Narrow" w:cs="Arial Narrow"/>
          <w:sz w:val="28"/>
          <w:szCs w:val="28"/>
        </w:rPr>
        <w:t>Rachel Stephen</w:t>
      </w:r>
      <w:r>
        <w:rPr>
          <w:rFonts w:ascii="Arial Narrow" w:hAnsi="Arial Narrow" w:cs="Arial Narrow"/>
          <w:sz w:val="28"/>
          <w:szCs w:val="28"/>
        </w:rPr>
        <w:noBreakHyphen/>
        <w:t>Smi</w:t>
      </w:r>
      <w:r w:rsidR="00BA79F7">
        <w:rPr>
          <w:rFonts w:ascii="Arial Narrow" w:hAnsi="Arial Narrow" w:cs="Arial Narrow"/>
          <w:sz w:val="28"/>
          <w:szCs w:val="28"/>
        </w:rPr>
        <w:t>th</w:t>
      </w:r>
      <w:r>
        <w:rPr>
          <w:rFonts w:ascii="Arial Narrow" w:hAnsi="Arial Narrow" w:cs="Arial Narrow"/>
          <w:sz w:val="28"/>
          <w:szCs w:val="28"/>
        </w:rPr>
        <w:t> </w:t>
      </w:r>
      <w:r w:rsidR="00BA79F7">
        <w:rPr>
          <w:rFonts w:ascii="Arial Narrow" w:hAnsi="Arial Narrow" w:cs="Arial Narrow"/>
          <w:sz w:val="28"/>
          <w:szCs w:val="28"/>
        </w:rPr>
        <w:t>MLA</w:t>
      </w:r>
    </w:p>
    <w:p w:rsidR="00BA79F7" w:rsidRDefault="00BA79F7">
      <w:pPr>
        <w:ind w:right="-284"/>
        <w:jc w:val="right"/>
        <w:rPr>
          <w:rFonts w:ascii="Arial Narrow" w:hAnsi="Arial Narrow" w:cs="Arial Narrow"/>
        </w:rPr>
      </w:pPr>
      <w:r>
        <w:rPr>
          <w:rFonts w:ascii="Arial Narrow" w:hAnsi="Arial Narrow" w:cs="Arial Narrow"/>
          <w:sz w:val="28"/>
          <w:szCs w:val="28"/>
        </w:rPr>
        <w:t>Minister for Health</w:t>
      </w:r>
    </w:p>
    <w:p w:rsidR="00BA79F7" w:rsidRDefault="00BA79F7">
      <w:pPr>
        <w:autoSpaceDE w:val="0"/>
        <w:autoSpaceDN w:val="0"/>
        <w:adjustRightInd w:val="0"/>
        <w:jc w:val="center"/>
        <w:rPr>
          <w:rFonts w:ascii="Arial Narrow" w:hAnsi="Arial Narrow" w:cs="Arial Narrow"/>
          <w:sz w:val="28"/>
          <w:szCs w:val="28"/>
        </w:rPr>
      </w:pPr>
      <w:r>
        <w:rPr>
          <w:rFonts w:ascii="Arial Narrow" w:hAnsi="Arial Narrow" w:cs="Arial Narrow"/>
          <w:b w:val="0"/>
          <w:bCs w:val="0"/>
        </w:rPr>
        <w:br w:type="page"/>
      </w:r>
      <w:r w:rsidR="00552CF2" w:rsidRPr="00552CF2">
        <w:rPr>
          <w:rFonts w:ascii="Arial Narrow" w:hAnsi="Arial Narrow" w:cs="Arial Narrow"/>
          <w:sz w:val="28"/>
          <w:szCs w:val="28"/>
        </w:rPr>
        <w:lastRenderedPageBreak/>
        <w:t>MEDICINES, POISONS AND THERAPEUTIC GOODS (CONTINUED DISPENSING) AMENDMENT REGULATION 2020 (NO 1)</w:t>
      </w:r>
    </w:p>
    <w:p w:rsidR="00BA79F7" w:rsidRDefault="00BA79F7">
      <w:pPr>
        <w:autoSpaceDE w:val="0"/>
        <w:autoSpaceDN w:val="0"/>
        <w:adjustRightInd w:val="0"/>
        <w:jc w:val="center"/>
        <w:rPr>
          <w:rFonts w:ascii="Arial Narrow" w:hAnsi="Arial Narrow" w:cs="Arial Narrow"/>
          <w:sz w:val="28"/>
          <w:szCs w:val="28"/>
        </w:rPr>
      </w:pPr>
    </w:p>
    <w:p w:rsidR="00BA79F7" w:rsidRDefault="00BA79F7">
      <w:pPr>
        <w:rPr>
          <w:rFonts w:ascii="Arial Narrow" w:hAnsi="Arial Narrow" w:cs="Arial Narrow"/>
          <w:b w:val="0"/>
          <w:bCs w:val="0"/>
        </w:rPr>
      </w:pPr>
    </w:p>
    <w:p w:rsidR="00BA79F7" w:rsidRPr="00D864AA" w:rsidRDefault="00BA79F7" w:rsidP="00D864AA">
      <w:pPr>
        <w:pStyle w:val="Heading2"/>
        <w:rPr>
          <w:rFonts w:ascii="Arial Narrow" w:hAnsi="Arial Narrow" w:cs="Arial Narrow"/>
          <w:sz w:val="28"/>
          <w:szCs w:val="28"/>
          <w:u w:val="none"/>
          <w:lang w:val="en-AU"/>
        </w:rPr>
      </w:pPr>
      <w:r w:rsidRPr="00D864AA">
        <w:rPr>
          <w:rFonts w:ascii="Arial Narrow" w:hAnsi="Arial Narrow" w:cs="Arial Narrow"/>
          <w:sz w:val="28"/>
          <w:szCs w:val="28"/>
          <w:u w:val="none"/>
          <w:lang w:val="en-AU"/>
        </w:rPr>
        <w:t>Overview</w:t>
      </w:r>
    </w:p>
    <w:p w:rsidR="00BA79F7" w:rsidRPr="00D864AA" w:rsidRDefault="00BA79F7" w:rsidP="00D864AA">
      <w:pPr>
        <w:rPr>
          <w:rFonts w:ascii="Arial Narrow" w:hAnsi="Arial Narrow" w:cs="Arial Narrow"/>
          <w:b w:val="0"/>
          <w:bCs w:val="0"/>
        </w:rPr>
      </w:pPr>
    </w:p>
    <w:p w:rsidR="00D95CBE" w:rsidRPr="00D95CBE" w:rsidRDefault="00D95CBE" w:rsidP="00D95CBE">
      <w:pPr>
        <w:autoSpaceDE w:val="0"/>
        <w:autoSpaceDN w:val="0"/>
        <w:adjustRightInd w:val="0"/>
        <w:rPr>
          <w:rFonts w:ascii="Arial Narrow" w:hAnsi="Arial Narrow" w:cs="Arial Narrow"/>
          <w:b w:val="0"/>
        </w:rPr>
      </w:pPr>
      <w:r w:rsidRPr="00D95CBE">
        <w:rPr>
          <w:rFonts w:ascii="Arial Narrow" w:hAnsi="Arial Narrow" w:cs="Arial Narrow"/>
          <w:b w:val="0"/>
        </w:rPr>
        <w:t xml:space="preserve">The Therapeutic Goods Administration (TGA) administers the </w:t>
      </w:r>
      <w:r w:rsidR="005144C2">
        <w:rPr>
          <w:rFonts w:ascii="Arial Narrow" w:hAnsi="Arial Narrow" w:cs="Arial Narrow"/>
          <w:b w:val="0"/>
        </w:rPr>
        <w:t xml:space="preserve">Poisons </w:t>
      </w:r>
      <w:r w:rsidRPr="00D95CBE">
        <w:rPr>
          <w:rFonts w:ascii="Arial Narrow" w:hAnsi="Arial Narrow" w:cs="Arial Narrow"/>
          <w:b w:val="0"/>
        </w:rPr>
        <w:t xml:space="preserve">Standard, which classes medicines and poisons into schedules.  The ACT adopts the </w:t>
      </w:r>
      <w:r w:rsidR="005144C2">
        <w:rPr>
          <w:rFonts w:ascii="Arial Narrow" w:hAnsi="Arial Narrow" w:cs="Arial Narrow"/>
          <w:b w:val="0"/>
        </w:rPr>
        <w:t>Poisons Standard</w:t>
      </w:r>
      <w:r w:rsidR="005144C2" w:rsidRPr="00D95CBE">
        <w:rPr>
          <w:rFonts w:ascii="Arial Narrow" w:hAnsi="Arial Narrow" w:cs="Arial Narrow"/>
          <w:b w:val="0"/>
        </w:rPr>
        <w:t xml:space="preserve"> </w:t>
      </w:r>
      <w:r w:rsidRPr="00D95CBE">
        <w:rPr>
          <w:rFonts w:ascii="Arial Narrow" w:hAnsi="Arial Narrow" w:cs="Arial Narrow"/>
          <w:b w:val="0"/>
        </w:rPr>
        <w:t xml:space="preserve">under the Medicines, Poisons and Therapeutic Goods Act 2008 (the MPTG Act) to regulate the supply of scheduled medicines in the ACT. The </w:t>
      </w:r>
      <w:r w:rsidR="005144C2">
        <w:rPr>
          <w:rFonts w:ascii="Arial Narrow" w:hAnsi="Arial Narrow" w:cs="Arial Narrow"/>
          <w:b w:val="0"/>
        </w:rPr>
        <w:t>Poisons Standard</w:t>
      </w:r>
      <w:r w:rsidR="005144C2" w:rsidRPr="00D95CBE">
        <w:rPr>
          <w:rFonts w:ascii="Arial Narrow" w:hAnsi="Arial Narrow" w:cs="Arial Narrow"/>
          <w:b w:val="0"/>
        </w:rPr>
        <w:t xml:space="preserve"> </w:t>
      </w:r>
      <w:r w:rsidRPr="00D95CBE">
        <w:rPr>
          <w:rFonts w:ascii="Arial Narrow" w:hAnsi="Arial Narrow" w:cs="Arial Narrow"/>
          <w:b w:val="0"/>
        </w:rPr>
        <w:t xml:space="preserve">also contains appendices which subject some substances listed in the schedules to additional exceptions or restrictions. </w:t>
      </w:r>
    </w:p>
    <w:p w:rsidR="00D95CBE" w:rsidRPr="00D95CBE" w:rsidRDefault="00D95CBE" w:rsidP="00D95CBE">
      <w:pPr>
        <w:autoSpaceDE w:val="0"/>
        <w:autoSpaceDN w:val="0"/>
        <w:adjustRightInd w:val="0"/>
        <w:rPr>
          <w:rFonts w:ascii="Arial Narrow" w:hAnsi="Arial Narrow" w:cs="Arial Narrow"/>
          <w:b w:val="0"/>
        </w:rPr>
      </w:pPr>
    </w:p>
    <w:p w:rsidR="00D95CBE" w:rsidRPr="00D95CBE" w:rsidRDefault="00D95CBE" w:rsidP="00D95CBE">
      <w:pPr>
        <w:autoSpaceDE w:val="0"/>
        <w:autoSpaceDN w:val="0"/>
        <w:adjustRightInd w:val="0"/>
        <w:rPr>
          <w:rFonts w:ascii="Arial Narrow" w:hAnsi="Arial Narrow" w:cs="Arial Narrow"/>
          <w:b w:val="0"/>
        </w:rPr>
      </w:pPr>
      <w:r w:rsidRPr="00D95CBE">
        <w:rPr>
          <w:rFonts w:ascii="Arial Narrow" w:hAnsi="Arial Narrow" w:cs="Arial Narrow"/>
          <w:b w:val="0"/>
        </w:rPr>
        <w:t xml:space="preserve">The objective of the MPTG Act is to promote and protect public health and safety by minimising medicinal misadventure with, and diversion of, regulated substances, and the manufacture of regulated substances that are subject to abuse.  The MPTG Act also has the purpose of ensuring that consumers of prescription and non-prescription medicines have adequate information to allow them to use medicines safely and effectively.  The MPTG Act outlines a range of offences relating to dealings with regulated substances according to their listing in the SUSMP. </w:t>
      </w:r>
    </w:p>
    <w:p w:rsidR="00D95CBE" w:rsidRPr="00D95CBE" w:rsidRDefault="00D95CBE" w:rsidP="00D95CBE">
      <w:pPr>
        <w:autoSpaceDE w:val="0"/>
        <w:autoSpaceDN w:val="0"/>
        <w:adjustRightInd w:val="0"/>
        <w:rPr>
          <w:rFonts w:ascii="Arial Narrow" w:hAnsi="Arial Narrow" w:cs="Arial Narrow"/>
          <w:b w:val="0"/>
        </w:rPr>
      </w:pPr>
    </w:p>
    <w:p w:rsidR="00D95CBE" w:rsidRPr="00D95CBE" w:rsidRDefault="00D95CBE" w:rsidP="00D95CBE">
      <w:pPr>
        <w:autoSpaceDE w:val="0"/>
        <w:autoSpaceDN w:val="0"/>
        <w:adjustRightInd w:val="0"/>
        <w:rPr>
          <w:rFonts w:ascii="Arial Narrow" w:hAnsi="Arial Narrow" w:cs="Arial Narrow"/>
          <w:b w:val="0"/>
        </w:rPr>
      </w:pPr>
      <w:r w:rsidRPr="00D95CBE">
        <w:rPr>
          <w:rFonts w:ascii="Arial Narrow" w:hAnsi="Arial Narrow" w:cs="Arial Narrow"/>
          <w:b w:val="0"/>
        </w:rPr>
        <w:t xml:space="preserve">The Medicines, Poisons and Therapeutic Goods Regulation (the MPTG Regulation) provides the detail for the regulatory framework established by the MPTG Act.  The MPTG Regulation sets out which health professionals </w:t>
      </w:r>
      <w:r w:rsidR="00427C56" w:rsidRPr="00D95CBE">
        <w:rPr>
          <w:rFonts w:ascii="Arial Narrow" w:hAnsi="Arial Narrow" w:cs="Arial Narrow"/>
          <w:b w:val="0"/>
        </w:rPr>
        <w:t>can</w:t>
      </w:r>
      <w:r w:rsidRPr="00D95CBE">
        <w:rPr>
          <w:rFonts w:ascii="Arial Narrow" w:hAnsi="Arial Narrow" w:cs="Arial Narrow"/>
          <w:b w:val="0"/>
        </w:rPr>
        <w:t xml:space="preserve"> prescribe, administer and dispense medicines, and conditions relating to such dealings.  Some provisions of the MPTG Regulation prescribe additional information required for licences or authorisations, whereas other provisions impose statutory licence conditions.  There are also provisions of the Regulation that specify requirements for activities such as labelling or packaging.</w:t>
      </w:r>
    </w:p>
    <w:p w:rsidR="00D95CBE" w:rsidRPr="00D95CBE" w:rsidRDefault="00D95CBE" w:rsidP="00D95CBE">
      <w:pPr>
        <w:autoSpaceDE w:val="0"/>
        <w:autoSpaceDN w:val="0"/>
        <w:adjustRightInd w:val="0"/>
        <w:rPr>
          <w:rFonts w:ascii="Arial Narrow" w:hAnsi="Arial Narrow" w:cs="Arial Narrow"/>
          <w:b w:val="0"/>
        </w:rPr>
      </w:pPr>
    </w:p>
    <w:p w:rsidR="00D95CBE" w:rsidRPr="00D95CBE" w:rsidRDefault="004209E8" w:rsidP="00D95CBE">
      <w:pPr>
        <w:autoSpaceDE w:val="0"/>
        <w:autoSpaceDN w:val="0"/>
        <w:adjustRightInd w:val="0"/>
        <w:rPr>
          <w:rFonts w:ascii="Arial Narrow" w:hAnsi="Arial Narrow" w:cs="Arial Narrow"/>
          <w:b w:val="0"/>
        </w:rPr>
      </w:pPr>
      <w:r>
        <w:rPr>
          <w:rFonts w:ascii="Arial Narrow" w:hAnsi="Arial Narrow" w:cs="Arial Narrow"/>
          <w:b w:val="0"/>
        </w:rPr>
        <w:t>I</w:t>
      </w:r>
      <w:r w:rsidR="003F757E">
        <w:rPr>
          <w:rFonts w:ascii="Arial Narrow" w:hAnsi="Arial Narrow" w:cs="Arial Narrow"/>
          <w:b w:val="0"/>
        </w:rPr>
        <w:t xml:space="preserve">n 2013 the </w:t>
      </w:r>
      <w:r w:rsidR="00D34519">
        <w:rPr>
          <w:rFonts w:ascii="Arial Narrow" w:hAnsi="Arial Narrow" w:cs="Arial Narrow"/>
          <w:b w:val="0"/>
        </w:rPr>
        <w:t xml:space="preserve">MPTG Regulation was amended by </w:t>
      </w:r>
      <w:r>
        <w:rPr>
          <w:rFonts w:ascii="Arial Narrow" w:hAnsi="Arial Narrow" w:cs="Arial Narrow"/>
          <w:b w:val="0"/>
        </w:rPr>
        <w:t>SL2013</w:t>
      </w:r>
      <w:r>
        <w:rPr>
          <w:rFonts w:ascii="Arial Narrow" w:hAnsi="Arial Narrow" w:cs="Arial Narrow"/>
          <w:b w:val="0"/>
        </w:rPr>
        <w:noBreakHyphen/>
        <w:t>28</w:t>
      </w:r>
      <w:r w:rsidR="00D34519">
        <w:rPr>
          <w:rFonts w:ascii="Arial Narrow" w:hAnsi="Arial Narrow" w:cs="Arial Narrow"/>
          <w:b w:val="0"/>
        </w:rPr>
        <w:t xml:space="preserve"> to </w:t>
      </w:r>
      <w:r w:rsidR="003F757E">
        <w:rPr>
          <w:rFonts w:ascii="Arial Narrow" w:hAnsi="Arial Narrow" w:cs="Arial Narrow"/>
          <w:b w:val="0"/>
        </w:rPr>
        <w:t>insert Part 4.3A</w:t>
      </w:r>
      <w:r w:rsidR="00D34519">
        <w:rPr>
          <w:rFonts w:ascii="Arial Narrow" w:hAnsi="Arial Narrow" w:cs="Arial Narrow"/>
          <w:b w:val="0"/>
        </w:rPr>
        <w:t xml:space="preserve"> (Authorisation to supply certain medicines without prescription – continued dispensing. </w:t>
      </w:r>
      <w:r w:rsidR="003F757E">
        <w:rPr>
          <w:rFonts w:ascii="Arial Narrow" w:hAnsi="Arial Narrow" w:cs="Arial Narrow"/>
          <w:b w:val="0"/>
        </w:rPr>
        <w:t xml:space="preserve">Part 4.3A operates by automatically adopting a </w:t>
      </w:r>
      <w:r w:rsidR="00D95CBE" w:rsidRPr="00D95CBE">
        <w:rPr>
          <w:rFonts w:ascii="Arial Narrow" w:hAnsi="Arial Narrow" w:cs="Arial Narrow"/>
          <w:b w:val="0"/>
        </w:rPr>
        <w:t xml:space="preserve">Continued Dispensing Determination made under section 89A(3) of the </w:t>
      </w:r>
      <w:r w:rsidR="003F757E">
        <w:rPr>
          <w:rFonts w:ascii="Arial Narrow" w:hAnsi="Arial Narrow" w:cs="Arial Narrow"/>
          <w:b w:val="0"/>
        </w:rPr>
        <w:t xml:space="preserve">Commonwealth </w:t>
      </w:r>
      <w:r w:rsidR="00D95CBE" w:rsidRPr="00D95CBE">
        <w:rPr>
          <w:rFonts w:ascii="Arial Narrow" w:hAnsi="Arial Narrow" w:cs="Arial Narrow"/>
          <w:b w:val="0"/>
          <w:i/>
          <w:iCs/>
        </w:rPr>
        <w:t>National Health Act 1953</w:t>
      </w:r>
      <w:r w:rsidR="00D95CBE" w:rsidRPr="00D95CBE">
        <w:rPr>
          <w:rFonts w:ascii="Arial Narrow" w:hAnsi="Arial Narrow" w:cs="Arial Narrow"/>
          <w:b w:val="0"/>
        </w:rPr>
        <w:t xml:space="preserve">. </w:t>
      </w:r>
      <w:r w:rsidR="003F757E">
        <w:rPr>
          <w:rFonts w:ascii="Arial Narrow" w:hAnsi="Arial Narrow" w:cs="Arial Narrow"/>
          <w:b w:val="0"/>
        </w:rPr>
        <w:t xml:space="preserve">A Continued Dispensing </w:t>
      </w:r>
      <w:r w:rsidR="00D95CBE" w:rsidRPr="00D95CBE">
        <w:rPr>
          <w:rFonts w:ascii="Arial Narrow" w:hAnsi="Arial Narrow" w:cs="Arial Narrow"/>
          <w:b w:val="0"/>
        </w:rPr>
        <w:t xml:space="preserve">Determination </w:t>
      </w:r>
      <w:r w:rsidR="003F757E">
        <w:rPr>
          <w:rFonts w:ascii="Arial Narrow" w:hAnsi="Arial Narrow" w:cs="Arial Narrow"/>
          <w:b w:val="0"/>
        </w:rPr>
        <w:t>made by the Commonwealth would specify</w:t>
      </w:r>
      <w:r w:rsidR="00D95CBE" w:rsidRPr="00D95CBE">
        <w:rPr>
          <w:rFonts w:ascii="Arial Narrow" w:hAnsi="Arial Narrow" w:cs="Arial Narrow"/>
          <w:b w:val="0"/>
        </w:rPr>
        <w:t xml:space="preserve"> pharmaceutical benefits that may be supplied by a pharmacist without a prescription and the conditions of supplying </w:t>
      </w:r>
      <w:r w:rsidR="003F757E">
        <w:rPr>
          <w:rFonts w:ascii="Arial Narrow" w:hAnsi="Arial Narrow" w:cs="Arial Narrow"/>
          <w:b w:val="0"/>
        </w:rPr>
        <w:t xml:space="preserve">that </w:t>
      </w:r>
      <w:r w:rsidR="00D95CBE" w:rsidRPr="00D95CBE">
        <w:rPr>
          <w:rFonts w:ascii="Arial Narrow" w:hAnsi="Arial Narrow" w:cs="Arial Narrow"/>
          <w:b w:val="0"/>
        </w:rPr>
        <w:t>pharmaceutical benefit.</w:t>
      </w:r>
    </w:p>
    <w:p w:rsidR="00D34519" w:rsidRDefault="00D34519" w:rsidP="00D34519">
      <w:pPr>
        <w:autoSpaceDE w:val="0"/>
        <w:autoSpaceDN w:val="0"/>
        <w:adjustRightInd w:val="0"/>
        <w:rPr>
          <w:rFonts w:ascii="Arial Narrow" w:hAnsi="Arial Narrow" w:cs="Arial Narrow"/>
          <w:b w:val="0"/>
        </w:rPr>
      </w:pPr>
    </w:p>
    <w:p w:rsidR="00D95CBE" w:rsidRPr="00D95CBE" w:rsidRDefault="00D34519" w:rsidP="00D95CBE">
      <w:pPr>
        <w:autoSpaceDE w:val="0"/>
        <w:autoSpaceDN w:val="0"/>
        <w:adjustRightInd w:val="0"/>
        <w:rPr>
          <w:rFonts w:ascii="Arial Narrow" w:hAnsi="Arial Narrow" w:cs="Arial Narrow"/>
          <w:b w:val="0"/>
        </w:rPr>
      </w:pPr>
      <w:r w:rsidRPr="00D95CBE">
        <w:rPr>
          <w:rFonts w:ascii="Arial Narrow" w:hAnsi="Arial Narrow" w:cs="Arial Narrow"/>
          <w:b w:val="0"/>
        </w:rPr>
        <w:t xml:space="preserve">The </w:t>
      </w:r>
      <w:r>
        <w:rPr>
          <w:rFonts w:ascii="Arial Narrow" w:hAnsi="Arial Narrow" w:cs="Arial Narrow"/>
          <w:b w:val="0"/>
        </w:rPr>
        <w:t xml:space="preserve">original intention behind the continued dispensing provisions of Part 4.3A of the MPTG Regulation was to </w:t>
      </w:r>
      <w:r w:rsidRPr="00D95CBE">
        <w:rPr>
          <w:rFonts w:ascii="Arial Narrow" w:hAnsi="Arial Narrow" w:cs="Arial Narrow"/>
          <w:b w:val="0"/>
        </w:rPr>
        <w:t xml:space="preserve">allow pharmacists in the ACT to supply a prescription-only medicine to a person as a pharmaceutical benefit without a prescription in defined circumstances. </w:t>
      </w:r>
      <w:r>
        <w:rPr>
          <w:rFonts w:ascii="Arial Narrow" w:hAnsi="Arial Narrow" w:cs="Arial Narrow"/>
          <w:b w:val="0"/>
        </w:rPr>
        <w:t xml:space="preserve">This intention was expressed in the </w:t>
      </w:r>
      <w:r w:rsidR="003F757E">
        <w:rPr>
          <w:rFonts w:ascii="Arial Narrow" w:hAnsi="Arial Narrow" w:cs="Arial Narrow"/>
          <w:b w:val="0"/>
        </w:rPr>
        <w:t>Explanatory Statement to SL2013</w:t>
      </w:r>
      <w:r w:rsidR="003F757E">
        <w:rPr>
          <w:rFonts w:ascii="Arial Narrow" w:hAnsi="Arial Narrow" w:cs="Arial Narrow"/>
          <w:b w:val="0"/>
        </w:rPr>
        <w:noBreakHyphen/>
        <w:t>28</w:t>
      </w:r>
      <w:r>
        <w:rPr>
          <w:rFonts w:ascii="Arial Narrow" w:hAnsi="Arial Narrow" w:cs="Arial Narrow"/>
          <w:b w:val="0"/>
        </w:rPr>
        <w:t>:</w:t>
      </w:r>
      <w:r w:rsidR="004209E8">
        <w:rPr>
          <w:rFonts w:ascii="Arial Narrow" w:hAnsi="Arial Narrow" w:cs="Arial Narrow"/>
          <w:b w:val="0"/>
        </w:rPr>
        <w:t xml:space="preserve"> </w:t>
      </w:r>
    </w:p>
    <w:p w:rsidR="00D95CBE" w:rsidRPr="00D95CBE" w:rsidRDefault="00D95CBE" w:rsidP="00D95CBE">
      <w:pPr>
        <w:autoSpaceDE w:val="0"/>
        <w:autoSpaceDN w:val="0"/>
        <w:adjustRightInd w:val="0"/>
        <w:rPr>
          <w:rFonts w:ascii="Arial Narrow" w:hAnsi="Arial Narrow" w:cs="Arial Narrow"/>
          <w:b w:val="0"/>
        </w:rPr>
      </w:pPr>
    </w:p>
    <w:p w:rsidR="00D95CBE" w:rsidRPr="00D95CBE" w:rsidRDefault="00D95CBE" w:rsidP="004209E8">
      <w:pPr>
        <w:autoSpaceDE w:val="0"/>
        <w:autoSpaceDN w:val="0"/>
        <w:adjustRightInd w:val="0"/>
        <w:ind w:left="720"/>
        <w:rPr>
          <w:rFonts w:ascii="Arial Narrow" w:hAnsi="Arial Narrow" w:cs="Arial Narrow"/>
          <w:b w:val="0"/>
        </w:rPr>
      </w:pPr>
      <w:r w:rsidRPr="00D95CBE">
        <w:rPr>
          <w:rFonts w:ascii="Arial Narrow" w:hAnsi="Arial Narrow" w:cs="Arial Narrow"/>
          <w:b w:val="0"/>
        </w:rPr>
        <w:t>The ACT Government has chosen to support the Continued Dispensing Initiative as it is envisaged it will improve patient access to prescription only medicines in defined circumstances where a patient has run out of their usual prescription. It is considered the Commonwealth initiative has appropriate conditions and implementation arrangements in place to ensure the safety of the public is maintained in circumstances where a prescription may be supplied by a pharmacist without a prescription.</w:t>
      </w:r>
    </w:p>
    <w:p w:rsidR="00D95CBE" w:rsidRDefault="00E23CF1" w:rsidP="00D95CBE">
      <w:pPr>
        <w:autoSpaceDE w:val="0"/>
        <w:autoSpaceDN w:val="0"/>
        <w:adjustRightInd w:val="0"/>
        <w:rPr>
          <w:rFonts w:ascii="Arial Narrow" w:hAnsi="Arial Narrow" w:cs="Arial Narrow"/>
          <w:b w:val="0"/>
        </w:rPr>
      </w:pPr>
      <w:r>
        <w:rPr>
          <w:rFonts w:ascii="Arial Narrow" w:hAnsi="Arial Narrow" w:cs="Arial Narrow"/>
          <w:b w:val="0"/>
        </w:rPr>
        <w:br w:type="page"/>
      </w:r>
    </w:p>
    <w:p w:rsidR="004209E8" w:rsidRDefault="00AA34FA" w:rsidP="00D95CBE">
      <w:pPr>
        <w:autoSpaceDE w:val="0"/>
        <w:autoSpaceDN w:val="0"/>
        <w:adjustRightInd w:val="0"/>
        <w:rPr>
          <w:rFonts w:ascii="Arial Narrow" w:hAnsi="Arial Narrow" w:cs="Arial Narrow"/>
          <w:b w:val="0"/>
        </w:rPr>
      </w:pPr>
      <w:r>
        <w:rPr>
          <w:rFonts w:ascii="Arial Narrow" w:hAnsi="Arial Narrow" w:cs="Arial Narrow"/>
          <w:b w:val="0"/>
        </w:rPr>
        <w:t xml:space="preserve">It has recently been identified that despite the intention to limit continued dispensing to prescription only medicines Part 4.3A could inadvertently extend to other medicines, including those which are at risk of misuse or abuse such as Controlled (Schedule 8) medicines. </w:t>
      </w:r>
      <w:r w:rsidR="008A2B91">
        <w:rPr>
          <w:rFonts w:ascii="Arial Narrow" w:hAnsi="Arial Narrow" w:cs="Arial Narrow"/>
          <w:b w:val="0"/>
        </w:rPr>
        <w:t xml:space="preserve">This is because </w:t>
      </w:r>
      <w:r>
        <w:rPr>
          <w:rFonts w:ascii="Arial Narrow" w:hAnsi="Arial Narrow" w:cs="Arial Narrow"/>
          <w:b w:val="0"/>
        </w:rPr>
        <w:t xml:space="preserve">Part 4.3A automatically adopts a continued dispensing determination and </w:t>
      </w:r>
      <w:r w:rsidR="00E23CF1">
        <w:rPr>
          <w:rFonts w:ascii="Arial Narrow" w:hAnsi="Arial Narrow" w:cs="Arial Narrow"/>
          <w:b w:val="0"/>
        </w:rPr>
        <w:t>is currently constructed to apply simply to ‘a medicine’</w:t>
      </w:r>
      <w:r w:rsidR="008A2B91">
        <w:rPr>
          <w:rFonts w:ascii="Arial Narrow" w:hAnsi="Arial Narrow" w:cs="Arial Narrow"/>
          <w:b w:val="0"/>
        </w:rPr>
        <w:t>,</w:t>
      </w:r>
      <w:r w:rsidR="00E23CF1">
        <w:rPr>
          <w:rFonts w:ascii="Arial Narrow" w:hAnsi="Arial Narrow" w:cs="Arial Narrow"/>
          <w:b w:val="0"/>
        </w:rPr>
        <w:t xml:space="preserve"> rather than specifically to prescription only medicines as per the original intention outlined the Explanatory Statement to SL2013</w:t>
      </w:r>
      <w:r w:rsidR="00E23CF1">
        <w:rPr>
          <w:rFonts w:ascii="Arial Narrow" w:hAnsi="Arial Narrow" w:cs="Arial Narrow"/>
          <w:b w:val="0"/>
        </w:rPr>
        <w:noBreakHyphen/>
        <w:t xml:space="preserve">28. </w:t>
      </w:r>
      <w:r w:rsidR="008A2B91">
        <w:rPr>
          <w:rFonts w:ascii="Arial Narrow" w:hAnsi="Arial Narrow" w:cs="Arial Narrow"/>
          <w:b w:val="0"/>
        </w:rPr>
        <w:t xml:space="preserve">Accordingly, if a continued dispensing determination made under </w:t>
      </w:r>
      <w:r w:rsidR="008A2B91" w:rsidRPr="00D95CBE">
        <w:rPr>
          <w:rFonts w:ascii="Arial Narrow" w:hAnsi="Arial Narrow" w:cs="Arial Narrow"/>
          <w:b w:val="0"/>
        </w:rPr>
        <w:t xml:space="preserve">section 89A(3) of the </w:t>
      </w:r>
      <w:r w:rsidR="008A2B91">
        <w:rPr>
          <w:rFonts w:ascii="Arial Narrow" w:hAnsi="Arial Narrow" w:cs="Arial Narrow"/>
          <w:b w:val="0"/>
        </w:rPr>
        <w:t xml:space="preserve">Commonwealth </w:t>
      </w:r>
      <w:r w:rsidR="008A2B91" w:rsidRPr="00D95CBE">
        <w:rPr>
          <w:rFonts w:ascii="Arial Narrow" w:hAnsi="Arial Narrow" w:cs="Arial Narrow"/>
          <w:b w:val="0"/>
          <w:i/>
          <w:iCs/>
        </w:rPr>
        <w:t>National Health Act 1953</w:t>
      </w:r>
      <w:r w:rsidR="008A2B91">
        <w:rPr>
          <w:rFonts w:ascii="Arial Narrow" w:hAnsi="Arial Narrow" w:cs="Arial Narrow"/>
          <w:b w:val="0"/>
          <w:i/>
          <w:iCs/>
        </w:rPr>
        <w:t xml:space="preserve"> </w:t>
      </w:r>
      <w:r w:rsidR="008A2B91">
        <w:rPr>
          <w:rFonts w:ascii="Arial Narrow" w:hAnsi="Arial Narrow" w:cs="Arial Narrow"/>
          <w:b w:val="0"/>
        </w:rPr>
        <w:t xml:space="preserve">were to include medicines other than prescription only medicines their continued dispensing would be permitted under Part 4.3A contrary to its intended application. </w:t>
      </w:r>
      <w:r w:rsidR="00E23CF1">
        <w:rPr>
          <w:rFonts w:ascii="Arial Narrow" w:hAnsi="Arial Narrow" w:cs="Arial Narrow"/>
          <w:b w:val="0"/>
        </w:rPr>
        <w:t>This Regulation has been prepared to rectify that deficiency.</w:t>
      </w:r>
    </w:p>
    <w:p w:rsidR="004209E8" w:rsidRPr="00D95CBE" w:rsidRDefault="008A2B91" w:rsidP="00D95CBE">
      <w:pPr>
        <w:autoSpaceDE w:val="0"/>
        <w:autoSpaceDN w:val="0"/>
        <w:adjustRightInd w:val="0"/>
        <w:rPr>
          <w:rFonts w:ascii="Arial Narrow" w:hAnsi="Arial Narrow" w:cs="Arial Narrow"/>
          <w:b w:val="0"/>
        </w:rPr>
      </w:pPr>
      <w:r>
        <w:rPr>
          <w:rFonts w:ascii="Arial Narrow" w:hAnsi="Arial Narrow" w:cs="Arial Narrow"/>
          <w:b w:val="0"/>
        </w:rPr>
        <w:br w:type="page"/>
      </w:r>
    </w:p>
    <w:p w:rsidR="00BA44DB" w:rsidRPr="00D864AA" w:rsidRDefault="00BA44DB" w:rsidP="00D864AA">
      <w:pPr>
        <w:autoSpaceDE w:val="0"/>
        <w:autoSpaceDN w:val="0"/>
        <w:adjustRightInd w:val="0"/>
        <w:outlineLvl w:val="0"/>
        <w:rPr>
          <w:rFonts w:ascii="Arial Narrow" w:hAnsi="Arial Narrow" w:cs="Arial Narrow"/>
          <w:sz w:val="28"/>
          <w:szCs w:val="28"/>
        </w:rPr>
      </w:pPr>
      <w:r w:rsidRPr="00D864AA">
        <w:rPr>
          <w:rFonts w:ascii="Arial Narrow" w:hAnsi="Arial Narrow" w:cs="Arial Narrow"/>
          <w:sz w:val="28"/>
          <w:szCs w:val="28"/>
        </w:rPr>
        <w:t>Clauses</w:t>
      </w:r>
    </w:p>
    <w:p w:rsidR="00BA44DB" w:rsidRPr="00D864AA" w:rsidRDefault="00BA44DB" w:rsidP="00D864AA">
      <w:pPr>
        <w:autoSpaceDE w:val="0"/>
        <w:autoSpaceDN w:val="0"/>
        <w:adjustRightInd w:val="0"/>
        <w:outlineLvl w:val="0"/>
        <w:rPr>
          <w:rFonts w:ascii="Arial Narrow" w:hAnsi="Arial Narrow" w:cs="Arial Narrow"/>
          <w:b w:val="0"/>
        </w:rPr>
      </w:pPr>
    </w:p>
    <w:p w:rsidR="00BA44DB" w:rsidRPr="00D864AA" w:rsidRDefault="00BA44DB" w:rsidP="00D864AA">
      <w:pPr>
        <w:autoSpaceDE w:val="0"/>
        <w:autoSpaceDN w:val="0"/>
        <w:adjustRightInd w:val="0"/>
        <w:spacing w:after="120"/>
        <w:outlineLvl w:val="0"/>
        <w:rPr>
          <w:rFonts w:ascii="Arial Narrow" w:hAnsi="Arial Narrow" w:cs="Arial Narrow"/>
        </w:rPr>
      </w:pPr>
      <w:r w:rsidRPr="00D864AA">
        <w:rPr>
          <w:rFonts w:ascii="Arial Narrow" w:hAnsi="Arial Narrow" w:cs="Arial Narrow"/>
        </w:rPr>
        <w:t>Clause 1 – Name of regulation</w:t>
      </w:r>
    </w:p>
    <w:p w:rsidR="00BA44DB" w:rsidRPr="00D864AA" w:rsidRDefault="00AA34FA" w:rsidP="00D864AA">
      <w:pPr>
        <w:autoSpaceDE w:val="0"/>
        <w:autoSpaceDN w:val="0"/>
        <w:adjustRightInd w:val="0"/>
        <w:rPr>
          <w:rFonts w:ascii="Arial Narrow" w:hAnsi="Arial Narrow" w:cs="Arial Narrow"/>
          <w:b w:val="0"/>
        </w:rPr>
      </w:pPr>
      <w:r w:rsidRPr="00AA34FA">
        <w:rPr>
          <w:rFonts w:ascii="Arial Narrow" w:hAnsi="Arial Narrow"/>
          <w:b w:val="0"/>
          <w:bCs w:val="0"/>
        </w:rPr>
        <w:t xml:space="preserve">The first clause of the Regulation declares the name of the Regulation to be </w:t>
      </w:r>
      <w:r w:rsidR="00BA44DB" w:rsidRPr="00D864AA">
        <w:rPr>
          <w:rFonts w:ascii="Arial Narrow" w:hAnsi="Arial Narrow" w:cs="Arial Narrow"/>
          <w:b w:val="0"/>
        </w:rPr>
        <w:t xml:space="preserve">the </w:t>
      </w:r>
      <w:r w:rsidR="00552CF2" w:rsidRPr="00552CF2">
        <w:rPr>
          <w:rFonts w:ascii="Arial Narrow" w:hAnsi="Arial Narrow" w:cs="Arial Narrow"/>
          <w:b w:val="0"/>
          <w:i/>
        </w:rPr>
        <w:t>MEDICINES, POISONS AND THERAPEUTIC GOODS (CONTINUED DISPENSING) AMENDMENT REGULATION 2020 (NO 1)</w:t>
      </w:r>
      <w:r w:rsidR="00BA44DB" w:rsidRPr="00D864AA">
        <w:rPr>
          <w:rFonts w:ascii="Arial Narrow" w:hAnsi="Arial Narrow" w:cs="Arial Narrow"/>
          <w:b w:val="0"/>
          <w:i/>
        </w:rPr>
        <w:t>.</w:t>
      </w:r>
    </w:p>
    <w:p w:rsidR="00BA44DB" w:rsidRPr="00D864AA" w:rsidRDefault="00BA44DB" w:rsidP="00D864AA">
      <w:pPr>
        <w:autoSpaceDE w:val="0"/>
        <w:autoSpaceDN w:val="0"/>
        <w:adjustRightInd w:val="0"/>
        <w:rPr>
          <w:rFonts w:ascii="Arial Narrow" w:hAnsi="Arial Narrow" w:cs="Arial Narrow"/>
          <w:b w:val="0"/>
        </w:rPr>
      </w:pPr>
    </w:p>
    <w:p w:rsidR="00BA44DB" w:rsidRPr="00D864AA" w:rsidRDefault="00BA44DB" w:rsidP="00D864AA">
      <w:pPr>
        <w:autoSpaceDE w:val="0"/>
        <w:autoSpaceDN w:val="0"/>
        <w:adjustRightInd w:val="0"/>
        <w:spacing w:after="120"/>
        <w:outlineLvl w:val="0"/>
        <w:rPr>
          <w:rFonts w:ascii="Arial Narrow" w:hAnsi="Arial Narrow" w:cs="Arial Narrow"/>
        </w:rPr>
      </w:pPr>
      <w:r w:rsidRPr="00D864AA">
        <w:rPr>
          <w:rFonts w:ascii="Arial Narrow" w:hAnsi="Arial Narrow" w:cs="Arial Narrow"/>
        </w:rPr>
        <w:t>Clause 2 – Commencement</w:t>
      </w:r>
    </w:p>
    <w:p w:rsidR="00AA34FA" w:rsidRPr="00AA34FA" w:rsidRDefault="00AA34FA" w:rsidP="00AA34FA">
      <w:pPr>
        <w:ind w:right="-759"/>
        <w:rPr>
          <w:rFonts w:ascii="Arial Narrow" w:hAnsi="Arial Narrow"/>
          <w:b w:val="0"/>
        </w:rPr>
      </w:pPr>
      <w:r w:rsidRPr="00AA34FA">
        <w:rPr>
          <w:rFonts w:ascii="Arial Narrow" w:hAnsi="Arial Narrow"/>
          <w:b w:val="0"/>
        </w:rPr>
        <w:t xml:space="preserve">Pursuant to this provision, the Regulation is to commence on the day after it is notified on the </w:t>
      </w:r>
      <w:r w:rsidRPr="00AA34FA">
        <w:rPr>
          <w:rFonts w:ascii="Arial Narrow" w:hAnsi="Arial Narrow"/>
          <w:b w:val="0"/>
        </w:rPr>
        <w:br/>
        <w:t xml:space="preserve">ACT Legislation Register. </w:t>
      </w:r>
    </w:p>
    <w:p w:rsidR="00AA34FA" w:rsidRPr="00AA34FA" w:rsidRDefault="00AA34FA" w:rsidP="00AA34FA">
      <w:pPr>
        <w:autoSpaceDE w:val="0"/>
        <w:autoSpaceDN w:val="0"/>
        <w:adjustRightInd w:val="0"/>
        <w:rPr>
          <w:rFonts w:ascii="Arial Narrow" w:hAnsi="Arial Narrow" w:cs="Arial Narrow"/>
          <w:b w:val="0"/>
        </w:rPr>
      </w:pPr>
    </w:p>
    <w:p w:rsidR="00AA34FA" w:rsidRPr="00AA34FA" w:rsidRDefault="00AA34FA" w:rsidP="00AA34FA">
      <w:pPr>
        <w:autoSpaceDE w:val="0"/>
        <w:autoSpaceDN w:val="0"/>
        <w:adjustRightInd w:val="0"/>
        <w:rPr>
          <w:rFonts w:ascii="Arial Narrow" w:hAnsi="Arial Narrow" w:cs="Arial Narrow"/>
          <w:b w:val="0"/>
        </w:rPr>
      </w:pPr>
      <w:r w:rsidRPr="00AA34FA">
        <w:rPr>
          <w:rFonts w:ascii="Arial Narrow" w:hAnsi="Arial Narrow" w:cs="Arial Narrow"/>
          <w:b w:val="0"/>
        </w:rPr>
        <w:t xml:space="preserve">Due to the operation of section 75(1) of the </w:t>
      </w:r>
      <w:r w:rsidRPr="00AA34FA">
        <w:rPr>
          <w:rFonts w:ascii="Arial Narrow" w:hAnsi="Arial Narrow" w:cs="Arial Narrow"/>
          <w:b w:val="0"/>
          <w:i/>
        </w:rPr>
        <w:t>Legislation Act 2001</w:t>
      </w:r>
      <w:r w:rsidRPr="00AA34FA">
        <w:rPr>
          <w:rFonts w:ascii="Arial Narrow" w:hAnsi="Arial Narrow" w:cs="Arial Narrow"/>
          <w:b w:val="0"/>
        </w:rPr>
        <w:t xml:space="preserve"> (the Legislation Act), the naming and commencement provisions of this Regulation, clauses 1 and 2, commence automatically on the day the Regulation is notified.  A note to that effect is included in the provision.</w:t>
      </w:r>
    </w:p>
    <w:p w:rsidR="00BA44DB" w:rsidRPr="00D864AA" w:rsidRDefault="00BA44DB" w:rsidP="00D864AA">
      <w:pPr>
        <w:autoSpaceDE w:val="0"/>
        <w:autoSpaceDN w:val="0"/>
        <w:adjustRightInd w:val="0"/>
        <w:rPr>
          <w:rFonts w:ascii="Arial Narrow" w:hAnsi="Arial Narrow" w:cs="Arial Narrow"/>
          <w:b w:val="0"/>
        </w:rPr>
      </w:pPr>
    </w:p>
    <w:p w:rsidR="00BA44DB" w:rsidRPr="00D864AA" w:rsidRDefault="00BA44DB" w:rsidP="00D864AA">
      <w:pPr>
        <w:autoSpaceDE w:val="0"/>
        <w:autoSpaceDN w:val="0"/>
        <w:adjustRightInd w:val="0"/>
        <w:spacing w:after="120"/>
        <w:outlineLvl w:val="0"/>
        <w:rPr>
          <w:rFonts w:ascii="Arial Narrow" w:hAnsi="Arial Narrow" w:cs="Arial Narrow"/>
        </w:rPr>
      </w:pPr>
      <w:r w:rsidRPr="00D864AA">
        <w:rPr>
          <w:rFonts w:ascii="Arial Narrow" w:hAnsi="Arial Narrow" w:cs="Arial Narrow"/>
        </w:rPr>
        <w:t>Clause 3 - Legislation amended</w:t>
      </w:r>
    </w:p>
    <w:p w:rsidR="00AA34FA" w:rsidRPr="00AA34FA" w:rsidRDefault="00AA34FA" w:rsidP="00AA34FA">
      <w:pPr>
        <w:rPr>
          <w:rFonts w:ascii="Arial Narrow" w:hAnsi="Arial Narrow" w:cs="Arial Narrow"/>
          <w:b w:val="0"/>
        </w:rPr>
      </w:pPr>
      <w:r w:rsidRPr="00AA34FA">
        <w:rPr>
          <w:rFonts w:ascii="Arial Narrow" w:hAnsi="Arial Narrow" w:cs="Arial Narrow"/>
          <w:b w:val="0"/>
        </w:rPr>
        <w:t xml:space="preserve">This provision alerts the reader that this Regulation amends the MPTG Regulation.  </w:t>
      </w:r>
    </w:p>
    <w:p w:rsidR="00AA34FA" w:rsidRPr="00AA34FA" w:rsidRDefault="00AA34FA" w:rsidP="00AA34FA">
      <w:pPr>
        <w:rPr>
          <w:rFonts w:ascii="Arial Narrow" w:hAnsi="Arial Narrow" w:cs="Arial Narrow"/>
          <w:b w:val="0"/>
        </w:rPr>
      </w:pPr>
    </w:p>
    <w:p w:rsidR="00AA34FA" w:rsidRPr="00AA34FA" w:rsidRDefault="00AA34FA" w:rsidP="00AA34FA">
      <w:pPr>
        <w:rPr>
          <w:rFonts w:ascii="Arial Narrow" w:hAnsi="Arial Narrow" w:cs="Arial Narrow"/>
          <w:b w:val="0"/>
        </w:rPr>
      </w:pPr>
      <w:r w:rsidRPr="00AA34FA">
        <w:rPr>
          <w:rFonts w:ascii="Arial Narrow" w:hAnsi="Arial Narrow" w:cs="Arial Narrow"/>
          <w:b w:val="0"/>
        </w:rPr>
        <w:t xml:space="preserve">Upon commencement this Regulation will alter the MPTG Regulation in accordance with the provisions that this Regulation contains.  This Regulation will then be immediately repealed.  </w:t>
      </w:r>
    </w:p>
    <w:p w:rsidR="00AA34FA" w:rsidRPr="00AA34FA" w:rsidRDefault="00AA34FA" w:rsidP="00AA34FA">
      <w:pPr>
        <w:rPr>
          <w:rFonts w:ascii="Arial Narrow" w:hAnsi="Arial Narrow" w:cs="Arial Narrow"/>
          <w:b w:val="0"/>
        </w:rPr>
      </w:pPr>
    </w:p>
    <w:p w:rsidR="00AA34FA" w:rsidRPr="00AA34FA" w:rsidRDefault="00AA34FA" w:rsidP="00AA34FA">
      <w:pPr>
        <w:rPr>
          <w:rFonts w:ascii="Arial Narrow" w:hAnsi="Arial Narrow" w:cs="Arial Narrow"/>
          <w:b w:val="0"/>
        </w:rPr>
      </w:pPr>
      <w:r w:rsidRPr="00AA34FA">
        <w:rPr>
          <w:rFonts w:ascii="Arial Narrow" w:hAnsi="Arial Narrow" w:cs="Arial Narrow"/>
          <w:b w:val="0"/>
        </w:rPr>
        <w:t xml:space="preserve">Consequentially, from the date that this Regulation commences a new republication of the </w:t>
      </w:r>
      <w:r w:rsidRPr="00AA34FA">
        <w:rPr>
          <w:rFonts w:ascii="Arial Narrow" w:hAnsi="Arial Narrow" w:cs="Arial Narrow"/>
          <w:b w:val="0"/>
        </w:rPr>
        <w:br/>
        <w:t>MPTG Regulation will be available.  That new republication will feature the alterations made by this Regulation.</w:t>
      </w:r>
    </w:p>
    <w:p w:rsidR="00BA44DB" w:rsidRPr="00D864AA" w:rsidRDefault="00BA44DB" w:rsidP="00D864AA">
      <w:pPr>
        <w:autoSpaceDE w:val="0"/>
        <w:autoSpaceDN w:val="0"/>
        <w:adjustRightInd w:val="0"/>
        <w:rPr>
          <w:rFonts w:ascii="Arial Narrow" w:hAnsi="Arial Narrow"/>
          <w:b w:val="0"/>
        </w:rPr>
      </w:pPr>
    </w:p>
    <w:p w:rsidR="00BA44DB" w:rsidRPr="00D864AA" w:rsidRDefault="00BA44DB" w:rsidP="00D864AA">
      <w:pPr>
        <w:autoSpaceDE w:val="0"/>
        <w:autoSpaceDN w:val="0"/>
        <w:adjustRightInd w:val="0"/>
        <w:spacing w:after="120"/>
        <w:rPr>
          <w:rFonts w:ascii="Arial Narrow" w:hAnsi="Arial Narrow"/>
          <w:bCs w:val="0"/>
        </w:rPr>
      </w:pPr>
      <w:r w:rsidRPr="00D864AA">
        <w:rPr>
          <w:rFonts w:ascii="Arial Narrow" w:hAnsi="Arial Narrow" w:cs="Arial Narrow"/>
        </w:rPr>
        <w:t>Clause </w:t>
      </w:r>
      <w:r w:rsidRPr="00D864AA">
        <w:rPr>
          <w:rFonts w:ascii="Arial Narrow" w:hAnsi="Arial Narrow"/>
          <w:bCs w:val="0"/>
        </w:rPr>
        <w:t>4 – Section </w:t>
      </w:r>
      <w:r w:rsidR="00F8707E">
        <w:rPr>
          <w:rFonts w:ascii="Arial Narrow" w:hAnsi="Arial Narrow"/>
          <w:bCs w:val="0"/>
        </w:rPr>
        <w:t>2</w:t>
      </w:r>
      <w:r w:rsidRPr="00D864AA">
        <w:rPr>
          <w:rFonts w:ascii="Arial Narrow" w:hAnsi="Arial Narrow"/>
          <w:bCs w:val="0"/>
        </w:rPr>
        <w:t>5</w:t>
      </w:r>
      <w:r w:rsidR="00F8707E">
        <w:rPr>
          <w:rFonts w:ascii="Arial Narrow" w:hAnsi="Arial Narrow"/>
          <w:bCs w:val="0"/>
        </w:rPr>
        <w:t>5</w:t>
      </w:r>
    </w:p>
    <w:p w:rsidR="00B13FFF" w:rsidRPr="00D864AA" w:rsidRDefault="00624C97" w:rsidP="00D864AA">
      <w:pPr>
        <w:autoSpaceDE w:val="0"/>
        <w:autoSpaceDN w:val="0"/>
        <w:adjustRightInd w:val="0"/>
        <w:rPr>
          <w:rFonts w:ascii="Arial Narrow" w:hAnsi="Arial Narrow"/>
          <w:b w:val="0"/>
        </w:rPr>
      </w:pPr>
      <w:r>
        <w:rPr>
          <w:rFonts w:ascii="Arial Narrow" w:hAnsi="Arial Narrow"/>
          <w:b w:val="0"/>
          <w:bCs w:val="0"/>
        </w:rPr>
        <w:t>S</w:t>
      </w:r>
      <w:r w:rsidR="009902A2">
        <w:rPr>
          <w:rFonts w:ascii="Arial Narrow" w:hAnsi="Arial Narrow"/>
          <w:b w:val="0"/>
          <w:bCs w:val="0"/>
        </w:rPr>
        <w:t xml:space="preserve">ection 255 </w:t>
      </w:r>
      <w:r>
        <w:rPr>
          <w:rFonts w:ascii="Arial Narrow" w:hAnsi="Arial Narrow"/>
          <w:b w:val="0"/>
          <w:bCs w:val="0"/>
        </w:rPr>
        <w:t xml:space="preserve">is amended by this provision </w:t>
      </w:r>
      <w:r w:rsidR="009902A2">
        <w:rPr>
          <w:rFonts w:ascii="Arial Narrow" w:hAnsi="Arial Narrow"/>
          <w:b w:val="0"/>
          <w:bCs w:val="0"/>
        </w:rPr>
        <w:t>by inserting the words “designated prescription only” before every reference to a ‘medicine’ in section 250</w:t>
      </w:r>
      <w:r w:rsidR="00BB27E4" w:rsidRPr="00D864AA">
        <w:rPr>
          <w:rFonts w:ascii="Arial Narrow" w:hAnsi="Arial Narrow"/>
          <w:b w:val="0"/>
          <w:bCs w:val="0"/>
        </w:rPr>
        <w:t>.</w:t>
      </w:r>
      <w:r w:rsidR="00CA55DE" w:rsidRPr="00D864AA">
        <w:rPr>
          <w:rFonts w:ascii="Arial Narrow" w:hAnsi="Arial Narrow"/>
          <w:b w:val="0"/>
          <w:bCs w:val="0"/>
        </w:rPr>
        <w:t xml:space="preserve">  </w:t>
      </w:r>
      <w:r w:rsidR="009902A2">
        <w:rPr>
          <w:rFonts w:ascii="Arial Narrow" w:hAnsi="Arial Narrow"/>
          <w:b w:val="0"/>
          <w:bCs w:val="0"/>
        </w:rPr>
        <w:t xml:space="preserve">The effect of this simple change will be to </w:t>
      </w:r>
      <w:r>
        <w:rPr>
          <w:rFonts w:ascii="Arial Narrow" w:hAnsi="Arial Narrow"/>
          <w:b w:val="0"/>
          <w:bCs w:val="0"/>
        </w:rPr>
        <w:t>significantly narrow the types of medicines for which continued dispensing can occur, and crucially removing the application of Part 4.3A to forms of medicines which commonly risk misuse or abuse. This change will mean the application of Part 4.3A is truer to its original intention, as outlined in the Explanatory Statement for SL2013</w:t>
      </w:r>
      <w:r>
        <w:rPr>
          <w:rFonts w:ascii="Arial Narrow" w:hAnsi="Arial Narrow"/>
          <w:b w:val="0"/>
          <w:bCs w:val="0"/>
        </w:rPr>
        <w:noBreakHyphen/>
        <w:t>28.</w:t>
      </w:r>
    </w:p>
    <w:p w:rsidR="00B13FFF" w:rsidRPr="00D864AA" w:rsidRDefault="00B13FFF" w:rsidP="00D864AA">
      <w:pPr>
        <w:autoSpaceDE w:val="0"/>
        <w:autoSpaceDN w:val="0"/>
        <w:adjustRightInd w:val="0"/>
        <w:rPr>
          <w:rFonts w:ascii="Arial Narrow" w:hAnsi="Arial Narrow"/>
          <w:b w:val="0"/>
        </w:rPr>
      </w:pPr>
    </w:p>
    <w:p w:rsidR="00BA44DB" w:rsidRPr="00D864AA" w:rsidRDefault="00BA44DB" w:rsidP="00D864AA">
      <w:pPr>
        <w:autoSpaceDE w:val="0"/>
        <w:autoSpaceDN w:val="0"/>
        <w:adjustRightInd w:val="0"/>
        <w:spacing w:after="120"/>
        <w:outlineLvl w:val="0"/>
        <w:rPr>
          <w:rFonts w:ascii="Arial Narrow" w:hAnsi="Arial Narrow"/>
          <w:bCs w:val="0"/>
        </w:rPr>
      </w:pPr>
      <w:r w:rsidRPr="00D864AA">
        <w:rPr>
          <w:rFonts w:ascii="Arial Narrow" w:hAnsi="Arial Narrow" w:cs="Arial Narrow"/>
        </w:rPr>
        <w:t>Clause </w:t>
      </w:r>
      <w:r w:rsidRPr="00D864AA">
        <w:rPr>
          <w:rFonts w:ascii="Arial Narrow" w:hAnsi="Arial Narrow"/>
          <w:bCs w:val="0"/>
        </w:rPr>
        <w:t>5 – Section </w:t>
      </w:r>
      <w:r w:rsidR="00F8707E">
        <w:rPr>
          <w:rFonts w:ascii="Arial Narrow" w:hAnsi="Arial Narrow"/>
          <w:bCs w:val="0"/>
        </w:rPr>
        <w:t>25</w:t>
      </w:r>
      <w:r w:rsidRPr="00D864AA">
        <w:rPr>
          <w:rFonts w:ascii="Arial Narrow" w:hAnsi="Arial Narrow"/>
          <w:bCs w:val="0"/>
        </w:rPr>
        <w:t>5</w:t>
      </w:r>
      <w:r w:rsidR="00F8707E">
        <w:rPr>
          <w:rFonts w:ascii="Arial Narrow" w:hAnsi="Arial Narrow"/>
          <w:bCs w:val="0"/>
        </w:rPr>
        <w:t>(</w:t>
      </w:r>
      <w:r w:rsidRPr="00D864AA">
        <w:rPr>
          <w:rFonts w:ascii="Arial Narrow" w:hAnsi="Arial Narrow"/>
          <w:bCs w:val="0"/>
        </w:rPr>
        <w:t>2)</w:t>
      </w:r>
    </w:p>
    <w:p w:rsidR="00743C3E" w:rsidRDefault="00624C97" w:rsidP="00743C3E">
      <w:pPr>
        <w:rPr>
          <w:rFonts w:ascii="Arial Narrow" w:hAnsi="Arial Narrow"/>
          <w:b w:val="0"/>
          <w:bCs w:val="0"/>
        </w:rPr>
      </w:pPr>
      <w:r>
        <w:rPr>
          <w:rFonts w:ascii="Arial Narrow" w:hAnsi="Arial Narrow"/>
          <w:b w:val="0"/>
          <w:bCs w:val="0"/>
        </w:rPr>
        <w:t>The clause inserts a new second subsection into s</w:t>
      </w:r>
      <w:r w:rsidR="00AC4293" w:rsidRPr="00D864AA">
        <w:rPr>
          <w:rFonts w:ascii="Arial Narrow" w:hAnsi="Arial Narrow"/>
          <w:b w:val="0"/>
          <w:bCs w:val="0"/>
        </w:rPr>
        <w:t>ection </w:t>
      </w:r>
      <w:r>
        <w:rPr>
          <w:rFonts w:ascii="Arial Narrow" w:hAnsi="Arial Narrow"/>
          <w:b w:val="0"/>
          <w:bCs w:val="0"/>
        </w:rPr>
        <w:t>25</w:t>
      </w:r>
      <w:r w:rsidR="00AC4293" w:rsidRPr="00D864AA">
        <w:rPr>
          <w:rFonts w:ascii="Arial Narrow" w:hAnsi="Arial Narrow"/>
          <w:b w:val="0"/>
          <w:bCs w:val="0"/>
        </w:rPr>
        <w:t>5</w:t>
      </w:r>
      <w:r w:rsidR="00743C3E">
        <w:rPr>
          <w:rFonts w:ascii="Arial Narrow" w:hAnsi="Arial Narrow"/>
          <w:b w:val="0"/>
          <w:bCs w:val="0"/>
        </w:rPr>
        <w:t xml:space="preserve">. </w:t>
      </w:r>
    </w:p>
    <w:p w:rsidR="00743C3E" w:rsidRDefault="00743C3E" w:rsidP="00743C3E">
      <w:pPr>
        <w:rPr>
          <w:rFonts w:ascii="Arial Narrow" w:hAnsi="Arial Narrow"/>
          <w:b w:val="0"/>
          <w:bCs w:val="0"/>
        </w:rPr>
      </w:pPr>
    </w:p>
    <w:p w:rsidR="00743C3E" w:rsidRDefault="00743C3E" w:rsidP="00743C3E">
      <w:pPr>
        <w:rPr>
          <w:rFonts w:ascii="Arial Narrow" w:hAnsi="Arial Narrow"/>
          <w:b w:val="0"/>
          <w:bCs w:val="0"/>
        </w:rPr>
      </w:pPr>
      <w:r>
        <w:rPr>
          <w:rFonts w:ascii="Arial Narrow" w:hAnsi="Arial Narrow"/>
          <w:b w:val="0"/>
          <w:bCs w:val="0"/>
        </w:rPr>
        <w:t>Section 255(2) instructs that the meaning of ‘designated prescription only medicine’ is that contained in section 250 of the MPTG Regulation. The meaning of a ‘designated prescription only medicine’ found in section 250 is:</w:t>
      </w:r>
    </w:p>
    <w:p w:rsidR="00743C3E" w:rsidRDefault="00743C3E" w:rsidP="00743C3E">
      <w:pPr>
        <w:ind w:left="720"/>
        <w:rPr>
          <w:rFonts w:ascii="Arial Narrow" w:hAnsi="Arial Narrow"/>
          <w:b w:val="0"/>
          <w:bCs w:val="0"/>
        </w:rPr>
      </w:pPr>
      <w:r>
        <w:rPr>
          <w:rFonts w:ascii="Arial Narrow" w:hAnsi="Arial Narrow"/>
          <w:b w:val="0"/>
          <w:bCs w:val="0"/>
        </w:rPr>
        <w:t xml:space="preserve">a prescription only medicine other than – </w:t>
      </w:r>
    </w:p>
    <w:p w:rsidR="00743C3E" w:rsidRDefault="00743C3E" w:rsidP="00743C3E">
      <w:pPr>
        <w:numPr>
          <w:ilvl w:val="0"/>
          <w:numId w:val="19"/>
        </w:numPr>
        <w:rPr>
          <w:rFonts w:ascii="Arial Narrow" w:hAnsi="Arial Narrow"/>
          <w:b w:val="0"/>
          <w:bCs w:val="0"/>
        </w:rPr>
      </w:pPr>
      <w:r>
        <w:rPr>
          <w:rFonts w:ascii="Arial Narrow" w:hAnsi="Arial Narrow"/>
          <w:b w:val="0"/>
          <w:bCs w:val="0"/>
        </w:rPr>
        <w:t>an anabolic steroid, and</w:t>
      </w:r>
    </w:p>
    <w:p w:rsidR="00743C3E" w:rsidRDefault="00743C3E" w:rsidP="00743C3E">
      <w:pPr>
        <w:numPr>
          <w:ilvl w:val="0"/>
          <w:numId w:val="19"/>
        </w:numPr>
        <w:rPr>
          <w:rFonts w:ascii="Arial Narrow" w:hAnsi="Arial Narrow"/>
          <w:b w:val="0"/>
          <w:bCs w:val="0"/>
        </w:rPr>
      </w:pPr>
      <w:r>
        <w:rPr>
          <w:rFonts w:ascii="Arial Narrow" w:hAnsi="Arial Narrow"/>
          <w:b w:val="0"/>
          <w:bCs w:val="0"/>
        </w:rPr>
        <w:t>an appendix D medicine, and</w:t>
      </w:r>
    </w:p>
    <w:p w:rsidR="00743C3E" w:rsidRDefault="00743C3E" w:rsidP="00743C3E">
      <w:pPr>
        <w:numPr>
          <w:ilvl w:val="0"/>
          <w:numId w:val="19"/>
        </w:numPr>
        <w:rPr>
          <w:rFonts w:ascii="Arial Narrow" w:hAnsi="Arial Narrow"/>
          <w:b w:val="0"/>
          <w:bCs w:val="0"/>
        </w:rPr>
      </w:pPr>
      <w:r>
        <w:rPr>
          <w:rFonts w:ascii="Arial Narrow" w:hAnsi="Arial Narrow"/>
          <w:b w:val="0"/>
          <w:bCs w:val="0"/>
        </w:rPr>
        <w:t xml:space="preserve">a benzodiazepine. </w:t>
      </w:r>
    </w:p>
    <w:p w:rsidR="00743C3E" w:rsidRDefault="00743C3E" w:rsidP="00743C3E">
      <w:pPr>
        <w:ind w:left="1440"/>
        <w:rPr>
          <w:rFonts w:ascii="Arial Narrow" w:hAnsi="Arial Narrow"/>
          <w:b w:val="0"/>
          <w:bCs w:val="0"/>
        </w:rPr>
      </w:pPr>
    </w:p>
    <w:p w:rsidR="00743C3E" w:rsidRDefault="00743C3E" w:rsidP="00743C3E">
      <w:pPr>
        <w:rPr>
          <w:rFonts w:ascii="Arial Narrow" w:hAnsi="Arial Narrow"/>
          <w:b w:val="0"/>
          <w:bCs w:val="0"/>
        </w:rPr>
      </w:pPr>
      <w:r>
        <w:rPr>
          <w:rFonts w:ascii="Arial Narrow" w:hAnsi="Arial Narrow"/>
          <w:b w:val="0"/>
          <w:bCs w:val="0"/>
        </w:rPr>
        <w:t>It is important to note that section 255(2) adopts the meaning of ‘designated prescription only medicine’ found in section 250, and not section 250 as a whole.</w:t>
      </w:r>
    </w:p>
    <w:p w:rsidR="00743C3E" w:rsidRPr="00D864AA" w:rsidRDefault="00743C3E" w:rsidP="00743C3E">
      <w:pPr>
        <w:rPr>
          <w:rFonts w:ascii="Arial Narrow" w:hAnsi="Arial Narrow" w:cs="Arial Narrow"/>
          <w:b w:val="0"/>
          <w:bCs w:val="0"/>
          <w:i/>
        </w:rPr>
      </w:pPr>
    </w:p>
    <w:p w:rsidR="00A92546" w:rsidRPr="00A92546" w:rsidRDefault="00A92546" w:rsidP="00A92546">
      <w:pPr>
        <w:rPr>
          <w:rFonts w:ascii="Arial Narrow" w:hAnsi="Arial Narrow"/>
          <w:b w:val="0"/>
        </w:rPr>
      </w:pPr>
    </w:p>
    <w:sectPr w:rsidR="00A92546" w:rsidRPr="00A92546">
      <w:headerReference w:type="even" r:id="rId7"/>
      <w:headerReference w:type="default" r:id="rId8"/>
      <w:footerReference w:type="even" r:id="rId9"/>
      <w:footerReference w:type="default" r:id="rId10"/>
      <w:headerReference w:type="first" r:id="rId11"/>
      <w:footerReference w:type="first" r:id="rId12"/>
      <w:pgSz w:w="11907" w:h="16840" w:code="9"/>
      <w:pgMar w:top="1134" w:right="1701" w:bottom="1134" w:left="1701" w:header="720" w:footer="5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EF" w:rsidRDefault="006030EF">
      <w:r>
        <w:separator/>
      </w:r>
    </w:p>
  </w:endnote>
  <w:endnote w:type="continuationSeparator" w:id="0">
    <w:p w:rsidR="006030EF" w:rsidRDefault="0060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FE" w:rsidRDefault="00863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1F9" w:rsidRDefault="007C01F9">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p w:rsidR="00BB27E4" w:rsidRPr="008634FE" w:rsidRDefault="008634FE" w:rsidP="008634FE">
    <w:pPr>
      <w:pStyle w:val="Footer"/>
      <w:jc w:val="center"/>
      <w:rPr>
        <w:b w:val="0"/>
        <w:bCs w:val="0"/>
        <w:sz w:val="14"/>
      </w:rPr>
    </w:pPr>
    <w:r w:rsidRPr="008634FE">
      <w:rPr>
        <w:b w:val="0"/>
        <w:bCs w:val="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7E4" w:rsidRPr="008634FE" w:rsidRDefault="008634FE" w:rsidP="008634FE">
    <w:pPr>
      <w:pStyle w:val="Footer"/>
      <w:jc w:val="center"/>
      <w:rPr>
        <w:b w:val="0"/>
        <w:bCs w:val="0"/>
        <w:sz w:val="14"/>
      </w:rPr>
    </w:pPr>
    <w:r w:rsidRPr="008634FE">
      <w:rPr>
        <w:b w:val="0"/>
        <w:bCs w:val="0"/>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EF" w:rsidRDefault="006030EF">
      <w:r>
        <w:separator/>
      </w:r>
    </w:p>
  </w:footnote>
  <w:footnote w:type="continuationSeparator" w:id="0">
    <w:p w:rsidR="006030EF" w:rsidRDefault="0060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FE" w:rsidRDefault="00863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FE" w:rsidRDefault="00863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4FE" w:rsidRDefault="00863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56D6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0F17FE"/>
    <w:multiLevelType w:val="hybridMultilevel"/>
    <w:tmpl w:val="360A6F60"/>
    <w:lvl w:ilvl="0" w:tplc="0C090017">
      <w:start w:val="1"/>
      <w:numFmt w:val="lowerLetter"/>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 w15:restartNumberingAfterBreak="0">
    <w:nsid w:val="5E83039E"/>
    <w:multiLevelType w:val="hybridMultilevel"/>
    <w:tmpl w:val="E59E6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9843E6"/>
    <w:multiLevelType w:val="hybridMultilevel"/>
    <w:tmpl w:val="5E0091BA"/>
    <w:lvl w:ilvl="0" w:tplc="1DCA173A">
      <w:start w:val="60"/>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B933E88"/>
    <w:multiLevelType w:val="hybridMultilevel"/>
    <w:tmpl w:val="58A409E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72225D36"/>
    <w:multiLevelType w:val="multilevel"/>
    <w:tmpl w:val="7B54DC4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800"/>
        </w:tabs>
        <w:ind w:left="1800" w:hanging="360"/>
      </w:pPr>
      <w:rPr>
        <w:rFonts w:cs="Times New Roman"/>
        <w:b w:val="0"/>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6" w15:restartNumberingAfterBreak="0">
    <w:nsid w:val="772B70E6"/>
    <w:multiLevelType w:val="hybridMultilevel"/>
    <w:tmpl w:val="DA767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5"/>
  </w:num>
  <w:num w:numId="16">
    <w:abstractNumId w:val="4"/>
  </w:num>
  <w:num w:numId="17">
    <w:abstractNumId w:val="2"/>
  </w:num>
  <w:num w:numId="18">
    <w:abstractNumId w:val="6"/>
  </w:num>
  <w:num w:numId="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79F7"/>
    <w:rsid w:val="00000B7E"/>
    <w:rsid w:val="0008187F"/>
    <w:rsid w:val="000A574C"/>
    <w:rsid w:val="000B01C6"/>
    <w:rsid w:val="00115AD6"/>
    <w:rsid w:val="00160143"/>
    <w:rsid w:val="00223F2D"/>
    <w:rsid w:val="0023574D"/>
    <w:rsid w:val="00246880"/>
    <w:rsid w:val="002C1E27"/>
    <w:rsid w:val="00330F1E"/>
    <w:rsid w:val="00332D5B"/>
    <w:rsid w:val="003765D9"/>
    <w:rsid w:val="003913A0"/>
    <w:rsid w:val="003A28BC"/>
    <w:rsid w:val="003C03CB"/>
    <w:rsid w:val="003C2158"/>
    <w:rsid w:val="003D2EB1"/>
    <w:rsid w:val="003F757E"/>
    <w:rsid w:val="004209E8"/>
    <w:rsid w:val="00427C56"/>
    <w:rsid w:val="00450B41"/>
    <w:rsid w:val="00465FE9"/>
    <w:rsid w:val="00491C5C"/>
    <w:rsid w:val="004B1D99"/>
    <w:rsid w:val="004B7530"/>
    <w:rsid w:val="005144C2"/>
    <w:rsid w:val="00552CF2"/>
    <w:rsid w:val="005804D0"/>
    <w:rsid w:val="006030EF"/>
    <w:rsid w:val="00624C97"/>
    <w:rsid w:val="0065620F"/>
    <w:rsid w:val="006711D9"/>
    <w:rsid w:val="006848D5"/>
    <w:rsid w:val="006A4DDA"/>
    <w:rsid w:val="006E27DE"/>
    <w:rsid w:val="006F6B7F"/>
    <w:rsid w:val="00712C1E"/>
    <w:rsid w:val="007244C4"/>
    <w:rsid w:val="007329D6"/>
    <w:rsid w:val="00743C3E"/>
    <w:rsid w:val="00763F81"/>
    <w:rsid w:val="00784A5D"/>
    <w:rsid w:val="007961BD"/>
    <w:rsid w:val="00797C68"/>
    <w:rsid w:val="007C01F9"/>
    <w:rsid w:val="008435BE"/>
    <w:rsid w:val="008634FE"/>
    <w:rsid w:val="008675A3"/>
    <w:rsid w:val="008A2B91"/>
    <w:rsid w:val="008F083A"/>
    <w:rsid w:val="00972570"/>
    <w:rsid w:val="009902A2"/>
    <w:rsid w:val="00A92546"/>
    <w:rsid w:val="00A93494"/>
    <w:rsid w:val="00AA34FA"/>
    <w:rsid w:val="00AC4293"/>
    <w:rsid w:val="00B13FFF"/>
    <w:rsid w:val="00B20A01"/>
    <w:rsid w:val="00B4077A"/>
    <w:rsid w:val="00BA44DB"/>
    <w:rsid w:val="00BA5896"/>
    <w:rsid w:val="00BA79F7"/>
    <w:rsid w:val="00BB27E4"/>
    <w:rsid w:val="00BF1315"/>
    <w:rsid w:val="00C27753"/>
    <w:rsid w:val="00C9749A"/>
    <w:rsid w:val="00CA55DE"/>
    <w:rsid w:val="00CB558E"/>
    <w:rsid w:val="00D34519"/>
    <w:rsid w:val="00D864AA"/>
    <w:rsid w:val="00D91E43"/>
    <w:rsid w:val="00D95CBE"/>
    <w:rsid w:val="00DF52D7"/>
    <w:rsid w:val="00E07724"/>
    <w:rsid w:val="00E10949"/>
    <w:rsid w:val="00E23CF1"/>
    <w:rsid w:val="00E34644"/>
    <w:rsid w:val="00E56AE7"/>
    <w:rsid w:val="00E56C7C"/>
    <w:rsid w:val="00E75FB6"/>
    <w:rsid w:val="00EE766F"/>
    <w:rsid w:val="00F14189"/>
    <w:rsid w:val="00F3070E"/>
    <w:rsid w:val="00F60ED0"/>
    <w:rsid w:val="00F8707E"/>
    <w:rsid w:val="00FA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93667EA7-15B8-4984-88D5-64A2B74C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Arial" w:hAnsi="Arial" w:cs="Arial"/>
      <w:b/>
      <w:bCs/>
      <w:color w:val="000000"/>
      <w:sz w:val="24"/>
      <w:szCs w:val="24"/>
      <w:lang w:eastAsia="en-US"/>
    </w:rPr>
  </w:style>
  <w:style w:type="paragraph" w:styleId="Heading1">
    <w:name w:val="heading 1"/>
    <w:basedOn w:val="Normal"/>
    <w:next w:val="Normal"/>
    <w:link w:val="Heading1Char"/>
    <w:uiPriority w:val="99"/>
    <w:qFormat/>
    <w:pPr>
      <w:keepNext/>
      <w:autoSpaceDE w:val="0"/>
      <w:autoSpaceDN w:val="0"/>
      <w:adjustRightInd w:val="0"/>
      <w:outlineLvl w:val="0"/>
    </w:pPr>
    <w:rPr>
      <w:rFonts w:ascii="TimesNewRoman" w:eastAsia="TimesNewRoman" w:hAnsi="Times New Roman" w:cs="Times New Roman"/>
      <w:smallCaps/>
      <w:outline/>
      <w:color w:val="auto"/>
      <w:lang w:val="en-US"/>
    </w:rPr>
  </w:style>
  <w:style w:type="paragraph" w:styleId="Heading2">
    <w:name w:val="heading 2"/>
    <w:basedOn w:val="Normal"/>
    <w:next w:val="Normal"/>
    <w:link w:val="Heading2Char"/>
    <w:uiPriority w:val="99"/>
    <w:qFormat/>
    <w:pPr>
      <w:keepNext/>
      <w:autoSpaceDE w:val="0"/>
      <w:autoSpaceDN w:val="0"/>
      <w:adjustRightInd w:val="0"/>
      <w:outlineLvl w:val="1"/>
    </w:pPr>
    <w:rPr>
      <w:color w:val="auto"/>
      <w:sz w:val="23"/>
      <w:szCs w:val="23"/>
      <w:u w:val="single"/>
      <w:lang w:val="en-US"/>
    </w:rPr>
  </w:style>
  <w:style w:type="paragraph" w:styleId="Heading3">
    <w:name w:val="heading 3"/>
    <w:basedOn w:val="Normal"/>
    <w:next w:val="Normal"/>
    <w:link w:val="Heading3Char"/>
    <w:uiPriority w:val="99"/>
    <w:qFormat/>
    <w:pPr>
      <w:keepNext/>
      <w:outlineLvl w:val="2"/>
    </w:pPr>
  </w:style>
  <w:style w:type="paragraph" w:styleId="Heading4">
    <w:name w:val="heading 4"/>
    <w:basedOn w:val="Normal"/>
    <w:next w:val="Normal"/>
    <w:link w:val="Heading4Char"/>
    <w:uiPriority w:val="99"/>
    <w:qFormat/>
    <w:pPr>
      <w:keepNext/>
      <w:jc w:val="right"/>
      <w:outlineLvl w:val="3"/>
    </w:pPr>
  </w:style>
  <w:style w:type="paragraph" w:styleId="Heading5">
    <w:name w:val="heading 5"/>
    <w:basedOn w:val="Normal"/>
    <w:next w:val="Normal"/>
    <w:link w:val="Heading5Char"/>
    <w:uiPriority w:val="99"/>
    <w:qFormat/>
    <w:pPr>
      <w:keepNext/>
      <w:autoSpaceDE w:val="0"/>
      <w:autoSpaceDN w:val="0"/>
      <w:adjustRightInd w:val="0"/>
      <w:jc w:val="center"/>
      <w:outlineLvl w:val="4"/>
    </w:pPr>
  </w:style>
  <w:style w:type="paragraph" w:styleId="Heading6">
    <w:name w:val="heading 6"/>
    <w:basedOn w:val="Normal"/>
    <w:next w:val="Normal"/>
    <w:link w:val="Heading6Char"/>
    <w:uiPriority w:val="99"/>
    <w:qFormat/>
    <w:pPr>
      <w:keepNext/>
      <w:outlineLvl w:val="5"/>
    </w:pPr>
    <w:rPr>
      <w:sz w:val="28"/>
      <w:szCs w:val="28"/>
    </w:rPr>
  </w:style>
  <w:style w:type="paragraph" w:styleId="Heading7">
    <w:name w:val="heading 7"/>
    <w:basedOn w:val="Normal"/>
    <w:next w:val="Normal"/>
    <w:link w:val="Heading7Char"/>
    <w:uiPriority w:val="99"/>
    <w:qFormat/>
    <w:pPr>
      <w:keepNext/>
      <w:jc w:val="center"/>
      <w:outlineLvl w:val="6"/>
    </w:pPr>
    <w:rPr>
      <w:sz w:val="28"/>
      <w:szCs w:val="28"/>
    </w:rPr>
  </w:style>
  <w:style w:type="paragraph" w:styleId="Heading8">
    <w:name w:val="heading 8"/>
    <w:basedOn w:val="Normal"/>
    <w:next w:val="Normal"/>
    <w:link w:val="Heading8Char"/>
    <w:uiPriority w:val="99"/>
    <w:qFormat/>
    <w:pPr>
      <w:keepNext/>
      <w:outlineLvl w:val="7"/>
    </w:pPr>
    <w:rPr>
      <w:rFonts w:ascii="Arial Narrow" w:hAnsi="Arial Narrow" w:cs="Times New Roman"/>
      <w:b w:val="0"/>
      <w:bCs w:val="0"/>
      <w:i/>
      <w:iCs/>
    </w:rPr>
  </w:style>
  <w:style w:type="paragraph" w:styleId="Heading9">
    <w:name w:val="heading 9"/>
    <w:basedOn w:val="Normal"/>
    <w:next w:val="Normal"/>
    <w:link w:val="Heading9Char"/>
    <w:uiPriority w:val="99"/>
    <w:qFormat/>
    <w:pPr>
      <w:keepNext/>
      <w:autoSpaceDE w:val="0"/>
      <w:autoSpaceDN w:val="0"/>
      <w:adjustRightInd w:val="0"/>
      <w:outlineLvl w:val="8"/>
    </w:pPr>
    <w:rPr>
      <w:rFonts w:ascii="Arial Narrow" w:hAnsi="Arial Narrow" w:cs="Times New Roman"/>
      <w:b w:val="0"/>
      <w:bCs w:val="0"/>
      <w:i/>
      <w:iCs/>
      <w:color w:val="auto"/>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color w:val="000000"/>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b/>
      <w:bCs/>
      <w:color w:val="000000"/>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b/>
      <w:bCs/>
      <w:i/>
      <w:iCs/>
      <w:color w:val="000000"/>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b/>
      <w:bCs/>
      <w:color w:val="000000"/>
      <w:lang w:val="x-none" w:eastAsia="en-US"/>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color w:val="auto"/>
    </w:rPr>
  </w:style>
  <w:style w:type="character" w:customStyle="1" w:styleId="HeaderChar">
    <w:name w:val="Header Char"/>
    <w:basedOn w:val="DefaultParagraphFont"/>
    <w:link w:val="Header"/>
    <w:uiPriority w:val="99"/>
    <w:semiHidden/>
    <w:locked/>
    <w:rPr>
      <w:rFonts w:ascii="Arial" w:hAnsi="Arial" w:cs="Arial"/>
      <w:b/>
      <w:bCs/>
      <w:color w:val="000000"/>
      <w:sz w:val="24"/>
      <w:szCs w:val="24"/>
      <w:lang w:val="x-none" w:eastAsia="en-US"/>
    </w:rPr>
  </w:style>
  <w:style w:type="paragraph" w:styleId="BodyText">
    <w:name w:val="Body Text"/>
    <w:basedOn w:val="Normal"/>
    <w:link w:val="BodyTextChar"/>
    <w:uiPriority w:val="99"/>
    <w:rPr>
      <w:sz w:val="28"/>
      <w:szCs w:val="28"/>
    </w:rPr>
  </w:style>
  <w:style w:type="character" w:customStyle="1" w:styleId="BodyTextChar">
    <w:name w:val="Body Text Char"/>
    <w:basedOn w:val="DefaultParagraphFont"/>
    <w:link w:val="BodyText"/>
    <w:uiPriority w:val="99"/>
    <w:semiHidden/>
    <w:locked/>
    <w:rPr>
      <w:rFonts w:ascii="Arial" w:hAnsi="Arial" w:cs="Arial"/>
      <w:b/>
      <w:bCs/>
      <w:color w:val="000000"/>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Arial"/>
      <w:b/>
      <w:bCs/>
      <w:color w:val="000000"/>
      <w:sz w:val="24"/>
      <w:szCs w:val="24"/>
      <w:lang w:val="x-none" w:eastAsia="en-US"/>
    </w:rPr>
  </w:style>
  <w:style w:type="character" w:styleId="PageNumber">
    <w:name w:val="page number"/>
    <w:basedOn w:val="DefaultParagraphFont"/>
    <w:uiPriority w:val="99"/>
    <w:rPr>
      <w:rFonts w:ascii="Times New Roman" w:hAnsi="Times New Roman" w:cs="Times New Roman"/>
    </w:rPr>
  </w:style>
  <w:style w:type="paragraph" w:styleId="BodyTextIndent">
    <w:name w:val="Body Text Indent"/>
    <w:basedOn w:val="Normal"/>
    <w:link w:val="BodyTextIndentChar"/>
    <w:uiPriority w:val="99"/>
    <w:rPr>
      <w:rFonts w:ascii="Arial Narrow" w:hAnsi="Arial Narrow" w:cs="Times New Roman"/>
      <w:b w:val="0"/>
      <w:bCs w:val="0"/>
    </w:rPr>
  </w:style>
  <w:style w:type="character" w:customStyle="1" w:styleId="BodyTextIndentChar">
    <w:name w:val="Body Text Indent Char"/>
    <w:basedOn w:val="DefaultParagraphFont"/>
    <w:link w:val="BodyTextIndent"/>
    <w:uiPriority w:val="99"/>
    <w:semiHidden/>
    <w:locked/>
    <w:rPr>
      <w:rFonts w:ascii="Arial" w:hAnsi="Arial" w:cs="Arial"/>
      <w:b/>
      <w:bCs/>
      <w:color w:val="000000"/>
      <w:sz w:val="24"/>
      <w:szCs w:val="24"/>
      <w:lang w:val="x-none" w:eastAsia="en-US"/>
    </w:rPr>
  </w:style>
  <w:style w:type="paragraph" w:styleId="ListBullet">
    <w:name w:val="List Bullet"/>
    <w:basedOn w:val="Normal"/>
    <w:autoRedefine/>
    <w:uiPriority w:val="99"/>
    <w:rPr>
      <w:rFonts w:ascii="Arial Narrow" w:hAnsi="Arial Narrow" w:cs="Times New Roman"/>
      <w:b w:val="0"/>
      <w:bCs w:val="0"/>
      <w:color w:val="auto"/>
      <w:lang w:val="en-GB"/>
    </w:rPr>
  </w:style>
  <w:style w:type="paragraph" w:customStyle="1" w:styleId="Clause">
    <w:name w:val="Clause"/>
    <w:basedOn w:val="Normal"/>
    <w:uiPriority w:val="99"/>
    <w:pPr>
      <w:numPr>
        <w:numId w:val="114"/>
      </w:numPr>
      <w:tabs>
        <w:tab w:val="clear" w:pos="360"/>
        <w:tab w:val="num" w:pos="1080"/>
        <w:tab w:val="left" w:pos="1191"/>
      </w:tabs>
      <w:spacing w:before="240"/>
      <w:ind w:left="360" w:hanging="360"/>
    </w:pPr>
    <w:rPr>
      <w:color w:val="auto"/>
      <w:lang w:val="en-GB"/>
    </w:rPr>
  </w:style>
  <w:style w:type="paragraph" w:customStyle="1" w:styleId="Clause76">
    <w:name w:val="Clause 76"/>
    <w:basedOn w:val="Clause"/>
    <w:uiPriority w:val="99"/>
    <w:pPr>
      <w:numPr>
        <w:numId w:val="0"/>
      </w:numPr>
      <w:tabs>
        <w:tab w:val="left" w:pos="1276"/>
      </w:tabs>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b/>
      <w:bCs/>
      <w:color w:val="000000"/>
      <w:sz w:val="18"/>
      <w:szCs w:val="18"/>
      <w:lang w:val="x-none" w:eastAsia="en-US"/>
    </w:rPr>
  </w:style>
  <w:style w:type="paragraph" w:customStyle="1" w:styleId="GalHead">
    <w:name w:val="GalHead"/>
    <w:basedOn w:val="Heading1"/>
    <w:uiPriority w:val="99"/>
    <w:pPr>
      <w:autoSpaceDE/>
      <w:autoSpaceDN/>
      <w:adjustRightInd/>
      <w:spacing w:after="100"/>
    </w:pPr>
    <w:rPr>
      <w:rFonts w:ascii="Arial Narrow" w:eastAsia="Times New Roman" w:hAnsi="Arial Narrow"/>
      <w:smallCaps w:val="0"/>
      <w:outline w:val="0"/>
      <w:lang w:val="en-AU"/>
    </w:rPr>
  </w:style>
  <w:style w:type="paragraph" w:styleId="BodyText3">
    <w:name w:val="Body Text 3"/>
    <w:basedOn w:val="Normal"/>
    <w:link w:val="BodyText3Char"/>
    <w:uiPriority w:val="99"/>
    <w:pPr>
      <w:autoSpaceDE w:val="0"/>
      <w:autoSpaceDN w:val="0"/>
      <w:adjustRightInd w:val="0"/>
    </w:pPr>
    <w:rPr>
      <w:rFonts w:ascii="TimesNewRoman,Bold" w:hAnsi="TimesNewRoman,Bold" w:cs="Times New Roman"/>
      <w:b w:val="0"/>
      <w:bCs w:val="0"/>
      <w:color w:val="auto"/>
      <w:lang w:val="en-US"/>
    </w:rPr>
  </w:style>
  <w:style w:type="character" w:customStyle="1" w:styleId="BodyText3Char">
    <w:name w:val="Body Text 3 Char"/>
    <w:basedOn w:val="DefaultParagraphFont"/>
    <w:link w:val="BodyText3"/>
    <w:uiPriority w:val="99"/>
    <w:semiHidden/>
    <w:locked/>
    <w:rPr>
      <w:rFonts w:ascii="Arial" w:hAnsi="Arial" w:cs="Arial"/>
      <w:b/>
      <w:bCs/>
      <w:color w:val="000000"/>
      <w:sz w:val="16"/>
      <w:szCs w:val="16"/>
      <w:lang w:val="x-none" w:eastAsia="en-US"/>
    </w:rPr>
  </w:style>
  <w:style w:type="paragraph" w:customStyle="1" w:styleId="Amain">
    <w:name w:val="A main"/>
    <w:basedOn w:val="Normal"/>
    <w:uiPriority w:val="99"/>
    <w:pPr>
      <w:tabs>
        <w:tab w:val="right" w:pos="900"/>
        <w:tab w:val="left" w:pos="1100"/>
      </w:tabs>
      <w:spacing w:before="80" w:after="60"/>
      <w:ind w:left="1100" w:hanging="1100"/>
      <w:jc w:val="both"/>
      <w:outlineLvl w:val="5"/>
    </w:pPr>
    <w:rPr>
      <w:b w:val="0"/>
      <w:bCs w:val="0"/>
      <w:color w:val="auto"/>
    </w:rPr>
  </w:style>
  <w:style w:type="paragraph" w:customStyle="1" w:styleId="Apara">
    <w:name w:val="A para"/>
    <w:basedOn w:val="Normal"/>
    <w:uiPriority w:val="99"/>
    <w:pPr>
      <w:tabs>
        <w:tab w:val="right" w:pos="1400"/>
        <w:tab w:val="left" w:pos="1600"/>
      </w:tabs>
      <w:spacing w:before="80" w:after="60"/>
      <w:ind w:left="1600" w:hanging="1600"/>
      <w:jc w:val="both"/>
      <w:outlineLvl w:val="6"/>
    </w:pPr>
    <w:rPr>
      <w:b w:val="0"/>
      <w:bCs w:val="0"/>
      <w:color w:val="auto"/>
    </w:rPr>
  </w:style>
  <w:style w:type="paragraph" w:customStyle="1" w:styleId="aDef">
    <w:name w:val="aDef"/>
    <w:basedOn w:val="Normal"/>
    <w:uiPriority w:val="99"/>
    <w:pPr>
      <w:spacing w:before="80" w:after="60"/>
      <w:ind w:left="1100"/>
      <w:jc w:val="both"/>
    </w:pPr>
    <w:rPr>
      <w:b w:val="0"/>
      <w:bCs w:val="0"/>
      <w:color w:val="auto"/>
    </w:rPr>
  </w:style>
  <w:style w:type="paragraph" w:customStyle="1" w:styleId="aDefpara">
    <w:name w:val="aDef para"/>
    <w:basedOn w:val="Apara"/>
    <w:uiPriority w:val="99"/>
  </w:style>
  <w:style w:type="paragraph" w:customStyle="1" w:styleId="aNotepar">
    <w:name w:val="aNotepar"/>
    <w:basedOn w:val="Normal"/>
    <w:next w:val="Normal"/>
    <w:uiPriority w:val="99"/>
    <w:pPr>
      <w:spacing w:before="80" w:after="60"/>
      <w:ind w:left="2400" w:hanging="800"/>
      <w:jc w:val="both"/>
    </w:pPr>
    <w:rPr>
      <w:rFonts w:ascii="Times New (W1)" w:hAnsi="Times New (W1)" w:cs="Times New (W1)"/>
      <w:b w:val="0"/>
      <w:bCs w:val="0"/>
      <w:color w:val="auto"/>
      <w:sz w:val="20"/>
      <w:szCs w:val="20"/>
    </w:rPr>
  </w:style>
  <w:style w:type="paragraph" w:styleId="BodyTextIndent2">
    <w:name w:val="Body Text Indent 2"/>
    <w:basedOn w:val="Normal"/>
    <w:link w:val="BodyTextIndent2Char"/>
    <w:uiPriority w:val="99"/>
    <w:pPr>
      <w:ind w:left="1440" w:hanging="1440"/>
    </w:pPr>
    <w:rPr>
      <w:rFonts w:ascii="Arial Narrow" w:hAnsi="Arial Narrow" w:cs="Times New Roman"/>
    </w:rPr>
  </w:style>
  <w:style w:type="character" w:customStyle="1" w:styleId="BodyTextIndent2Char">
    <w:name w:val="Body Text Indent 2 Char"/>
    <w:basedOn w:val="DefaultParagraphFont"/>
    <w:link w:val="BodyTextIndent2"/>
    <w:uiPriority w:val="99"/>
    <w:semiHidden/>
    <w:locked/>
    <w:rPr>
      <w:rFonts w:ascii="Arial" w:hAnsi="Arial" w:cs="Arial"/>
      <w:b/>
      <w:bCs/>
      <w:color w:val="000000"/>
      <w:sz w:val="24"/>
      <w:szCs w:val="24"/>
      <w:lang w:val="x-none" w:eastAsia="en-US"/>
    </w:rPr>
  </w:style>
  <w:style w:type="character" w:styleId="FollowedHyperlink">
    <w:name w:val="FollowedHyperlink"/>
    <w:basedOn w:val="DefaultParagraphFont"/>
    <w:uiPriority w:val="99"/>
    <w:rsid w:val="00BA44DB"/>
    <w:rPr>
      <w:rFonts w:cs="Times New Roman"/>
      <w:i/>
      <w:color w:val="0000FF"/>
    </w:rPr>
  </w:style>
  <w:style w:type="paragraph" w:styleId="ListParagraph">
    <w:name w:val="List Paragraph"/>
    <w:basedOn w:val="Normal"/>
    <w:uiPriority w:val="34"/>
    <w:qFormat/>
    <w:rsid w:val="00D95CBE"/>
    <w:pPr>
      <w:ind w:left="720"/>
      <w:contextualSpacing/>
    </w:pPr>
    <w:rPr>
      <w:rFonts w:ascii="Times New Roman" w:hAnsi="Times New Roman" w:cs="Times New Roman"/>
      <w:b w:val="0"/>
      <w:bCs w:val="0"/>
      <w:color w:val="auto"/>
      <w:szCs w:val="20"/>
    </w:rPr>
  </w:style>
  <w:style w:type="character" w:styleId="Hyperlink">
    <w:name w:val="Hyperlink"/>
    <w:basedOn w:val="DefaultParagraphFont"/>
    <w:uiPriority w:val="99"/>
    <w:unhideWhenUsed/>
    <w:rsid w:val="00A925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5538</Characters>
  <Application>Microsoft Office Word</Application>
  <DocSecurity>0</DocSecurity>
  <Lines>138</Lines>
  <Paragraphs>81</Paragraphs>
  <ScaleCrop>false</ScaleCrop>
  <HeadingPairs>
    <vt:vector size="2" baseType="variant">
      <vt:variant>
        <vt:lpstr>Title</vt:lpstr>
      </vt:variant>
      <vt:variant>
        <vt:i4>1</vt:i4>
      </vt:variant>
    </vt:vector>
  </HeadingPairs>
  <TitlesOfParts>
    <vt:vector size="1" baseType="lpstr">
      <vt:lpstr>Tobacco (Compliance Testing) Amendment Bill 2006</vt:lpstr>
    </vt:vector>
  </TitlesOfParts>
  <Company>ACT Government</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(Compliance Testing) Amendment Bill 2006</dc:title>
  <dc:subject>Explanatory Statement</dc:subject>
  <dc:creator>David Kallir Preece</dc:creator>
  <cp:keywords>2</cp:keywords>
  <dc:description/>
  <cp:lastModifiedBy>Moxon, KarenL</cp:lastModifiedBy>
  <cp:revision>2</cp:revision>
  <cp:lastPrinted>2010-02-01T05:01:00Z</cp:lastPrinted>
  <dcterms:created xsi:type="dcterms:W3CDTF">2020-01-20T05:50:00Z</dcterms:created>
  <dcterms:modified xsi:type="dcterms:W3CDTF">2020-01-20T05:50:00Z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1139950</vt:lpwstr>
  </property>
  <property fmtid="{D5CDD505-2E9C-101B-9397-08002B2CF9AE}" pid="4" name="JMSREQUIREDCHECKIN">
    <vt:lpwstr/>
  </property>
</Properties>
</file>