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74B4AD" w14:textId="77777777" w:rsidR="00790FE4" w:rsidRPr="008C3B92" w:rsidRDefault="00790FE4" w:rsidP="007F3D56">
      <w:pPr>
        <w:spacing w:after="0"/>
        <w:rPr>
          <w:rFonts w:ascii="Arial" w:hAnsi="Arial" w:cs="Arial"/>
          <w:b/>
          <w:bCs/>
          <w:sz w:val="24"/>
          <w:szCs w:val="24"/>
        </w:rPr>
      </w:pPr>
      <w:bookmarkStart w:id="0" w:name="_GoBack"/>
      <w:bookmarkEnd w:id="0"/>
    </w:p>
    <w:p w14:paraId="42440CF1" w14:textId="77777777" w:rsidR="00790FE4" w:rsidRPr="008C3B92" w:rsidRDefault="00790FE4" w:rsidP="007F3D56">
      <w:pPr>
        <w:spacing w:after="0"/>
        <w:rPr>
          <w:rFonts w:ascii="Arial" w:hAnsi="Arial" w:cs="Arial"/>
          <w:b/>
          <w:bCs/>
          <w:sz w:val="24"/>
          <w:szCs w:val="24"/>
        </w:rPr>
      </w:pPr>
    </w:p>
    <w:p w14:paraId="47B146F4" w14:textId="2BDBF44A" w:rsidR="00BB387E" w:rsidRPr="00BB387E" w:rsidRDefault="006555E3" w:rsidP="00BB387E">
      <w:pPr>
        <w:spacing w:after="0"/>
        <w:jc w:val="center"/>
        <w:rPr>
          <w:rFonts w:ascii="Arial" w:hAnsi="Arial" w:cs="Arial"/>
          <w:b/>
          <w:bCs/>
          <w:sz w:val="24"/>
          <w:szCs w:val="24"/>
        </w:rPr>
      </w:pPr>
      <w:r w:rsidRPr="00BB387E">
        <w:rPr>
          <w:rFonts w:ascii="Arial" w:hAnsi="Arial" w:cs="Arial"/>
          <w:b/>
          <w:bCs/>
          <w:sz w:val="24"/>
          <w:szCs w:val="24"/>
        </w:rPr>
        <w:t>20</w:t>
      </w:r>
      <w:r>
        <w:rPr>
          <w:rFonts w:ascii="Arial" w:hAnsi="Arial" w:cs="Arial"/>
          <w:b/>
          <w:bCs/>
          <w:sz w:val="24"/>
          <w:szCs w:val="24"/>
        </w:rPr>
        <w:t>20</w:t>
      </w:r>
    </w:p>
    <w:p w14:paraId="76FBCA77" w14:textId="77777777" w:rsidR="00BB387E" w:rsidRPr="00BB387E" w:rsidRDefault="00BB387E" w:rsidP="00BB387E">
      <w:pPr>
        <w:spacing w:after="0"/>
        <w:jc w:val="center"/>
        <w:rPr>
          <w:rFonts w:ascii="Arial" w:hAnsi="Arial" w:cs="Arial"/>
          <w:b/>
          <w:sz w:val="24"/>
          <w:szCs w:val="24"/>
        </w:rPr>
      </w:pPr>
    </w:p>
    <w:p w14:paraId="3493308A" w14:textId="77777777" w:rsidR="00BB387E" w:rsidRPr="00BB387E" w:rsidRDefault="00BB387E" w:rsidP="00BB387E">
      <w:pPr>
        <w:spacing w:after="0"/>
        <w:jc w:val="center"/>
        <w:rPr>
          <w:rFonts w:ascii="Arial" w:hAnsi="Arial" w:cs="Arial"/>
          <w:b/>
          <w:sz w:val="24"/>
          <w:szCs w:val="24"/>
        </w:rPr>
      </w:pPr>
    </w:p>
    <w:p w14:paraId="0DB9FAF9" w14:textId="77777777" w:rsidR="00BB387E" w:rsidRPr="00BB387E" w:rsidRDefault="00BB387E" w:rsidP="00BB387E">
      <w:pPr>
        <w:spacing w:after="0"/>
        <w:jc w:val="center"/>
        <w:rPr>
          <w:rFonts w:ascii="Arial" w:hAnsi="Arial" w:cs="Arial"/>
          <w:b/>
          <w:sz w:val="24"/>
          <w:szCs w:val="24"/>
        </w:rPr>
      </w:pPr>
    </w:p>
    <w:p w14:paraId="32DDD7F5" w14:textId="77777777" w:rsidR="00BB387E" w:rsidRPr="00BB387E" w:rsidRDefault="00BB387E" w:rsidP="00BB387E">
      <w:pPr>
        <w:spacing w:after="0"/>
        <w:jc w:val="center"/>
        <w:rPr>
          <w:rFonts w:ascii="Arial" w:hAnsi="Arial" w:cs="Arial"/>
          <w:b/>
          <w:sz w:val="24"/>
          <w:szCs w:val="24"/>
        </w:rPr>
      </w:pPr>
    </w:p>
    <w:p w14:paraId="03B2A002" w14:textId="77777777" w:rsidR="00BB387E" w:rsidRPr="00BB387E" w:rsidRDefault="00BB387E" w:rsidP="00BB387E">
      <w:pPr>
        <w:spacing w:after="0"/>
        <w:jc w:val="center"/>
        <w:rPr>
          <w:rFonts w:ascii="Arial" w:hAnsi="Arial" w:cs="Arial"/>
          <w:b/>
          <w:bCs/>
          <w:sz w:val="24"/>
          <w:szCs w:val="24"/>
        </w:rPr>
      </w:pPr>
    </w:p>
    <w:p w14:paraId="76B12392" w14:textId="77777777" w:rsidR="00BB387E" w:rsidRPr="00BB387E" w:rsidRDefault="00BB387E" w:rsidP="00BB387E">
      <w:pPr>
        <w:spacing w:after="0"/>
        <w:jc w:val="center"/>
        <w:rPr>
          <w:rFonts w:ascii="Arial" w:hAnsi="Arial" w:cs="Arial"/>
          <w:b/>
          <w:bCs/>
          <w:sz w:val="24"/>
          <w:szCs w:val="24"/>
        </w:rPr>
      </w:pPr>
    </w:p>
    <w:p w14:paraId="04AE96BF" w14:textId="77777777" w:rsidR="00BB387E" w:rsidRPr="00BB387E" w:rsidRDefault="00BB387E" w:rsidP="00BB387E">
      <w:pPr>
        <w:spacing w:after="0"/>
        <w:jc w:val="center"/>
        <w:rPr>
          <w:rFonts w:ascii="Arial" w:hAnsi="Arial" w:cs="Arial"/>
          <w:b/>
          <w:bCs/>
          <w:sz w:val="24"/>
          <w:szCs w:val="24"/>
        </w:rPr>
      </w:pPr>
      <w:r w:rsidRPr="00BB387E">
        <w:rPr>
          <w:rFonts w:ascii="Arial" w:hAnsi="Arial" w:cs="Arial"/>
          <w:b/>
          <w:bCs/>
          <w:sz w:val="24"/>
          <w:szCs w:val="24"/>
        </w:rPr>
        <w:t>THE LEGISLATIVE ASSEMBLY FOR THE</w:t>
      </w:r>
    </w:p>
    <w:p w14:paraId="38D9D6DC" w14:textId="77777777" w:rsidR="00BB387E" w:rsidRPr="00BB387E" w:rsidRDefault="00BB387E" w:rsidP="00BB387E">
      <w:pPr>
        <w:spacing w:after="0"/>
        <w:jc w:val="center"/>
        <w:rPr>
          <w:rFonts w:ascii="Arial" w:hAnsi="Arial" w:cs="Arial"/>
          <w:b/>
          <w:sz w:val="24"/>
          <w:szCs w:val="24"/>
        </w:rPr>
      </w:pPr>
      <w:r w:rsidRPr="00BB387E">
        <w:rPr>
          <w:rFonts w:ascii="Arial" w:hAnsi="Arial" w:cs="Arial"/>
          <w:b/>
          <w:bCs/>
          <w:sz w:val="24"/>
          <w:szCs w:val="24"/>
        </w:rPr>
        <w:t>AUSTRALIAN CAPITAL TERRITORY</w:t>
      </w:r>
    </w:p>
    <w:p w14:paraId="1814759D" w14:textId="77777777" w:rsidR="00BB387E" w:rsidRPr="00BB387E" w:rsidRDefault="00BB387E" w:rsidP="00BB387E">
      <w:pPr>
        <w:spacing w:after="0"/>
        <w:jc w:val="center"/>
        <w:rPr>
          <w:rFonts w:ascii="Arial" w:hAnsi="Arial" w:cs="Arial"/>
          <w:b/>
          <w:sz w:val="24"/>
          <w:szCs w:val="24"/>
        </w:rPr>
      </w:pPr>
    </w:p>
    <w:p w14:paraId="63F0CAA5" w14:textId="77777777" w:rsidR="00BB387E" w:rsidRPr="00BB387E" w:rsidRDefault="00BB387E" w:rsidP="00BB387E">
      <w:pPr>
        <w:spacing w:after="0"/>
        <w:jc w:val="center"/>
        <w:rPr>
          <w:rFonts w:ascii="Arial" w:hAnsi="Arial" w:cs="Arial"/>
          <w:b/>
          <w:sz w:val="24"/>
          <w:szCs w:val="24"/>
        </w:rPr>
      </w:pPr>
    </w:p>
    <w:p w14:paraId="279B0824" w14:textId="77777777" w:rsidR="00BB387E" w:rsidRPr="00BB387E" w:rsidRDefault="00BB387E" w:rsidP="00BB387E">
      <w:pPr>
        <w:spacing w:after="0"/>
        <w:jc w:val="center"/>
        <w:rPr>
          <w:rFonts w:ascii="Arial" w:hAnsi="Arial" w:cs="Arial"/>
          <w:b/>
          <w:sz w:val="24"/>
          <w:szCs w:val="24"/>
        </w:rPr>
      </w:pPr>
    </w:p>
    <w:p w14:paraId="01940BA6" w14:textId="77777777" w:rsidR="00BB387E" w:rsidRPr="00BB387E" w:rsidRDefault="00BB387E" w:rsidP="00BB387E">
      <w:pPr>
        <w:spacing w:after="0"/>
        <w:jc w:val="center"/>
        <w:rPr>
          <w:rFonts w:ascii="Arial" w:hAnsi="Arial" w:cs="Arial"/>
          <w:b/>
          <w:sz w:val="24"/>
          <w:szCs w:val="24"/>
        </w:rPr>
      </w:pPr>
    </w:p>
    <w:p w14:paraId="278F861F" w14:textId="77777777" w:rsidR="00BB387E" w:rsidRPr="00BB387E" w:rsidRDefault="00BB387E" w:rsidP="00BB387E">
      <w:pPr>
        <w:spacing w:after="0"/>
        <w:jc w:val="center"/>
        <w:rPr>
          <w:rFonts w:ascii="Arial" w:hAnsi="Arial" w:cs="Arial"/>
          <w:b/>
          <w:sz w:val="24"/>
          <w:szCs w:val="24"/>
        </w:rPr>
      </w:pPr>
    </w:p>
    <w:p w14:paraId="48190A2F" w14:textId="77777777" w:rsidR="00BB387E" w:rsidRPr="00BB387E" w:rsidRDefault="00BB387E" w:rsidP="00BB387E">
      <w:pPr>
        <w:spacing w:after="0"/>
        <w:jc w:val="center"/>
        <w:rPr>
          <w:rFonts w:ascii="Arial" w:hAnsi="Arial" w:cs="Arial"/>
          <w:b/>
          <w:sz w:val="24"/>
          <w:szCs w:val="24"/>
        </w:rPr>
      </w:pPr>
    </w:p>
    <w:p w14:paraId="03A897E3" w14:textId="77777777" w:rsidR="00BB387E" w:rsidRPr="00BB387E" w:rsidRDefault="00BB387E" w:rsidP="00BB387E">
      <w:pPr>
        <w:spacing w:after="0"/>
        <w:jc w:val="center"/>
        <w:rPr>
          <w:rFonts w:ascii="Arial" w:hAnsi="Arial" w:cs="Arial"/>
          <w:b/>
          <w:sz w:val="24"/>
          <w:szCs w:val="24"/>
        </w:rPr>
      </w:pPr>
    </w:p>
    <w:p w14:paraId="75D7A359" w14:textId="77777777" w:rsidR="00BB387E" w:rsidRPr="00BB387E" w:rsidRDefault="00BB387E" w:rsidP="00BB387E">
      <w:pPr>
        <w:spacing w:after="0"/>
        <w:jc w:val="center"/>
        <w:rPr>
          <w:rFonts w:ascii="Arial" w:hAnsi="Arial" w:cs="Arial"/>
          <w:b/>
          <w:sz w:val="24"/>
          <w:szCs w:val="24"/>
        </w:rPr>
      </w:pPr>
    </w:p>
    <w:p w14:paraId="6CA27CE6" w14:textId="77777777" w:rsidR="00BB387E" w:rsidRPr="00BB387E" w:rsidRDefault="00BB387E" w:rsidP="00BB387E">
      <w:pPr>
        <w:spacing w:after="0"/>
        <w:jc w:val="center"/>
        <w:rPr>
          <w:rFonts w:ascii="Arial" w:hAnsi="Arial" w:cs="Arial"/>
          <w:b/>
          <w:sz w:val="24"/>
          <w:szCs w:val="24"/>
        </w:rPr>
      </w:pPr>
    </w:p>
    <w:p w14:paraId="309E6F3A" w14:textId="77777777" w:rsidR="00BB387E" w:rsidRPr="00BB387E" w:rsidRDefault="00BB387E" w:rsidP="00BB387E">
      <w:pPr>
        <w:spacing w:after="0"/>
        <w:jc w:val="center"/>
        <w:rPr>
          <w:rFonts w:ascii="Arial" w:hAnsi="Arial" w:cs="Arial"/>
          <w:b/>
          <w:sz w:val="24"/>
          <w:szCs w:val="24"/>
        </w:rPr>
      </w:pPr>
    </w:p>
    <w:p w14:paraId="69918477" w14:textId="16F9DB91" w:rsidR="00741C4A" w:rsidRPr="00741C4A" w:rsidRDefault="00CC1A4A" w:rsidP="00741C4A">
      <w:pPr>
        <w:spacing w:after="0"/>
        <w:jc w:val="center"/>
        <w:rPr>
          <w:rFonts w:ascii="Arial" w:hAnsi="Arial" w:cs="Arial"/>
          <w:b/>
          <w:bCs/>
          <w:sz w:val="24"/>
          <w:szCs w:val="24"/>
        </w:rPr>
      </w:pPr>
      <w:r>
        <w:rPr>
          <w:rFonts w:ascii="Arial" w:hAnsi="Arial" w:cs="Arial"/>
          <w:b/>
          <w:bCs/>
          <w:sz w:val="24"/>
          <w:szCs w:val="24"/>
        </w:rPr>
        <w:t xml:space="preserve"> </w:t>
      </w:r>
      <w:r w:rsidR="00A903D8">
        <w:rPr>
          <w:rFonts w:ascii="Arial" w:hAnsi="Arial" w:cs="Arial"/>
          <w:b/>
          <w:bCs/>
          <w:sz w:val="24"/>
          <w:szCs w:val="24"/>
        </w:rPr>
        <w:t>RESIDENTIAL TENANCIES AMENDMENT BILL</w:t>
      </w:r>
      <w:r w:rsidR="00741C4A" w:rsidRPr="00741C4A">
        <w:rPr>
          <w:rFonts w:ascii="Arial" w:hAnsi="Arial" w:cs="Arial"/>
          <w:b/>
          <w:bCs/>
          <w:sz w:val="24"/>
          <w:szCs w:val="24"/>
        </w:rPr>
        <w:t xml:space="preserve"> 20</w:t>
      </w:r>
      <w:r w:rsidR="00130A37">
        <w:rPr>
          <w:rFonts w:ascii="Arial" w:hAnsi="Arial" w:cs="Arial"/>
          <w:b/>
          <w:bCs/>
          <w:sz w:val="24"/>
          <w:szCs w:val="24"/>
        </w:rPr>
        <w:t>20</w:t>
      </w:r>
    </w:p>
    <w:p w14:paraId="19F3C407" w14:textId="77777777" w:rsidR="00BB387E" w:rsidRPr="00BB387E" w:rsidRDefault="00BB387E" w:rsidP="00BB387E">
      <w:pPr>
        <w:spacing w:after="0"/>
        <w:jc w:val="center"/>
        <w:rPr>
          <w:rFonts w:ascii="Arial" w:hAnsi="Arial" w:cs="Arial"/>
          <w:b/>
          <w:bCs/>
          <w:sz w:val="24"/>
          <w:szCs w:val="24"/>
        </w:rPr>
      </w:pPr>
    </w:p>
    <w:p w14:paraId="37B3F0B9" w14:textId="77777777" w:rsidR="00BB387E" w:rsidRPr="00BB387E" w:rsidRDefault="00BB387E" w:rsidP="00BB387E">
      <w:pPr>
        <w:spacing w:after="0"/>
        <w:jc w:val="center"/>
        <w:rPr>
          <w:rFonts w:ascii="Arial" w:hAnsi="Arial" w:cs="Arial"/>
          <w:b/>
          <w:sz w:val="24"/>
          <w:szCs w:val="24"/>
        </w:rPr>
      </w:pPr>
    </w:p>
    <w:p w14:paraId="0D26BB2F" w14:textId="77777777" w:rsidR="00BB387E" w:rsidRPr="00BB387E" w:rsidRDefault="00BB387E" w:rsidP="00BB387E">
      <w:pPr>
        <w:spacing w:after="0"/>
        <w:jc w:val="center"/>
        <w:rPr>
          <w:rFonts w:ascii="Arial" w:hAnsi="Arial" w:cs="Arial"/>
          <w:b/>
          <w:bCs/>
          <w:sz w:val="24"/>
          <w:szCs w:val="24"/>
        </w:rPr>
      </w:pPr>
    </w:p>
    <w:p w14:paraId="21E7A29D" w14:textId="77777777" w:rsidR="00BB387E" w:rsidRPr="00BB387E" w:rsidRDefault="00BB387E" w:rsidP="00BB387E">
      <w:pPr>
        <w:spacing w:after="0"/>
        <w:jc w:val="center"/>
        <w:rPr>
          <w:rFonts w:ascii="Arial" w:hAnsi="Arial" w:cs="Arial"/>
          <w:b/>
          <w:sz w:val="24"/>
          <w:szCs w:val="24"/>
        </w:rPr>
      </w:pPr>
      <w:r w:rsidRPr="00BB387E">
        <w:rPr>
          <w:rFonts w:ascii="Arial" w:hAnsi="Arial" w:cs="Arial"/>
          <w:b/>
          <w:bCs/>
          <w:sz w:val="24"/>
          <w:szCs w:val="24"/>
        </w:rPr>
        <w:t>EXPLANATORY STATEMENT</w:t>
      </w:r>
    </w:p>
    <w:p w14:paraId="4E561EC7" w14:textId="77777777" w:rsidR="00BB387E" w:rsidRPr="00BB387E" w:rsidRDefault="00BB387E" w:rsidP="00BB387E">
      <w:pPr>
        <w:spacing w:after="0"/>
        <w:jc w:val="center"/>
        <w:rPr>
          <w:rFonts w:ascii="Arial" w:hAnsi="Arial" w:cs="Arial"/>
          <w:b/>
          <w:sz w:val="24"/>
          <w:szCs w:val="24"/>
        </w:rPr>
      </w:pPr>
    </w:p>
    <w:p w14:paraId="58E7858B" w14:textId="77777777" w:rsidR="00BB387E" w:rsidRPr="00BB387E" w:rsidRDefault="00BB387E" w:rsidP="00BB387E">
      <w:pPr>
        <w:spacing w:after="0"/>
        <w:jc w:val="center"/>
        <w:rPr>
          <w:rFonts w:ascii="Arial" w:hAnsi="Arial" w:cs="Arial"/>
          <w:b/>
          <w:sz w:val="24"/>
          <w:szCs w:val="24"/>
        </w:rPr>
      </w:pPr>
    </w:p>
    <w:p w14:paraId="44FB09C0" w14:textId="77777777" w:rsidR="00BB387E" w:rsidRPr="00BB387E" w:rsidRDefault="00BB387E" w:rsidP="00BB387E">
      <w:pPr>
        <w:spacing w:after="0"/>
        <w:jc w:val="center"/>
        <w:rPr>
          <w:rFonts w:ascii="Arial" w:hAnsi="Arial" w:cs="Arial"/>
          <w:b/>
          <w:sz w:val="24"/>
          <w:szCs w:val="24"/>
        </w:rPr>
      </w:pPr>
    </w:p>
    <w:p w14:paraId="6DB1E5EF" w14:textId="77777777" w:rsidR="00BB387E" w:rsidRPr="00BB387E" w:rsidRDefault="00BB387E" w:rsidP="00BB387E">
      <w:pPr>
        <w:spacing w:after="0"/>
        <w:jc w:val="center"/>
        <w:rPr>
          <w:rFonts w:ascii="Arial" w:hAnsi="Arial" w:cs="Arial"/>
          <w:b/>
          <w:sz w:val="24"/>
          <w:szCs w:val="24"/>
        </w:rPr>
      </w:pPr>
    </w:p>
    <w:p w14:paraId="5CCF0433" w14:textId="17D70770" w:rsidR="00BB387E" w:rsidRDefault="00BB387E" w:rsidP="00BB387E">
      <w:pPr>
        <w:keepNext/>
        <w:widowControl w:val="0"/>
        <w:spacing w:after="0"/>
        <w:jc w:val="center"/>
        <w:outlineLvl w:val="7"/>
        <w:rPr>
          <w:rFonts w:ascii="Arial" w:hAnsi="Arial" w:cs="Arial"/>
          <w:b/>
          <w:bCs/>
          <w:sz w:val="24"/>
          <w:szCs w:val="24"/>
        </w:rPr>
      </w:pPr>
    </w:p>
    <w:p w14:paraId="2F45243D" w14:textId="0A8BF5C1" w:rsidR="001E72B3" w:rsidRDefault="001E72B3" w:rsidP="00BB387E">
      <w:pPr>
        <w:keepNext/>
        <w:widowControl w:val="0"/>
        <w:spacing w:after="0"/>
        <w:jc w:val="center"/>
        <w:outlineLvl w:val="7"/>
        <w:rPr>
          <w:rFonts w:ascii="Arial" w:hAnsi="Arial" w:cs="Arial"/>
          <w:b/>
          <w:bCs/>
          <w:sz w:val="24"/>
          <w:szCs w:val="24"/>
        </w:rPr>
      </w:pPr>
    </w:p>
    <w:p w14:paraId="365FAC6E" w14:textId="0F66BE19" w:rsidR="001E72B3" w:rsidRDefault="001E72B3" w:rsidP="00BB387E">
      <w:pPr>
        <w:keepNext/>
        <w:widowControl w:val="0"/>
        <w:spacing w:after="0"/>
        <w:jc w:val="center"/>
        <w:outlineLvl w:val="7"/>
        <w:rPr>
          <w:rFonts w:ascii="Arial" w:hAnsi="Arial" w:cs="Arial"/>
          <w:b/>
          <w:bCs/>
          <w:sz w:val="24"/>
          <w:szCs w:val="24"/>
        </w:rPr>
      </w:pPr>
    </w:p>
    <w:p w14:paraId="73977928" w14:textId="150FD697" w:rsidR="001E72B3" w:rsidRDefault="001E72B3" w:rsidP="00BB387E">
      <w:pPr>
        <w:keepNext/>
        <w:widowControl w:val="0"/>
        <w:spacing w:after="0"/>
        <w:jc w:val="center"/>
        <w:outlineLvl w:val="7"/>
        <w:rPr>
          <w:rFonts w:ascii="Arial" w:hAnsi="Arial" w:cs="Arial"/>
          <w:b/>
          <w:bCs/>
          <w:sz w:val="24"/>
          <w:szCs w:val="24"/>
        </w:rPr>
      </w:pPr>
    </w:p>
    <w:p w14:paraId="1BA8176E" w14:textId="77777777" w:rsidR="001E72B3" w:rsidRPr="00BB387E" w:rsidRDefault="001E72B3" w:rsidP="00BB387E">
      <w:pPr>
        <w:keepNext/>
        <w:widowControl w:val="0"/>
        <w:spacing w:after="0"/>
        <w:jc w:val="center"/>
        <w:outlineLvl w:val="7"/>
        <w:rPr>
          <w:rFonts w:ascii="Arial" w:hAnsi="Arial" w:cs="Arial"/>
          <w:b/>
          <w:bCs/>
          <w:sz w:val="24"/>
          <w:szCs w:val="24"/>
        </w:rPr>
      </w:pPr>
    </w:p>
    <w:p w14:paraId="0CE0F478" w14:textId="77777777" w:rsidR="00BB387E" w:rsidRPr="00BB387E" w:rsidRDefault="00BB387E" w:rsidP="00BB387E">
      <w:pPr>
        <w:keepNext/>
        <w:widowControl w:val="0"/>
        <w:spacing w:after="0"/>
        <w:jc w:val="center"/>
        <w:outlineLvl w:val="7"/>
        <w:rPr>
          <w:rFonts w:ascii="Arial" w:hAnsi="Arial" w:cs="Arial"/>
          <w:b/>
          <w:bCs/>
          <w:sz w:val="24"/>
          <w:szCs w:val="24"/>
        </w:rPr>
      </w:pPr>
    </w:p>
    <w:p w14:paraId="2D0F4E33" w14:textId="77777777" w:rsidR="00BB387E" w:rsidRPr="00BB387E" w:rsidRDefault="00BB387E" w:rsidP="00BB387E">
      <w:pPr>
        <w:keepNext/>
        <w:widowControl w:val="0"/>
        <w:spacing w:after="0"/>
        <w:ind w:right="686"/>
        <w:jc w:val="right"/>
        <w:outlineLvl w:val="7"/>
        <w:rPr>
          <w:rFonts w:ascii="Arial" w:hAnsi="Arial" w:cs="Arial"/>
          <w:b/>
          <w:bCs/>
          <w:sz w:val="24"/>
          <w:szCs w:val="24"/>
        </w:rPr>
      </w:pPr>
      <w:r w:rsidRPr="00BB387E">
        <w:rPr>
          <w:rFonts w:ascii="Arial" w:hAnsi="Arial" w:cs="Arial"/>
          <w:b/>
          <w:bCs/>
          <w:sz w:val="24"/>
          <w:szCs w:val="24"/>
        </w:rPr>
        <w:t>Presented by</w:t>
      </w:r>
    </w:p>
    <w:p w14:paraId="5BBE2D1D" w14:textId="66243C9A" w:rsidR="00BB387E" w:rsidRDefault="00A903D8" w:rsidP="00BB387E">
      <w:pPr>
        <w:spacing w:after="0"/>
        <w:ind w:right="686"/>
        <w:jc w:val="right"/>
        <w:rPr>
          <w:rFonts w:ascii="Arial" w:hAnsi="Arial" w:cs="Arial"/>
          <w:b/>
          <w:bCs/>
          <w:sz w:val="24"/>
          <w:szCs w:val="24"/>
        </w:rPr>
      </w:pPr>
      <w:r>
        <w:rPr>
          <w:rFonts w:ascii="Arial" w:hAnsi="Arial" w:cs="Arial"/>
          <w:b/>
          <w:bCs/>
          <w:sz w:val="24"/>
          <w:szCs w:val="24"/>
        </w:rPr>
        <w:t xml:space="preserve">Gordon Ramsay </w:t>
      </w:r>
      <w:r w:rsidR="00E954A1">
        <w:rPr>
          <w:rFonts w:ascii="Arial" w:hAnsi="Arial" w:cs="Arial"/>
          <w:b/>
          <w:bCs/>
          <w:sz w:val="24"/>
          <w:szCs w:val="24"/>
        </w:rPr>
        <w:t>MLA</w:t>
      </w:r>
    </w:p>
    <w:p w14:paraId="1735DA9B" w14:textId="79D56FC7" w:rsidR="00A903D8" w:rsidRPr="00BB387E" w:rsidRDefault="00A903D8" w:rsidP="00BB387E">
      <w:pPr>
        <w:spacing w:after="0"/>
        <w:ind w:right="686"/>
        <w:jc w:val="right"/>
        <w:rPr>
          <w:rFonts w:ascii="Arial" w:hAnsi="Arial" w:cs="Arial"/>
          <w:b/>
          <w:bCs/>
          <w:sz w:val="24"/>
          <w:szCs w:val="24"/>
        </w:rPr>
      </w:pPr>
      <w:r>
        <w:rPr>
          <w:rFonts w:ascii="Arial" w:hAnsi="Arial" w:cs="Arial"/>
          <w:b/>
          <w:bCs/>
          <w:sz w:val="24"/>
          <w:szCs w:val="24"/>
        </w:rPr>
        <w:t>Attorney-General</w:t>
      </w:r>
    </w:p>
    <w:p w14:paraId="29D58DC6" w14:textId="77777777" w:rsidR="00DC5912" w:rsidRPr="008C3B92" w:rsidRDefault="00DC5912">
      <w:pPr>
        <w:spacing w:after="0" w:line="240" w:lineRule="auto"/>
        <w:rPr>
          <w:rFonts w:ascii="Arial" w:hAnsi="Arial" w:cs="Arial"/>
          <w:b/>
          <w:bCs/>
          <w:sz w:val="24"/>
          <w:szCs w:val="24"/>
          <w:u w:val="single"/>
        </w:rPr>
        <w:sectPr w:rsidR="00DC5912" w:rsidRPr="008C3B92" w:rsidSect="00DC5912">
          <w:headerReference w:type="even" r:id="rId9"/>
          <w:headerReference w:type="default" r:id="rId10"/>
          <w:footerReference w:type="even" r:id="rId11"/>
          <w:footerReference w:type="default" r:id="rId12"/>
          <w:headerReference w:type="first" r:id="rId13"/>
          <w:footerReference w:type="first" r:id="rId14"/>
          <w:pgSz w:w="11906" w:h="16838"/>
          <w:pgMar w:top="1276" w:right="1440" w:bottom="1440" w:left="1440" w:header="709" w:footer="675" w:gutter="0"/>
          <w:pgNumType w:start="1"/>
          <w:cols w:space="708"/>
          <w:docGrid w:linePitch="360"/>
        </w:sectPr>
      </w:pPr>
      <w:r w:rsidRPr="008C3B92">
        <w:rPr>
          <w:rFonts w:ascii="Arial" w:hAnsi="Arial" w:cs="Arial"/>
          <w:b/>
          <w:bCs/>
          <w:sz w:val="24"/>
          <w:szCs w:val="24"/>
          <w:u w:val="single"/>
        </w:rPr>
        <w:br w:type="page"/>
      </w:r>
    </w:p>
    <w:p w14:paraId="00ACAF6A" w14:textId="034265A2" w:rsidR="00ED3B77" w:rsidRPr="00BB387E" w:rsidRDefault="00A903D8" w:rsidP="008C225D">
      <w:pPr>
        <w:pStyle w:val="Heading1"/>
        <w:jc w:val="center"/>
      </w:pPr>
      <w:r>
        <w:lastRenderedPageBreak/>
        <w:t>RESIDENTIAL TENANCIES AMENDMENT</w:t>
      </w:r>
      <w:r w:rsidR="00ED3B77" w:rsidRPr="00BB387E">
        <w:t xml:space="preserve"> BILL </w:t>
      </w:r>
      <w:r w:rsidR="00130A37" w:rsidRPr="00BB387E">
        <w:t>20</w:t>
      </w:r>
      <w:r w:rsidR="00130A37">
        <w:t>20</w:t>
      </w:r>
    </w:p>
    <w:p w14:paraId="7BD217BF" w14:textId="3EB39482" w:rsidR="00790FE4" w:rsidRDefault="00790FE4" w:rsidP="007F3D56">
      <w:pPr>
        <w:spacing w:after="0"/>
        <w:contextualSpacing/>
        <w:rPr>
          <w:rFonts w:ascii="Arial" w:hAnsi="Arial" w:cs="Arial"/>
          <w:b/>
          <w:sz w:val="24"/>
          <w:szCs w:val="24"/>
          <w:highlight w:val="yellow"/>
        </w:rPr>
      </w:pPr>
    </w:p>
    <w:p w14:paraId="1C55190C" w14:textId="04249351" w:rsidR="00790FE4" w:rsidRPr="006555E3" w:rsidRDefault="00C94F81" w:rsidP="007F3D56">
      <w:pPr>
        <w:spacing w:after="0"/>
        <w:contextualSpacing/>
        <w:rPr>
          <w:rFonts w:ascii="Arial" w:hAnsi="Arial" w:cs="Arial"/>
          <w:b/>
          <w:sz w:val="24"/>
          <w:szCs w:val="24"/>
        </w:rPr>
      </w:pPr>
      <w:r>
        <w:rPr>
          <w:rFonts w:ascii="Arial" w:hAnsi="Arial" w:cs="Arial"/>
          <w:b/>
          <w:sz w:val="24"/>
          <w:szCs w:val="24"/>
        </w:rPr>
        <w:t>This Bill is a significant bill.</w:t>
      </w:r>
    </w:p>
    <w:p w14:paraId="3F20865D" w14:textId="1C1312FE" w:rsidR="0052127F" w:rsidRDefault="0052127F" w:rsidP="007F3D56">
      <w:pPr>
        <w:spacing w:after="0"/>
        <w:rPr>
          <w:rFonts w:ascii="Arial" w:hAnsi="Arial" w:cs="Arial"/>
          <w:sz w:val="24"/>
          <w:szCs w:val="24"/>
          <w:highlight w:val="yellow"/>
        </w:rPr>
      </w:pPr>
    </w:p>
    <w:p w14:paraId="34DB1BC9" w14:textId="36E397ED" w:rsidR="00A903D8" w:rsidRPr="00914EE8" w:rsidRDefault="00A903D8" w:rsidP="00A903D8">
      <w:pPr>
        <w:autoSpaceDE w:val="0"/>
        <w:autoSpaceDN w:val="0"/>
        <w:adjustRightInd w:val="0"/>
        <w:spacing w:after="240" w:line="240" w:lineRule="auto"/>
        <w:rPr>
          <w:rFonts w:ascii="Arial" w:hAnsi="Arial" w:cs="Arial"/>
          <w:sz w:val="24"/>
          <w:szCs w:val="24"/>
          <w:lang w:eastAsia="en-AU"/>
        </w:rPr>
      </w:pPr>
      <w:r w:rsidRPr="00914EE8">
        <w:rPr>
          <w:rFonts w:ascii="Arial" w:hAnsi="Arial" w:cs="Arial"/>
          <w:sz w:val="24"/>
          <w:szCs w:val="24"/>
          <w:lang w:eastAsia="en-AU"/>
        </w:rPr>
        <w:t>This expla</w:t>
      </w:r>
      <w:r>
        <w:rPr>
          <w:rFonts w:ascii="Arial" w:hAnsi="Arial" w:cs="Arial"/>
          <w:sz w:val="24"/>
          <w:szCs w:val="24"/>
          <w:lang w:eastAsia="en-AU"/>
        </w:rPr>
        <w:t xml:space="preserve">natory statement relates to the Residential Tenancies Amendment Bill 2020 </w:t>
      </w:r>
      <w:r w:rsidRPr="00914EE8">
        <w:rPr>
          <w:rFonts w:ascii="Arial" w:hAnsi="Arial" w:cs="Arial"/>
          <w:sz w:val="24"/>
          <w:szCs w:val="24"/>
          <w:lang w:eastAsia="en-AU"/>
        </w:rPr>
        <w:t>as presented to the Legislative Assembly. It has been prepared in order to assist the reader of the</w:t>
      </w:r>
      <w:r>
        <w:rPr>
          <w:rFonts w:ascii="Arial" w:hAnsi="Arial" w:cs="Arial"/>
          <w:sz w:val="24"/>
          <w:szCs w:val="24"/>
          <w:lang w:eastAsia="en-AU"/>
        </w:rPr>
        <w:t xml:space="preserve"> </w:t>
      </w:r>
      <w:r w:rsidRPr="00914EE8">
        <w:rPr>
          <w:rFonts w:ascii="Arial" w:hAnsi="Arial" w:cs="Arial"/>
          <w:sz w:val="24"/>
          <w:szCs w:val="24"/>
          <w:lang w:eastAsia="en-AU"/>
        </w:rPr>
        <w:t>Bill and to help inform debate on it. It does not form part of the Bill and has not been endorsed by the Assembly.</w:t>
      </w:r>
    </w:p>
    <w:p w14:paraId="54C5BAE5" w14:textId="725859DF" w:rsidR="00A903D8" w:rsidRDefault="00A903D8" w:rsidP="00A903D8">
      <w:pPr>
        <w:autoSpaceDE w:val="0"/>
        <w:autoSpaceDN w:val="0"/>
        <w:adjustRightInd w:val="0"/>
        <w:spacing w:after="240" w:line="240" w:lineRule="auto"/>
        <w:rPr>
          <w:rFonts w:ascii="Arial" w:hAnsi="Arial" w:cs="Arial"/>
          <w:sz w:val="24"/>
          <w:szCs w:val="24"/>
          <w:lang w:eastAsia="en-AU"/>
        </w:rPr>
      </w:pPr>
      <w:r w:rsidRPr="00914EE8">
        <w:rPr>
          <w:rFonts w:ascii="Arial" w:hAnsi="Arial" w:cs="Arial"/>
          <w:sz w:val="24"/>
          <w:szCs w:val="24"/>
          <w:lang w:eastAsia="en-AU"/>
        </w:rPr>
        <w:t xml:space="preserve">The statement is to be read in conjunction with the Bill. It is not, and is not meant to be, a comprehensive description of the Bill. </w:t>
      </w:r>
    </w:p>
    <w:p w14:paraId="29C29316" w14:textId="56470B09" w:rsidR="007B6A78" w:rsidRDefault="003323FA" w:rsidP="008C225D">
      <w:pPr>
        <w:pStyle w:val="Heading2"/>
      </w:pPr>
      <w:r>
        <w:t>OVERVIEW OF THE BILL</w:t>
      </w:r>
    </w:p>
    <w:p w14:paraId="4092AD0E" w14:textId="3102086D" w:rsidR="00A903D8" w:rsidRDefault="00A903D8" w:rsidP="00A903D8">
      <w:pPr>
        <w:pStyle w:val="NoSpacing"/>
        <w:spacing w:after="240"/>
        <w:rPr>
          <w:rFonts w:ascii="Arial" w:hAnsi="Arial" w:cs="Arial"/>
          <w:sz w:val="24"/>
          <w:szCs w:val="24"/>
        </w:rPr>
      </w:pPr>
      <w:r w:rsidRPr="00957A37">
        <w:rPr>
          <w:rFonts w:ascii="Arial" w:hAnsi="Arial" w:cs="Arial"/>
          <w:sz w:val="24"/>
          <w:szCs w:val="24"/>
        </w:rPr>
        <w:t xml:space="preserve">The Bill </w:t>
      </w:r>
      <w:r>
        <w:rPr>
          <w:rFonts w:ascii="Arial" w:hAnsi="Arial" w:cs="Arial"/>
          <w:sz w:val="24"/>
          <w:szCs w:val="24"/>
        </w:rPr>
        <w:t>will</w:t>
      </w:r>
      <w:r w:rsidRPr="00957A37">
        <w:rPr>
          <w:rFonts w:ascii="Arial" w:hAnsi="Arial" w:cs="Arial"/>
          <w:sz w:val="24"/>
          <w:szCs w:val="24"/>
        </w:rPr>
        <w:t xml:space="preserve"> amend</w:t>
      </w:r>
      <w:r>
        <w:rPr>
          <w:rFonts w:ascii="Arial" w:hAnsi="Arial" w:cs="Arial"/>
          <w:sz w:val="24"/>
          <w:szCs w:val="24"/>
        </w:rPr>
        <w:t xml:space="preserve"> the </w:t>
      </w:r>
      <w:r>
        <w:rPr>
          <w:rFonts w:ascii="Arial" w:hAnsi="Arial" w:cs="Arial"/>
          <w:i/>
          <w:sz w:val="24"/>
          <w:szCs w:val="24"/>
        </w:rPr>
        <w:t>Residential Tenancies Act 1997</w:t>
      </w:r>
      <w:bookmarkStart w:id="1" w:name="_Hlk12955579"/>
      <w:r>
        <w:rPr>
          <w:rFonts w:ascii="Arial" w:hAnsi="Arial" w:cs="Arial"/>
          <w:i/>
          <w:sz w:val="24"/>
          <w:szCs w:val="24"/>
        </w:rPr>
        <w:t xml:space="preserve"> </w:t>
      </w:r>
      <w:r>
        <w:rPr>
          <w:rFonts w:ascii="Arial" w:hAnsi="Arial" w:cs="Arial"/>
          <w:iCs/>
          <w:sz w:val="24"/>
          <w:szCs w:val="24"/>
        </w:rPr>
        <w:t>(the RTA)</w:t>
      </w:r>
      <w:r>
        <w:rPr>
          <w:rFonts w:ascii="Arial" w:hAnsi="Arial" w:cs="Arial"/>
          <w:sz w:val="24"/>
          <w:szCs w:val="24"/>
        </w:rPr>
        <w:t xml:space="preserve">, the </w:t>
      </w:r>
      <w:r>
        <w:rPr>
          <w:rFonts w:ascii="Arial" w:hAnsi="Arial" w:cs="Arial"/>
          <w:i/>
          <w:iCs/>
          <w:sz w:val="24"/>
          <w:szCs w:val="24"/>
        </w:rPr>
        <w:t>Human Rights Commission Act 2005</w:t>
      </w:r>
      <w:r>
        <w:rPr>
          <w:rFonts w:ascii="Arial" w:hAnsi="Arial" w:cs="Arial"/>
          <w:sz w:val="24"/>
          <w:szCs w:val="24"/>
        </w:rPr>
        <w:t xml:space="preserve">, the </w:t>
      </w:r>
      <w:r>
        <w:rPr>
          <w:rFonts w:ascii="Arial" w:hAnsi="Arial" w:cs="Arial"/>
          <w:i/>
          <w:iCs/>
          <w:sz w:val="24"/>
          <w:szCs w:val="24"/>
        </w:rPr>
        <w:t>Uncollected Goods Act 1996</w:t>
      </w:r>
      <w:r>
        <w:rPr>
          <w:rFonts w:ascii="Arial" w:hAnsi="Arial" w:cs="Arial"/>
          <w:sz w:val="24"/>
          <w:szCs w:val="24"/>
        </w:rPr>
        <w:t xml:space="preserve">, and the </w:t>
      </w:r>
      <w:r>
        <w:rPr>
          <w:rFonts w:ascii="Arial" w:hAnsi="Arial" w:cs="Arial"/>
          <w:i/>
          <w:iCs/>
          <w:sz w:val="24"/>
          <w:szCs w:val="24"/>
        </w:rPr>
        <w:t>Residential Tenancies Regulation 1998</w:t>
      </w:r>
      <w:r>
        <w:rPr>
          <w:rFonts w:ascii="Arial" w:hAnsi="Arial" w:cs="Arial"/>
          <w:sz w:val="24"/>
          <w:szCs w:val="24"/>
        </w:rPr>
        <w:t xml:space="preserve">. </w:t>
      </w:r>
      <w:bookmarkEnd w:id="1"/>
      <w:r>
        <w:rPr>
          <w:rFonts w:ascii="Arial" w:hAnsi="Arial" w:cs="Arial"/>
          <w:sz w:val="24"/>
          <w:szCs w:val="24"/>
        </w:rPr>
        <w:t xml:space="preserve">The purpose of these amendments is to give effect to specific legislative recommendations from the 2016 review of the RTA which relate to occupancy and share housing in the ACT. </w:t>
      </w:r>
    </w:p>
    <w:p w14:paraId="5605C960" w14:textId="77777777" w:rsidR="00A903D8" w:rsidRDefault="00A903D8" w:rsidP="00A903D8">
      <w:pPr>
        <w:pStyle w:val="NoSpacing"/>
        <w:spacing w:after="240"/>
        <w:rPr>
          <w:rFonts w:ascii="Arial" w:hAnsi="Arial" w:cs="Arial"/>
          <w:sz w:val="24"/>
          <w:szCs w:val="24"/>
        </w:rPr>
      </w:pPr>
      <w:r>
        <w:rPr>
          <w:rFonts w:ascii="Arial" w:hAnsi="Arial" w:cs="Arial"/>
          <w:sz w:val="24"/>
          <w:szCs w:val="24"/>
        </w:rPr>
        <w:t xml:space="preserve">The Bill proposes the following amendments:  </w:t>
      </w:r>
    </w:p>
    <w:p w14:paraId="370B592B" w14:textId="77777777" w:rsidR="00A903D8" w:rsidRDefault="00A903D8" w:rsidP="003B7D3A">
      <w:pPr>
        <w:pStyle w:val="NoSpacing"/>
        <w:numPr>
          <w:ilvl w:val="0"/>
          <w:numId w:val="8"/>
        </w:numPr>
        <w:spacing w:after="240"/>
        <w:rPr>
          <w:rFonts w:ascii="Arial" w:hAnsi="Arial" w:cs="Arial"/>
          <w:sz w:val="24"/>
          <w:szCs w:val="24"/>
        </w:rPr>
      </w:pPr>
      <w:r>
        <w:rPr>
          <w:rFonts w:ascii="Arial" w:hAnsi="Arial" w:cs="Arial"/>
          <w:sz w:val="24"/>
          <w:szCs w:val="24"/>
        </w:rPr>
        <w:t>improve protections for occupants by introducing new occupancy principles and by making the occupancy principles a mandatory part of every occupancy agreement;</w:t>
      </w:r>
    </w:p>
    <w:p w14:paraId="496892AC" w14:textId="77777777" w:rsidR="00A903D8" w:rsidRDefault="00A903D8" w:rsidP="003B7D3A">
      <w:pPr>
        <w:pStyle w:val="NoSpacing"/>
        <w:numPr>
          <w:ilvl w:val="0"/>
          <w:numId w:val="8"/>
        </w:numPr>
        <w:spacing w:after="240"/>
        <w:rPr>
          <w:rFonts w:ascii="Arial" w:hAnsi="Arial" w:cs="Arial"/>
          <w:sz w:val="24"/>
          <w:szCs w:val="24"/>
        </w:rPr>
      </w:pPr>
      <w:r>
        <w:rPr>
          <w:rFonts w:ascii="Arial" w:hAnsi="Arial" w:cs="Arial"/>
          <w:sz w:val="24"/>
          <w:szCs w:val="24"/>
        </w:rPr>
        <w:t>clarify the difference between an occupancy agreement and a residential tenancy agreement;</w:t>
      </w:r>
    </w:p>
    <w:p w14:paraId="4BCFB856" w14:textId="77777777" w:rsidR="00A903D8" w:rsidRDefault="00A903D8" w:rsidP="003B7D3A">
      <w:pPr>
        <w:pStyle w:val="NoSpacing"/>
        <w:numPr>
          <w:ilvl w:val="0"/>
          <w:numId w:val="8"/>
        </w:numPr>
        <w:spacing w:after="240"/>
        <w:rPr>
          <w:rFonts w:ascii="Arial" w:hAnsi="Arial" w:cs="Arial"/>
          <w:sz w:val="24"/>
          <w:szCs w:val="24"/>
        </w:rPr>
      </w:pPr>
      <w:r>
        <w:rPr>
          <w:rFonts w:ascii="Arial" w:hAnsi="Arial" w:cs="Arial"/>
          <w:sz w:val="24"/>
          <w:szCs w:val="24"/>
        </w:rPr>
        <w:t>clarify the application of the occupancy framework to people who reside in residential parks; and</w:t>
      </w:r>
    </w:p>
    <w:p w14:paraId="7ADF8BA3" w14:textId="77777777" w:rsidR="00A903D8" w:rsidRPr="00BF2E6B" w:rsidRDefault="00A903D8" w:rsidP="003B7D3A">
      <w:pPr>
        <w:pStyle w:val="NoSpacing"/>
        <w:numPr>
          <w:ilvl w:val="0"/>
          <w:numId w:val="8"/>
        </w:numPr>
        <w:spacing w:after="240"/>
        <w:rPr>
          <w:rFonts w:ascii="Arial" w:hAnsi="Arial" w:cs="Arial"/>
          <w:sz w:val="24"/>
          <w:szCs w:val="24"/>
        </w:rPr>
      </w:pPr>
      <w:r w:rsidRPr="003C0C37">
        <w:rPr>
          <w:rFonts w:ascii="Arial" w:hAnsi="Arial" w:cs="Arial"/>
          <w:sz w:val="24"/>
          <w:szCs w:val="24"/>
        </w:rPr>
        <w:t>modernise the legal framework for share housing</w:t>
      </w:r>
      <w:r>
        <w:rPr>
          <w:rFonts w:ascii="Arial" w:hAnsi="Arial" w:cs="Arial"/>
          <w:sz w:val="24"/>
          <w:szCs w:val="24"/>
        </w:rPr>
        <w:t>.</w:t>
      </w:r>
    </w:p>
    <w:p w14:paraId="5D5C6C0D" w14:textId="6D5714C2" w:rsidR="00E65AA5" w:rsidRDefault="00AC59DF" w:rsidP="00414921">
      <w:pPr>
        <w:rPr>
          <w:rFonts w:ascii="Arial" w:hAnsi="Arial" w:cs="Arial"/>
          <w:b/>
          <w:sz w:val="24"/>
          <w:szCs w:val="24"/>
        </w:rPr>
      </w:pPr>
      <w:r w:rsidRPr="00AC59DF">
        <w:rPr>
          <w:rFonts w:ascii="Arial" w:hAnsi="Arial" w:cs="Arial"/>
          <w:b/>
          <w:sz w:val="24"/>
          <w:szCs w:val="24"/>
        </w:rPr>
        <w:t>CONSULTATION ON THE PROPOSED APPROACH</w:t>
      </w:r>
    </w:p>
    <w:p w14:paraId="7FA5013C" w14:textId="34F5ADE0" w:rsidR="000C49E3" w:rsidRDefault="00F55529" w:rsidP="00414921">
      <w:pPr>
        <w:rPr>
          <w:rFonts w:ascii="Arial" w:hAnsi="Arial" w:cs="Arial"/>
          <w:color w:val="FF0000"/>
          <w:sz w:val="24"/>
          <w:szCs w:val="24"/>
        </w:rPr>
      </w:pPr>
      <w:r w:rsidRPr="00957A37">
        <w:rPr>
          <w:rFonts w:ascii="Arial" w:hAnsi="Arial" w:cs="Arial"/>
          <w:sz w:val="24"/>
          <w:szCs w:val="24"/>
        </w:rPr>
        <w:t>Th</w:t>
      </w:r>
      <w:r>
        <w:rPr>
          <w:rFonts w:ascii="Arial" w:hAnsi="Arial" w:cs="Arial"/>
          <w:sz w:val="24"/>
          <w:szCs w:val="24"/>
        </w:rPr>
        <w:t>is</w:t>
      </w:r>
      <w:r w:rsidRPr="00957A37">
        <w:rPr>
          <w:rFonts w:ascii="Arial" w:hAnsi="Arial" w:cs="Arial"/>
          <w:sz w:val="24"/>
          <w:szCs w:val="24"/>
        </w:rPr>
        <w:t xml:space="preserve"> Bill</w:t>
      </w:r>
      <w:r>
        <w:rPr>
          <w:rFonts w:ascii="Arial" w:hAnsi="Arial" w:cs="Arial"/>
          <w:sz w:val="24"/>
          <w:szCs w:val="24"/>
        </w:rPr>
        <w:t xml:space="preserve"> arises from the 2016 review of the RTA. The review sought submissions from the public to inform proposals and guide further consultation with the public, industry, and key stakeholders. Given the complexity of the legal framework for occupancy agreements, a public exposure draft was tabled in the Legislative Assembly on 28 November 2019. This commenced a two-month period of detailed consultation with stakeholders, </w:t>
      </w:r>
      <w:r w:rsidR="00CA75D8">
        <w:rPr>
          <w:rFonts w:ascii="Arial" w:hAnsi="Arial" w:cs="Arial"/>
          <w:sz w:val="24"/>
          <w:szCs w:val="24"/>
        </w:rPr>
        <w:t>and members of the public were invited to express their views through the Your Say website.</w:t>
      </w:r>
      <w:r w:rsidRPr="00957A37">
        <w:rPr>
          <w:rFonts w:ascii="Arial" w:hAnsi="Arial" w:cs="Arial"/>
          <w:sz w:val="24"/>
          <w:szCs w:val="24"/>
        </w:rPr>
        <w:t xml:space="preserve"> </w:t>
      </w:r>
    </w:p>
    <w:p w14:paraId="1A2BA5E1" w14:textId="6E3769AB" w:rsidR="00790FE4" w:rsidRDefault="00503AAB" w:rsidP="008C225D">
      <w:pPr>
        <w:pStyle w:val="Heading2"/>
      </w:pPr>
      <w:r>
        <w:t xml:space="preserve">CONSISTENCY WITH </w:t>
      </w:r>
      <w:r w:rsidR="00790FE4" w:rsidRPr="008C225D">
        <w:t>HUMAN RIGHTS</w:t>
      </w:r>
    </w:p>
    <w:p w14:paraId="23272086" w14:textId="177F0A99" w:rsidR="00732507" w:rsidRPr="004219B7" w:rsidRDefault="00732507" w:rsidP="00732507">
      <w:pPr>
        <w:pStyle w:val="NoSpacing"/>
        <w:spacing w:after="240"/>
        <w:rPr>
          <w:rFonts w:ascii="Arial" w:hAnsi="Arial" w:cs="Arial"/>
          <w:sz w:val="24"/>
          <w:szCs w:val="24"/>
        </w:rPr>
      </w:pPr>
      <w:r w:rsidRPr="004219B7">
        <w:rPr>
          <w:rFonts w:ascii="Arial" w:hAnsi="Arial" w:cs="Arial"/>
          <w:sz w:val="24"/>
          <w:szCs w:val="24"/>
        </w:rPr>
        <w:t>The proposed amendments engage</w:t>
      </w:r>
      <w:r>
        <w:rPr>
          <w:rFonts w:ascii="Arial" w:hAnsi="Arial" w:cs="Arial"/>
          <w:sz w:val="24"/>
          <w:szCs w:val="24"/>
        </w:rPr>
        <w:t xml:space="preserve"> a number of human rights under the </w:t>
      </w:r>
      <w:r w:rsidRPr="00605DD8">
        <w:rPr>
          <w:rFonts w:ascii="Arial" w:hAnsi="Arial" w:cs="Arial"/>
          <w:i/>
          <w:sz w:val="24"/>
          <w:szCs w:val="24"/>
        </w:rPr>
        <w:t>Human Rights Act</w:t>
      </w:r>
      <w:r>
        <w:rPr>
          <w:rFonts w:ascii="Arial" w:hAnsi="Arial" w:cs="Arial"/>
          <w:i/>
          <w:sz w:val="24"/>
          <w:szCs w:val="24"/>
        </w:rPr>
        <w:t xml:space="preserve"> 2004 </w:t>
      </w:r>
      <w:r w:rsidRPr="00605DD8">
        <w:rPr>
          <w:rFonts w:ascii="Arial" w:hAnsi="Arial" w:cs="Arial"/>
          <w:sz w:val="24"/>
          <w:szCs w:val="24"/>
        </w:rPr>
        <w:t>(HRA)</w:t>
      </w:r>
      <w:r>
        <w:rPr>
          <w:rFonts w:ascii="Arial" w:hAnsi="Arial" w:cs="Arial"/>
          <w:sz w:val="24"/>
          <w:szCs w:val="24"/>
        </w:rPr>
        <w:t xml:space="preserve"> including</w:t>
      </w:r>
      <w:r w:rsidRPr="00605DD8">
        <w:rPr>
          <w:rFonts w:ascii="Arial" w:hAnsi="Arial" w:cs="Arial"/>
          <w:sz w:val="24"/>
          <w:szCs w:val="24"/>
        </w:rPr>
        <w:t>:</w:t>
      </w:r>
    </w:p>
    <w:p w14:paraId="2F1766F5" w14:textId="0368F90B" w:rsidR="00732507" w:rsidRDefault="00732507" w:rsidP="00732507">
      <w:pPr>
        <w:pStyle w:val="NoSpacing"/>
        <w:numPr>
          <w:ilvl w:val="1"/>
          <w:numId w:val="10"/>
        </w:numPr>
        <w:spacing w:after="240"/>
        <w:rPr>
          <w:rFonts w:ascii="Arial" w:hAnsi="Arial" w:cs="Arial"/>
          <w:sz w:val="24"/>
          <w:szCs w:val="24"/>
        </w:rPr>
      </w:pPr>
      <w:r>
        <w:rPr>
          <w:rFonts w:ascii="Arial" w:hAnsi="Arial" w:cs="Arial"/>
          <w:sz w:val="24"/>
          <w:szCs w:val="24"/>
        </w:rPr>
        <w:t>the right to equality and non-discrimination (sections 8</w:t>
      </w:r>
      <w:r w:rsidR="004A3012">
        <w:rPr>
          <w:rFonts w:ascii="Arial" w:hAnsi="Arial" w:cs="Arial"/>
          <w:sz w:val="24"/>
          <w:szCs w:val="24"/>
        </w:rPr>
        <w:t>(</w:t>
      </w:r>
      <w:r>
        <w:rPr>
          <w:rFonts w:ascii="Arial" w:hAnsi="Arial" w:cs="Arial"/>
          <w:sz w:val="24"/>
          <w:szCs w:val="24"/>
        </w:rPr>
        <w:t>2</w:t>
      </w:r>
      <w:r w:rsidR="004A3012">
        <w:rPr>
          <w:rFonts w:ascii="Arial" w:hAnsi="Arial" w:cs="Arial"/>
          <w:sz w:val="24"/>
          <w:szCs w:val="24"/>
        </w:rPr>
        <w:t>)</w:t>
      </w:r>
      <w:r>
        <w:rPr>
          <w:rFonts w:ascii="Arial" w:hAnsi="Arial" w:cs="Arial"/>
          <w:sz w:val="24"/>
          <w:szCs w:val="24"/>
        </w:rPr>
        <w:t>-</w:t>
      </w:r>
      <w:r w:rsidR="004A3012">
        <w:rPr>
          <w:rFonts w:ascii="Arial" w:hAnsi="Arial" w:cs="Arial"/>
          <w:sz w:val="24"/>
          <w:szCs w:val="24"/>
        </w:rPr>
        <w:t>(</w:t>
      </w:r>
      <w:r>
        <w:rPr>
          <w:rFonts w:ascii="Arial" w:hAnsi="Arial" w:cs="Arial"/>
          <w:sz w:val="24"/>
          <w:szCs w:val="24"/>
        </w:rPr>
        <w:t>3</w:t>
      </w:r>
      <w:r w:rsidR="004A3012">
        <w:rPr>
          <w:rFonts w:ascii="Arial" w:hAnsi="Arial" w:cs="Arial"/>
          <w:sz w:val="24"/>
          <w:szCs w:val="24"/>
        </w:rPr>
        <w:t>)</w:t>
      </w:r>
      <w:r>
        <w:rPr>
          <w:rFonts w:ascii="Arial" w:hAnsi="Arial" w:cs="Arial"/>
          <w:sz w:val="24"/>
          <w:szCs w:val="24"/>
        </w:rPr>
        <w:t>, HRA); and</w:t>
      </w:r>
    </w:p>
    <w:p w14:paraId="2FD59A46" w14:textId="77777777" w:rsidR="00732507" w:rsidRDefault="00732507" w:rsidP="00732507">
      <w:pPr>
        <w:pStyle w:val="NoSpacing"/>
        <w:numPr>
          <w:ilvl w:val="1"/>
          <w:numId w:val="10"/>
        </w:numPr>
        <w:spacing w:after="240"/>
        <w:rPr>
          <w:rFonts w:ascii="Arial" w:hAnsi="Arial" w:cs="Arial"/>
          <w:sz w:val="24"/>
          <w:szCs w:val="24"/>
        </w:rPr>
      </w:pPr>
      <w:r w:rsidRPr="004219B7">
        <w:rPr>
          <w:rFonts w:ascii="Arial" w:hAnsi="Arial" w:cs="Arial"/>
          <w:sz w:val="24"/>
          <w:szCs w:val="24"/>
        </w:rPr>
        <w:lastRenderedPageBreak/>
        <w:t>the right not to have one’s privacy, family, home or correspondence interfered with unlawfully or arbitrarily - section 12(a), HRA</w:t>
      </w:r>
      <w:r>
        <w:rPr>
          <w:rFonts w:ascii="Arial" w:hAnsi="Arial" w:cs="Arial"/>
          <w:sz w:val="24"/>
          <w:szCs w:val="24"/>
        </w:rPr>
        <w:t>.</w:t>
      </w:r>
    </w:p>
    <w:p w14:paraId="308C3E08" w14:textId="77777777" w:rsidR="00732507" w:rsidRDefault="00732507" w:rsidP="00732507">
      <w:pPr>
        <w:rPr>
          <w:rFonts w:ascii="Arial" w:hAnsi="Arial" w:cs="Arial"/>
          <w:b/>
          <w:bCs/>
          <w:i/>
          <w:iCs/>
          <w:sz w:val="24"/>
          <w:szCs w:val="24"/>
        </w:rPr>
      </w:pPr>
      <w:r>
        <w:rPr>
          <w:rFonts w:ascii="Arial" w:hAnsi="Arial" w:cs="Arial"/>
          <w:i/>
          <w:iCs/>
          <w:sz w:val="24"/>
          <w:szCs w:val="24"/>
        </w:rPr>
        <w:t>Equality and non-discrimination</w:t>
      </w:r>
    </w:p>
    <w:p w14:paraId="0F348124" w14:textId="77777777" w:rsidR="00732507" w:rsidRDefault="00732507" w:rsidP="00732507">
      <w:pPr>
        <w:rPr>
          <w:rFonts w:ascii="Arial" w:hAnsi="Arial" w:cs="Arial"/>
          <w:sz w:val="24"/>
          <w:szCs w:val="24"/>
        </w:rPr>
      </w:pPr>
      <w:r w:rsidRPr="00A26629">
        <w:rPr>
          <w:rFonts w:ascii="Arial" w:hAnsi="Arial" w:cs="Arial"/>
          <w:sz w:val="24"/>
          <w:szCs w:val="24"/>
        </w:rPr>
        <w:t>The right to equality and non-discrimination is protected by sections 8(2)-(3) of the HRA. The HRA provides that everyone is entitled to enjoy their rights without discrimination of any kind, and that everyone is equal before the law and entitled to the equal protection of the law without discrimination. 'Discrimination' under the HRA encompasses a distinction based on particular grounds (for example, race, colour or sex), which has either the purpose ('direct' discrimination), or the effect ('indirect' discrimination), of adversely affecting human rights.</w:t>
      </w:r>
      <w:r>
        <w:rPr>
          <w:rStyle w:val="FootnoteReference"/>
          <w:rFonts w:ascii="Arial" w:hAnsi="Arial"/>
          <w:sz w:val="24"/>
          <w:szCs w:val="24"/>
        </w:rPr>
        <w:footnoteReference w:id="2"/>
      </w:r>
      <w:r>
        <w:rPr>
          <w:rFonts w:ascii="Arial" w:hAnsi="Arial" w:cs="Arial"/>
          <w:sz w:val="24"/>
          <w:szCs w:val="24"/>
        </w:rPr>
        <w:t xml:space="preserve"> </w:t>
      </w:r>
      <w:r w:rsidRPr="00A26629">
        <w:rPr>
          <w:rFonts w:ascii="Arial" w:hAnsi="Arial" w:cs="Arial"/>
          <w:sz w:val="24"/>
          <w:szCs w:val="24"/>
        </w:rPr>
        <w:t>That is, not every differential treatment will amount to discrimination as it must be linked to a prohibited ground of discrimination.</w:t>
      </w:r>
      <w:r>
        <w:rPr>
          <w:rStyle w:val="FootnoteReference"/>
          <w:rFonts w:ascii="Arial" w:hAnsi="Arial"/>
          <w:sz w:val="24"/>
          <w:szCs w:val="24"/>
        </w:rPr>
        <w:footnoteReference w:id="3"/>
      </w:r>
    </w:p>
    <w:p w14:paraId="6C4AF973" w14:textId="77777777" w:rsidR="00732507" w:rsidRPr="00A26629" w:rsidRDefault="00732507" w:rsidP="00732507">
      <w:pPr>
        <w:rPr>
          <w:rFonts w:ascii="Arial" w:hAnsi="Arial" w:cs="Arial"/>
          <w:sz w:val="24"/>
          <w:szCs w:val="24"/>
        </w:rPr>
      </w:pPr>
      <w:r w:rsidRPr="00A26629">
        <w:rPr>
          <w:rFonts w:ascii="Arial" w:hAnsi="Arial" w:cs="Arial"/>
          <w:sz w:val="24"/>
          <w:szCs w:val="24"/>
        </w:rPr>
        <w:t xml:space="preserve">The amendments will </w:t>
      </w:r>
      <w:r>
        <w:rPr>
          <w:rFonts w:ascii="Arial" w:hAnsi="Arial" w:cs="Arial"/>
          <w:sz w:val="24"/>
          <w:szCs w:val="24"/>
        </w:rPr>
        <w:t>provide greater clarity in the distinction between a residential tenancy and an occupancy agreement</w:t>
      </w:r>
      <w:r w:rsidRPr="00A26629">
        <w:rPr>
          <w:rFonts w:ascii="Arial" w:hAnsi="Arial" w:cs="Arial"/>
          <w:sz w:val="24"/>
          <w:szCs w:val="24"/>
        </w:rPr>
        <w:t xml:space="preserve">. </w:t>
      </w:r>
      <w:r>
        <w:rPr>
          <w:rFonts w:ascii="Arial" w:hAnsi="Arial" w:cs="Arial"/>
          <w:sz w:val="24"/>
          <w:szCs w:val="24"/>
        </w:rPr>
        <w:t xml:space="preserve">The effect of this is that some residents in the ACT have the protections of a tenancy agreement, while others will have the lesser protections of an occupancy agreement. This distinction between residential tenancies and occupancy agreements is already drawn under the RTA. </w:t>
      </w:r>
      <w:r w:rsidRPr="00A26629">
        <w:rPr>
          <w:rFonts w:ascii="Arial" w:hAnsi="Arial" w:cs="Arial"/>
          <w:sz w:val="24"/>
          <w:szCs w:val="24"/>
        </w:rPr>
        <w:t>The fact that not</w:t>
      </w:r>
      <w:r>
        <w:rPr>
          <w:rFonts w:ascii="Arial" w:hAnsi="Arial" w:cs="Arial"/>
          <w:sz w:val="24"/>
          <w:szCs w:val="24"/>
        </w:rPr>
        <w:t xml:space="preserve"> all residents in the ACT</w:t>
      </w:r>
      <w:r w:rsidRPr="00A26629">
        <w:rPr>
          <w:rFonts w:ascii="Arial" w:hAnsi="Arial" w:cs="Arial"/>
          <w:sz w:val="24"/>
          <w:szCs w:val="24"/>
        </w:rPr>
        <w:t xml:space="preserve"> benefit from this proposed amendment does not amount to discrimination</w:t>
      </w:r>
      <w:r>
        <w:rPr>
          <w:rFonts w:ascii="Arial" w:hAnsi="Arial" w:cs="Arial"/>
          <w:sz w:val="24"/>
          <w:szCs w:val="24"/>
        </w:rPr>
        <w:t xml:space="preserve"> on a prohibited ground</w:t>
      </w:r>
      <w:r w:rsidRPr="00A26629">
        <w:rPr>
          <w:rFonts w:ascii="Arial" w:hAnsi="Arial" w:cs="Arial"/>
          <w:sz w:val="24"/>
          <w:szCs w:val="24"/>
        </w:rPr>
        <w:t xml:space="preserve">. </w:t>
      </w:r>
      <w:r>
        <w:rPr>
          <w:rFonts w:ascii="Arial" w:hAnsi="Arial" w:cs="Arial"/>
          <w:sz w:val="24"/>
          <w:szCs w:val="24"/>
        </w:rPr>
        <w:t>I</w:t>
      </w:r>
      <w:r w:rsidRPr="00A26629">
        <w:rPr>
          <w:rFonts w:ascii="Arial" w:hAnsi="Arial" w:cs="Arial"/>
          <w:sz w:val="24"/>
          <w:szCs w:val="24"/>
        </w:rPr>
        <w:t>f th</w:t>
      </w:r>
      <w:r>
        <w:rPr>
          <w:rFonts w:ascii="Arial" w:hAnsi="Arial" w:cs="Arial"/>
          <w:sz w:val="24"/>
          <w:szCs w:val="24"/>
        </w:rPr>
        <w:t>e distinction were</w:t>
      </w:r>
      <w:r w:rsidRPr="00A26629">
        <w:rPr>
          <w:rFonts w:ascii="Arial" w:hAnsi="Arial" w:cs="Arial"/>
          <w:sz w:val="24"/>
          <w:szCs w:val="24"/>
        </w:rPr>
        <w:t xml:space="preserve"> linked to a ground of discrimination such as ‘other status</w:t>
      </w:r>
      <w:r>
        <w:rPr>
          <w:rFonts w:ascii="Arial" w:hAnsi="Arial" w:cs="Arial"/>
          <w:sz w:val="24"/>
          <w:szCs w:val="24"/>
        </w:rPr>
        <w:t>,</w:t>
      </w:r>
      <w:r w:rsidRPr="00A26629">
        <w:rPr>
          <w:rFonts w:ascii="Arial" w:hAnsi="Arial" w:cs="Arial"/>
          <w:sz w:val="24"/>
          <w:szCs w:val="24"/>
        </w:rPr>
        <w:t>’</w:t>
      </w:r>
      <w:r>
        <w:rPr>
          <w:rFonts w:ascii="Arial" w:hAnsi="Arial" w:cs="Arial"/>
          <w:sz w:val="24"/>
          <w:szCs w:val="24"/>
        </w:rPr>
        <w:t xml:space="preserve"> either directly or indirectly</w:t>
      </w:r>
      <w:r w:rsidRPr="00A26629">
        <w:rPr>
          <w:rFonts w:ascii="Arial" w:hAnsi="Arial" w:cs="Arial"/>
          <w:sz w:val="24"/>
          <w:szCs w:val="24"/>
        </w:rPr>
        <w:t xml:space="preserve">, the treatment is </w:t>
      </w:r>
      <w:r>
        <w:rPr>
          <w:rFonts w:ascii="Arial" w:hAnsi="Arial" w:cs="Arial"/>
          <w:sz w:val="24"/>
          <w:szCs w:val="24"/>
        </w:rPr>
        <w:t xml:space="preserve">nevertheless </w:t>
      </w:r>
      <w:r w:rsidRPr="00A26629">
        <w:rPr>
          <w:rFonts w:ascii="Arial" w:hAnsi="Arial" w:cs="Arial"/>
          <w:sz w:val="24"/>
          <w:szCs w:val="24"/>
        </w:rPr>
        <w:t xml:space="preserve">compatible with the right to equality and non-discrimination. In particular, section 28 of the HRA, sets out the criteria for when human rights including the right to equality and non-discrimination may be reasonably limited such that they are compatible with the HRA. Applying the criteria, the purpose of the </w:t>
      </w:r>
      <w:r>
        <w:rPr>
          <w:rFonts w:ascii="Arial" w:hAnsi="Arial" w:cs="Arial"/>
          <w:sz w:val="24"/>
          <w:szCs w:val="24"/>
        </w:rPr>
        <w:t>distinction</w:t>
      </w:r>
      <w:r w:rsidRPr="00A26629">
        <w:rPr>
          <w:rFonts w:ascii="Arial" w:hAnsi="Arial" w:cs="Arial"/>
          <w:sz w:val="24"/>
          <w:szCs w:val="24"/>
        </w:rPr>
        <w:t xml:space="preserve"> </w:t>
      </w:r>
      <w:r>
        <w:rPr>
          <w:rFonts w:ascii="Arial" w:hAnsi="Arial" w:cs="Arial"/>
          <w:sz w:val="24"/>
          <w:szCs w:val="24"/>
        </w:rPr>
        <w:t xml:space="preserve">between occupancy agreements and residential tenancies </w:t>
      </w:r>
      <w:r w:rsidRPr="00A26629">
        <w:rPr>
          <w:rFonts w:ascii="Arial" w:hAnsi="Arial" w:cs="Arial"/>
          <w:sz w:val="24"/>
          <w:szCs w:val="24"/>
        </w:rPr>
        <w:t xml:space="preserve">is to </w:t>
      </w:r>
      <w:r>
        <w:rPr>
          <w:rFonts w:ascii="Arial" w:hAnsi="Arial" w:cs="Arial"/>
          <w:sz w:val="24"/>
          <w:szCs w:val="24"/>
        </w:rPr>
        <w:t>facilitate a wider range of housing options where a tenancy agreement may either be ill-suited or inappropriate.</w:t>
      </w:r>
      <w:r w:rsidRPr="00A26629">
        <w:rPr>
          <w:rFonts w:ascii="Arial" w:hAnsi="Arial" w:cs="Arial"/>
          <w:sz w:val="24"/>
          <w:szCs w:val="24"/>
        </w:rPr>
        <w:t xml:space="preserve"> The</w:t>
      </w:r>
      <w:r>
        <w:rPr>
          <w:rFonts w:ascii="Arial" w:hAnsi="Arial" w:cs="Arial"/>
          <w:sz w:val="24"/>
          <w:szCs w:val="24"/>
        </w:rPr>
        <w:t> </w:t>
      </w:r>
      <w:r w:rsidRPr="00A26629">
        <w:rPr>
          <w:rFonts w:ascii="Arial" w:hAnsi="Arial" w:cs="Arial"/>
          <w:sz w:val="24"/>
          <w:szCs w:val="24"/>
        </w:rPr>
        <w:t xml:space="preserve">measure is of importance as, without this measure, </w:t>
      </w:r>
      <w:r>
        <w:rPr>
          <w:rFonts w:ascii="Arial" w:hAnsi="Arial" w:cs="Arial"/>
          <w:sz w:val="24"/>
          <w:szCs w:val="24"/>
        </w:rPr>
        <w:t>residential tenancy agreements may create an obstacle to the provision of flexible housing and related support services in appropriate circumstances</w:t>
      </w:r>
      <w:r w:rsidRPr="00A26629">
        <w:rPr>
          <w:rFonts w:ascii="Arial" w:hAnsi="Arial" w:cs="Arial"/>
          <w:sz w:val="24"/>
          <w:szCs w:val="24"/>
        </w:rPr>
        <w:t xml:space="preserve">. </w:t>
      </w:r>
      <w:r>
        <w:rPr>
          <w:rFonts w:ascii="Arial" w:hAnsi="Arial" w:cs="Arial"/>
          <w:sz w:val="24"/>
          <w:szCs w:val="24"/>
        </w:rPr>
        <w:t>The current measure, by more clearly defining the distinction between an occupancy agreement and a residential tenancy agreement,</w:t>
      </w:r>
      <w:r w:rsidRPr="00A26629">
        <w:rPr>
          <w:rFonts w:ascii="Arial" w:hAnsi="Arial" w:cs="Arial"/>
          <w:sz w:val="24"/>
          <w:szCs w:val="24"/>
        </w:rPr>
        <w:t xml:space="preserve"> </w:t>
      </w:r>
      <w:r>
        <w:rPr>
          <w:rFonts w:ascii="Arial" w:hAnsi="Arial" w:cs="Arial"/>
          <w:sz w:val="24"/>
          <w:szCs w:val="24"/>
        </w:rPr>
        <w:t>will assist to</w:t>
      </w:r>
      <w:r w:rsidRPr="00A26629">
        <w:rPr>
          <w:rFonts w:ascii="Arial" w:hAnsi="Arial" w:cs="Arial"/>
          <w:sz w:val="24"/>
          <w:szCs w:val="24"/>
        </w:rPr>
        <w:t xml:space="preserve"> achieve the stated purpose of the measure.</w:t>
      </w:r>
      <w:r>
        <w:rPr>
          <w:rFonts w:ascii="Arial" w:hAnsi="Arial" w:cs="Arial"/>
          <w:sz w:val="24"/>
          <w:szCs w:val="24"/>
        </w:rPr>
        <w:t xml:space="preserve"> The proposed amendments will improve the proportionality of any distinction overall, by increasing the protections contained in occupancy agreements. </w:t>
      </w:r>
    </w:p>
    <w:p w14:paraId="5A8E89C6" w14:textId="77777777" w:rsidR="00D87810" w:rsidRDefault="00D87810" w:rsidP="00732507">
      <w:pPr>
        <w:rPr>
          <w:rFonts w:ascii="Arial" w:hAnsi="Arial" w:cs="Arial"/>
          <w:sz w:val="24"/>
          <w:szCs w:val="24"/>
        </w:rPr>
      </w:pPr>
    </w:p>
    <w:p w14:paraId="13509389" w14:textId="53E6DBE4" w:rsidR="00732507" w:rsidRPr="00A26629" w:rsidRDefault="00732507" w:rsidP="00732507">
      <w:pPr>
        <w:rPr>
          <w:rFonts w:ascii="Arial" w:hAnsi="Arial" w:cs="Arial"/>
          <w:sz w:val="24"/>
          <w:szCs w:val="24"/>
        </w:rPr>
      </w:pPr>
      <w:r>
        <w:rPr>
          <w:rFonts w:ascii="Arial" w:hAnsi="Arial" w:cs="Arial"/>
          <w:sz w:val="24"/>
          <w:szCs w:val="24"/>
        </w:rPr>
        <w:lastRenderedPageBreak/>
        <w:t xml:space="preserve">Under the amendments, a presumption will remain in favour of a residential tenancy agreement in a range of circumstances. Under the proposed definitions, occupancy agreements arise where the agreement seeks to achieve a clearly defined outcome such that </w:t>
      </w:r>
      <w:r w:rsidRPr="00A26629">
        <w:rPr>
          <w:rFonts w:ascii="Arial" w:hAnsi="Arial" w:cs="Arial"/>
          <w:sz w:val="24"/>
          <w:szCs w:val="24"/>
        </w:rPr>
        <w:t>any differential treatment</w:t>
      </w:r>
      <w:r>
        <w:rPr>
          <w:rFonts w:ascii="Arial" w:hAnsi="Arial" w:cs="Arial"/>
          <w:sz w:val="24"/>
          <w:szCs w:val="24"/>
        </w:rPr>
        <w:t xml:space="preserve"> between occupants and residential tenants</w:t>
      </w:r>
      <w:r w:rsidRPr="00A26629">
        <w:rPr>
          <w:rFonts w:ascii="Arial" w:hAnsi="Arial" w:cs="Arial"/>
          <w:sz w:val="24"/>
          <w:szCs w:val="24"/>
        </w:rPr>
        <w:t xml:space="preserve"> will be based on reasonable and objective criteria. </w:t>
      </w:r>
      <w:r>
        <w:rPr>
          <w:rFonts w:ascii="Arial" w:hAnsi="Arial" w:cs="Arial"/>
          <w:sz w:val="24"/>
          <w:szCs w:val="24"/>
        </w:rPr>
        <w:t xml:space="preserve">Further relevant to </w:t>
      </w:r>
      <w:r w:rsidRPr="00A26629">
        <w:rPr>
          <w:rFonts w:ascii="Arial" w:hAnsi="Arial" w:cs="Arial"/>
          <w:sz w:val="24"/>
          <w:szCs w:val="24"/>
        </w:rPr>
        <w:t xml:space="preserve">the proportionality of the measure, </w:t>
      </w:r>
      <w:r>
        <w:rPr>
          <w:rFonts w:ascii="Arial" w:hAnsi="Arial" w:cs="Arial"/>
          <w:sz w:val="24"/>
          <w:szCs w:val="24"/>
        </w:rPr>
        <w:t>is that parties to an agreement that purports to be an occupancy agreement will be able to challenge its status in the ACT Civil and Administrative Tribunal (the Tribunal)</w:t>
      </w:r>
      <w:r w:rsidRPr="00A26629">
        <w:rPr>
          <w:rFonts w:ascii="Arial" w:hAnsi="Arial" w:cs="Arial"/>
          <w:sz w:val="24"/>
          <w:szCs w:val="24"/>
        </w:rPr>
        <w:t>.</w:t>
      </w:r>
    </w:p>
    <w:p w14:paraId="1538B1D5" w14:textId="77777777" w:rsidR="00732507" w:rsidRPr="002C3225" w:rsidRDefault="00732507" w:rsidP="00732507">
      <w:pPr>
        <w:pStyle w:val="NoSpacing"/>
        <w:spacing w:after="240"/>
        <w:rPr>
          <w:rFonts w:ascii="Arial" w:hAnsi="Arial" w:cs="Arial"/>
          <w:i/>
          <w:sz w:val="24"/>
          <w:szCs w:val="24"/>
        </w:rPr>
      </w:pPr>
      <w:r w:rsidRPr="002C3225">
        <w:rPr>
          <w:rFonts w:ascii="Arial" w:hAnsi="Arial" w:cs="Arial"/>
          <w:i/>
          <w:sz w:val="24"/>
          <w:szCs w:val="24"/>
        </w:rPr>
        <w:t>Right to privacy, family and home</w:t>
      </w:r>
    </w:p>
    <w:p w14:paraId="3B0B01A9" w14:textId="29587D44" w:rsidR="00732507" w:rsidRPr="002C3225" w:rsidRDefault="00732507" w:rsidP="00300B92">
      <w:pPr>
        <w:rPr>
          <w:rFonts w:ascii="Arial" w:hAnsi="Arial" w:cs="Arial"/>
          <w:sz w:val="24"/>
          <w:szCs w:val="24"/>
        </w:rPr>
      </w:pPr>
      <w:r w:rsidRPr="002C3225">
        <w:rPr>
          <w:rFonts w:ascii="Arial" w:hAnsi="Arial" w:cs="Arial"/>
          <w:sz w:val="24"/>
          <w:szCs w:val="24"/>
        </w:rPr>
        <w:t xml:space="preserve">Section 12 of the HRA protects the right to privacy, family, home or correspondence. Almost all of the proposed amendments, whether taken together or in isolation, </w:t>
      </w:r>
      <w:r>
        <w:rPr>
          <w:rFonts w:ascii="Arial" w:hAnsi="Arial" w:cs="Arial"/>
          <w:sz w:val="24"/>
          <w:szCs w:val="24"/>
        </w:rPr>
        <w:t xml:space="preserve">engage and </w:t>
      </w:r>
      <w:r w:rsidRPr="002C3225">
        <w:rPr>
          <w:rFonts w:ascii="Arial" w:hAnsi="Arial" w:cs="Arial"/>
          <w:sz w:val="24"/>
          <w:szCs w:val="24"/>
        </w:rPr>
        <w:t xml:space="preserve">promote the right not to have one’s privacy, family, home or correspondence interfered with unlawfully or arbitrarily. Having </w:t>
      </w:r>
      <w:r>
        <w:rPr>
          <w:rFonts w:ascii="Arial" w:hAnsi="Arial" w:cs="Arial"/>
          <w:sz w:val="24"/>
          <w:szCs w:val="24"/>
        </w:rPr>
        <w:t>access to accommodation provides</w:t>
      </w:r>
      <w:r w:rsidRPr="002C3225">
        <w:rPr>
          <w:rFonts w:ascii="Arial" w:hAnsi="Arial" w:cs="Arial"/>
          <w:sz w:val="24"/>
          <w:szCs w:val="24"/>
        </w:rPr>
        <w:t xml:space="preserve"> a space for individual tenants</w:t>
      </w:r>
      <w:r>
        <w:rPr>
          <w:rFonts w:ascii="Arial" w:hAnsi="Arial" w:cs="Arial"/>
          <w:sz w:val="24"/>
          <w:szCs w:val="24"/>
        </w:rPr>
        <w:t xml:space="preserve"> and occupants</w:t>
      </w:r>
      <w:r w:rsidRPr="002C3225">
        <w:rPr>
          <w:rFonts w:ascii="Arial" w:hAnsi="Arial" w:cs="Arial"/>
          <w:sz w:val="24"/>
          <w:szCs w:val="24"/>
        </w:rPr>
        <w:t xml:space="preserve"> to develop their identity</w:t>
      </w:r>
      <w:r>
        <w:rPr>
          <w:rFonts w:ascii="Arial" w:hAnsi="Arial" w:cs="Arial"/>
          <w:sz w:val="24"/>
          <w:szCs w:val="24"/>
        </w:rPr>
        <w:t xml:space="preserve"> and</w:t>
      </w:r>
      <w:r w:rsidRPr="002C3225">
        <w:rPr>
          <w:rFonts w:ascii="Arial" w:hAnsi="Arial" w:cs="Arial"/>
          <w:sz w:val="24"/>
          <w:szCs w:val="24"/>
        </w:rPr>
        <w:t xml:space="preserve"> to have personal security and mental stability. Where </w:t>
      </w:r>
      <w:r>
        <w:rPr>
          <w:rFonts w:ascii="Arial" w:hAnsi="Arial" w:cs="Arial"/>
          <w:sz w:val="24"/>
          <w:szCs w:val="24"/>
        </w:rPr>
        <w:t xml:space="preserve">residents </w:t>
      </w:r>
      <w:r w:rsidRPr="002C3225">
        <w:rPr>
          <w:rFonts w:ascii="Arial" w:hAnsi="Arial" w:cs="Arial"/>
          <w:sz w:val="24"/>
          <w:szCs w:val="24"/>
        </w:rPr>
        <w:t>of a residential premises comprise a family, the proposed amendments also promote protections afforded to families in the ACT under s</w:t>
      </w:r>
      <w:r>
        <w:rPr>
          <w:rFonts w:ascii="Arial" w:hAnsi="Arial" w:cs="Arial"/>
          <w:sz w:val="24"/>
          <w:szCs w:val="24"/>
        </w:rPr>
        <w:t>ection</w:t>
      </w:r>
      <w:r w:rsidRPr="002C3225">
        <w:rPr>
          <w:rFonts w:ascii="Arial" w:hAnsi="Arial" w:cs="Arial"/>
          <w:sz w:val="24"/>
          <w:szCs w:val="24"/>
        </w:rPr>
        <w:t xml:space="preserve"> 11(1) of the HRA.</w:t>
      </w:r>
    </w:p>
    <w:p w14:paraId="304B7C99" w14:textId="3AADE6D2" w:rsidR="00732507" w:rsidRPr="00AA46C6" w:rsidRDefault="00732507" w:rsidP="00300B92">
      <w:pPr>
        <w:rPr>
          <w:rFonts w:ascii="Arial" w:hAnsi="Arial" w:cs="Arial"/>
          <w:sz w:val="24"/>
          <w:szCs w:val="24"/>
        </w:rPr>
      </w:pPr>
      <w:r w:rsidRPr="00AA46C6">
        <w:rPr>
          <w:rFonts w:ascii="Arial" w:hAnsi="Arial" w:cs="Arial"/>
          <w:sz w:val="24"/>
          <w:szCs w:val="24"/>
        </w:rPr>
        <w:t xml:space="preserve">The right not to have one’s privacy, family, home or correspondence interfered with unlawfully or arbitrarily will be engaged by making the occupancy principles in Part 5A mandatory. Currently, Part 5A requires that grantors ‘must have regard’ to the principles listed within </w:t>
      </w:r>
      <w:r w:rsidR="006A488B">
        <w:rPr>
          <w:rFonts w:ascii="Arial" w:hAnsi="Arial" w:cs="Arial"/>
          <w:sz w:val="24"/>
          <w:szCs w:val="24"/>
        </w:rPr>
        <w:t>Part 5A</w:t>
      </w:r>
      <w:r w:rsidRPr="00AA46C6">
        <w:rPr>
          <w:rFonts w:ascii="Arial" w:hAnsi="Arial" w:cs="Arial"/>
          <w:sz w:val="24"/>
          <w:szCs w:val="24"/>
        </w:rPr>
        <w:t xml:space="preserve">, providing </w:t>
      </w:r>
      <w:r>
        <w:rPr>
          <w:rFonts w:ascii="Arial" w:hAnsi="Arial" w:cs="Arial"/>
          <w:sz w:val="24"/>
          <w:szCs w:val="24"/>
        </w:rPr>
        <w:t xml:space="preserve">less </w:t>
      </w:r>
      <w:r w:rsidRPr="00AA46C6">
        <w:rPr>
          <w:rFonts w:ascii="Arial" w:hAnsi="Arial" w:cs="Arial"/>
          <w:sz w:val="24"/>
          <w:szCs w:val="24"/>
        </w:rPr>
        <w:t xml:space="preserve">certainly regarding the ability for occupants to enforce their rights outside of formal legal proceedings, processes which themselves lack clarity regarding the obligations of grantors towards occupants. Mandating these occupancy principles will provide grantors with clarity regarding the minimum requirements owed to occupants, provide occupants with a firmer basis to seek the enforcement of their rights through non-adversarial means, and provide stronger guidance to legal bodies such as </w:t>
      </w:r>
      <w:r>
        <w:rPr>
          <w:rFonts w:ascii="Arial" w:hAnsi="Arial" w:cs="Arial"/>
          <w:sz w:val="24"/>
          <w:szCs w:val="24"/>
        </w:rPr>
        <w:t>the Tribunal</w:t>
      </w:r>
      <w:r w:rsidRPr="00AA46C6">
        <w:rPr>
          <w:rFonts w:ascii="Arial" w:hAnsi="Arial" w:cs="Arial"/>
          <w:sz w:val="24"/>
          <w:szCs w:val="24"/>
        </w:rPr>
        <w:t xml:space="preserve"> to assist in their decision making on formal disputes. These outcomes result in greater protection of an occupant’s privacy, family, home or correspondence by unlawful or arbitrary means through providing clarity regarding when </w:t>
      </w:r>
      <w:r>
        <w:rPr>
          <w:rFonts w:ascii="Arial" w:hAnsi="Arial" w:cs="Arial"/>
          <w:sz w:val="24"/>
          <w:szCs w:val="24"/>
        </w:rPr>
        <w:t>rights under an agreement are</w:t>
      </w:r>
      <w:r w:rsidRPr="00AA46C6">
        <w:rPr>
          <w:rFonts w:ascii="Arial" w:hAnsi="Arial" w:cs="Arial"/>
          <w:sz w:val="24"/>
          <w:szCs w:val="24"/>
        </w:rPr>
        <w:t xml:space="preserve"> interfered with, and a clear</w:t>
      </w:r>
      <w:r>
        <w:rPr>
          <w:rFonts w:ascii="Arial" w:hAnsi="Arial" w:cs="Arial"/>
          <w:sz w:val="24"/>
          <w:szCs w:val="24"/>
        </w:rPr>
        <w:t>er</w:t>
      </w:r>
      <w:r w:rsidRPr="00AA46C6">
        <w:rPr>
          <w:rFonts w:ascii="Arial" w:hAnsi="Arial" w:cs="Arial"/>
          <w:sz w:val="24"/>
          <w:szCs w:val="24"/>
        </w:rPr>
        <w:t xml:space="preserve"> basis for </w:t>
      </w:r>
      <w:r>
        <w:rPr>
          <w:rFonts w:ascii="Arial" w:hAnsi="Arial" w:cs="Arial"/>
          <w:sz w:val="24"/>
          <w:szCs w:val="24"/>
        </w:rPr>
        <w:t>enforcing such entitlements</w:t>
      </w:r>
      <w:r w:rsidRPr="00AA46C6">
        <w:rPr>
          <w:rFonts w:ascii="Arial" w:hAnsi="Arial" w:cs="Arial"/>
          <w:sz w:val="24"/>
          <w:szCs w:val="24"/>
        </w:rPr>
        <w:t xml:space="preserve">. </w:t>
      </w:r>
    </w:p>
    <w:p w14:paraId="5AF7C901" w14:textId="2073A847" w:rsidR="00732507" w:rsidRPr="00AA46C6" w:rsidRDefault="00732507" w:rsidP="00300B92">
      <w:pPr>
        <w:rPr>
          <w:rFonts w:ascii="Arial" w:hAnsi="Arial" w:cs="Arial"/>
          <w:sz w:val="24"/>
          <w:szCs w:val="24"/>
        </w:rPr>
      </w:pPr>
      <w:bookmarkStart w:id="2" w:name="_Hlk24546580"/>
      <w:r w:rsidRPr="00AA46C6">
        <w:rPr>
          <w:rFonts w:ascii="Arial" w:hAnsi="Arial" w:cs="Arial"/>
          <w:sz w:val="24"/>
          <w:szCs w:val="24"/>
        </w:rPr>
        <w:t xml:space="preserve">The right </w:t>
      </w:r>
      <w:r>
        <w:rPr>
          <w:rFonts w:ascii="Arial" w:hAnsi="Arial" w:cs="Arial"/>
          <w:sz w:val="24"/>
          <w:szCs w:val="24"/>
        </w:rPr>
        <w:t xml:space="preserve">to </w:t>
      </w:r>
      <w:r w:rsidRPr="00AA46C6">
        <w:rPr>
          <w:rFonts w:ascii="Arial" w:hAnsi="Arial" w:cs="Arial"/>
          <w:sz w:val="24"/>
          <w:szCs w:val="24"/>
        </w:rPr>
        <w:t>privacy</w:t>
      </w:r>
      <w:r>
        <w:rPr>
          <w:rFonts w:ascii="Arial" w:hAnsi="Arial" w:cs="Arial"/>
          <w:sz w:val="24"/>
          <w:szCs w:val="24"/>
        </w:rPr>
        <w:t xml:space="preserve"> and </w:t>
      </w:r>
      <w:r w:rsidRPr="00AA46C6">
        <w:rPr>
          <w:rFonts w:ascii="Arial" w:hAnsi="Arial" w:cs="Arial"/>
          <w:sz w:val="24"/>
          <w:szCs w:val="24"/>
        </w:rPr>
        <w:t xml:space="preserve">home </w:t>
      </w:r>
      <w:bookmarkEnd w:id="2"/>
      <w:r w:rsidRPr="00AA46C6">
        <w:rPr>
          <w:rFonts w:ascii="Arial" w:hAnsi="Arial" w:cs="Arial"/>
          <w:sz w:val="24"/>
          <w:szCs w:val="24"/>
        </w:rPr>
        <w:t>will also be engaged</w:t>
      </w:r>
      <w:r>
        <w:rPr>
          <w:rFonts w:ascii="Arial" w:hAnsi="Arial" w:cs="Arial"/>
          <w:sz w:val="24"/>
          <w:szCs w:val="24"/>
        </w:rPr>
        <w:t xml:space="preserve"> and promoted</w:t>
      </w:r>
      <w:r w:rsidRPr="00AA46C6">
        <w:rPr>
          <w:rFonts w:ascii="Arial" w:hAnsi="Arial" w:cs="Arial"/>
          <w:sz w:val="24"/>
          <w:szCs w:val="24"/>
        </w:rPr>
        <w:t xml:space="preserve"> by providing occupants with the ability to make an occupancy dispute complaint to the ACT Human Rights Commission</w:t>
      </w:r>
      <w:r>
        <w:rPr>
          <w:rFonts w:ascii="Arial" w:hAnsi="Arial" w:cs="Arial"/>
          <w:sz w:val="24"/>
          <w:szCs w:val="24"/>
        </w:rPr>
        <w:t xml:space="preserve"> (Schedule 1, Part 1.1)</w:t>
      </w:r>
      <w:r w:rsidRPr="00AA46C6">
        <w:rPr>
          <w:rFonts w:ascii="Arial" w:hAnsi="Arial" w:cs="Arial"/>
          <w:sz w:val="24"/>
          <w:szCs w:val="24"/>
        </w:rPr>
        <w:t xml:space="preserve">. In conjunction with the mandating of the occupancy principles, providing direct access to this dispute resolution option will </w:t>
      </w:r>
      <w:r>
        <w:rPr>
          <w:rFonts w:ascii="Arial" w:hAnsi="Arial" w:cs="Arial"/>
          <w:sz w:val="24"/>
          <w:szCs w:val="24"/>
        </w:rPr>
        <w:t>provide</w:t>
      </w:r>
      <w:r w:rsidRPr="00AA46C6">
        <w:rPr>
          <w:rFonts w:ascii="Arial" w:hAnsi="Arial" w:cs="Arial"/>
          <w:sz w:val="24"/>
          <w:szCs w:val="24"/>
        </w:rPr>
        <w:t xml:space="preserve"> occupants </w:t>
      </w:r>
      <w:r>
        <w:rPr>
          <w:rFonts w:ascii="Arial" w:hAnsi="Arial" w:cs="Arial"/>
          <w:sz w:val="24"/>
          <w:szCs w:val="24"/>
        </w:rPr>
        <w:t xml:space="preserve">with an additional </w:t>
      </w:r>
      <w:r w:rsidR="00013AB0">
        <w:rPr>
          <w:rFonts w:ascii="Arial" w:hAnsi="Arial" w:cs="Arial"/>
          <w:sz w:val="24"/>
          <w:szCs w:val="24"/>
        </w:rPr>
        <w:t>avenue</w:t>
      </w:r>
      <w:r>
        <w:rPr>
          <w:rFonts w:ascii="Arial" w:hAnsi="Arial" w:cs="Arial"/>
          <w:sz w:val="24"/>
          <w:szCs w:val="24"/>
        </w:rPr>
        <w:t xml:space="preserve"> to</w:t>
      </w:r>
      <w:r w:rsidRPr="00AA46C6">
        <w:rPr>
          <w:rFonts w:ascii="Arial" w:hAnsi="Arial" w:cs="Arial"/>
          <w:sz w:val="24"/>
          <w:szCs w:val="24"/>
        </w:rPr>
        <w:t xml:space="preserve"> seek the enforcement of their rights.</w:t>
      </w:r>
    </w:p>
    <w:p w14:paraId="5A122391" w14:textId="77777777" w:rsidR="00D87810" w:rsidRDefault="00D87810" w:rsidP="00300B92">
      <w:pPr>
        <w:rPr>
          <w:rFonts w:ascii="Arial" w:hAnsi="Arial" w:cs="Arial"/>
          <w:sz w:val="24"/>
          <w:szCs w:val="24"/>
        </w:rPr>
      </w:pPr>
    </w:p>
    <w:p w14:paraId="54159D98" w14:textId="77777777" w:rsidR="00D87810" w:rsidRDefault="00D87810" w:rsidP="00300B92">
      <w:pPr>
        <w:rPr>
          <w:rFonts w:ascii="Arial" w:hAnsi="Arial" w:cs="Arial"/>
          <w:sz w:val="24"/>
          <w:szCs w:val="24"/>
        </w:rPr>
      </w:pPr>
    </w:p>
    <w:p w14:paraId="6EE719E1" w14:textId="04EB5B2E" w:rsidR="00732507" w:rsidRPr="00AA46C6" w:rsidRDefault="00732507" w:rsidP="00300B92">
      <w:pPr>
        <w:rPr>
          <w:rFonts w:ascii="Arial" w:hAnsi="Arial" w:cs="Arial"/>
          <w:sz w:val="24"/>
          <w:szCs w:val="24"/>
        </w:rPr>
      </w:pPr>
      <w:r w:rsidRPr="003D1D9A">
        <w:rPr>
          <w:rFonts w:ascii="Arial" w:hAnsi="Arial" w:cs="Arial"/>
          <w:sz w:val="24"/>
          <w:szCs w:val="24"/>
        </w:rPr>
        <w:lastRenderedPageBreak/>
        <w:t xml:space="preserve">The right to privacy and home </w:t>
      </w:r>
      <w:r w:rsidRPr="00AA46C6">
        <w:rPr>
          <w:rFonts w:ascii="Arial" w:hAnsi="Arial" w:cs="Arial"/>
          <w:sz w:val="24"/>
          <w:szCs w:val="24"/>
        </w:rPr>
        <w:t xml:space="preserve">will also be engaged </w:t>
      </w:r>
      <w:r>
        <w:rPr>
          <w:rFonts w:ascii="Arial" w:hAnsi="Arial" w:cs="Arial"/>
          <w:sz w:val="24"/>
          <w:szCs w:val="24"/>
        </w:rPr>
        <w:t xml:space="preserve">and promoted </w:t>
      </w:r>
      <w:r w:rsidRPr="00AA46C6">
        <w:rPr>
          <w:rFonts w:ascii="Arial" w:hAnsi="Arial" w:cs="Arial"/>
          <w:sz w:val="24"/>
          <w:szCs w:val="24"/>
        </w:rPr>
        <w:t xml:space="preserve">by the inclusion of the new occupancy principle requiring a grantor </w:t>
      </w:r>
      <w:r w:rsidR="00F61119">
        <w:rPr>
          <w:rFonts w:ascii="Arial" w:hAnsi="Arial" w:cs="Arial"/>
          <w:sz w:val="24"/>
          <w:szCs w:val="24"/>
        </w:rPr>
        <w:t>to</w:t>
      </w:r>
      <w:r w:rsidRPr="00AA46C6">
        <w:rPr>
          <w:rFonts w:ascii="Arial" w:hAnsi="Arial" w:cs="Arial"/>
          <w:sz w:val="24"/>
          <w:szCs w:val="24"/>
        </w:rPr>
        <w:t xml:space="preserve"> ensur</w:t>
      </w:r>
      <w:r w:rsidR="00F61119">
        <w:rPr>
          <w:rFonts w:ascii="Arial" w:hAnsi="Arial" w:cs="Arial"/>
          <w:sz w:val="24"/>
          <w:szCs w:val="24"/>
        </w:rPr>
        <w:t>e</w:t>
      </w:r>
      <w:r w:rsidRPr="00AA46C6">
        <w:rPr>
          <w:rFonts w:ascii="Arial" w:hAnsi="Arial" w:cs="Arial"/>
          <w:sz w:val="24"/>
          <w:szCs w:val="24"/>
        </w:rPr>
        <w:t xml:space="preserve"> 24</w:t>
      </w:r>
      <w:r>
        <w:rPr>
          <w:rFonts w:ascii="Arial" w:hAnsi="Arial" w:cs="Arial"/>
          <w:sz w:val="24"/>
          <w:szCs w:val="24"/>
        </w:rPr>
        <w:noBreakHyphen/>
      </w:r>
      <w:r w:rsidRPr="00AA46C6">
        <w:rPr>
          <w:rFonts w:ascii="Arial" w:hAnsi="Arial" w:cs="Arial"/>
          <w:sz w:val="24"/>
          <w:szCs w:val="24"/>
        </w:rPr>
        <w:t>hour access to the premises which is the subject of their occupancy agreement and associated hygiene facilities, and access to communal facilities during reasonable hours</w:t>
      </w:r>
      <w:r w:rsidR="006A488B">
        <w:rPr>
          <w:rFonts w:ascii="Arial" w:hAnsi="Arial" w:cs="Arial"/>
          <w:sz w:val="24"/>
          <w:szCs w:val="24"/>
        </w:rPr>
        <w:t xml:space="preserve"> having regard to the occupant’s individual circumstances</w:t>
      </w:r>
      <w:r>
        <w:rPr>
          <w:rFonts w:ascii="Arial" w:hAnsi="Arial" w:cs="Arial"/>
          <w:sz w:val="24"/>
          <w:szCs w:val="24"/>
        </w:rPr>
        <w:t xml:space="preserve"> (clause 2</w:t>
      </w:r>
      <w:r w:rsidR="00A62E2B">
        <w:rPr>
          <w:rFonts w:ascii="Arial" w:hAnsi="Arial" w:cs="Arial"/>
          <w:sz w:val="24"/>
          <w:szCs w:val="24"/>
        </w:rPr>
        <w:t>7</w:t>
      </w:r>
      <w:r>
        <w:rPr>
          <w:rFonts w:ascii="Arial" w:hAnsi="Arial" w:cs="Arial"/>
          <w:sz w:val="24"/>
          <w:szCs w:val="24"/>
        </w:rPr>
        <w:t>, proposed new section 71EH)</w:t>
      </w:r>
      <w:r w:rsidRPr="00AA46C6">
        <w:rPr>
          <w:rFonts w:ascii="Arial" w:hAnsi="Arial" w:cs="Arial"/>
          <w:sz w:val="24"/>
          <w:szCs w:val="24"/>
        </w:rPr>
        <w:t>. This will</w:t>
      </w:r>
      <w:r>
        <w:rPr>
          <w:rFonts w:ascii="Arial" w:hAnsi="Arial" w:cs="Arial"/>
          <w:sz w:val="24"/>
          <w:szCs w:val="24"/>
        </w:rPr>
        <w:t xml:space="preserve"> assist to</w:t>
      </w:r>
      <w:r w:rsidRPr="00AA46C6">
        <w:rPr>
          <w:rFonts w:ascii="Arial" w:hAnsi="Arial" w:cs="Arial"/>
          <w:sz w:val="24"/>
          <w:szCs w:val="24"/>
        </w:rPr>
        <w:t xml:space="preserve"> ensure that occupants are always provided access to hygiene necessities such as toilets and showers, </w:t>
      </w:r>
      <w:r w:rsidR="006A488B">
        <w:rPr>
          <w:rFonts w:ascii="Arial" w:hAnsi="Arial" w:cs="Arial"/>
          <w:sz w:val="24"/>
          <w:szCs w:val="24"/>
        </w:rPr>
        <w:t>while</w:t>
      </w:r>
      <w:r w:rsidR="006A488B" w:rsidRPr="00AA46C6">
        <w:rPr>
          <w:rFonts w:ascii="Arial" w:hAnsi="Arial" w:cs="Arial"/>
          <w:sz w:val="24"/>
          <w:szCs w:val="24"/>
        </w:rPr>
        <w:t xml:space="preserve"> </w:t>
      </w:r>
      <w:r w:rsidRPr="00AA46C6">
        <w:rPr>
          <w:rFonts w:ascii="Arial" w:hAnsi="Arial" w:cs="Arial"/>
          <w:sz w:val="24"/>
          <w:szCs w:val="24"/>
        </w:rPr>
        <w:t>ensuring that the use of shared facilities does not adversely impact on other occupants outside of reasonable hours.</w:t>
      </w:r>
    </w:p>
    <w:p w14:paraId="25F85C2F" w14:textId="41ADC873" w:rsidR="007D6581" w:rsidRDefault="00732507" w:rsidP="00107D0B">
      <w:pPr>
        <w:rPr>
          <w:rFonts w:ascii="Arial" w:hAnsi="Arial" w:cs="Arial"/>
          <w:sz w:val="24"/>
          <w:szCs w:val="24"/>
        </w:rPr>
      </w:pPr>
      <w:r w:rsidRPr="00AA46C6">
        <w:rPr>
          <w:rFonts w:ascii="Arial" w:hAnsi="Arial" w:cs="Arial"/>
          <w:sz w:val="24"/>
          <w:szCs w:val="24"/>
        </w:rPr>
        <w:t xml:space="preserve">The </w:t>
      </w:r>
      <w:r w:rsidRPr="003D1D9A">
        <w:rPr>
          <w:rFonts w:ascii="Arial" w:hAnsi="Arial" w:cs="Arial"/>
          <w:sz w:val="24"/>
          <w:szCs w:val="24"/>
        </w:rPr>
        <w:t xml:space="preserve">right to privacy and home </w:t>
      </w:r>
      <w:r w:rsidRPr="00AA46C6">
        <w:rPr>
          <w:rFonts w:ascii="Arial" w:hAnsi="Arial" w:cs="Arial"/>
          <w:sz w:val="24"/>
          <w:szCs w:val="24"/>
        </w:rPr>
        <w:t>will also be engaged by the amendment providing that a grantor may enter premises during the residential occupancy agreement where the grantor believes on reasonable grounds that the premises have been abandoned by the occupant</w:t>
      </w:r>
      <w:r>
        <w:rPr>
          <w:rFonts w:ascii="Arial" w:hAnsi="Arial" w:cs="Arial"/>
          <w:sz w:val="24"/>
          <w:szCs w:val="24"/>
        </w:rPr>
        <w:t xml:space="preserve"> (clause 2</w:t>
      </w:r>
      <w:r w:rsidR="00A62E2B">
        <w:rPr>
          <w:rFonts w:ascii="Arial" w:hAnsi="Arial" w:cs="Arial"/>
          <w:sz w:val="24"/>
          <w:szCs w:val="24"/>
        </w:rPr>
        <w:t>7</w:t>
      </w:r>
      <w:r>
        <w:rPr>
          <w:rFonts w:ascii="Arial" w:hAnsi="Arial" w:cs="Arial"/>
          <w:sz w:val="24"/>
          <w:szCs w:val="24"/>
        </w:rPr>
        <w:t>, proposed new section 71E</w:t>
      </w:r>
      <w:r w:rsidR="00A62E2B">
        <w:rPr>
          <w:rFonts w:ascii="Arial" w:hAnsi="Arial" w:cs="Arial"/>
          <w:sz w:val="24"/>
          <w:szCs w:val="24"/>
        </w:rPr>
        <w:t>M</w:t>
      </w:r>
      <w:r>
        <w:rPr>
          <w:rFonts w:ascii="Arial" w:hAnsi="Arial" w:cs="Arial"/>
          <w:sz w:val="24"/>
          <w:szCs w:val="24"/>
        </w:rPr>
        <w:t>)</w:t>
      </w:r>
      <w:r w:rsidRPr="00AA46C6">
        <w:rPr>
          <w:rFonts w:ascii="Arial" w:hAnsi="Arial" w:cs="Arial"/>
          <w:sz w:val="24"/>
          <w:szCs w:val="24"/>
        </w:rPr>
        <w:t xml:space="preserve">. </w:t>
      </w:r>
      <w:r w:rsidRPr="002C3225">
        <w:rPr>
          <w:rFonts w:ascii="Arial" w:hAnsi="Arial" w:cs="Arial"/>
          <w:sz w:val="24"/>
          <w:szCs w:val="24"/>
        </w:rPr>
        <w:t xml:space="preserve">However, </w:t>
      </w:r>
      <w:bookmarkStart w:id="3" w:name="_Hlk31718030"/>
      <w:r w:rsidRPr="002C3225">
        <w:rPr>
          <w:rFonts w:ascii="Arial" w:hAnsi="Arial" w:cs="Arial"/>
          <w:sz w:val="24"/>
          <w:szCs w:val="24"/>
        </w:rPr>
        <w:t>this right may be subject to reasonable limitations under s</w:t>
      </w:r>
      <w:r>
        <w:rPr>
          <w:rFonts w:ascii="Arial" w:hAnsi="Arial" w:cs="Arial"/>
          <w:sz w:val="24"/>
          <w:szCs w:val="24"/>
        </w:rPr>
        <w:t>ection</w:t>
      </w:r>
      <w:r w:rsidRPr="002C3225">
        <w:rPr>
          <w:rFonts w:ascii="Arial" w:hAnsi="Arial" w:cs="Arial"/>
          <w:sz w:val="24"/>
          <w:szCs w:val="24"/>
        </w:rPr>
        <w:t xml:space="preserve"> 28 of the HRA.</w:t>
      </w:r>
      <w:bookmarkEnd w:id="3"/>
      <w:r w:rsidRPr="002C3225">
        <w:rPr>
          <w:rFonts w:ascii="Arial" w:hAnsi="Arial" w:cs="Arial"/>
          <w:sz w:val="24"/>
          <w:szCs w:val="24"/>
        </w:rPr>
        <w:t xml:space="preserve"> Applying th</w:t>
      </w:r>
      <w:r>
        <w:rPr>
          <w:rFonts w:ascii="Arial" w:hAnsi="Arial" w:cs="Arial"/>
          <w:sz w:val="24"/>
          <w:szCs w:val="24"/>
        </w:rPr>
        <w:t>e</w:t>
      </w:r>
      <w:r w:rsidRPr="002C3225">
        <w:rPr>
          <w:rFonts w:ascii="Arial" w:hAnsi="Arial" w:cs="Arial"/>
          <w:sz w:val="24"/>
          <w:szCs w:val="24"/>
        </w:rPr>
        <w:t xml:space="preserve"> criteria</w:t>
      </w:r>
      <w:r>
        <w:rPr>
          <w:rFonts w:ascii="Arial" w:hAnsi="Arial" w:cs="Arial"/>
          <w:sz w:val="24"/>
          <w:szCs w:val="24"/>
        </w:rPr>
        <w:t xml:space="preserve"> under section 28</w:t>
      </w:r>
      <w:r w:rsidRPr="002C3225">
        <w:rPr>
          <w:rFonts w:ascii="Arial" w:hAnsi="Arial" w:cs="Arial"/>
          <w:sz w:val="24"/>
          <w:szCs w:val="24"/>
        </w:rPr>
        <w:t xml:space="preserve">, the overarching purpose of the measure is to protect the legitimate interests of </w:t>
      </w:r>
      <w:r>
        <w:rPr>
          <w:rFonts w:ascii="Arial" w:hAnsi="Arial" w:cs="Arial"/>
          <w:sz w:val="24"/>
          <w:szCs w:val="24"/>
        </w:rPr>
        <w:t>grantors</w:t>
      </w:r>
      <w:r w:rsidRPr="002C3225">
        <w:rPr>
          <w:rFonts w:ascii="Arial" w:hAnsi="Arial" w:cs="Arial"/>
          <w:sz w:val="24"/>
          <w:szCs w:val="24"/>
        </w:rPr>
        <w:t xml:space="preserve"> in circumstances where</w:t>
      </w:r>
      <w:r>
        <w:rPr>
          <w:rFonts w:ascii="Arial" w:hAnsi="Arial" w:cs="Arial"/>
          <w:sz w:val="24"/>
          <w:szCs w:val="24"/>
        </w:rPr>
        <w:t xml:space="preserve"> they reasonably believe that the premises have been abandoned. </w:t>
      </w:r>
      <w:r w:rsidRPr="00AA46C6">
        <w:rPr>
          <w:rFonts w:ascii="Arial" w:hAnsi="Arial" w:cs="Arial"/>
          <w:sz w:val="24"/>
          <w:szCs w:val="24"/>
        </w:rPr>
        <w:t>In order to ensure that this entry without consent is</w:t>
      </w:r>
      <w:r>
        <w:rPr>
          <w:rFonts w:ascii="Arial" w:hAnsi="Arial" w:cs="Arial"/>
          <w:sz w:val="24"/>
          <w:szCs w:val="24"/>
        </w:rPr>
        <w:t xml:space="preserve"> proportionate and</w:t>
      </w:r>
      <w:r w:rsidRPr="00AA46C6">
        <w:rPr>
          <w:rFonts w:ascii="Arial" w:hAnsi="Arial" w:cs="Arial"/>
          <w:sz w:val="24"/>
          <w:szCs w:val="24"/>
        </w:rPr>
        <w:t xml:space="preserve"> not arbitrary in nature, the amendment will require a grantor to satisfy certain requirements in order to enter the premises to ascertain if it has been abandoned. These </w:t>
      </w:r>
      <w:r>
        <w:rPr>
          <w:rFonts w:ascii="Arial" w:hAnsi="Arial" w:cs="Arial"/>
          <w:sz w:val="24"/>
          <w:szCs w:val="24"/>
        </w:rPr>
        <w:t xml:space="preserve">requirements </w:t>
      </w:r>
      <w:r w:rsidRPr="00AA46C6">
        <w:rPr>
          <w:rFonts w:ascii="Arial" w:hAnsi="Arial" w:cs="Arial"/>
          <w:sz w:val="24"/>
          <w:szCs w:val="24"/>
        </w:rPr>
        <w:t>are that the grantor must be aware of the occupants not having had paid the occupancy fee for at least three consecutive periods, that the grantor has taken all reasonable steps to contact the occupant, and that the grantor reasonabl</w:t>
      </w:r>
      <w:r>
        <w:rPr>
          <w:rFonts w:ascii="Arial" w:hAnsi="Arial" w:cs="Arial"/>
          <w:sz w:val="24"/>
          <w:szCs w:val="24"/>
        </w:rPr>
        <w:t>y</w:t>
      </w:r>
      <w:r w:rsidRPr="00AA46C6">
        <w:rPr>
          <w:rFonts w:ascii="Arial" w:hAnsi="Arial" w:cs="Arial"/>
          <w:sz w:val="24"/>
          <w:szCs w:val="24"/>
        </w:rPr>
        <w:t xml:space="preserve"> believes that the occupant has abandoned the premises. Further,</w:t>
      </w:r>
      <w:r>
        <w:rPr>
          <w:rFonts w:ascii="Arial" w:hAnsi="Arial" w:cs="Arial"/>
          <w:sz w:val="24"/>
          <w:szCs w:val="24"/>
        </w:rPr>
        <w:t xml:space="preserve"> as an additional safeguard,</w:t>
      </w:r>
      <w:r w:rsidRPr="00AA46C6">
        <w:rPr>
          <w:rFonts w:ascii="Arial" w:hAnsi="Arial" w:cs="Arial"/>
          <w:sz w:val="24"/>
          <w:szCs w:val="24"/>
        </w:rPr>
        <w:t xml:space="preserve"> the amendments will forbid the grantor entry to the premises, notwithstanding the </w:t>
      </w:r>
      <w:r>
        <w:rPr>
          <w:rFonts w:ascii="Arial" w:hAnsi="Arial" w:cs="Arial"/>
          <w:sz w:val="24"/>
          <w:szCs w:val="24"/>
        </w:rPr>
        <w:t>above</w:t>
      </w:r>
      <w:r w:rsidRPr="00AA46C6">
        <w:rPr>
          <w:rFonts w:ascii="Arial" w:hAnsi="Arial" w:cs="Arial"/>
          <w:sz w:val="24"/>
          <w:szCs w:val="24"/>
        </w:rPr>
        <w:t xml:space="preserve"> conditions, on Sundays, public holidays, and before 8am or after 6pm. These amendments represent a proportionate measure to </w:t>
      </w:r>
      <w:r>
        <w:rPr>
          <w:rFonts w:ascii="Arial" w:hAnsi="Arial" w:cs="Arial"/>
          <w:sz w:val="24"/>
          <w:szCs w:val="24"/>
        </w:rPr>
        <w:t>allow</w:t>
      </w:r>
      <w:r w:rsidRPr="00AA46C6">
        <w:rPr>
          <w:rFonts w:ascii="Arial" w:hAnsi="Arial" w:cs="Arial"/>
          <w:sz w:val="24"/>
          <w:szCs w:val="24"/>
        </w:rPr>
        <w:t xml:space="preserve"> grantors</w:t>
      </w:r>
      <w:r>
        <w:rPr>
          <w:rFonts w:ascii="Arial" w:hAnsi="Arial" w:cs="Arial"/>
          <w:sz w:val="24"/>
          <w:szCs w:val="24"/>
        </w:rPr>
        <w:t xml:space="preserve"> to</w:t>
      </w:r>
      <w:r w:rsidRPr="00AA46C6">
        <w:rPr>
          <w:rFonts w:ascii="Arial" w:hAnsi="Arial" w:cs="Arial"/>
          <w:sz w:val="24"/>
          <w:szCs w:val="24"/>
        </w:rPr>
        <w:t xml:space="preserve"> mitigate loss and minimise the potential compensation liability of occupants who abandon premises by ensuring that the </w:t>
      </w:r>
      <w:r>
        <w:rPr>
          <w:rFonts w:ascii="Arial" w:hAnsi="Arial" w:cs="Arial"/>
          <w:sz w:val="24"/>
          <w:szCs w:val="24"/>
        </w:rPr>
        <w:t>entry</w:t>
      </w:r>
      <w:r w:rsidRPr="00AA46C6">
        <w:rPr>
          <w:rFonts w:ascii="Arial" w:hAnsi="Arial" w:cs="Arial"/>
          <w:sz w:val="24"/>
          <w:szCs w:val="24"/>
        </w:rPr>
        <w:t xml:space="preserve"> may only be exercised in circumstances where there is a clear indication that the premises have in fact been abandoned.</w:t>
      </w:r>
      <w:r>
        <w:rPr>
          <w:rFonts w:ascii="Arial" w:hAnsi="Arial" w:cs="Arial"/>
          <w:sz w:val="24"/>
          <w:szCs w:val="24"/>
        </w:rPr>
        <w:t xml:space="preserve"> </w:t>
      </w:r>
      <w:bookmarkStart w:id="4" w:name="_Hlk31719402"/>
      <w:r w:rsidRPr="004A1A35">
        <w:rPr>
          <w:rFonts w:ascii="Arial" w:hAnsi="Arial" w:cs="Arial"/>
          <w:sz w:val="24"/>
          <w:szCs w:val="24"/>
        </w:rPr>
        <w:t>Accordingly, the measure constitutes a reasonable limitation on the right to privacy and home under section 28 and, as such, is compatible with this right</w:t>
      </w:r>
      <w:r>
        <w:rPr>
          <w:rFonts w:ascii="Arial" w:hAnsi="Arial" w:cs="Arial"/>
          <w:sz w:val="24"/>
          <w:szCs w:val="24"/>
        </w:rPr>
        <w:t>.</w:t>
      </w:r>
    </w:p>
    <w:bookmarkEnd w:id="4"/>
    <w:p w14:paraId="33D85CA8" w14:textId="7BBA4976" w:rsidR="008662EB" w:rsidRDefault="00E51A12" w:rsidP="00107D0B">
      <w:pPr>
        <w:rPr>
          <w:rFonts w:ascii="Arial" w:hAnsi="Arial" w:cs="Arial"/>
          <w:sz w:val="24"/>
          <w:szCs w:val="24"/>
        </w:rPr>
      </w:pPr>
      <w:r>
        <w:rPr>
          <w:rFonts w:ascii="Arial" w:hAnsi="Arial" w:cs="Arial"/>
          <w:sz w:val="24"/>
          <w:szCs w:val="24"/>
        </w:rPr>
        <w:t>Proposed section 71EA</w:t>
      </w:r>
      <w:r w:rsidR="00300B92">
        <w:rPr>
          <w:rFonts w:ascii="Arial" w:hAnsi="Arial" w:cs="Arial"/>
          <w:sz w:val="24"/>
          <w:szCs w:val="24"/>
        </w:rPr>
        <w:t>(1)</w:t>
      </w:r>
      <w:r>
        <w:rPr>
          <w:rFonts w:ascii="Arial" w:hAnsi="Arial" w:cs="Arial"/>
          <w:sz w:val="24"/>
          <w:szCs w:val="24"/>
        </w:rPr>
        <w:t>(j) provides that a grantor may only enter the premises in accordance with proposed section 71EJ</w:t>
      </w:r>
      <w:r w:rsidR="00A006AD">
        <w:rPr>
          <w:rFonts w:ascii="Arial" w:hAnsi="Arial" w:cs="Arial"/>
          <w:sz w:val="24"/>
          <w:szCs w:val="24"/>
        </w:rPr>
        <w:t xml:space="preserve">. Accordingly, </w:t>
      </w:r>
      <w:r w:rsidR="006C6FE9">
        <w:rPr>
          <w:rFonts w:ascii="Arial" w:hAnsi="Arial" w:cs="Arial"/>
          <w:sz w:val="24"/>
          <w:szCs w:val="24"/>
        </w:rPr>
        <w:t xml:space="preserve">the measure engages and promotes the right to privacy by restricting </w:t>
      </w:r>
      <w:r w:rsidR="0031716E">
        <w:rPr>
          <w:rFonts w:ascii="Arial" w:hAnsi="Arial" w:cs="Arial"/>
          <w:sz w:val="24"/>
          <w:szCs w:val="24"/>
        </w:rPr>
        <w:t xml:space="preserve">the grantor’s </w:t>
      </w:r>
      <w:r w:rsidR="006C6FE9">
        <w:rPr>
          <w:rFonts w:ascii="Arial" w:hAnsi="Arial" w:cs="Arial"/>
          <w:sz w:val="24"/>
          <w:szCs w:val="24"/>
        </w:rPr>
        <w:t>access</w:t>
      </w:r>
      <w:r w:rsidR="0031716E">
        <w:rPr>
          <w:rFonts w:ascii="Arial" w:hAnsi="Arial" w:cs="Arial"/>
          <w:sz w:val="24"/>
          <w:szCs w:val="24"/>
        </w:rPr>
        <w:t xml:space="preserve"> to the premises</w:t>
      </w:r>
      <w:r w:rsidR="006C6FE9">
        <w:rPr>
          <w:rFonts w:ascii="Arial" w:hAnsi="Arial" w:cs="Arial"/>
          <w:sz w:val="24"/>
          <w:szCs w:val="24"/>
        </w:rPr>
        <w:t xml:space="preserve">. </w:t>
      </w:r>
      <w:r w:rsidR="00A006AD">
        <w:rPr>
          <w:rFonts w:ascii="Arial" w:hAnsi="Arial" w:cs="Arial"/>
          <w:sz w:val="24"/>
          <w:szCs w:val="24"/>
        </w:rPr>
        <w:t>Proposed s</w:t>
      </w:r>
      <w:r w:rsidR="006C6FE9">
        <w:rPr>
          <w:rFonts w:ascii="Arial" w:hAnsi="Arial" w:cs="Arial"/>
          <w:sz w:val="24"/>
          <w:szCs w:val="24"/>
        </w:rPr>
        <w:t>ection 71EJ</w:t>
      </w:r>
      <w:r>
        <w:rPr>
          <w:rFonts w:ascii="Arial" w:hAnsi="Arial" w:cs="Arial"/>
          <w:sz w:val="24"/>
          <w:szCs w:val="24"/>
        </w:rPr>
        <w:t xml:space="preserve"> require</w:t>
      </w:r>
      <w:r w:rsidR="0001644B">
        <w:rPr>
          <w:rFonts w:ascii="Arial" w:hAnsi="Arial" w:cs="Arial"/>
          <w:sz w:val="24"/>
          <w:szCs w:val="24"/>
        </w:rPr>
        <w:t>s</w:t>
      </w:r>
      <w:r>
        <w:rPr>
          <w:rFonts w:ascii="Arial" w:hAnsi="Arial" w:cs="Arial"/>
          <w:sz w:val="24"/>
          <w:szCs w:val="24"/>
        </w:rPr>
        <w:t xml:space="preserve"> that an occupancy agreement </w:t>
      </w:r>
      <w:r w:rsidR="00A006AD">
        <w:rPr>
          <w:rFonts w:ascii="Arial" w:hAnsi="Arial" w:cs="Arial"/>
          <w:sz w:val="24"/>
          <w:szCs w:val="24"/>
        </w:rPr>
        <w:t xml:space="preserve">must </w:t>
      </w:r>
      <w:r>
        <w:rPr>
          <w:rFonts w:ascii="Arial" w:hAnsi="Arial" w:cs="Arial"/>
          <w:sz w:val="24"/>
          <w:szCs w:val="24"/>
        </w:rPr>
        <w:t xml:space="preserve">state </w:t>
      </w:r>
      <w:r w:rsidR="00A006AD">
        <w:rPr>
          <w:rFonts w:ascii="Arial" w:hAnsi="Arial" w:cs="Arial"/>
          <w:sz w:val="24"/>
          <w:szCs w:val="24"/>
        </w:rPr>
        <w:t xml:space="preserve">when the </w:t>
      </w:r>
      <w:r>
        <w:rPr>
          <w:rFonts w:ascii="Arial" w:hAnsi="Arial" w:cs="Arial"/>
          <w:sz w:val="24"/>
          <w:szCs w:val="24"/>
        </w:rPr>
        <w:t>grantor may enter the premises and the kind of notice and the period of notice the</w:t>
      </w:r>
      <w:r w:rsidR="006C6FE9">
        <w:rPr>
          <w:rFonts w:ascii="Arial" w:hAnsi="Arial" w:cs="Arial"/>
          <w:sz w:val="24"/>
          <w:szCs w:val="24"/>
        </w:rPr>
        <w:t xml:space="preserve"> grantor must give the occupant. By allowing access to the premises</w:t>
      </w:r>
      <w:r w:rsidR="0001644B">
        <w:rPr>
          <w:rFonts w:ascii="Arial" w:hAnsi="Arial" w:cs="Arial"/>
          <w:sz w:val="24"/>
          <w:szCs w:val="24"/>
        </w:rPr>
        <w:t>, the provision also engages and limits the right to privacy.</w:t>
      </w:r>
      <w:r w:rsidR="00A006AD">
        <w:rPr>
          <w:rFonts w:ascii="Arial" w:hAnsi="Arial" w:cs="Arial"/>
          <w:sz w:val="24"/>
          <w:szCs w:val="24"/>
        </w:rPr>
        <w:t xml:space="preserve"> However, this is a reasonable limitation applying the criteria under section 28 of the HRA</w:t>
      </w:r>
      <w:r w:rsidR="00F14985">
        <w:rPr>
          <w:rFonts w:ascii="Arial" w:hAnsi="Arial" w:cs="Arial"/>
          <w:sz w:val="24"/>
          <w:szCs w:val="24"/>
        </w:rPr>
        <w:t>. T</w:t>
      </w:r>
      <w:r w:rsidR="0001644B">
        <w:rPr>
          <w:rFonts w:ascii="Arial" w:hAnsi="Arial" w:cs="Arial"/>
          <w:sz w:val="24"/>
          <w:szCs w:val="24"/>
        </w:rPr>
        <w:t>he purpose of the provision is to allow grantors to perform their obligations towards the occupant</w:t>
      </w:r>
      <w:r w:rsidR="00A006AD">
        <w:rPr>
          <w:rFonts w:ascii="Arial" w:hAnsi="Arial" w:cs="Arial"/>
          <w:sz w:val="24"/>
          <w:szCs w:val="24"/>
        </w:rPr>
        <w:t xml:space="preserve">, </w:t>
      </w:r>
      <w:r w:rsidR="0001644B">
        <w:rPr>
          <w:rFonts w:ascii="Arial" w:hAnsi="Arial" w:cs="Arial"/>
          <w:sz w:val="24"/>
          <w:szCs w:val="24"/>
        </w:rPr>
        <w:t xml:space="preserve">other occupants </w:t>
      </w:r>
      <w:r w:rsidR="00F14985">
        <w:rPr>
          <w:rFonts w:ascii="Arial" w:hAnsi="Arial" w:cs="Arial"/>
          <w:sz w:val="24"/>
          <w:szCs w:val="24"/>
        </w:rPr>
        <w:t>and</w:t>
      </w:r>
      <w:r w:rsidR="0001644B">
        <w:rPr>
          <w:rFonts w:ascii="Arial" w:hAnsi="Arial" w:cs="Arial"/>
          <w:sz w:val="24"/>
          <w:szCs w:val="24"/>
        </w:rPr>
        <w:t xml:space="preserve"> protect the legitimate interests of grantors</w:t>
      </w:r>
      <w:r w:rsidR="0031716E">
        <w:rPr>
          <w:rFonts w:ascii="Arial" w:hAnsi="Arial" w:cs="Arial"/>
          <w:sz w:val="24"/>
          <w:szCs w:val="24"/>
        </w:rPr>
        <w:t xml:space="preserve"> in respect of the premises</w:t>
      </w:r>
      <w:r w:rsidR="0001644B">
        <w:rPr>
          <w:rFonts w:ascii="Arial" w:hAnsi="Arial" w:cs="Arial"/>
          <w:sz w:val="24"/>
          <w:szCs w:val="24"/>
        </w:rPr>
        <w:t xml:space="preserve">. </w:t>
      </w:r>
      <w:r w:rsidR="008662EB">
        <w:rPr>
          <w:rFonts w:ascii="Arial" w:hAnsi="Arial" w:cs="Arial"/>
          <w:sz w:val="24"/>
          <w:szCs w:val="24"/>
        </w:rPr>
        <w:t>Depending on the nature of the occupancy agreement</w:t>
      </w:r>
      <w:r w:rsidR="00A006AD">
        <w:rPr>
          <w:rFonts w:ascii="Arial" w:hAnsi="Arial" w:cs="Arial"/>
          <w:sz w:val="24"/>
          <w:szCs w:val="24"/>
        </w:rPr>
        <w:t xml:space="preserve">, a grantor’s obligations </w:t>
      </w:r>
      <w:r w:rsidR="008662EB">
        <w:rPr>
          <w:rFonts w:ascii="Arial" w:hAnsi="Arial" w:cs="Arial"/>
          <w:sz w:val="24"/>
          <w:szCs w:val="24"/>
        </w:rPr>
        <w:t>may include, for example, providing services, undertaking inspections or repairs</w:t>
      </w:r>
      <w:r w:rsidR="00F14985">
        <w:rPr>
          <w:rFonts w:ascii="Arial" w:hAnsi="Arial" w:cs="Arial"/>
          <w:sz w:val="24"/>
          <w:szCs w:val="24"/>
        </w:rPr>
        <w:t xml:space="preserve"> or </w:t>
      </w:r>
      <w:r w:rsidR="00A006AD">
        <w:rPr>
          <w:rFonts w:ascii="Arial" w:hAnsi="Arial" w:cs="Arial"/>
          <w:sz w:val="24"/>
          <w:szCs w:val="24"/>
        </w:rPr>
        <w:t xml:space="preserve">ensuring </w:t>
      </w:r>
      <w:r w:rsidR="008662EB">
        <w:rPr>
          <w:rFonts w:ascii="Arial" w:hAnsi="Arial" w:cs="Arial"/>
          <w:sz w:val="24"/>
          <w:szCs w:val="24"/>
        </w:rPr>
        <w:t xml:space="preserve">safety. </w:t>
      </w:r>
      <w:r w:rsidR="00A006AD">
        <w:rPr>
          <w:rFonts w:ascii="Arial" w:hAnsi="Arial" w:cs="Arial"/>
          <w:sz w:val="24"/>
          <w:szCs w:val="24"/>
        </w:rPr>
        <w:lastRenderedPageBreak/>
        <w:t xml:space="preserve">That is, </w:t>
      </w:r>
      <w:r w:rsidR="00F14985">
        <w:rPr>
          <w:rFonts w:ascii="Arial" w:hAnsi="Arial" w:cs="Arial"/>
          <w:sz w:val="24"/>
          <w:szCs w:val="24"/>
        </w:rPr>
        <w:t xml:space="preserve">performing </w:t>
      </w:r>
      <w:r w:rsidR="00A006AD">
        <w:rPr>
          <w:rFonts w:ascii="Arial" w:hAnsi="Arial" w:cs="Arial"/>
          <w:sz w:val="24"/>
          <w:szCs w:val="24"/>
        </w:rPr>
        <w:t xml:space="preserve">actions that are </w:t>
      </w:r>
      <w:r w:rsidR="00F14985">
        <w:rPr>
          <w:rFonts w:ascii="Arial" w:hAnsi="Arial" w:cs="Arial"/>
          <w:sz w:val="24"/>
          <w:szCs w:val="24"/>
        </w:rPr>
        <w:t xml:space="preserve">important for the purposes of the agreement. </w:t>
      </w:r>
      <w:r w:rsidR="0001644B">
        <w:rPr>
          <w:rFonts w:ascii="Arial" w:hAnsi="Arial" w:cs="Arial"/>
          <w:sz w:val="24"/>
          <w:szCs w:val="24"/>
        </w:rPr>
        <w:t xml:space="preserve">Noting that access to the premises may be required to perform </w:t>
      </w:r>
      <w:r w:rsidR="008662EB">
        <w:rPr>
          <w:rFonts w:ascii="Arial" w:hAnsi="Arial" w:cs="Arial"/>
          <w:sz w:val="24"/>
          <w:szCs w:val="24"/>
        </w:rPr>
        <w:t>such</w:t>
      </w:r>
      <w:r w:rsidR="0001644B">
        <w:rPr>
          <w:rFonts w:ascii="Arial" w:hAnsi="Arial" w:cs="Arial"/>
          <w:sz w:val="24"/>
          <w:szCs w:val="24"/>
        </w:rPr>
        <w:t xml:space="preserve"> functions, </w:t>
      </w:r>
      <w:r w:rsidR="0031716E">
        <w:rPr>
          <w:rFonts w:ascii="Arial" w:hAnsi="Arial" w:cs="Arial"/>
          <w:sz w:val="24"/>
          <w:szCs w:val="24"/>
        </w:rPr>
        <w:t>the provision is rationally connected (that is, effective to achieve) this objective. The provision contains a range of safeguards to protect the occupant and to ensure the provision is a proportionate limitation on the right to privacy</w:t>
      </w:r>
      <w:r w:rsidR="00F14985">
        <w:rPr>
          <w:rFonts w:ascii="Arial" w:hAnsi="Arial" w:cs="Arial"/>
          <w:sz w:val="24"/>
          <w:szCs w:val="24"/>
        </w:rPr>
        <w:t xml:space="preserve">, including requiring: </w:t>
      </w:r>
    </w:p>
    <w:p w14:paraId="5917B13B" w14:textId="15D7FFB7" w:rsidR="008662EB" w:rsidRDefault="00F14985" w:rsidP="008662EB">
      <w:pPr>
        <w:pStyle w:val="ListParagraph"/>
        <w:numPr>
          <w:ilvl w:val="0"/>
          <w:numId w:val="12"/>
        </w:numPr>
        <w:rPr>
          <w:rFonts w:ascii="Arial" w:hAnsi="Arial" w:cs="Arial"/>
          <w:sz w:val="24"/>
          <w:szCs w:val="24"/>
        </w:rPr>
      </w:pPr>
      <w:r>
        <w:rPr>
          <w:rFonts w:ascii="Arial" w:hAnsi="Arial" w:cs="Arial"/>
          <w:sz w:val="24"/>
          <w:szCs w:val="24"/>
        </w:rPr>
        <w:t xml:space="preserve">that the </w:t>
      </w:r>
      <w:r w:rsidR="0031716E" w:rsidRPr="00F61119">
        <w:rPr>
          <w:rFonts w:ascii="Arial" w:hAnsi="Arial" w:cs="Arial"/>
          <w:sz w:val="24"/>
          <w:szCs w:val="24"/>
        </w:rPr>
        <w:t>kind and period of notice must be reasonable and proportionate to the outcome sought by the grantor in entering the premises</w:t>
      </w:r>
      <w:r>
        <w:rPr>
          <w:rFonts w:ascii="Arial" w:hAnsi="Arial" w:cs="Arial"/>
          <w:sz w:val="24"/>
          <w:szCs w:val="24"/>
        </w:rPr>
        <w:t>; and</w:t>
      </w:r>
    </w:p>
    <w:p w14:paraId="0853B9D6" w14:textId="0896E208" w:rsidR="00F14985" w:rsidRPr="00F61119" w:rsidRDefault="00F14985" w:rsidP="00F61119">
      <w:pPr>
        <w:pStyle w:val="ListParagraph"/>
        <w:numPr>
          <w:ilvl w:val="0"/>
          <w:numId w:val="12"/>
        </w:numPr>
        <w:rPr>
          <w:rFonts w:ascii="Arial" w:hAnsi="Arial" w:cs="Arial"/>
          <w:sz w:val="24"/>
          <w:szCs w:val="24"/>
        </w:rPr>
      </w:pPr>
      <w:r>
        <w:rPr>
          <w:rFonts w:ascii="Arial" w:hAnsi="Arial" w:cs="Arial"/>
          <w:sz w:val="24"/>
          <w:szCs w:val="24"/>
        </w:rPr>
        <w:t xml:space="preserve">that </w:t>
      </w:r>
      <w:r w:rsidR="008662EB" w:rsidRPr="00F61119">
        <w:rPr>
          <w:rFonts w:ascii="Arial" w:hAnsi="Arial" w:cs="Arial"/>
          <w:sz w:val="24"/>
          <w:szCs w:val="24"/>
        </w:rPr>
        <w:t xml:space="preserve">the grantor may only enter the premises if the occupancy agreement allows the person to do so and </w:t>
      </w:r>
      <w:r w:rsidR="008662EB">
        <w:rPr>
          <w:rFonts w:ascii="Arial" w:hAnsi="Arial" w:cs="Arial"/>
          <w:sz w:val="24"/>
          <w:szCs w:val="24"/>
        </w:rPr>
        <w:t>the grantor has given notice in accordance with the agreement</w:t>
      </w:r>
      <w:r w:rsidR="00A006AD">
        <w:rPr>
          <w:rFonts w:ascii="Arial" w:hAnsi="Arial" w:cs="Arial"/>
          <w:sz w:val="24"/>
          <w:szCs w:val="24"/>
        </w:rPr>
        <w:t xml:space="preserve"> (unless it is not practicable to do so.)</w:t>
      </w:r>
      <w:r w:rsidR="008662EB" w:rsidRPr="00F61119">
        <w:rPr>
          <w:rFonts w:ascii="Arial" w:hAnsi="Arial" w:cs="Arial"/>
          <w:sz w:val="24"/>
          <w:szCs w:val="24"/>
        </w:rPr>
        <w:t xml:space="preserve"> </w:t>
      </w:r>
      <w:r w:rsidR="0031716E" w:rsidRPr="00F61119">
        <w:rPr>
          <w:rFonts w:ascii="Arial" w:hAnsi="Arial" w:cs="Arial"/>
          <w:sz w:val="24"/>
          <w:szCs w:val="24"/>
        </w:rPr>
        <w:t xml:space="preserve"> </w:t>
      </w:r>
    </w:p>
    <w:p w14:paraId="1D65617A" w14:textId="440F729C" w:rsidR="00F14985" w:rsidRDefault="00F14985" w:rsidP="008F5015">
      <w:pPr>
        <w:spacing w:before="200"/>
        <w:rPr>
          <w:rFonts w:ascii="Arial" w:hAnsi="Arial" w:cs="Arial"/>
          <w:sz w:val="24"/>
          <w:szCs w:val="24"/>
        </w:rPr>
      </w:pPr>
      <w:r w:rsidRPr="00F14985">
        <w:rPr>
          <w:rFonts w:ascii="Arial" w:hAnsi="Arial" w:cs="Arial"/>
          <w:sz w:val="24"/>
          <w:szCs w:val="24"/>
        </w:rPr>
        <w:t>Accordingly, the measure constitutes a reasonable limitation on the right to privacy and home under section 28 and, as such, is compatible with this right.</w:t>
      </w:r>
    </w:p>
    <w:p w14:paraId="6490F93C" w14:textId="060588FF" w:rsidR="00E51A12" w:rsidRPr="00F61119" w:rsidRDefault="0031716E" w:rsidP="00F14985">
      <w:pPr>
        <w:rPr>
          <w:rFonts w:ascii="Arial" w:hAnsi="Arial" w:cs="Arial"/>
          <w:sz w:val="24"/>
          <w:szCs w:val="24"/>
        </w:rPr>
      </w:pPr>
      <w:r w:rsidRPr="00F61119">
        <w:rPr>
          <w:rFonts w:ascii="Arial" w:hAnsi="Arial" w:cs="Arial"/>
          <w:sz w:val="24"/>
          <w:szCs w:val="24"/>
        </w:rPr>
        <w:t xml:space="preserve">  </w:t>
      </w:r>
      <w:r w:rsidR="0001644B" w:rsidRPr="00F61119">
        <w:rPr>
          <w:rFonts w:ascii="Arial" w:hAnsi="Arial" w:cs="Arial"/>
          <w:sz w:val="24"/>
          <w:szCs w:val="24"/>
        </w:rPr>
        <w:t xml:space="preserve"> </w:t>
      </w:r>
      <w:r w:rsidR="006C6FE9" w:rsidRPr="00F61119">
        <w:rPr>
          <w:rFonts w:ascii="Arial" w:hAnsi="Arial" w:cs="Arial"/>
          <w:sz w:val="24"/>
          <w:szCs w:val="24"/>
        </w:rPr>
        <w:t xml:space="preserve"> </w:t>
      </w:r>
      <w:r w:rsidR="00E51A12" w:rsidRPr="00F61119">
        <w:rPr>
          <w:rFonts w:ascii="Arial" w:hAnsi="Arial" w:cs="Arial"/>
          <w:sz w:val="24"/>
          <w:szCs w:val="24"/>
        </w:rPr>
        <w:t xml:space="preserve"> </w:t>
      </w:r>
    </w:p>
    <w:p w14:paraId="2927A5DD" w14:textId="2FEC77E3" w:rsidR="00091E66" w:rsidRPr="006D49BD" w:rsidRDefault="00091E66" w:rsidP="004D1224">
      <w:pPr>
        <w:pageBreakBefore/>
        <w:spacing w:after="0"/>
        <w:rPr>
          <w:rFonts w:ascii="Arial" w:hAnsi="Arial" w:cs="Arial"/>
          <w:b/>
          <w:bCs/>
          <w:sz w:val="24"/>
          <w:szCs w:val="24"/>
        </w:rPr>
      </w:pPr>
    </w:p>
    <w:p w14:paraId="04F50CE4" w14:textId="77777777" w:rsidR="00A5201D" w:rsidRDefault="00A5201D" w:rsidP="00E574DD">
      <w:pPr>
        <w:pStyle w:val="Heading2"/>
        <w:ind w:left="-108"/>
        <w:jc w:val="center"/>
        <w:rPr>
          <w:rFonts w:asciiTheme="minorHAnsi" w:hAnsiTheme="minorHAnsi" w:cs="Arial"/>
          <w:b w:val="0"/>
          <w:sz w:val="28"/>
          <w:szCs w:val="28"/>
          <w:lang w:eastAsia="en-AU"/>
        </w:rPr>
      </w:pPr>
      <w:bookmarkStart w:id="5" w:name="OLE_LINK1"/>
    </w:p>
    <w:p w14:paraId="79AD90A2" w14:textId="4CB51BC5" w:rsidR="00E574DD" w:rsidRPr="00943C7F" w:rsidRDefault="00655A14" w:rsidP="00E574DD">
      <w:pPr>
        <w:pStyle w:val="Heading2"/>
        <w:ind w:left="-108"/>
        <w:jc w:val="center"/>
        <w:rPr>
          <w:rFonts w:asciiTheme="minorHAnsi" w:hAnsiTheme="minorHAnsi" w:cs="Arial"/>
          <w:b w:val="0"/>
          <w:bCs/>
          <w:i/>
          <w:iCs/>
          <w:sz w:val="28"/>
          <w:szCs w:val="28"/>
        </w:rPr>
      </w:pPr>
      <w:r>
        <w:rPr>
          <w:rFonts w:asciiTheme="minorHAnsi" w:hAnsiTheme="minorHAnsi" w:cs="Arial"/>
          <w:b w:val="0"/>
          <w:sz w:val="28"/>
          <w:szCs w:val="28"/>
          <w:lang w:eastAsia="en-AU"/>
        </w:rPr>
        <w:t>Residential Tenancies</w:t>
      </w:r>
      <w:r w:rsidR="00CC1A4A">
        <w:rPr>
          <w:rFonts w:asciiTheme="minorHAnsi" w:hAnsiTheme="minorHAnsi" w:cs="Arial"/>
          <w:b w:val="0"/>
          <w:sz w:val="28"/>
          <w:szCs w:val="28"/>
          <w:lang w:eastAsia="en-AU"/>
        </w:rPr>
        <w:t xml:space="preserve"> </w:t>
      </w:r>
      <w:r w:rsidR="00E574DD" w:rsidRPr="00943C7F">
        <w:rPr>
          <w:rFonts w:asciiTheme="minorHAnsi" w:hAnsiTheme="minorHAnsi" w:cs="Arial"/>
          <w:b w:val="0"/>
          <w:sz w:val="28"/>
          <w:szCs w:val="28"/>
          <w:lang w:eastAsia="en-AU"/>
        </w:rPr>
        <w:t>Amendment Bill 20</w:t>
      </w:r>
      <w:r>
        <w:rPr>
          <w:rFonts w:asciiTheme="minorHAnsi" w:hAnsiTheme="minorHAnsi" w:cs="Arial"/>
          <w:b w:val="0"/>
          <w:sz w:val="28"/>
          <w:szCs w:val="28"/>
          <w:lang w:eastAsia="en-AU"/>
        </w:rPr>
        <w:t>20</w:t>
      </w:r>
    </w:p>
    <w:bookmarkEnd w:id="5"/>
    <w:p w14:paraId="12928F7D" w14:textId="77777777" w:rsidR="00E574DD" w:rsidRPr="003E5EE6" w:rsidRDefault="00E574DD" w:rsidP="00E574DD">
      <w:pPr>
        <w:pStyle w:val="Heading4"/>
        <w:ind w:left="-108"/>
        <w:jc w:val="center"/>
        <w:rPr>
          <w:rFonts w:asciiTheme="minorHAnsi" w:hAnsiTheme="minorHAnsi"/>
          <w:sz w:val="24"/>
          <w:szCs w:val="24"/>
        </w:rPr>
      </w:pPr>
      <w:r w:rsidRPr="003E5EE6">
        <w:rPr>
          <w:rFonts w:asciiTheme="minorHAnsi" w:hAnsiTheme="minorHAnsi"/>
          <w:sz w:val="24"/>
          <w:szCs w:val="24"/>
        </w:rPr>
        <w:t>Human Rights Act 2004 - Compatibility Statement</w:t>
      </w:r>
    </w:p>
    <w:p w14:paraId="1B9772F9" w14:textId="77777777" w:rsidR="00E574DD" w:rsidRDefault="00E574DD" w:rsidP="00E574DD"/>
    <w:p w14:paraId="1C2275A7" w14:textId="77777777" w:rsidR="00E574DD" w:rsidRPr="00D77995" w:rsidRDefault="00E574DD" w:rsidP="00E574DD"/>
    <w:p w14:paraId="71084E2C" w14:textId="603CD7F5" w:rsidR="00E574DD" w:rsidRDefault="00E574DD" w:rsidP="00E574DD">
      <w:pPr>
        <w:jc w:val="both"/>
      </w:pPr>
      <w:r w:rsidRPr="00521950">
        <w:rPr>
          <w:rFonts w:asciiTheme="minorHAnsi" w:hAnsiTheme="minorHAnsi"/>
        </w:rPr>
        <w:t xml:space="preserve">In accordance with section 37 of the </w:t>
      </w:r>
      <w:r w:rsidRPr="00521950">
        <w:rPr>
          <w:rFonts w:asciiTheme="minorHAnsi" w:hAnsiTheme="minorHAnsi"/>
          <w:i/>
          <w:iCs/>
        </w:rPr>
        <w:t>Human Rights Act 2004</w:t>
      </w:r>
      <w:r w:rsidRPr="00521950">
        <w:rPr>
          <w:rFonts w:asciiTheme="minorHAnsi" w:hAnsiTheme="minorHAnsi"/>
        </w:rPr>
        <w:t xml:space="preserve"> I have examined the</w:t>
      </w:r>
      <w:r>
        <w:rPr>
          <w:rFonts w:asciiTheme="minorHAnsi" w:hAnsiTheme="minorHAnsi"/>
          <w:b/>
        </w:rPr>
        <w:t xml:space="preserve"> </w:t>
      </w:r>
      <w:r w:rsidR="00655A14">
        <w:rPr>
          <w:rFonts w:asciiTheme="minorHAnsi" w:hAnsiTheme="minorHAnsi"/>
          <w:b/>
        </w:rPr>
        <w:t>Residential Tenancies Amendment Bill 2020</w:t>
      </w:r>
      <w:r w:rsidRPr="00521950">
        <w:rPr>
          <w:rFonts w:asciiTheme="minorHAnsi" w:hAnsiTheme="minorHAnsi"/>
        </w:rPr>
        <w:t>.  In my opinion,</w:t>
      </w:r>
      <w:r w:rsidR="000D758B">
        <w:rPr>
          <w:rFonts w:asciiTheme="minorHAnsi" w:hAnsiTheme="minorHAnsi"/>
        </w:rPr>
        <w:t xml:space="preserve"> having regard to the </w:t>
      </w:r>
      <w:r w:rsidR="00A0291C">
        <w:rPr>
          <w:rFonts w:asciiTheme="minorHAnsi" w:hAnsiTheme="minorHAnsi"/>
        </w:rPr>
        <w:t>outline</w:t>
      </w:r>
      <w:r w:rsidR="000D758B">
        <w:rPr>
          <w:rFonts w:asciiTheme="minorHAnsi" w:hAnsiTheme="minorHAnsi"/>
        </w:rPr>
        <w:t xml:space="preserve"> of the policy </w:t>
      </w:r>
      <w:r w:rsidR="00040382">
        <w:rPr>
          <w:rFonts w:asciiTheme="minorHAnsi" w:hAnsiTheme="minorHAnsi"/>
        </w:rPr>
        <w:t>considerati</w:t>
      </w:r>
      <w:r w:rsidR="00E61614">
        <w:rPr>
          <w:rFonts w:asciiTheme="minorHAnsi" w:hAnsiTheme="minorHAnsi"/>
        </w:rPr>
        <w:t>ons</w:t>
      </w:r>
      <w:r w:rsidR="005162FA">
        <w:rPr>
          <w:rFonts w:asciiTheme="minorHAnsi" w:hAnsiTheme="minorHAnsi"/>
        </w:rPr>
        <w:t xml:space="preserve"> and </w:t>
      </w:r>
      <w:r w:rsidR="00424FBB">
        <w:rPr>
          <w:rFonts w:asciiTheme="minorHAnsi" w:hAnsiTheme="minorHAnsi"/>
        </w:rPr>
        <w:t xml:space="preserve">justification of </w:t>
      </w:r>
      <w:r w:rsidR="00741C4A">
        <w:rPr>
          <w:rFonts w:asciiTheme="minorHAnsi" w:hAnsiTheme="minorHAnsi"/>
        </w:rPr>
        <w:t>any</w:t>
      </w:r>
      <w:r w:rsidR="005162FA">
        <w:rPr>
          <w:rFonts w:asciiTheme="minorHAnsi" w:hAnsiTheme="minorHAnsi"/>
        </w:rPr>
        <w:t xml:space="preserve"> </w:t>
      </w:r>
      <w:r w:rsidR="00424FBB">
        <w:rPr>
          <w:rFonts w:asciiTheme="minorHAnsi" w:hAnsiTheme="minorHAnsi"/>
        </w:rPr>
        <w:t>limitations</w:t>
      </w:r>
      <w:r w:rsidR="005162FA">
        <w:rPr>
          <w:rFonts w:asciiTheme="minorHAnsi" w:hAnsiTheme="minorHAnsi"/>
        </w:rPr>
        <w:t xml:space="preserve"> on rights</w:t>
      </w:r>
      <w:r w:rsidR="00424FBB">
        <w:rPr>
          <w:rFonts w:asciiTheme="minorHAnsi" w:hAnsiTheme="minorHAnsi"/>
        </w:rPr>
        <w:t xml:space="preserve"> </w:t>
      </w:r>
      <w:r w:rsidR="00E61614">
        <w:rPr>
          <w:rFonts w:asciiTheme="minorHAnsi" w:hAnsiTheme="minorHAnsi"/>
        </w:rPr>
        <w:t xml:space="preserve">outlined </w:t>
      </w:r>
      <w:r w:rsidR="00424FBB">
        <w:rPr>
          <w:rFonts w:asciiTheme="minorHAnsi" w:hAnsiTheme="minorHAnsi"/>
        </w:rPr>
        <w:t xml:space="preserve">in this explanatory statement, </w:t>
      </w:r>
      <w:r w:rsidR="00424FBB" w:rsidRPr="00521950">
        <w:rPr>
          <w:rFonts w:asciiTheme="minorHAnsi" w:hAnsiTheme="minorHAnsi"/>
        </w:rPr>
        <w:t>the Bill</w:t>
      </w:r>
      <w:r w:rsidR="00424FBB" w:rsidRPr="005162FA">
        <w:rPr>
          <w:rFonts w:asciiTheme="minorHAnsi" w:hAnsiTheme="minorHAnsi"/>
        </w:rPr>
        <w:t xml:space="preserve"> </w:t>
      </w:r>
      <w:r w:rsidR="00424FBB" w:rsidRPr="00521950">
        <w:rPr>
          <w:rFonts w:asciiTheme="minorHAnsi" w:hAnsiTheme="minorHAnsi"/>
        </w:rPr>
        <w:t xml:space="preserve">as presented </w:t>
      </w:r>
      <w:r w:rsidR="00424FBB">
        <w:rPr>
          <w:rFonts w:asciiTheme="minorHAnsi" w:hAnsiTheme="minorHAnsi"/>
        </w:rPr>
        <w:t>to the Legislative Assembly</w:t>
      </w:r>
      <w:r w:rsidR="00424FBB" w:rsidRPr="00655A14">
        <w:rPr>
          <w:rFonts w:asciiTheme="minorHAnsi" w:hAnsiTheme="minorHAnsi"/>
          <w:b/>
        </w:rPr>
        <w:t xml:space="preserve"> </w:t>
      </w:r>
      <w:r w:rsidRPr="00655A14">
        <w:rPr>
          <w:rFonts w:asciiTheme="minorHAnsi" w:hAnsiTheme="minorHAnsi"/>
          <w:bCs/>
        </w:rPr>
        <w:t>is</w:t>
      </w:r>
      <w:r w:rsidRPr="00655A14">
        <w:rPr>
          <w:rFonts w:asciiTheme="minorHAnsi" w:hAnsiTheme="minorHAnsi"/>
          <w:b/>
        </w:rPr>
        <w:t xml:space="preserve"> </w:t>
      </w:r>
      <w:r w:rsidRPr="00521950">
        <w:rPr>
          <w:rFonts w:asciiTheme="minorHAnsi" w:hAnsiTheme="minorHAnsi"/>
        </w:rPr>
        <w:t xml:space="preserve">consistent with the </w:t>
      </w:r>
      <w:r w:rsidRPr="00521950">
        <w:rPr>
          <w:rFonts w:asciiTheme="minorHAnsi" w:hAnsiTheme="minorHAnsi"/>
          <w:i/>
          <w:iCs/>
        </w:rPr>
        <w:t>Human Rights Act 2004</w:t>
      </w:r>
      <w:r w:rsidR="000D758B">
        <w:rPr>
          <w:rFonts w:asciiTheme="minorHAnsi" w:hAnsiTheme="minorHAnsi"/>
          <w:i/>
          <w:iCs/>
        </w:rPr>
        <w:t>.</w:t>
      </w:r>
    </w:p>
    <w:p w14:paraId="66ABEB43" w14:textId="77777777" w:rsidR="00E574DD" w:rsidRDefault="00E574DD" w:rsidP="00E574DD">
      <w:pPr>
        <w:rPr>
          <w:rFonts w:asciiTheme="minorHAnsi" w:hAnsiTheme="minorHAnsi" w:cstheme="minorHAnsi"/>
        </w:rPr>
      </w:pPr>
    </w:p>
    <w:p w14:paraId="6C6D5E27" w14:textId="77777777" w:rsidR="00E574DD" w:rsidRDefault="00E574DD" w:rsidP="00E574DD">
      <w:pPr>
        <w:rPr>
          <w:rFonts w:asciiTheme="minorHAnsi" w:hAnsiTheme="minorHAnsi" w:cstheme="minorHAnsi"/>
        </w:rPr>
      </w:pPr>
    </w:p>
    <w:p w14:paraId="3AC1DED3" w14:textId="77777777" w:rsidR="00E574DD" w:rsidRDefault="00E574DD" w:rsidP="00E574DD">
      <w:pPr>
        <w:rPr>
          <w:rFonts w:asciiTheme="minorHAnsi" w:hAnsiTheme="minorHAnsi" w:cstheme="minorHAnsi"/>
        </w:rPr>
      </w:pPr>
      <w:r>
        <w:rPr>
          <w:rFonts w:asciiTheme="minorHAnsi" w:hAnsiTheme="minorHAnsi" w:cstheme="minorHAnsi"/>
        </w:rPr>
        <w:t>………………………………………………….</w:t>
      </w:r>
    </w:p>
    <w:p w14:paraId="3A8E2AC8" w14:textId="77777777" w:rsidR="00E574DD" w:rsidRDefault="00E574DD" w:rsidP="00E574DD">
      <w:pPr>
        <w:rPr>
          <w:rFonts w:asciiTheme="minorHAnsi" w:hAnsiTheme="minorHAnsi" w:cstheme="minorHAnsi"/>
        </w:rPr>
      </w:pPr>
      <w:r>
        <w:rPr>
          <w:rFonts w:asciiTheme="minorHAnsi" w:hAnsiTheme="minorHAnsi" w:cstheme="minorHAnsi"/>
        </w:rPr>
        <w:t>Gordon Ramsay MLA</w:t>
      </w:r>
      <w:r>
        <w:rPr>
          <w:rFonts w:asciiTheme="minorHAnsi" w:hAnsiTheme="minorHAnsi" w:cstheme="minorHAnsi"/>
        </w:rPr>
        <w:br/>
        <w:t>Attorney-General</w:t>
      </w:r>
    </w:p>
    <w:p w14:paraId="1578DA22" w14:textId="77777777" w:rsidR="006D53B2" w:rsidRPr="006D52AC" w:rsidRDefault="006D53B2" w:rsidP="006D53B2">
      <w:pPr>
        <w:spacing w:before="200"/>
        <w:rPr>
          <w:rFonts w:ascii="Arial" w:hAnsi="Arial" w:cs="Arial"/>
          <w:sz w:val="24"/>
          <w:szCs w:val="24"/>
        </w:rPr>
      </w:pPr>
    </w:p>
    <w:p w14:paraId="0114F54C" w14:textId="77777777" w:rsidR="00A903D8" w:rsidRDefault="00A903D8">
      <w:pPr>
        <w:spacing w:after="0" w:line="240" w:lineRule="auto"/>
        <w:rPr>
          <w:rFonts w:ascii="Arial" w:hAnsi="Arial" w:cs="Arial"/>
          <w:b/>
          <w:sz w:val="24"/>
          <w:szCs w:val="24"/>
        </w:rPr>
      </w:pPr>
      <w:r>
        <w:rPr>
          <w:rFonts w:ascii="Arial" w:hAnsi="Arial" w:cs="Arial"/>
          <w:b/>
          <w:sz w:val="24"/>
          <w:szCs w:val="24"/>
        </w:rPr>
        <w:br w:type="page"/>
      </w:r>
    </w:p>
    <w:p w14:paraId="11089900" w14:textId="0421004B" w:rsidR="00A903D8" w:rsidRDefault="00A903D8" w:rsidP="00A903D8">
      <w:pPr>
        <w:keepNext/>
        <w:spacing w:after="240" w:line="240" w:lineRule="auto"/>
        <w:rPr>
          <w:rFonts w:ascii="Arial" w:hAnsi="Arial" w:cs="Arial"/>
          <w:b/>
          <w:sz w:val="24"/>
          <w:szCs w:val="24"/>
        </w:rPr>
      </w:pPr>
      <w:r w:rsidRPr="00914EE8">
        <w:rPr>
          <w:rFonts w:ascii="Arial" w:hAnsi="Arial" w:cs="Arial"/>
          <w:b/>
          <w:sz w:val="24"/>
          <w:szCs w:val="24"/>
        </w:rPr>
        <w:lastRenderedPageBreak/>
        <w:t>CLAUSE NOTES</w:t>
      </w:r>
    </w:p>
    <w:p w14:paraId="11E243FC" w14:textId="77777777" w:rsidR="00A903D8" w:rsidRDefault="00A903D8" w:rsidP="00A903D8">
      <w:pPr>
        <w:keepNext/>
        <w:spacing w:after="240" w:line="240" w:lineRule="auto"/>
        <w:rPr>
          <w:rFonts w:ascii="Arial" w:hAnsi="Arial" w:cs="Arial"/>
          <w:b/>
          <w:sz w:val="24"/>
          <w:szCs w:val="24"/>
        </w:rPr>
      </w:pPr>
      <w:r w:rsidRPr="00914EE8">
        <w:rPr>
          <w:rFonts w:ascii="Arial" w:hAnsi="Arial" w:cs="Arial"/>
          <w:b/>
          <w:sz w:val="24"/>
          <w:szCs w:val="24"/>
        </w:rPr>
        <w:t>Clause 1</w:t>
      </w:r>
      <w:r w:rsidRPr="00914EE8">
        <w:rPr>
          <w:rFonts w:ascii="Arial" w:hAnsi="Arial" w:cs="Arial"/>
          <w:b/>
          <w:sz w:val="24"/>
          <w:szCs w:val="24"/>
        </w:rPr>
        <w:tab/>
        <w:t>Name of Act</w:t>
      </w:r>
    </w:p>
    <w:p w14:paraId="3056C9C1" w14:textId="1F6A09AD" w:rsidR="00A903D8" w:rsidRPr="0095341F" w:rsidRDefault="00A903D8" w:rsidP="00A903D8">
      <w:pPr>
        <w:keepNext/>
        <w:spacing w:after="240" w:line="240" w:lineRule="auto"/>
        <w:rPr>
          <w:rFonts w:ascii="Arial" w:hAnsi="Arial" w:cs="Arial"/>
          <w:sz w:val="24"/>
          <w:szCs w:val="24"/>
        </w:rPr>
      </w:pPr>
      <w:r>
        <w:rPr>
          <w:rFonts w:ascii="Arial" w:hAnsi="Arial" w:cs="Arial"/>
          <w:sz w:val="24"/>
          <w:szCs w:val="24"/>
        </w:rPr>
        <w:t>This clause provides that the name of the Act is the Residential Tenancies Amendment Act 20</w:t>
      </w:r>
      <w:r w:rsidR="0067069D">
        <w:rPr>
          <w:rFonts w:ascii="Arial" w:hAnsi="Arial" w:cs="Arial"/>
          <w:sz w:val="24"/>
          <w:szCs w:val="24"/>
        </w:rPr>
        <w:t>20</w:t>
      </w:r>
      <w:r>
        <w:rPr>
          <w:rFonts w:ascii="Arial" w:hAnsi="Arial" w:cs="Arial"/>
          <w:sz w:val="24"/>
          <w:szCs w:val="24"/>
        </w:rPr>
        <w:t xml:space="preserve">. </w:t>
      </w:r>
    </w:p>
    <w:p w14:paraId="0C86B53A" w14:textId="77777777" w:rsidR="00A903D8" w:rsidRDefault="00A903D8" w:rsidP="00A903D8">
      <w:pPr>
        <w:spacing w:after="240" w:line="240" w:lineRule="auto"/>
        <w:rPr>
          <w:rFonts w:ascii="Arial" w:hAnsi="Arial" w:cs="Arial"/>
          <w:b/>
          <w:sz w:val="24"/>
          <w:szCs w:val="24"/>
        </w:rPr>
      </w:pPr>
      <w:r w:rsidRPr="00914EE8">
        <w:rPr>
          <w:rFonts w:ascii="Arial" w:hAnsi="Arial" w:cs="Arial"/>
          <w:b/>
          <w:sz w:val="24"/>
          <w:szCs w:val="24"/>
        </w:rPr>
        <w:t>Clause 2</w:t>
      </w:r>
      <w:r w:rsidRPr="00914EE8">
        <w:rPr>
          <w:rFonts w:ascii="Arial" w:hAnsi="Arial" w:cs="Arial"/>
          <w:b/>
          <w:sz w:val="24"/>
          <w:szCs w:val="24"/>
        </w:rPr>
        <w:tab/>
        <w:t>Commencement</w:t>
      </w:r>
    </w:p>
    <w:p w14:paraId="26E329D2" w14:textId="77777777" w:rsidR="00A903D8" w:rsidRDefault="00A903D8" w:rsidP="00A903D8">
      <w:pPr>
        <w:spacing w:after="240" w:line="240" w:lineRule="auto"/>
        <w:rPr>
          <w:rFonts w:ascii="Arial" w:hAnsi="Arial" w:cs="Arial"/>
          <w:sz w:val="24"/>
          <w:szCs w:val="24"/>
        </w:rPr>
      </w:pPr>
      <w:r>
        <w:rPr>
          <w:rFonts w:ascii="Arial" w:hAnsi="Arial" w:cs="Arial"/>
          <w:sz w:val="24"/>
          <w:szCs w:val="24"/>
        </w:rPr>
        <w:t>This clause provides that the Bill has a delayed commencement to allow implementation work to occur. If the Bill has not commenced within 6 months beginning on the notification day, it automatically commences on the first day after that period.</w:t>
      </w:r>
    </w:p>
    <w:p w14:paraId="73C81628" w14:textId="77777777" w:rsidR="00A903D8" w:rsidRPr="00914EE8" w:rsidRDefault="00A903D8" w:rsidP="00A903D8">
      <w:pPr>
        <w:spacing w:after="240" w:line="240" w:lineRule="auto"/>
        <w:rPr>
          <w:rFonts w:ascii="Arial" w:hAnsi="Arial" w:cs="Arial"/>
          <w:b/>
          <w:sz w:val="24"/>
          <w:szCs w:val="24"/>
        </w:rPr>
      </w:pPr>
      <w:r w:rsidRPr="00914EE8">
        <w:rPr>
          <w:rFonts w:ascii="Arial" w:hAnsi="Arial" w:cs="Arial"/>
          <w:b/>
          <w:sz w:val="24"/>
          <w:szCs w:val="24"/>
        </w:rPr>
        <w:t>Clause 3</w:t>
      </w:r>
      <w:r w:rsidRPr="00914EE8">
        <w:rPr>
          <w:rFonts w:ascii="Arial" w:hAnsi="Arial" w:cs="Arial"/>
          <w:b/>
          <w:sz w:val="24"/>
          <w:szCs w:val="24"/>
        </w:rPr>
        <w:tab/>
        <w:t xml:space="preserve">Legislation Amended </w:t>
      </w:r>
    </w:p>
    <w:p w14:paraId="5E06F790" w14:textId="3A4C6AE7" w:rsidR="00A903D8" w:rsidRPr="00CB21B2" w:rsidRDefault="00A903D8" w:rsidP="00A903D8">
      <w:pPr>
        <w:spacing w:after="240" w:line="240" w:lineRule="auto"/>
        <w:rPr>
          <w:rFonts w:ascii="Arial" w:hAnsi="Arial" w:cs="Arial"/>
          <w:sz w:val="24"/>
          <w:szCs w:val="24"/>
        </w:rPr>
      </w:pPr>
      <w:r>
        <w:rPr>
          <w:rFonts w:ascii="Arial" w:hAnsi="Arial" w:cs="Arial"/>
          <w:sz w:val="24"/>
          <w:szCs w:val="24"/>
        </w:rPr>
        <w:t xml:space="preserve">This clause provides that the Bill amends the </w:t>
      </w:r>
      <w:r>
        <w:rPr>
          <w:rFonts w:ascii="Arial" w:hAnsi="Arial" w:cs="Arial"/>
          <w:i/>
          <w:sz w:val="24"/>
          <w:szCs w:val="24"/>
        </w:rPr>
        <w:t xml:space="preserve">Residential Tenancies Act 1997 </w:t>
      </w:r>
      <w:r>
        <w:rPr>
          <w:rFonts w:ascii="Arial" w:hAnsi="Arial" w:cs="Arial"/>
          <w:sz w:val="24"/>
          <w:szCs w:val="24"/>
        </w:rPr>
        <w:t xml:space="preserve">(the RTA), </w:t>
      </w:r>
      <w:r w:rsidR="00DD7C59">
        <w:rPr>
          <w:rFonts w:ascii="Arial" w:hAnsi="Arial" w:cs="Arial"/>
          <w:sz w:val="24"/>
          <w:szCs w:val="24"/>
        </w:rPr>
        <w:t xml:space="preserve">and the </w:t>
      </w:r>
      <w:r w:rsidR="00DD7C59">
        <w:rPr>
          <w:rFonts w:ascii="Arial" w:hAnsi="Arial" w:cs="Arial"/>
          <w:i/>
          <w:iCs/>
          <w:sz w:val="24"/>
          <w:szCs w:val="24"/>
        </w:rPr>
        <w:t>Residential Tenancies Regulation 1998</w:t>
      </w:r>
      <w:r w:rsidR="00DD7C59">
        <w:rPr>
          <w:rFonts w:ascii="Arial" w:hAnsi="Arial" w:cs="Arial"/>
          <w:sz w:val="24"/>
          <w:szCs w:val="24"/>
        </w:rPr>
        <w:t xml:space="preserve"> (the Regulation). The Bill also amends </w:t>
      </w:r>
      <w:r>
        <w:rPr>
          <w:rFonts w:ascii="Arial" w:hAnsi="Arial" w:cs="Arial"/>
          <w:sz w:val="24"/>
          <w:szCs w:val="24"/>
        </w:rPr>
        <w:t xml:space="preserve">the </w:t>
      </w:r>
      <w:r>
        <w:rPr>
          <w:rFonts w:ascii="Arial" w:hAnsi="Arial" w:cs="Arial"/>
          <w:i/>
          <w:iCs/>
          <w:sz w:val="24"/>
          <w:szCs w:val="24"/>
        </w:rPr>
        <w:t xml:space="preserve">Human Rights Commission Act 2005 </w:t>
      </w:r>
      <w:r>
        <w:rPr>
          <w:rFonts w:ascii="Arial" w:hAnsi="Arial" w:cs="Arial"/>
          <w:sz w:val="24"/>
          <w:szCs w:val="24"/>
        </w:rPr>
        <w:t>(the HRCA)</w:t>
      </w:r>
      <w:r w:rsidR="00DD7C59">
        <w:rPr>
          <w:rFonts w:ascii="Arial" w:hAnsi="Arial" w:cs="Arial"/>
          <w:sz w:val="24"/>
          <w:szCs w:val="24"/>
        </w:rPr>
        <w:t xml:space="preserve"> and</w:t>
      </w:r>
      <w:r>
        <w:rPr>
          <w:rFonts w:ascii="Arial" w:hAnsi="Arial" w:cs="Arial"/>
          <w:sz w:val="24"/>
          <w:szCs w:val="24"/>
        </w:rPr>
        <w:t xml:space="preserve"> the </w:t>
      </w:r>
      <w:r>
        <w:rPr>
          <w:rFonts w:ascii="Arial" w:hAnsi="Arial" w:cs="Arial"/>
          <w:i/>
          <w:iCs/>
          <w:sz w:val="24"/>
          <w:szCs w:val="24"/>
        </w:rPr>
        <w:t>Uncollected Goods Act 1996</w:t>
      </w:r>
      <w:r>
        <w:rPr>
          <w:rFonts w:ascii="Arial" w:hAnsi="Arial" w:cs="Arial"/>
          <w:sz w:val="24"/>
          <w:szCs w:val="24"/>
        </w:rPr>
        <w:t xml:space="preserve"> (the UGA)</w:t>
      </w:r>
      <w:r w:rsidR="00DD7C59">
        <w:rPr>
          <w:rFonts w:ascii="Arial" w:hAnsi="Arial" w:cs="Arial"/>
          <w:sz w:val="24"/>
          <w:szCs w:val="24"/>
        </w:rPr>
        <w:t xml:space="preserve"> in schedule 1 of this Bill.</w:t>
      </w:r>
      <w:r>
        <w:rPr>
          <w:rFonts w:ascii="Arial" w:hAnsi="Arial" w:cs="Arial"/>
          <w:sz w:val="24"/>
          <w:szCs w:val="24"/>
        </w:rPr>
        <w:t xml:space="preserve"> </w:t>
      </w:r>
    </w:p>
    <w:p w14:paraId="4C54330B" w14:textId="77777777" w:rsidR="00A903D8" w:rsidRDefault="00A903D8" w:rsidP="00A903D8">
      <w:pPr>
        <w:spacing w:after="240" w:line="240" w:lineRule="auto"/>
        <w:rPr>
          <w:rFonts w:ascii="Arial" w:hAnsi="Arial" w:cs="Arial"/>
          <w:b/>
          <w:sz w:val="24"/>
          <w:szCs w:val="24"/>
        </w:rPr>
      </w:pPr>
      <w:r>
        <w:rPr>
          <w:rFonts w:ascii="Arial" w:hAnsi="Arial" w:cs="Arial"/>
          <w:b/>
          <w:sz w:val="24"/>
          <w:szCs w:val="24"/>
        </w:rPr>
        <w:t>Clause 4</w:t>
      </w:r>
      <w:r>
        <w:rPr>
          <w:rFonts w:ascii="Arial" w:hAnsi="Arial" w:cs="Arial"/>
          <w:b/>
          <w:sz w:val="24"/>
          <w:szCs w:val="24"/>
        </w:rPr>
        <w:tab/>
        <w:t>New section 4A</w:t>
      </w:r>
    </w:p>
    <w:p w14:paraId="5536FDC5" w14:textId="77777777" w:rsidR="00A903D8" w:rsidRDefault="00A903D8" w:rsidP="00A903D8">
      <w:pPr>
        <w:spacing w:after="240" w:line="240" w:lineRule="auto"/>
        <w:rPr>
          <w:rFonts w:ascii="Arial" w:hAnsi="Arial" w:cs="Arial"/>
          <w:sz w:val="24"/>
          <w:szCs w:val="24"/>
        </w:rPr>
      </w:pPr>
      <w:r>
        <w:rPr>
          <w:rFonts w:ascii="Arial" w:hAnsi="Arial" w:cs="Arial"/>
          <w:sz w:val="24"/>
          <w:szCs w:val="24"/>
        </w:rPr>
        <w:t xml:space="preserve">This clause inserts an ‘objects clause’ into the RTA. An objects clause is a provision that outlines the underlying purposes of the legislation and can be used to resolve uncertainty and ambiguity. Section 139 of the </w:t>
      </w:r>
      <w:r>
        <w:rPr>
          <w:rFonts w:ascii="Arial" w:hAnsi="Arial" w:cs="Arial"/>
          <w:i/>
          <w:iCs/>
          <w:sz w:val="24"/>
          <w:szCs w:val="24"/>
        </w:rPr>
        <w:t>Legislation Act 2001</w:t>
      </w:r>
      <w:r>
        <w:rPr>
          <w:rFonts w:ascii="Arial" w:hAnsi="Arial" w:cs="Arial"/>
          <w:sz w:val="24"/>
          <w:szCs w:val="24"/>
        </w:rPr>
        <w:t xml:space="preserve"> states that an interpretation that would best achieve the purpose of the legislation is to be preferred to any other interpretation. The objects clause will expressly state the purpose of the RTA to aid interpretation. The clause does not create new rights or obligations.</w:t>
      </w:r>
    </w:p>
    <w:p w14:paraId="39B24110" w14:textId="522E1B3F" w:rsidR="00A903D8" w:rsidRDefault="00A903D8" w:rsidP="00A903D8">
      <w:pPr>
        <w:spacing w:after="240" w:line="240" w:lineRule="auto"/>
        <w:rPr>
          <w:rFonts w:ascii="Arial" w:hAnsi="Arial" w:cs="Arial"/>
          <w:sz w:val="24"/>
          <w:szCs w:val="24"/>
        </w:rPr>
      </w:pPr>
      <w:r>
        <w:rPr>
          <w:rFonts w:ascii="Arial" w:hAnsi="Arial" w:cs="Arial"/>
          <w:sz w:val="24"/>
          <w:szCs w:val="24"/>
        </w:rPr>
        <w:t xml:space="preserve">This clause also provides an overview of the distinction between a residential tenancy agreement and an occupancy agreement. The RTA aims to define the rights and obligations of tenants and </w:t>
      </w:r>
      <w:r w:rsidR="004D446F">
        <w:rPr>
          <w:rFonts w:ascii="Arial" w:hAnsi="Arial" w:cs="Arial"/>
          <w:sz w:val="24"/>
          <w:szCs w:val="24"/>
        </w:rPr>
        <w:t xml:space="preserve">landlords </w:t>
      </w:r>
      <w:r>
        <w:rPr>
          <w:rFonts w:ascii="Arial" w:hAnsi="Arial" w:cs="Arial"/>
          <w:sz w:val="24"/>
          <w:szCs w:val="24"/>
        </w:rPr>
        <w:t>under residential tenancy agreements, while the RTA only sets out the minimum contractual requirements for occupancy agreements. The minimum contractual requirements for occupancy</w:t>
      </w:r>
      <w:r w:rsidR="00A62E2B">
        <w:rPr>
          <w:rFonts w:ascii="Arial" w:hAnsi="Arial" w:cs="Arial"/>
          <w:sz w:val="24"/>
          <w:szCs w:val="24"/>
        </w:rPr>
        <w:t xml:space="preserve"> agreements</w:t>
      </w:r>
      <w:r>
        <w:rPr>
          <w:rFonts w:ascii="Arial" w:hAnsi="Arial" w:cs="Arial"/>
          <w:sz w:val="24"/>
          <w:szCs w:val="24"/>
        </w:rPr>
        <w:t xml:space="preserve"> provide the flexibility for them to be adapted to the wide range of stakeholders who use occupancy agreements.</w:t>
      </w:r>
    </w:p>
    <w:p w14:paraId="0676DC22" w14:textId="77777777" w:rsidR="00A903D8" w:rsidRDefault="00A903D8" w:rsidP="00A903D8">
      <w:pPr>
        <w:spacing w:after="240" w:line="240" w:lineRule="auto"/>
        <w:rPr>
          <w:rFonts w:ascii="Arial" w:hAnsi="Arial" w:cs="Arial"/>
          <w:b/>
          <w:sz w:val="24"/>
          <w:szCs w:val="24"/>
        </w:rPr>
      </w:pPr>
      <w:r w:rsidRPr="00E257A6">
        <w:rPr>
          <w:rFonts w:ascii="Arial" w:hAnsi="Arial" w:cs="Arial"/>
          <w:b/>
          <w:sz w:val="24"/>
          <w:szCs w:val="24"/>
        </w:rPr>
        <w:t xml:space="preserve">Clause </w:t>
      </w:r>
      <w:r>
        <w:rPr>
          <w:rFonts w:ascii="Arial" w:hAnsi="Arial" w:cs="Arial"/>
          <w:b/>
          <w:sz w:val="24"/>
          <w:szCs w:val="24"/>
        </w:rPr>
        <w:t>5</w:t>
      </w:r>
      <w:r>
        <w:rPr>
          <w:rFonts w:ascii="Arial" w:hAnsi="Arial" w:cs="Arial"/>
          <w:b/>
          <w:sz w:val="24"/>
          <w:szCs w:val="24"/>
        </w:rPr>
        <w:tab/>
        <w:t>New section 6AA</w:t>
      </w:r>
      <w:r w:rsidRPr="00E257A6">
        <w:rPr>
          <w:rFonts w:ascii="Arial" w:hAnsi="Arial" w:cs="Arial"/>
          <w:b/>
          <w:sz w:val="24"/>
          <w:szCs w:val="24"/>
        </w:rPr>
        <w:tab/>
      </w:r>
    </w:p>
    <w:p w14:paraId="18E7A53F" w14:textId="77777777" w:rsidR="00A903D8" w:rsidRDefault="00A903D8" w:rsidP="00A903D8">
      <w:pPr>
        <w:spacing w:after="240" w:line="240" w:lineRule="auto"/>
        <w:rPr>
          <w:rFonts w:ascii="Arial" w:hAnsi="Arial" w:cs="Arial"/>
          <w:sz w:val="24"/>
          <w:szCs w:val="24"/>
        </w:rPr>
      </w:pPr>
      <w:r>
        <w:rPr>
          <w:rFonts w:ascii="Arial" w:hAnsi="Arial" w:cs="Arial"/>
          <w:sz w:val="24"/>
          <w:szCs w:val="24"/>
        </w:rPr>
        <w:t>This clause inserts a new class of tenant into the RTA: a co-tenant.</w:t>
      </w:r>
    </w:p>
    <w:p w14:paraId="09BB31C4" w14:textId="7079EF24" w:rsidR="00A903D8" w:rsidRDefault="00A903D8" w:rsidP="00A903D8">
      <w:pPr>
        <w:spacing w:after="240" w:line="240" w:lineRule="auto"/>
        <w:rPr>
          <w:rFonts w:ascii="Arial" w:hAnsi="Arial" w:cs="Arial"/>
          <w:sz w:val="24"/>
          <w:szCs w:val="24"/>
        </w:rPr>
      </w:pPr>
      <w:r>
        <w:rPr>
          <w:rFonts w:ascii="Arial" w:hAnsi="Arial" w:cs="Arial"/>
          <w:sz w:val="24"/>
          <w:szCs w:val="24"/>
        </w:rPr>
        <w:t>‘Share housing’ is an increasingly common way for people to live, especially for students. As residential tenancy law was not developed with the concept of tenants moving in and out of tenancy agreements, the legal status of a resident is often unclear in these circumstances. Currently, a person in a share house might be a co</w:t>
      </w:r>
      <w:r w:rsidR="00DD7C59">
        <w:rPr>
          <w:rFonts w:ascii="Arial" w:hAnsi="Arial" w:cs="Arial"/>
          <w:sz w:val="24"/>
          <w:szCs w:val="24"/>
        </w:rPr>
        <w:noBreakHyphen/>
      </w:r>
      <w:r>
        <w:rPr>
          <w:rFonts w:ascii="Arial" w:hAnsi="Arial" w:cs="Arial"/>
          <w:sz w:val="24"/>
          <w:szCs w:val="24"/>
        </w:rPr>
        <w:t>tenant</w:t>
      </w:r>
      <w:r w:rsidR="00DD7C59">
        <w:rPr>
          <w:rFonts w:ascii="Arial" w:hAnsi="Arial" w:cs="Arial"/>
          <w:sz w:val="24"/>
          <w:szCs w:val="24"/>
        </w:rPr>
        <w:t xml:space="preserve"> (either as a joint tenant or as a tenant in common)</w:t>
      </w:r>
      <w:r>
        <w:rPr>
          <w:rFonts w:ascii="Arial" w:hAnsi="Arial" w:cs="Arial"/>
          <w:sz w:val="24"/>
          <w:szCs w:val="24"/>
        </w:rPr>
        <w:t>, a sub-tenant, an occupant, or a bare licensee.</w:t>
      </w:r>
    </w:p>
    <w:p w14:paraId="60DE4F8E" w14:textId="77777777" w:rsidR="00D87810" w:rsidRDefault="00D87810" w:rsidP="00A903D8">
      <w:pPr>
        <w:spacing w:after="240" w:line="240" w:lineRule="auto"/>
        <w:rPr>
          <w:rFonts w:ascii="Arial" w:hAnsi="Arial" w:cs="Arial"/>
          <w:sz w:val="24"/>
          <w:szCs w:val="24"/>
        </w:rPr>
      </w:pPr>
    </w:p>
    <w:p w14:paraId="6D70D171" w14:textId="5C4BBEA9" w:rsidR="00A903D8" w:rsidRDefault="00A903D8" w:rsidP="00A903D8">
      <w:pPr>
        <w:spacing w:after="240" w:line="240" w:lineRule="auto"/>
        <w:rPr>
          <w:rFonts w:ascii="Arial" w:hAnsi="Arial" w:cs="Arial"/>
          <w:sz w:val="24"/>
          <w:szCs w:val="24"/>
        </w:rPr>
      </w:pPr>
      <w:r>
        <w:rPr>
          <w:rFonts w:ascii="Arial" w:hAnsi="Arial" w:cs="Arial"/>
          <w:sz w:val="24"/>
          <w:szCs w:val="24"/>
        </w:rPr>
        <w:lastRenderedPageBreak/>
        <w:t>This amendment seeks to reduce this ambiguity in the legal relationships that are created in share housing so that the legal framework is simpler, modernised, better reflects community behaviours and expectations, and ensures that those who have a reasonable expectation of the protections of a tenancy are afforded it.</w:t>
      </w:r>
    </w:p>
    <w:p w14:paraId="1C1FC075" w14:textId="77777777" w:rsidR="00A903D8" w:rsidRPr="00E257A6" w:rsidRDefault="00A903D8" w:rsidP="00A903D8">
      <w:pPr>
        <w:spacing w:after="240" w:line="240" w:lineRule="auto"/>
        <w:rPr>
          <w:rFonts w:ascii="Arial" w:hAnsi="Arial" w:cs="Arial"/>
          <w:b/>
          <w:sz w:val="24"/>
          <w:szCs w:val="24"/>
        </w:rPr>
      </w:pPr>
      <w:r>
        <w:rPr>
          <w:rFonts w:ascii="Arial" w:hAnsi="Arial" w:cs="Arial"/>
          <w:b/>
          <w:sz w:val="24"/>
          <w:szCs w:val="24"/>
        </w:rPr>
        <w:t>Clause 6</w:t>
      </w:r>
      <w:r>
        <w:rPr>
          <w:rFonts w:ascii="Arial" w:hAnsi="Arial" w:cs="Arial"/>
          <w:b/>
          <w:sz w:val="24"/>
          <w:szCs w:val="24"/>
        </w:rPr>
        <w:tab/>
        <w:t>What is a residential tenancy agreement?</w:t>
      </w:r>
      <w:r>
        <w:rPr>
          <w:rFonts w:ascii="Arial" w:hAnsi="Arial" w:cs="Arial"/>
          <w:b/>
          <w:sz w:val="24"/>
          <w:szCs w:val="24"/>
        </w:rPr>
        <w:br/>
      </w:r>
      <w:r>
        <w:rPr>
          <w:rFonts w:ascii="Arial" w:hAnsi="Arial" w:cs="Arial"/>
          <w:b/>
          <w:sz w:val="24"/>
          <w:szCs w:val="24"/>
        </w:rPr>
        <w:tab/>
      </w:r>
      <w:r>
        <w:rPr>
          <w:rFonts w:ascii="Arial" w:hAnsi="Arial" w:cs="Arial"/>
          <w:b/>
          <w:sz w:val="24"/>
          <w:szCs w:val="24"/>
        </w:rPr>
        <w:tab/>
        <w:t>New section 6A (1)</w:t>
      </w:r>
    </w:p>
    <w:p w14:paraId="09270B45" w14:textId="100B62CB" w:rsidR="00A903D8" w:rsidRDefault="00A903D8" w:rsidP="00A903D8">
      <w:pPr>
        <w:spacing w:after="240" w:line="240" w:lineRule="auto"/>
        <w:rPr>
          <w:rFonts w:ascii="Arial" w:hAnsi="Arial" w:cs="Arial"/>
          <w:sz w:val="24"/>
          <w:szCs w:val="24"/>
        </w:rPr>
      </w:pPr>
      <w:r>
        <w:rPr>
          <w:rFonts w:ascii="Arial" w:hAnsi="Arial" w:cs="Arial"/>
          <w:sz w:val="24"/>
          <w:szCs w:val="24"/>
        </w:rPr>
        <w:t>This clause provides a new definition of a residential tenancy agreement to clarify the difference between it</w:t>
      </w:r>
      <w:r w:rsidR="00013AB0">
        <w:rPr>
          <w:rFonts w:ascii="Arial" w:hAnsi="Arial" w:cs="Arial"/>
          <w:sz w:val="24"/>
          <w:szCs w:val="24"/>
        </w:rPr>
        <w:t>,</w:t>
      </w:r>
      <w:r>
        <w:rPr>
          <w:rFonts w:ascii="Arial" w:hAnsi="Arial" w:cs="Arial"/>
          <w:sz w:val="24"/>
          <w:szCs w:val="24"/>
        </w:rPr>
        <w:t xml:space="preserve"> and an occupancy agreement.</w:t>
      </w:r>
    </w:p>
    <w:p w14:paraId="39E80379" w14:textId="77777777" w:rsidR="00A903D8" w:rsidRDefault="00A903D8" w:rsidP="00A903D8">
      <w:pPr>
        <w:spacing w:after="240" w:line="240" w:lineRule="auto"/>
        <w:rPr>
          <w:rFonts w:ascii="Arial" w:hAnsi="Arial" w:cs="Arial"/>
          <w:sz w:val="24"/>
          <w:szCs w:val="24"/>
        </w:rPr>
      </w:pPr>
      <w:r>
        <w:rPr>
          <w:rFonts w:ascii="Arial" w:hAnsi="Arial" w:cs="Arial"/>
          <w:sz w:val="24"/>
          <w:szCs w:val="24"/>
        </w:rPr>
        <w:t>It is the intention that, with only very few exceptions, every person who pays for a right to accommodation as their principal place of residence in the ACT is either a residential tenant or an occupant. The operation of new section 6A and new section 71C (which defines occupancy agreements) is that there is a presumption, in most circumstances, in favour of a residential tenancy unless there are clear reasons not to recognise a tenancy (including that the parties clearly intended not to create a tenancy).</w:t>
      </w:r>
    </w:p>
    <w:p w14:paraId="14DA15A5" w14:textId="77777777" w:rsidR="00A903D8" w:rsidRPr="00E257A6" w:rsidRDefault="00A903D8" w:rsidP="00A903D8">
      <w:pPr>
        <w:spacing w:after="240" w:line="240" w:lineRule="auto"/>
        <w:rPr>
          <w:rFonts w:ascii="Arial" w:hAnsi="Arial" w:cs="Arial"/>
          <w:sz w:val="24"/>
          <w:szCs w:val="24"/>
        </w:rPr>
      </w:pPr>
      <w:r>
        <w:rPr>
          <w:rFonts w:ascii="Arial" w:hAnsi="Arial" w:cs="Arial"/>
          <w:sz w:val="24"/>
          <w:szCs w:val="24"/>
        </w:rPr>
        <w:t>The effect of this new section together with new section 71C is that all people, with very few exceptions, who pay for residential accommodation as their home are entitled to appropriate protections of their use of the residence either as a tenant or, if a clear exception applies, as an occupant.</w:t>
      </w:r>
    </w:p>
    <w:p w14:paraId="0D7D28DF" w14:textId="77777777" w:rsidR="00A903D8" w:rsidRPr="00230BB7" w:rsidRDefault="00A903D8" w:rsidP="00A903D8">
      <w:pPr>
        <w:spacing w:after="240" w:line="240" w:lineRule="auto"/>
        <w:rPr>
          <w:rFonts w:ascii="Arial" w:hAnsi="Arial" w:cs="Arial"/>
          <w:b/>
          <w:sz w:val="24"/>
          <w:szCs w:val="24"/>
        </w:rPr>
      </w:pPr>
      <w:r w:rsidRPr="00230BB7">
        <w:rPr>
          <w:rFonts w:ascii="Arial" w:hAnsi="Arial" w:cs="Arial"/>
          <w:b/>
          <w:sz w:val="24"/>
          <w:szCs w:val="24"/>
        </w:rPr>
        <w:t xml:space="preserve">Clause </w:t>
      </w:r>
      <w:r>
        <w:rPr>
          <w:rFonts w:ascii="Arial" w:hAnsi="Arial" w:cs="Arial"/>
          <w:b/>
          <w:sz w:val="24"/>
          <w:szCs w:val="24"/>
        </w:rPr>
        <w:t>7</w:t>
      </w:r>
      <w:r w:rsidRPr="00230BB7">
        <w:rPr>
          <w:rFonts w:ascii="Arial" w:hAnsi="Arial" w:cs="Arial"/>
          <w:b/>
          <w:sz w:val="24"/>
          <w:szCs w:val="24"/>
        </w:rPr>
        <w:tab/>
      </w:r>
      <w:r>
        <w:rPr>
          <w:rFonts w:ascii="Arial" w:hAnsi="Arial" w:cs="Arial"/>
          <w:b/>
          <w:sz w:val="24"/>
          <w:szCs w:val="24"/>
        </w:rPr>
        <w:t>Section 6A (4), third dot point</w:t>
      </w:r>
    </w:p>
    <w:p w14:paraId="1595A2E5" w14:textId="77777777" w:rsidR="00A903D8" w:rsidRDefault="00A903D8" w:rsidP="00A903D8">
      <w:pPr>
        <w:spacing w:after="240" w:line="240" w:lineRule="auto"/>
        <w:rPr>
          <w:rFonts w:ascii="Arial" w:hAnsi="Arial" w:cs="Arial"/>
          <w:sz w:val="24"/>
          <w:szCs w:val="24"/>
        </w:rPr>
      </w:pPr>
      <w:r>
        <w:rPr>
          <w:rFonts w:ascii="Arial" w:hAnsi="Arial" w:cs="Arial"/>
          <w:sz w:val="24"/>
          <w:szCs w:val="24"/>
        </w:rPr>
        <w:t>This clause removes a cross-reference to a section of the RTA that will be removed by clause 9 (below).</w:t>
      </w:r>
    </w:p>
    <w:p w14:paraId="2896E14B" w14:textId="77777777" w:rsidR="00A903D8" w:rsidRPr="00230BB7" w:rsidRDefault="00A903D8" w:rsidP="00A903D8">
      <w:pPr>
        <w:spacing w:after="240" w:line="240" w:lineRule="auto"/>
        <w:rPr>
          <w:rFonts w:ascii="Arial" w:hAnsi="Arial" w:cs="Arial"/>
          <w:b/>
          <w:sz w:val="24"/>
          <w:szCs w:val="24"/>
        </w:rPr>
      </w:pPr>
      <w:r w:rsidRPr="00230BB7">
        <w:rPr>
          <w:rFonts w:ascii="Arial" w:hAnsi="Arial" w:cs="Arial"/>
          <w:b/>
          <w:sz w:val="24"/>
          <w:szCs w:val="24"/>
        </w:rPr>
        <w:t xml:space="preserve">Clause </w:t>
      </w:r>
      <w:r>
        <w:rPr>
          <w:rFonts w:ascii="Arial" w:hAnsi="Arial" w:cs="Arial"/>
          <w:b/>
          <w:sz w:val="24"/>
          <w:szCs w:val="24"/>
        </w:rPr>
        <w:t>8</w:t>
      </w:r>
      <w:r w:rsidRPr="00230BB7">
        <w:rPr>
          <w:rFonts w:ascii="Arial" w:hAnsi="Arial" w:cs="Arial"/>
          <w:b/>
          <w:sz w:val="24"/>
          <w:szCs w:val="24"/>
        </w:rPr>
        <w:tab/>
      </w:r>
      <w:r>
        <w:rPr>
          <w:rFonts w:ascii="Arial" w:hAnsi="Arial" w:cs="Arial"/>
          <w:b/>
          <w:sz w:val="24"/>
          <w:szCs w:val="24"/>
        </w:rPr>
        <w:t>Certain people given right of occupation not tenants</w:t>
      </w:r>
      <w:r>
        <w:rPr>
          <w:rFonts w:ascii="Arial" w:hAnsi="Arial" w:cs="Arial"/>
          <w:b/>
          <w:sz w:val="24"/>
          <w:szCs w:val="24"/>
        </w:rPr>
        <w:br/>
      </w:r>
      <w:r>
        <w:rPr>
          <w:rFonts w:ascii="Arial" w:hAnsi="Arial" w:cs="Arial"/>
          <w:b/>
          <w:sz w:val="24"/>
          <w:szCs w:val="24"/>
        </w:rPr>
        <w:tab/>
      </w:r>
      <w:r>
        <w:rPr>
          <w:rFonts w:ascii="Arial" w:hAnsi="Arial" w:cs="Arial"/>
          <w:b/>
          <w:sz w:val="24"/>
          <w:szCs w:val="24"/>
        </w:rPr>
        <w:tab/>
        <w:t>Section 6E (1) (b)</w:t>
      </w:r>
    </w:p>
    <w:p w14:paraId="3F4DB344" w14:textId="058AF648" w:rsidR="00A903D8" w:rsidRDefault="00A903D8" w:rsidP="00A903D8">
      <w:pPr>
        <w:spacing w:after="240" w:line="240" w:lineRule="auto"/>
        <w:rPr>
          <w:rFonts w:ascii="Arial" w:hAnsi="Arial" w:cs="Arial"/>
          <w:sz w:val="24"/>
          <w:szCs w:val="24"/>
        </w:rPr>
      </w:pPr>
      <w:r>
        <w:rPr>
          <w:rFonts w:ascii="Arial" w:hAnsi="Arial" w:cs="Arial"/>
          <w:sz w:val="24"/>
          <w:szCs w:val="24"/>
        </w:rPr>
        <w:t xml:space="preserve">This clause removes a section of the RTA which stated that certain people were not tenants. As this contributed to confusion about their status as parties to an occupancy agreement, this section has been removed. </w:t>
      </w:r>
      <w:bookmarkStart w:id="6" w:name="_Hlk24548041"/>
      <w:r>
        <w:rPr>
          <w:rFonts w:ascii="Arial" w:hAnsi="Arial" w:cs="Arial"/>
          <w:sz w:val="24"/>
          <w:szCs w:val="24"/>
        </w:rPr>
        <w:t xml:space="preserve">This has been replaced by a functional definition of what constitutes an occupancy agreement (see clause </w:t>
      </w:r>
      <w:r w:rsidR="00B057D5">
        <w:rPr>
          <w:rFonts w:ascii="Arial" w:hAnsi="Arial" w:cs="Arial"/>
          <w:sz w:val="24"/>
          <w:szCs w:val="24"/>
        </w:rPr>
        <w:t>22</w:t>
      </w:r>
      <w:r>
        <w:rPr>
          <w:rFonts w:ascii="Arial" w:hAnsi="Arial" w:cs="Arial"/>
          <w:sz w:val="24"/>
          <w:szCs w:val="24"/>
        </w:rPr>
        <w:t>, new section 71C below).</w:t>
      </w:r>
    </w:p>
    <w:bookmarkEnd w:id="6"/>
    <w:p w14:paraId="22E31A50" w14:textId="77777777" w:rsidR="00A903D8" w:rsidRPr="00230BB7" w:rsidRDefault="00A903D8" w:rsidP="00A903D8">
      <w:pPr>
        <w:spacing w:after="240" w:line="240" w:lineRule="auto"/>
        <w:rPr>
          <w:rFonts w:ascii="Arial" w:hAnsi="Arial" w:cs="Arial"/>
          <w:b/>
          <w:sz w:val="24"/>
          <w:szCs w:val="24"/>
        </w:rPr>
      </w:pPr>
      <w:r w:rsidRPr="00230BB7">
        <w:rPr>
          <w:rFonts w:ascii="Arial" w:hAnsi="Arial" w:cs="Arial"/>
          <w:b/>
          <w:sz w:val="24"/>
          <w:szCs w:val="24"/>
        </w:rPr>
        <w:t xml:space="preserve">Clause </w:t>
      </w:r>
      <w:r>
        <w:rPr>
          <w:rFonts w:ascii="Arial" w:hAnsi="Arial" w:cs="Arial"/>
          <w:b/>
          <w:sz w:val="24"/>
          <w:szCs w:val="24"/>
        </w:rPr>
        <w:t>9</w:t>
      </w:r>
      <w:r w:rsidRPr="00230BB7">
        <w:rPr>
          <w:rFonts w:ascii="Arial" w:hAnsi="Arial" w:cs="Arial"/>
          <w:b/>
          <w:sz w:val="24"/>
          <w:szCs w:val="24"/>
        </w:rPr>
        <w:tab/>
      </w:r>
      <w:r>
        <w:rPr>
          <w:rFonts w:ascii="Arial" w:hAnsi="Arial" w:cs="Arial"/>
          <w:b/>
          <w:sz w:val="24"/>
          <w:szCs w:val="24"/>
        </w:rPr>
        <w:t>Certain kinds of premises mean no residential tenancy agreement</w:t>
      </w:r>
      <w:r>
        <w:rPr>
          <w:rFonts w:ascii="Arial" w:hAnsi="Arial" w:cs="Arial"/>
          <w:b/>
          <w:sz w:val="24"/>
          <w:szCs w:val="24"/>
        </w:rPr>
        <w:br/>
      </w:r>
      <w:r>
        <w:rPr>
          <w:rFonts w:ascii="Arial" w:hAnsi="Arial" w:cs="Arial"/>
          <w:b/>
          <w:sz w:val="24"/>
          <w:szCs w:val="24"/>
        </w:rPr>
        <w:tab/>
      </w:r>
      <w:r>
        <w:rPr>
          <w:rFonts w:ascii="Arial" w:hAnsi="Arial" w:cs="Arial"/>
          <w:b/>
          <w:sz w:val="24"/>
          <w:szCs w:val="24"/>
        </w:rPr>
        <w:tab/>
        <w:t>Section 6F</w:t>
      </w:r>
    </w:p>
    <w:p w14:paraId="7D752409" w14:textId="3F16D27E" w:rsidR="00A903D8" w:rsidRDefault="00A903D8" w:rsidP="00A903D8">
      <w:pPr>
        <w:spacing w:after="240" w:line="240" w:lineRule="auto"/>
        <w:rPr>
          <w:rFonts w:ascii="Arial" w:hAnsi="Arial" w:cs="Arial"/>
          <w:sz w:val="24"/>
          <w:szCs w:val="24"/>
        </w:rPr>
      </w:pPr>
      <w:r>
        <w:rPr>
          <w:rFonts w:ascii="Arial" w:hAnsi="Arial" w:cs="Arial"/>
          <w:sz w:val="24"/>
          <w:szCs w:val="24"/>
        </w:rPr>
        <w:t>This clause removes a section of the Act which stated that certain premises meant the residents were not tenants. As this contributed to confusion about the status of the residents as parties to an occupancy agreement, this section has been removed.</w:t>
      </w:r>
      <w:r w:rsidRPr="000865D4">
        <w:rPr>
          <w:rFonts w:ascii="Arial" w:hAnsi="Arial" w:cs="Arial"/>
          <w:sz w:val="24"/>
          <w:szCs w:val="24"/>
        </w:rPr>
        <w:t xml:space="preserve"> This has been replaced by a functional definition of what constitutes an occupancy agreement (see clause </w:t>
      </w:r>
      <w:r w:rsidR="00B057D5">
        <w:rPr>
          <w:rFonts w:ascii="Arial" w:hAnsi="Arial" w:cs="Arial"/>
          <w:sz w:val="24"/>
          <w:szCs w:val="24"/>
        </w:rPr>
        <w:t>22</w:t>
      </w:r>
      <w:r w:rsidRPr="000865D4">
        <w:rPr>
          <w:rFonts w:ascii="Arial" w:hAnsi="Arial" w:cs="Arial"/>
          <w:sz w:val="24"/>
          <w:szCs w:val="24"/>
        </w:rPr>
        <w:t>, new section 71C below).</w:t>
      </w:r>
      <w:r>
        <w:rPr>
          <w:rFonts w:ascii="Arial" w:hAnsi="Arial" w:cs="Arial"/>
          <w:sz w:val="24"/>
          <w:szCs w:val="24"/>
        </w:rPr>
        <w:t xml:space="preserve"> </w:t>
      </w:r>
    </w:p>
    <w:p w14:paraId="29DA6DA8" w14:textId="77777777" w:rsidR="00D87810" w:rsidRDefault="00D87810" w:rsidP="00A903D8">
      <w:pPr>
        <w:spacing w:after="240" w:line="240" w:lineRule="auto"/>
        <w:rPr>
          <w:rFonts w:ascii="Arial" w:hAnsi="Arial" w:cs="Arial"/>
          <w:b/>
          <w:sz w:val="24"/>
          <w:szCs w:val="24"/>
        </w:rPr>
      </w:pPr>
    </w:p>
    <w:p w14:paraId="0B57482B" w14:textId="77777777" w:rsidR="00D87810" w:rsidRDefault="00D87810" w:rsidP="00A903D8">
      <w:pPr>
        <w:spacing w:after="240" w:line="240" w:lineRule="auto"/>
        <w:rPr>
          <w:rFonts w:ascii="Arial" w:hAnsi="Arial" w:cs="Arial"/>
          <w:b/>
          <w:sz w:val="24"/>
          <w:szCs w:val="24"/>
        </w:rPr>
      </w:pPr>
    </w:p>
    <w:p w14:paraId="11F45739" w14:textId="3BAD886B" w:rsidR="00A903D8" w:rsidRPr="00230BB7" w:rsidRDefault="00A903D8" w:rsidP="00A903D8">
      <w:pPr>
        <w:spacing w:after="240" w:line="240" w:lineRule="auto"/>
        <w:rPr>
          <w:rFonts w:ascii="Arial" w:hAnsi="Arial" w:cs="Arial"/>
          <w:b/>
          <w:sz w:val="24"/>
          <w:szCs w:val="24"/>
        </w:rPr>
      </w:pPr>
      <w:r w:rsidRPr="00230BB7">
        <w:rPr>
          <w:rFonts w:ascii="Arial" w:hAnsi="Arial" w:cs="Arial"/>
          <w:b/>
          <w:sz w:val="24"/>
          <w:szCs w:val="24"/>
        </w:rPr>
        <w:lastRenderedPageBreak/>
        <w:t xml:space="preserve">Clause </w:t>
      </w:r>
      <w:r>
        <w:rPr>
          <w:rFonts w:ascii="Arial" w:hAnsi="Arial" w:cs="Arial"/>
          <w:b/>
          <w:sz w:val="24"/>
          <w:szCs w:val="24"/>
        </w:rPr>
        <w:t>10</w:t>
      </w:r>
      <w:r w:rsidRPr="00230BB7">
        <w:rPr>
          <w:rFonts w:ascii="Arial" w:hAnsi="Arial" w:cs="Arial"/>
          <w:b/>
          <w:sz w:val="24"/>
          <w:szCs w:val="24"/>
        </w:rPr>
        <w:tab/>
      </w:r>
      <w:r>
        <w:rPr>
          <w:rFonts w:ascii="Arial" w:hAnsi="Arial" w:cs="Arial"/>
          <w:b/>
          <w:sz w:val="24"/>
          <w:szCs w:val="24"/>
        </w:rPr>
        <w:t>Rent or bond only</w:t>
      </w:r>
      <w:r>
        <w:rPr>
          <w:rFonts w:ascii="Arial" w:hAnsi="Arial" w:cs="Arial"/>
          <w:b/>
          <w:sz w:val="24"/>
          <w:szCs w:val="24"/>
        </w:rPr>
        <w:br/>
      </w:r>
      <w:r>
        <w:rPr>
          <w:rFonts w:ascii="Arial" w:hAnsi="Arial" w:cs="Arial"/>
          <w:b/>
          <w:sz w:val="24"/>
          <w:szCs w:val="24"/>
        </w:rPr>
        <w:tab/>
      </w:r>
      <w:r>
        <w:rPr>
          <w:rFonts w:ascii="Arial" w:hAnsi="Arial" w:cs="Arial"/>
          <w:b/>
          <w:sz w:val="24"/>
          <w:szCs w:val="24"/>
        </w:rPr>
        <w:tab/>
        <w:t>New sections 15 (2) (aa) and (ab)</w:t>
      </w:r>
    </w:p>
    <w:p w14:paraId="65C2D330" w14:textId="77777777" w:rsidR="00A903D8" w:rsidRDefault="00A903D8" w:rsidP="00A903D8">
      <w:pPr>
        <w:spacing w:after="240" w:line="240" w:lineRule="auto"/>
        <w:rPr>
          <w:rFonts w:ascii="Arial" w:hAnsi="Arial" w:cs="Arial"/>
          <w:sz w:val="24"/>
          <w:szCs w:val="24"/>
        </w:rPr>
      </w:pPr>
      <w:r>
        <w:rPr>
          <w:rFonts w:ascii="Arial" w:hAnsi="Arial" w:cs="Arial"/>
          <w:sz w:val="24"/>
          <w:szCs w:val="24"/>
        </w:rPr>
        <w:t xml:space="preserve">This clause makes it clear that landlords must not require or accept any consideration for consenting to a co-tenant leaving, or a new co-tenant joining, a residential tenancy agreement. </w:t>
      </w:r>
    </w:p>
    <w:p w14:paraId="7E2CBC17" w14:textId="03011A39" w:rsidR="00A903D8" w:rsidRDefault="00A903D8" w:rsidP="00A903D8">
      <w:pPr>
        <w:spacing w:after="240" w:line="240" w:lineRule="auto"/>
        <w:rPr>
          <w:rFonts w:ascii="Arial" w:hAnsi="Arial" w:cs="Arial"/>
          <w:sz w:val="24"/>
          <w:szCs w:val="24"/>
        </w:rPr>
      </w:pPr>
      <w:r>
        <w:rPr>
          <w:rFonts w:ascii="Arial" w:hAnsi="Arial" w:cs="Arial"/>
          <w:sz w:val="24"/>
          <w:szCs w:val="24"/>
        </w:rPr>
        <w:t>The RTA prohibits all fees for a residential tenancy agreement other than for rent or bond. This requirement exists in the ACT and other jurisdictions to keep the initial cost of obtaining rental accommodation at a reasonable level and to remove hidden costs, such as ‘key money’. Fees in addition to rent and bond disadvantage low income earners.</w:t>
      </w:r>
    </w:p>
    <w:p w14:paraId="2CB279DE" w14:textId="3E7C27A6" w:rsidR="00B057D5" w:rsidRDefault="00B057D5" w:rsidP="008F5015">
      <w:pPr>
        <w:spacing w:after="240" w:line="240" w:lineRule="auto"/>
        <w:ind w:left="1440" w:hanging="1440"/>
        <w:rPr>
          <w:rFonts w:ascii="Arial" w:hAnsi="Arial" w:cs="Arial"/>
          <w:b/>
          <w:sz w:val="24"/>
          <w:szCs w:val="24"/>
        </w:rPr>
      </w:pPr>
      <w:r w:rsidRPr="00230BB7">
        <w:rPr>
          <w:rFonts w:ascii="Arial" w:hAnsi="Arial" w:cs="Arial"/>
          <w:b/>
          <w:sz w:val="24"/>
          <w:szCs w:val="24"/>
        </w:rPr>
        <w:t xml:space="preserve">Clause </w:t>
      </w:r>
      <w:r>
        <w:rPr>
          <w:rFonts w:ascii="Arial" w:hAnsi="Arial" w:cs="Arial"/>
          <w:b/>
          <w:sz w:val="24"/>
          <w:szCs w:val="24"/>
        </w:rPr>
        <w:t>11</w:t>
      </w:r>
      <w:r>
        <w:rPr>
          <w:rFonts w:ascii="Arial" w:hAnsi="Arial" w:cs="Arial"/>
          <w:b/>
          <w:sz w:val="24"/>
          <w:szCs w:val="24"/>
        </w:rPr>
        <w:tab/>
      </w:r>
      <w:r w:rsidR="008F5015">
        <w:rPr>
          <w:rFonts w:ascii="Arial" w:hAnsi="Arial" w:cs="Arial"/>
          <w:b/>
          <w:sz w:val="24"/>
          <w:szCs w:val="24"/>
        </w:rPr>
        <w:t>Bond release application—lessor’s obligations</w:t>
      </w:r>
      <w:r w:rsidR="008F5015">
        <w:rPr>
          <w:rFonts w:ascii="Arial" w:hAnsi="Arial" w:cs="Arial"/>
          <w:b/>
          <w:sz w:val="24"/>
          <w:szCs w:val="24"/>
        </w:rPr>
        <w:br/>
      </w:r>
      <w:r>
        <w:rPr>
          <w:rFonts w:ascii="Arial" w:hAnsi="Arial" w:cs="Arial"/>
          <w:b/>
          <w:sz w:val="24"/>
          <w:szCs w:val="24"/>
        </w:rPr>
        <w:t>New section 34</w:t>
      </w:r>
      <w:r w:rsidR="009639AD">
        <w:rPr>
          <w:rFonts w:ascii="Arial" w:hAnsi="Arial" w:cs="Arial"/>
          <w:b/>
          <w:sz w:val="24"/>
          <w:szCs w:val="24"/>
        </w:rPr>
        <w:t xml:space="preserve"> </w:t>
      </w:r>
      <w:r w:rsidR="009B24DD">
        <w:rPr>
          <w:rFonts w:ascii="Arial" w:hAnsi="Arial" w:cs="Arial"/>
          <w:b/>
          <w:sz w:val="24"/>
          <w:szCs w:val="24"/>
        </w:rPr>
        <w:t>(3)</w:t>
      </w:r>
    </w:p>
    <w:p w14:paraId="5C57BB1F" w14:textId="42EFC3E9" w:rsidR="00B057D5" w:rsidRDefault="00B057D5" w:rsidP="00A903D8">
      <w:pPr>
        <w:spacing w:after="240" w:line="240" w:lineRule="auto"/>
        <w:rPr>
          <w:rFonts w:ascii="Arial" w:hAnsi="Arial" w:cs="Arial"/>
          <w:sz w:val="24"/>
          <w:szCs w:val="24"/>
        </w:rPr>
      </w:pPr>
      <w:r>
        <w:rPr>
          <w:rFonts w:ascii="Arial" w:hAnsi="Arial" w:cs="Arial"/>
          <w:sz w:val="24"/>
          <w:szCs w:val="24"/>
        </w:rPr>
        <w:t xml:space="preserve">This clause </w:t>
      </w:r>
      <w:r w:rsidR="009B24DD">
        <w:rPr>
          <w:rFonts w:ascii="Arial" w:hAnsi="Arial" w:cs="Arial"/>
          <w:sz w:val="24"/>
          <w:szCs w:val="24"/>
        </w:rPr>
        <w:t>clarifies that multiple bond release forms are not required where there is more than one tenant party to a residential tenancy agreement</w:t>
      </w:r>
      <w:r>
        <w:rPr>
          <w:rFonts w:ascii="Arial" w:hAnsi="Arial" w:cs="Arial"/>
          <w:sz w:val="24"/>
          <w:szCs w:val="24"/>
        </w:rPr>
        <w:t>.</w:t>
      </w:r>
      <w:r w:rsidR="009B24DD">
        <w:rPr>
          <w:rFonts w:ascii="Arial" w:hAnsi="Arial" w:cs="Arial"/>
          <w:sz w:val="24"/>
          <w:szCs w:val="24"/>
        </w:rPr>
        <w:t xml:space="preserve"> </w:t>
      </w:r>
      <w:r w:rsidR="00F14985">
        <w:rPr>
          <w:rFonts w:ascii="Arial" w:hAnsi="Arial" w:cs="Arial"/>
          <w:sz w:val="24"/>
          <w:szCs w:val="24"/>
        </w:rPr>
        <w:t xml:space="preserve">While this </w:t>
      </w:r>
      <w:r w:rsidR="009B24DD">
        <w:rPr>
          <w:rFonts w:ascii="Arial" w:hAnsi="Arial" w:cs="Arial"/>
          <w:sz w:val="24"/>
          <w:szCs w:val="24"/>
        </w:rPr>
        <w:t>was implied by section 33 of the RTA (only one application may be made for a bond release, unless the director-general gives permission), this clause clarifies the existing law.</w:t>
      </w:r>
    </w:p>
    <w:p w14:paraId="374AD5AE" w14:textId="76653433" w:rsidR="009639AD" w:rsidRDefault="009B24DD" w:rsidP="009B24DD">
      <w:pPr>
        <w:spacing w:after="240" w:line="240" w:lineRule="auto"/>
        <w:rPr>
          <w:rFonts w:ascii="Arial" w:hAnsi="Arial" w:cs="Arial"/>
          <w:b/>
          <w:sz w:val="24"/>
          <w:szCs w:val="24"/>
        </w:rPr>
      </w:pPr>
      <w:r w:rsidRPr="00230BB7">
        <w:rPr>
          <w:rFonts w:ascii="Arial" w:hAnsi="Arial" w:cs="Arial"/>
          <w:b/>
          <w:sz w:val="24"/>
          <w:szCs w:val="24"/>
        </w:rPr>
        <w:t xml:space="preserve">Clause </w:t>
      </w:r>
      <w:r>
        <w:rPr>
          <w:rFonts w:ascii="Arial" w:hAnsi="Arial" w:cs="Arial"/>
          <w:b/>
          <w:sz w:val="24"/>
          <w:szCs w:val="24"/>
        </w:rPr>
        <w:t>12</w:t>
      </w:r>
      <w:r>
        <w:rPr>
          <w:rFonts w:ascii="Arial" w:hAnsi="Arial" w:cs="Arial"/>
          <w:b/>
          <w:sz w:val="24"/>
          <w:szCs w:val="24"/>
        </w:rPr>
        <w:tab/>
      </w:r>
      <w:r w:rsidR="009639AD">
        <w:rPr>
          <w:rFonts w:ascii="Arial" w:hAnsi="Arial" w:cs="Arial"/>
          <w:b/>
          <w:sz w:val="24"/>
          <w:szCs w:val="24"/>
        </w:rPr>
        <w:t>Bond release application—joint application</w:t>
      </w:r>
      <w:r w:rsidR="009639AD">
        <w:rPr>
          <w:rFonts w:ascii="Arial" w:hAnsi="Arial" w:cs="Arial"/>
          <w:b/>
          <w:sz w:val="24"/>
          <w:szCs w:val="24"/>
        </w:rPr>
        <w:br/>
      </w:r>
      <w:r w:rsidR="009639AD">
        <w:rPr>
          <w:rFonts w:ascii="Arial" w:hAnsi="Arial" w:cs="Arial"/>
          <w:b/>
          <w:sz w:val="24"/>
          <w:szCs w:val="24"/>
        </w:rPr>
        <w:tab/>
      </w:r>
      <w:r w:rsidR="009639AD">
        <w:rPr>
          <w:rFonts w:ascii="Arial" w:hAnsi="Arial" w:cs="Arial"/>
          <w:b/>
          <w:sz w:val="24"/>
          <w:szCs w:val="24"/>
        </w:rPr>
        <w:tab/>
        <w:t>Section 34A (1) (b)</w:t>
      </w:r>
    </w:p>
    <w:p w14:paraId="6B461D5A" w14:textId="061A2B37" w:rsidR="009B24DD" w:rsidRPr="007B420D" w:rsidRDefault="009B24DD" w:rsidP="009B24DD">
      <w:pPr>
        <w:spacing w:after="240" w:line="240" w:lineRule="auto"/>
        <w:rPr>
          <w:rFonts w:ascii="Arial" w:hAnsi="Arial" w:cs="Arial"/>
          <w:sz w:val="24"/>
          <w:szCs w:val="24"/>
        </w:rPr>
      </w:pPr>
      <w:r>
        <w:rPr>
          <w:rFonts w:ascii="Arial" w:hAnsi="Arial" w:cs="Arial"/>
          <w:sz w:val="24"/>
          <w:szCs w:val="24"/>
        </w:rPr>
        <w:t xml:space="preserve">This clause </w:t>
      </w:r>
      <w:r w:rsidR="009639AD">
        <w:rPr>
          <w:rFonts w:ascii="Arial" w:hAnsi="Arial" w:cs="Arial"/>
          <w:sz w:val="24"/>
          <w:szCs w:val="24"/>
        </w:rPr>
        <w:t>updates section 34A (1) (b) to use the term ‘co-tenant’ in place of ‘more than 1 tenant’</w:t>
      </w:r>
      <w:r>
        <w:rPr>
          <w:rFonts w:ascii="Arial" w:hAnsi="Arial" w:cs="Arial"/>
          <w:sz w:val="24"/>
          <w:szCs w:val="24"/>
        </w:rPr>
        <w:t>.</w:t>
      </w:r>
    </w:p>
    <w:p w14:paraId="2D843BA4" w14:textId="16D9078C" w:rsidR="001C3A02" w:rsidRDefault="001C3A02" w:rsidP="001C3A02">
      <w:pPr>
        <w:spacing w:after="240" w:line="240" w:lineRule="auto"/>
        <w:rPr>
          <w:rFonts w:ascii="Arial" w:hAnsi="Arial" w:cs="Arial"/>
          <w:b/>
          <w:sz w:val="24"/>
          <w:szCs w:val="24"/>
        </w:rPr>
      </w:pPr>
      <w:r w:rsidRPr="00230BB7">
        <w:rPr>
          <w:rFonts w:ascii="Arial" w:hAnsi="Arial" w:cs="Arial"/>
          <w:b/>
          <w:sz w:val="24"/>
          <w:szCs w:val="24"/>
        </w:rPr>
        <w:t xml:space="preserve">Clause </w:t>
      </w:r>
      <w:r>
        <w:rPr>
          <w:rFonts w:ascii="Arial" w:hAnsi="Arial" w:cs="Arial"/>
          <w:b/>
          <w:sz w:val="24"/>
          <w:szCs w:val="24"/>
        </w:rPr>
        <w:t>13</w:t>
      </w:r>
      <w:r>
        <w:rPr>
          <w:rFonts w:ascii="Arial" w:hAnsi="Arial" w:cs="Arial"/>
          <w:b/>
          <w:sz w:val="24"/>
          <w:szCs w:val="24"/>
        </w:rPr>
        <w:tab/>
        <w:t>Bond release application—application by tenant</w:t>
      </w:r>
      <w:r>
        <w:rPr>
          <w:rFonts w:ascii="Arial" w:hAnsi="Arial" w:cs="Arial"/>
          <w:b/>
          <w:sz w:val="24"/>
          <w:szCs w:val="24"/>
        </w:rPr>
        <w:br/>
      </w:r>
      <w:r>
        <w:rPr>
          <w:rFonts w:ascii="Arial" w:hAnsi="Arial" w:cs="Arial"/>
          <w:b/>
          <w:sz w:val="24"/>
          <w:szCs w:val="24"/>
        </w:rPr>
        <w:tab/>
      </w:r>
      <w:r>
        <w:rPr>
          <w:rFonts w:ascii="Arial" w:hAnsi="Arial" w:cs="Arial"/>
          <w:b/>
          <w:sz w:val="24"/>
          <w:szCs w:val="24"/>
        </w:rPr>
        <w:tab/>
        <w:t>Section 34B (1) (c)</w:t>
      </w:r>
    </w:p>
    <w:p w14:paraId="44F0C424" w14:textId="2B7ADC65" w:rsidR="001C3A02" w:rsidRDefault="001C3A02" w:rsidP="001C3A02">
      <w:pPr>
        <w:spacing w:after="240" w:line="240" w:lineRule="auto"/>
        <w:rPr>
          <w:rFonts w:ascii="Arial" w:hAnsi="Arial" w:cs="Arial"/>
          <w:sz w:val="24"/>
          <w:szCs w:val="24"/>
        </w:rPr>
      </w:pPr>
      <w:r>
        <w:rPr>
          <w:rFonts w:ascii="Arial" w:hAnsi="Arial" w:cs="Arial"/>
          <w:sz w:val="24"/>
          <w:szCs w:val="24"/>
        </w:rPr>
        <w:t>This clause updates section 34B (1) (c) to use the term ‘co-tenant’ in place of ‘more than 1 tenant’.</w:t>
      </w:r>
    </w:p>
    <w:p w14:paraId="7BC083B6" w14:textId="1D0BB20B" w:rsidR="001C3A02" w:rsidRDefault="001C3A02" w:rsidP="001C3A02">
      <w:pPr>
        <w:spacing w:after="240" w:line="240" w:lineRule="auto"/>
        <w:rPr>
          <w:rFonts w:ascii="Arial" w:hAnsi="Arial" w:cs="Arial"/>
          <w:b/>
          <w:sz w:val="24"/>
          <w:szCs w:val="24"/>
        </w:rPr>
      </w:pPr>
      <w:r w:rsidRPr="00230BB7">
        <w:rPr>
          <w:rFonts w:ascii="Arial" w:hAnsi="Arial" w:cs="Arial"/>
          <w:b/>
          <w:sz w:val="24"/>
          <w:szCs w:val="24"/>
        </w:rPr>
        <w:t xml:space="preserve">Clause </w:t>
      </w:r>
      <w:r>
        <w:rPr>
          <w:rFonts w:ascii="Arial" w:hAnsi="Arial" w:cs="Arial"/>
          <w:b/>
          <w:sz w:val="24"/>
          <w:szCs w:val="24"/>
        </w:rPr>
        <w:t>14</w:t>
      </w:r>
      <w:r>
        <w:rPr>
          <w:rFonts w:ascii="Arial" w:hAnsi="Arial" w:cs="Arial"/>
          <w:b/>
          <w:sz w:val="24"/>
          <w:szCs w:val="24"/>
        </w:rPr>
        <w:tab/>
        <w:t>Section 34A (3) (a)</w:t>
      </w:r>
    </w:p>
    <w:p w14:paraId="2389E5F0" w14:textId="24EAADA3" w:rsidR="001C3A02" w:rsidRDefault="001C3A02" w:rsidP="001C3A02">
      <w:pPr>
        <w:spacing w:after="240" w:line="240" w:lineRule="auto"/>
        <w:rPr>
          <w:rFonts w:ascii="Arial" w:hAnsi="Arial" w:cs="Arial"/>
          <w:sz w:val="24"/>
          <w:szCs w:val="24"/>
        </w:rPr>
      </w:pPr>
      <w:r>
        <w:rPr>
          <w:rFonts w:ascii="Arial" w:hAnsi="Arial" w:cs="Arial"/>
          <w:sz w:val="24"/>
          <w:szCs w:val="24"/>
        </w:rPr>
        <w:t>This clause updates section 34A (3) (a) to use the term ‘co-tenant’ in place of ‘more than 1 tenant’.</w:t>
      </w:r>
    </w:p>
    <w:p w14:paraId="65EB09F3" w14:textId="0189E899" w:rsidR="001C3A02" w:rsidRDefault="001C3A02" w:rsidP="001C3A02">
      <w:pPr>
        <w:spacing w:after="240" w:line="240" w:lineRule="auto"/>
        <w:rPr>
          <w:rFonts w:ascii="Arial" w:hAnsi="Arial" w:cs="Arial"/>
          <w:b/>
          <w:sz w:val="24"/>
          <w:szCs w:val="24"/>
        </w:rPr>
      </w:pPr>
      <w:r w:rsidRPr="00230BB7">
        <w:rPr>
          <w:rFonts w:ascii="Arial" w:hAnsi="Arial" w:cs="Arial"/>
          <w:b/>
          <w:sz w:val="24"/>
          <w:szCs w:val="24"/>
        </w:rPr>
        <w:t xml:space="preserve">Clause </w:t>
      </w:r>
      <w:r>
        <w:rPr>
          <w:rFonts w:ascii="Arial" w:hAnsi="Arial" w:cs="Arial"/>
          <w:b/>
          <w:sz w:val="24"/>
          <w:szCs w:val="24"/>
        </w:rPr>
        <w:t>15</w:t>
      </w:r>
      <w:r>
        <w:rPr>
          <w:rFonts w:ascii="Arial" w:hAnsi="Arial" w:cs="Arial"/>
          <w:b/>
          <w:sz w:val="24"/>
          <w:szCs w:val="24"/>
        </w:rPr>
        <w:tab/>
        <w:t>Section 34B (2) (a)</w:t>
      </w:r>
    </w:p>
    <w:p w14:paraId="04E996E8" w14:textId="09D4F034" w:rsidR="001C3A02" w:rsidRDefault="001C3A02" w:rsidP="001C3A02">
      <w:pPr>
        <w:spacing w:after="240" w:line="240" w:lineRule="auto"/>
        <w:rPr>
          <w:rFonts w:ascii="Arial" w:hAnsi="Arial" w:cs="Arial"/>
          <w:sz w:val="24"/>
          <w:szCs w:val="24"/>
        </w:rPr>
      </w:pPr>
      <w:r>
        <w:rPr>
          <w:rFonts w:ascii="Arial" w:hAnsi="Arial" w:cs="Arial"/>
          <w:sz w:val="24"/>
          <w:szCs w:val="24"/>
        </w:rPr>
        <w:t>This clause updates section 34B (2) (a) to use the term ‘co-tenant’ consistently with the above clauses.</w:t>
      </w:r>
    </w:p>
    <w:p w14:paraId="1538AE87" w14:textId="092DA597" w:rsidR="00A903D8" w:rsidRDefault="00A903D8" w:rsidP="00A903D8">
      <w:pPr>
        <w:spacing w:after="240" w:line="240" w:lineRule="auto"/>
        <w:rPr>
          <w:rFonts w:ascii="Arial" w:hAnsi="Arial" w:cs="Arial"/>
          <w:b/>
          <w:sz w:val="24"/>
          <w:szCs w:val="24"/>
        </w:rPr>
      </w:pPr>
      <w:r w:rsidRPr="00230BB7">
        <w:rPr>
          <w:rFonts w:ascii="Arial" w:hAnsi="Arial" w:cs="Arial"/>
          <w:b/>
          <w:sz w:val="24"/>
          <w:szCs w:val="24"/>
        </w:rPr>
        <w:t xml:space="preserve">Clause </w:t>
      </w:r>
      <w:r w:rsidR="001C3A02">
        <w:rPr>
          <w:rFonts w:ascii="Arial" w:hAnsi="Arial" w:cs="Arial"/>
          <w:b/>
          <w:sz w:val="24"/>
          <w:szCs w:val="24"/>
        </w:rPr>
        <w:t>16</w:t>
      </w:r>
      <w:r>
        <w:rPr>
          <w:rFonts w:ascii="Arial" w:hAnsi="Arial" w:cs="Arial"/>
          <w:b/>
          <w:sz w:val="24"/>
          <w:szCs w:val="24"/>
        </w:rPr>
        <w:tab/>
        <w:t>New section 34F</w:t>
      </w:r>
    </w:p>
    <w:p w14:paraId="3A8C215F" w14:textId="77777777" w:rsidR="00A903D8" w:rsidRDefault="00A903D8" w:rsidP="00A903D8">
      <w:pPr>
        <w:spacing w:after="240" w:line="240" w:lineRule="auto"/>
        <w:rPr>
          <w:rFonts w:ascii="Arial" w:hAnsi="Arial" w:cs="Arial"/>
          <w:sz w:val="24"/>
          <w:szCs w:val="24"/>
        </w:rPr>
      </w:pPr>
      <w:r>
        <w:rPr>
          <w:rFonts w:ascii="Arial" w:hAnsi="Arial" w:cs="Arial"/>
          <w:sz w:val="24"/>
          <w:szCs w:val="24"/>
        </w:rPr>
        <w:t>This clause empowers the Territory to refer a matter to the Tribunal if a bond release application is made and the names of the tenants in the bond application do not match the names of the tenants on record.</w:t>
      </w:r>
    </w:p>
    <w:p w14:paraId="55F6837D" w14:textId="77777777" w:rsidR="00D87810" w:rsidRDefault="00D87810" w:rsidP="00A903D8">
      <w:pPr>
        <w:spacing w:after="240" w:line="240" w:lineRule="auto"/>
        <w:rPr>
          <w:rFonts w:ascii="Arial" w:hAnsi="Arial" w:cs="Arial"/>
          <w:sz w:val="24"/>
          <w:szCs w:val="24"/>
        </w:rPr>
      </w:pPr>
    </w:p>
    <w:p w14:paraId="2CE9196C" w14:textId="2E783E30" w:rsidR="00A903D8" w:rsidRDefault="00A903D8" w:rsidP="00A903D8">
      <w:pPr>
        <w:spacing w:after="240" w:line="240" w:lineRule="auto"/>
        <w:rPr>
          <w:rFonts w:ascii="Arial" w:hAnsi="Arial" w:cs="Arial"/>
          <w:sz w:val="24"/>
          <w:szCs w:val="24"/>
        </w:rPr>
      </w:pPr>
      <w:r>
        <w:rPr>
          <w:rFonts w:ascii="Arial" w:hAnsi="Arial" w:cs="Arial"/>
          <w:sz w:val="24"/>
          <w:szCs w:val="24"/>
        </w:rPr>
        <w:lastRenderedPageBreak/>
        <w:t>The Territory holds bond moneys on trust for the tenant (RTA, s 27). As tenants move in and out of a tenancy agreement, the registered interest in that bond is not always kept current. Tenants need an efficient and effective way of being able to resolve discrepancies in the bond record, and the Territory needs a way to ensure that bonds are only released to the correct parties.</w:t>
      </w:r>
    </w:p>
    <w:p w14:paraId="05810AE5" w14:textId="77777777" w:rsidR="00A903D8" w:rsidRDefault="00A903D8" w:rsidP="00A903D8">
      <w:pPr>
        <w:spacing w:after="240" w:line="240" w:lineRule="auto"/>
        <w:rPr>
          <w:rFonts w:ascii="Arial" w:hAnsi="Arial" w:cs="Arial"/>
          <w:sz w:val="24"/>
          <w:szCs w:val="24"/>
        </w:rPr>
      </w:pPr>
      <w:r>
        <w:rPr>
          <w:rFonts w:ascii="Arial" w:hAnsi="Arial" w:cs="Arial"/>
          <w:sz w:val="24"/>
          <w:szCs w:val="24"/>
        </w:rPr>
        <w:t>Where there is such a discrepancy, this new section 34F allows the Territory to refer the matter to the Tribunal so that the Tribunal can determine to whom the bond moneys are to be released.</w:t>
      </w:r>
    </w:p>
    <w:p w14:paraId="428BB1AF" w14:textId="2F7332CA" w:rsidR="00A903D8" w:rsidRDefault="00A903D8" w:rsidP="007B7BD3">
      <w:pPr>
        <w:keepNext/>
        <w:spacing w:after="240" w:line="240" w:lineRule="auto"/>
        <w:rPr>
          <w:rFonts w:ascii="Arial" w:hAnsi="Arial" w:cs="Arial"/>
          <w:b/>
          <w:sz w:val="24"/>
          <w:szCs w:val="24"/>
        </w:rPr>
      </w:pPr>
      <w:r>
        <w:rPr>
          <w:rFonts w:ascii="Arial" w:hAnsi="Arial" w:cs="Arial"/>
          <w:b/>
          <w:sz w:val="24"/>
          <w:szCs w:val="24"/>
        </w:rPr>
        <w:t>Clause 1</w:t>
      </w:r>
      <w:r w:rsidR="00EC4F96">
        <w:rPr>
          <w:rFonts w:ascii="Arial" w:hAnsi="Arial" w:cs="Arial"/>
          <w:b/>
          <w:sz w:val="24"/>
          <w:szCs w:val="24"/>
        </w:rPr>
        <w:t>7</w:t>
      </w:r>
      <w:r>
        <w:rPr>
          <w:rFonts w:ascii="Arial" w:hAnsi="Arial" w:cs="Arial"/>
          <w:b/>
          <w:sz w:val="24"/>
          <w:szCs w:val="24"/>
        </w:rPr>
        <w:tab/>
        <w:t>New part 3A</w:t>
      </w:r>
    </w:p>
    <w:p w14:paraId="042C4CC9" w14:textId="77777777" w:rsidR="00A903D8" w:rsidRDefault="00A903D8" w:rsidP="00A903D8">
      <w:pPr>
        <w:spacing w:after="240" w:line="240" w:lineRule="auto"/>
        <w:rPr>
          <w:rFonts w:ascii="Arial" w:hAnsi="Arial" w:cs="Arial"/>
          <w:sz w:val="24"/>
          <w:szCs w:val="24"/>
        </w:rPr>
      </w:pPr>
      <w:r>
        <w:rPr>
          <w:rFonts w:ascii="Arial" w:hAnsi="Arial" w:cs="Arial"/>
          <w:sz w:val="24"/>
          <w:szCs w:val="24"/>
        </w:rPr>
        <w:t>This clause inserts a new part into the RTA to facilitate share housing.</w:t>
      </w:r>
    </w:p>
    <w:p w14:paraId="328A7610" w14:textId="77777777" w:rsidR="00A903D8" w:rsidRPr="007548CD" w:rsidRDefault="00A903D8" w:rsidP="00A903D8">
      <w:pPr>
        <w:spacing w:after="240" w:line="240" w:lineRule="auto"/>
        <w:rPr>
          <w:rFonts w:ascii="Arial" w:hAnsi="Arial" w:cs="Arial"/>
          <w:sz w:val="24"/>
          <w:szCs w:val="24"/>
        </w:rPr>
      </w:pPr>
      <w:r>
        <w:rPr>
          <w:rFonts w:ascii="Arial" w:hAnsi="Arial" w:cs="Arial"/>
          <w:sz w:val="24"/>
          <w:szCs w:val="24"/>
        </w:rPr>
        <w:t xml:space="preserve">At common law, the rules around terminating co-tenancies and sub-tenancies are a highly complex mix of property law and contract law. Despite the widespread prevalence of share housing in the ACT, the law does not align with community behaviours or expectations. For example, the identity of the tenants is a fundamental term of a lease, and a change in the composition of tenants—and the way in which the tenants changed—will have implications for the ongoing existence of the lease. If a tenant in a ‘share house’ gives notice to vacate during a periodic tenancy, depending on their specific circumstances and the manner in which they gave notice, it is possible that the existing tenancy has ended and a new tenancy has commenced with new tenants (some of whom were on the previous lease) (see, for example, </w:t>
      </w:r>
      <w:r>
        <w:rPr>
          <w:rFonts w:ascii="Arial" w:hAnsi="Arial" w:cs="Arial"/>
          <w:i/>
          <w:iCs/>
          <w:sz w:val="24"/>
          <w:szCs w:val="24"/>
        </w:rPr>
        <w:t xml:space="preserve">ACT Housing v Midgley </w:t>
      </w:r>
      <w:r>
        <w:rPr>
          <w:rFonts w:ascii="Arial" w:hAnsi="Arial" w:cs="Arial"/>
          <w:sz w:val="24"/>
          <w:szCs w:val="24"/>
        </w:rPr>
        <w:t>[2001] ACTRTT 7). Not only does this make it difficult to track the liabilities and obligations of former tenants, it</w:t>
      </w:r>
      <w:r w:rsidRPr="007548CD">
        <w:rPr>
          <w:rFonts w:ascii="Arial" w:hAnsi="Arial" w:cs="Arial"/>
          <w:sz w:val="24"/>
          <w:szCs w:val="24"/>
        </w:rPr>
        <w:t xml:space="preserve"> may impact </w:t>
      </w:r>
      <w:r>
        <w:rPr>
          <w:rFonts w:ascii="Arial" w:hAnsi="Arial" w:cs="Arial"/>
          <w:sz w:val="24"/>
          <w:szCs w:val="24"/>
        </w:rPr>
        <w:t>the ability of</w:t>
      </w:r>
      <w:r w:rsidRPr="007548CD">
        <w:rPr>
          <w:rFonts w:ascii="Arial" w:hAnsi="Arial" w:cs="Arial"/>
          <w:sz w:val="24"/>
          <w:szCs w:val="24"/>
        </w:rPr>
        <w:t xml:space="preserve"> landlords to make deductions from the bond as a condition report was not undertaken at the start of the new tenancy.</w:t>
      </w:r>
    </w:p>
    <w:p w14:paraId="04E022C0" w14:textId="77777777" w:rsidR="00A903D8" w:rsidRDefault="00A903D8" w:rsidP="00A903D8">
      <w:pPr>
        <w:spacing w:after="240" w:line="240" w:lineRule="auto"/>
        <w:rPr>
          <w:rFonts w:ascii="Arial" w:hAnsi="Arial" w:cs="Arial"/>
          <w:sz w:val="24"/>
          <w:szCs w:val="24"/>
        </w:rPr>
      </w:pPr>
      <w:r>
        <w:rPr>
          <w:rFonts w:ascii="Arial" w:hAnsi="Arial" w:cs="Arial"/>
          <w:sz w:val="24"/>
          <w:szCs w:val="24"/>
        </w:rPr>
        <w:t xml:space="preserve">Currently, there are a range of complexities about the rights and obligations arising under the lease (see, for example, </w:t>
      </w:r>
      <w:r w:rsidRPr="00CF3625">
        <w:rPr>
          <w:rFonts w:ascii="Arial" w:hAnsi="Arial" w:cs="Arial"/>
          <w:i/>
          <w:iCs/>
          <w:sz w:val="24"/>
          <w:szCs w:val="24"/>
        </w:rPr>
        <w:t xml:space="preserve">Hammersmith and Fulham London Borough Council v Monk </w:t>
      </w:r>
      <w:r w:rsidRPr="00CF3625">
        <w:rPr>
          <w:rFonts w:ascii="Arial" w:hAnsi="Arial" w:cs="Arial"/>
          <w:sz w:val="24"/>
          <w:szCs w:val="24"/>
        </w:rPr>
        <w:t xml:space="preserve">[1991] UKHL 6; </w:t>
      </w:r>
      <w:r w:rsidRPr="00CF3625">
        <w:rPr>
          <w:rFonts w:ascii="Arial" w:hAnsi="Arial" w:cs="Arial"/>
          <w:i/>
          <w:iCs/>
          <w:sz w:val="24"/>
          <w:szCs w:val="24"/>
        </w:rPr>
        <w:t xml:space="preserve">ACT Housing v Midgley </w:t>
      </w:r>
      <w:r w:rsidRPr="00CF3625">
        <w:rPr>
          <w:rFonts w:ascii="Arial" w:hAnsi="Arial" w:cs="Arial"/>
          <w:sz w:val="24"/>
          <w:szCs w:val="24"/>
        </w:rPr>
        <w:t>[2001] ACTRTT 7</w:t>
      </w:r>
      <w:r>
        <w:rPr>
          <w:rFonts w:ascii="Arial" w:hAnsi="Arial" w:cs="Arial"/>
          <w:sz w:val="24"/>
          <w:szCs w:val="24"/>
        </w:rPr>
        <w:t>). The question of legal status under the lease is often not asked until relationships have broken down and respective rights and obligations become a source of conflict (</w:t>
      </w:r>
      <w:r w:rsidRPr="001033D9">
        <w:rPr>
          <w:rFonts w:ascii="Arial" w:hAnsi="Arial" w:cs="Arial"/>
          <w:i/>
          <w:iCs/>
          <w:sz w:val="24"/>
          <w:szCs w:val="24"/>
        </w:rPr>
        <w:t xml:space="preserve">Lochrin v Jaiswal (Residential Tenancies) </w:t>
      </w:r>
      <w:r w:rsidRPr="001033D9">
        <w:rPr>
          <w:rFonts w:ascii="Arial" w:hAnsi="Arial" w:cs="Arial"/>
          <w:sz w:val="24"/>
          <w:szCs w:val="24"/>
        </w:rPr>
        <w:t>[2018] ACAT 78</w:t>
      </w:r>
      <w:r>
        <w:rPr>
          <w:rFonts w:ascii="Arial" w:hAnsi="Arial" w:cs="Arial"/>
          <w:sz w:val="24"/>
          <w:szCs w:val="24"/>
        </w:rPr>
        <w:t xml:space="preserve">). </w:t>
      </w:r>
    </w:p>
    <w:p w14:paraId="25A1D88C" w14:textId="77777777" w:rsidR="00A903D8" w:rsidRDefault="00A903D8" w:rsidP="00A903D8">
      <w:pPr>
        <w:spacing w:after="240" w:line="240" w:lineRule="auto"/>
        <w:rPr>
          <w:rFonts w:ascii="Arial" w:hAnsi="Arial" w:cs="Arial"/>
          <w:sz w:val="24"/>
          <w:szCs w:val="24"/>
        </w:rPr>
      </w:pPr>
      <w:r>
        <w:rPr>
          <w:rFonts w:ascii="Arial" w:hAnsi="Arial" w:cs="Arial"/>
          <w:sz w:val="24"/>
          <w:szCs w:val="24"/>
        </w:rPr>
        <w:t>The purpose of the new part 3A of the RTA is to amend the operation of the common law of property and contract so that share housing becomes simpler. It also creates a default position for resolving issues about status within a residential tenancy agreement: the legislative norm is that a tenant will enter into a tenancy agreement as a co-tenant unless the parties clearly intend otherwise.</w:t>
      </w:r>
    </w:p>
    <w:p w14:paraId="1298A6CC" w14:textId="35BE7A31" w:rsidR="00740CB5" w:rsidRDefault="00A903D8" w:rsidP="00A903D8">
      <w:pPr>
        <w:spacing w:after="240" w:line="240" w:lineRule="auto"/>
        <w:rPr>
          <w:rFonts w:ascii="Arial" w:hAnsi="Arial" w:cs="Arial"/>
          <w:sz w:val="24"/>
          <w:szCs w:val="24"/>
        </w:rPr>
      </w:pPr>
      <w:r>
        <w:rPr>
          <w:rFonts w:ascii="Arial" w:hAnsi="Arial" w:cs="Arial"/>
          <w:sz w:val="24"/>
          <w:szCs w:val="24"/>
        </w:rPr>
        <w:t>New section 35A facilitates a co-tenant leaving a tenancy. A co-tenant must seek the consent of the other parties to the tenancy in order to withdraw from the agreement.</w:t>
      </w:r>
      <w:r w:rsidR="00DD7C59">
        <w:rPr>
          <w:rFonts w:ascii="Arial" w:hAnsi="Arial" w:cs="Arial"/>
          <w:sz w:val="24"/>
          <w:szCs w:val="24"/>
        </w:rPr>
        <w:t xml:space="preserve"> The leaving co-tenant must provide 21 days notice in writing to the l</w:t>
      </w:r>
      <w:r w:rsidR="004D446F">
        <w:rPr>
          <w:rFonts w:ascii="Arial" w:hAnsi="Arial" w:cs="Arial"/>
          <w:sz w:val="24"/>
          <w:szCs w:val="24"/>
        </w:rPr>
        <w:t>andlord</w:t>
      </w:r>
      <w:r w:rsidR="00DD7C59">
        <w:rPr>
          <w:rFonts w:ascii="Arial" w:hAnsi="Arial" w:cs="Arial"/>
          <w:sz w:val="24"/>
          <w:szCs w:val="24"/>
        </w:rPr>
        <w:t xml:space="preserve"> and any other co-tenants to seek this consent. If the proposed leaving day is during a fixed term, the other parties to the tenancy agreement may withhold consent for any lawful reason.</w:t>
      </w:r>
      <w:r>
        <w:rPr>
          <w:rFonts w:ascii="Arial" w:hAnsi="Arial" w:cs="Arial"/>
          <w:sz w:val="24"/>
          <w:szCs w:val="24"/>
        </w:rPr>
        <w:t xml:space="preserve"> </w:t>
      </w:r>
      <w:r w:rsidR="00DD7C59">
        <w:rPr>
          <w:rFonts w:ascii="Arial" w:hAnsi="Arial" w:cs="Arial"/>
          <w:sz w:val="24"/>
          <w:szCs w:val="24"/>
        </w:rPr>
        <w:t xml:space="preserve">If, on the other hand, the proposed leaving day is not within the fixed period, then </w:t>
      </w:r>
      <w:r>
        <w:rPr>
          <w:rFonts w:ascii="Arial" w:hAnsi="Arial" w:cs="Arial"/>
          <w:sz w:val="24"/>
          <w:szCs w:val="24"/>
        </w:rPr>
        <w:t xml:space="preserve">other parties to the tenancy agreement must not unreasonably withhold their consent </w:t>
      </w:r>
      <w:r w:rsidR="00DD7C59">
        <w:rPr>
          <w:rFonts w:ascii="Arial" w:hAnsi="Arial" w:cs="Arial"/>
          <w:sz w:val="24"/>
          <w:szCs w:val="24"/>
        </w:rPr>
        <w:t xml:space="preserve">and must seek the approval of the Tribunal </w:t>
      </w:r>
      <w:r w:rsidR="00740CB5">
        <w:rPr>
          <w:rFonts w:ascii="Arial" w:hAnsi="Arial" w:cs="Arial"/>
          <w:sz w:val="24"/>
          <w:szCs w:val="24"/>
        </w:rPr>
        <w:t>for an order to withhold their consent</w:t>
      </w:r>
      <w:r>
        <w:rPr>
          <w:rFonts w:ascii="Arial" w:hAnsi="Arial" w:cs="Arial"/>
          <w:sz w:val="24"/>
          <w:szCs w:val="24"/>
        </w:rPr>
        <w:t xml:space="preserve">. </w:t>
      </w:r>
    </w:p>
    <w:p w14:paraId="4CFD408F" w14:textId="6D2B5B67" w:rsidR="00A903D8" w:rsidRDefault="00A903D8" w:rsidP="00A903D8">
      <w:pPr>
        <w:spacing w:after="240" w:line="240" w:lineRule="auto"/>
        <w:rPr>
          <w:rFonts w:ascii="Arial" w:hAnsi="Arial" w:cs="Arial"/>
          <w:sz w:val="24"/>
          <w:szCs w:val="24"/>
        </w:rPr>
      </w:pPr>
      <w:r>
        <w:rPr>
          <w:rFonts w:ascii="Arial" w:hAnsi="Arial" w:cs="Arial"/>
          <w:sz w:val="24"/>
          <w:szCs w:val="24"/>
        </w:rPr>
        <w:lastRenderedPageBreak/>
        <w:t>This distinction</w:t>
      </w:r>
      <w:r w:rsidR="00740CB5">
        <w:rPr>
          <w:rFonts w:ascii="Arial" w:hAnsi="Arial" w:cs="Arial"/>
          <w:sz w:val="24"/>
          <w:szCs w:val="24"/>
        </w:rPr>
        <w:t xml:space="preserve"> between the models for consent during a fixed term and during a periodic agreement</w:t>
      </w:r>
      <w:r>
        <w:rPr>
          <w:rFonts w:ascii="Arial" w:hAnsi="Arial" w:cs="Arial"/>
          <w:sz w:val="24"/>
          <w:szCs w:val="24"/>
        </w:rPr>
        <w:t xml:space="preserve"> arises because </w:t>
      </w:r>
      <w:r w:rsidR="00740CB5">
        <w:rPr>
          <w:rFonts w:ascii="Arial" w:hAnsi="Arial" w:cs="Arial"/>
          <w:sz w:val="24"/>
          <w:szCs w:val="24"/>
        </w:rPr>
        <w:t xml:space="preserve">new section 35A is not intended to undermine the operation of a fixed term agreement. </w:t>
      </w:r>
      <w:r w:rsidR="002C3A8F">
        <w:rPr>
          <w:rFonts w:ascii="Arial" w:hAnsi="Arial" w:cs="Arial"/>
          <w:sz w:val="24"/>
          <w:szCs w:val="24"/>
        </w:rPr>
        <w:t>Similarly, new section 35A is not intended to bind a tenant to a longer period of notice that they would have given to quit a periodic tenancy. To give effect to this, Tribunal approval is needed to withhold consent of the other co-tenants or landlord if the leaving co-tenant proposes to leave during a periodic tenancy; Tribunal approval is not required to withhold consent of the other co-tenants or landlord if the leaving co-tenant proposes to leave during the fixed term of a tenancy.</w:t>
      </w:r>
    </w:p>
    <w:p w14:paraId="2AA295A7" w14:textId="77777777" w:rsidR="00A903D8" w:rsidRDefault="00A903D8" w:rsidP="00A903D8">
      <w:pPr>
        <w:spacing w:after="240" w:line="240" w:lineRule="auto"/>
        <w:rPr>
          <w:rFonts w:ascii="Arial" w:hAnsi="Arial" w:cs="Arial"/>
          <w:sz w:val="24"/>
          <w:szCs w:val="24"/>
        </w:rPr>
      </w:pPr>
      <w:r>
        <w:rPr>
          <w:rFonts w:ascii="Arial" w:hAnsi="Arial" w:cs="Arial"/>
          <w:sz w:val="24"/>
          <w:szCs w:val="24"/>
        </w:rPr>
        <w:t>New section 35A also ensures that the agreement continues between the landlord and the remaining co-tenants. The leaving co-tenant’s rights and obligations under the agreement end, with the result that their liability for the payment of rent will end and their liability for damage to the property will end. These liabilities continue with the remaining tenants, making it clearer for landlords to know against whom they can seek contributions for costs and damages.</w:t>
      </w:r>
    </w:p>
    <w:p w14:paraId="3A53EA21" w14:textId="4548A6A8" w:rsidR="00A903D8" w:rsidRDefault="00A903D8" w:rsidP="00A903D8">
      <w:pPr>
        <w:spacing w:after="240" w:line="240" w:lineRule="auto"/>
        <w:rPr>
          <w:rFonts w:ascii="Arial" w:hAnsi="Arial" w:cs="Arial"/>
          <w:sz w:val="24"/>
          <w:szCs w:val="24"/>
        </w:rPr>
      </w:pPr>
      <w:r>
        <w:rPr>
          <w:rFonts w:ascii="Arial" w:hAnsi="Arial" w:cs="Arial"/>
          <w:sz w:val="24"/>
          <w:szCs w:val="24"/>
        </w:rPr>
        <w:t xml:space="preserve">New section 35B regularises the repayment of a leaving co-tenant’s share of the bond. The RTA strictly regulates how bonds for residential tenancies are managed. Section 21 of the RTA states that the landlord may only require or accept one bond in relation to a residential tenancy agreement. New section 35B operates within this restriction: only one bond is held in relation to the residential tenancy agreement, but </w:t>
      </w:r>
      <w:r w:rsidR="008B6240">
        <w:rPr>
          <w:rFonts w:ascii="Arial" w:hAnsi="Arial" w:cs="Arial"/>
          <w:sz w:val="24"/>
          <w:szCs w:val="24"/>
        </w:rPr>
        <w:t>who has an</w:t>
      </w:r>
      <w:r>
        <w:rPr>
          <w:rFonts w:ascii="Arial" w:hAnsi="Arial" w:cs="Arial"/>
          <w:sz w:val="24"/>
          <w:szCs w:val="24"/>
        </w:rPr>
        <w:t xml:space="preserve"> interest in that bond may change.</w:t>
      </w:r>
    </w:p>
    <w:p w14:paraId="4049D240" w14:textId="566D1427" w:rsidR="00A903D8" w:rsidRDefault="00A903D8" w:rsidP="00A903D8">
      <w:pPr>
        <w:spacing w:after="240" w:line="240" w:lineRule="auto"/>
        <w:rPr>
          <w:rFonts w:ascii="Arial" w:hAnsi="Arial" w:cs="Arial"/>
          <w:sz w:val="24"/>
          <w:szCs w:val="24"/>
        </w:rPr>
      </w:pPr>
      <w:r>
        <w:rPr>
          <w:rFonts w:ascii="Arial" w:hAnsi="Arial" w:cs="Arial"/>
          <w:sz w:val="24"/>
          <w:szCs w:val="24"/>
        </w:rPr>
        <w:t>The co-tenants themselves assess any damage attributable to the leaving co-tenant. Within 14 days after the day the leaving co-tenant stops being a party to the residential tenancy, the remaining co-tenants must pay to the leaving co-tenant an amount equal to the bond paid by the leaving co-tenant, but may deduct amounts for unpaid rent and for reasonable costs in relation to the premises. As the remaining co-tenants remain liable for all damage to the property (including the damage caused by the leaving co-tenant), this section allows co-tenants to manage those liabilities privately without requiring an additional inspection by the landlord or real estate agent.</w:t>
      </w:r>
      <w:r w:rsidR="00E2436C">
        <w:rPr>
          <w:rFonts w:ascii="Arial" w:hAnsi="Arial" w:cs="Arial"/>
          <w:sz w:val="24"/>
          <w:szCs w:val="24"/>
        </w:rPr>
        <w:t xml:space="preserve"> If there is a dispute about the liabilities of the leaving co-tenant, the co-tenant may apply to the Tribunal to resolve the dispute, even if they have ceased being a party to the residential tenancy agreement. </w:t>
      </w:r>
    </w:p>
    <w:p w14:paraId="6B13A80E" w14:textId="7BBD2E74" w:rsidR="00A903D8" w:rsidRDefault="00B139D3" w:rsidP="00A903D8">
      <w:pPr>
        <w:spacing w:after="240" w:line="240" w:lineRule="auto"/>
        <w:rPr>
          <w:rFonts w:ascii="Arial" w:hAnsi="Arial" w:cs="Arial"/>
          <w:sz w:val="24"/>
          <w:szCs w:val="24"/>
        </w:rPr>
      </w:pPr>
      <w:r>
        <w:rPr>
          <w:rFonts w:ascii="Arial" w:hAnsi="Arial" w:cs="Arial"/>
          <w:sz w:val="24"/>
          <w:szCs w:val="24"/>
        </w:rPr>
        <w:t>New section 35C facilitates joining a co-tenant to an existing residential tenancy agreement. The section does not apply where the parties clearly intend not to create a co-tenancy—for example, where there is a clear attempt to create a sub-tenancy or where a bare licence was clearly intended. The section does not apply where the premises are a social housing dwelling or crisis accommodation (a separate provision for this kind of tenancy is at section 35</w:t>
      </w:r>
      <w:r w:rsidR="004D446F">
        <w:rPr>
          <w:rFonts w:ascii="Arial" w:hAnsi="Arial" w:cs="Arial"/>
          <w:sz w:val="24"/>
          <w:szCs w:val="24"/>
        </w:rPr>
        <w:t>E</w:t>
      </w:r>
      <w:r>
        <w:rPr>
          <w:rFonts w:ascii="Arial" w:hAnsi="Arial" w:cs="Arial"/>
          <w:sz w:val="24"/>
          <w:szCs w:val="24"/>
        </w:rPr>
        <w:t>).</w:t>
      </w:r>
    </w:p>
    <w:p w14:paraId="502D92B9" w14:textId="0470A338" w:rsidR="00B139D3" w:rsidRDefault="00B139D3" w:rsidP="00A903D8">
      <w:pPr>
        <w:spacing w:after="240" w:line="240" w:lineRule="auto"/>
        <w:rPr>
          <w:rFonts w:ascii="Arial" w:hAnsi="Arial" w:cs="Arial"/>
          <w:sz w:val="24"/>
          <w:szCs w:val="24"/>
        </w:rPr>
      </w:pPr>
      <w:r>
        <w:rPr>
          <w:rFonts w:ascii="Arial" w:hAnsi="Arial" w:cs="Arial"/>
          <w:sz w:val="24"/>
          <w:szCs w:val="24"/>
        </w:rPr>
        <w:t>An existing tenant must seek the consent of the landlord and any other existing tenant by notice in writing at least 14 days prior to the proposed day the new tenant will join the tenancy. The landlord and any other co-tenant are taken to consent if they do not respond within 14 days after receiving the consent application.</w:t>
      </w:r>
    </w:p>
    <w:p w14:paraId="620AECBC" w14:textId="77777777" w:rsidR="00D87810" w:rsidRDefault="00D87810" w:rsidP="00A903D8">
      <w:pPr>
        <w:spacing w:after="240" w:line="240" w:lineRule="auto"/>
        <w:rPr>
          <w:rFonts w:ascii="Arial" w:hAnsi="Arial" w:cs="Arial"/>
          <w:sz w:val="24"/>
          <w:szCs w:val="24"/>
        </w:rPr>
      </w:pPr>
    </w:p>
    <w:p w14:paraId="33DC8EA4" w14:textId="77777777" w:rsidR="00D87810" w:rsidRDefault="00D87810" w:rsidP="00A903D8">
      <w:pPr>
        <w:spacing w:after="240" w:line="240" w:lineRule="auto"/>
        <w:rPr>
          <w:rFonts w:ascii="Arial" w:hAnsi="Arial" w:cs="Arial"/>
          <w:sz w:val="24"/>
          <w:szCs w:val="24"/>
        </w:rPr>
      </w:pPr>
    </w:p>
    <w:p w14:paraId="70324AB2" w14:textId="5828E4C0" w:rsidR="00B139D3" w:rsidRDefault="00C92130" w:rsidP="00A903D8">
      <w:pPr>
        <w:spacing w:after="240" w:line="240" w:lineRule="auto"/>
        <w:rPr>
          <w:rFonts w:ascii="Arial" w:hAnsi="Arial" w:cs="Arial"/>
          <w:sz w:val="24"/>
          <w:szCs w:val="24"/>
        </w:rPr>
      </w:pPr>
      <w:r>
        <w:rPr>
          <w:rFonts w:ascii="Arial" w:hAnsi="Arial" w:cs="Arial"/>
          <w:sz w:val="24"/>
          <w:szCs w:val="24"/>
        </w:rPr>
        <w:lastRenderedPageBreak/>
        <w:t>A tenant may refuse consent for any lawful reason, but a landlord must not unreasonably refuse consent. If the landlord does wish to refuse consent, they must refuse in writing and inform the existing tenant and the prospective tenant the reason for refusing consent. Section 35</w:t>
      </w:r>
      <w:r w:rsidR="004D446F">
        <w:rPr>
          <w:rFonts w:ascii="Arial" w:hAnsi="Arial" w:cs="Arial"/>
          <w:sz w:val="24"/>
          <w:szCs w:val="24"/>
        </w:rPr>
        <w:t>G</w:t>
      </w:r>
      <w:r>
        <w:rPr>
          <w:rFonts w:ascii="Arial" w:hAnsi="Arial" w:cs="Arial"/>
          <w:sz w:val="24"/>
          <w:szCs w:val="24"/>
        </w:rPr>
        <w:t xml:space="preserve">(3) (discussed below) contains a list of reasons that the Tribunal must consider </w:t>
      </w:r>
      <w:r w:rsidR="00C217D3">
        <w:rPr>
          <w:rFonts w:ascii="Arial" w:hAnsi="Arial" w:cs="Arial"/>
          <w:sz w:val="24"/>
          <w:szCs w:val="24"/>
        </w:rPr>
        <w:t>when deciding if the landlord’s refusal to consent was reasonable.</w:t>
      </w:r>
    </w:p>
    <w:p w14:paraId="27C6994B" w14:textId="1DFE559C" w:rsidR="009B0234" w:rsidRDefault="009B0234" w:rsidP="00A903D8">
      <w:pPr>
        <w:spacing w:after="240" w:line="240" w:lineRule="auto"/>
        <w:rPr>
          <w:rFonts w:ascii="Arial" w:hAnsi="Arial" w:cs="Arial"/>
          <w:sz w:val="24"/>
          <w:szCs w:val="24"/>
        </w:rPr>
      </w:pPr>
      <w:r>
        <w:rPr>
          <w:rFonts w:ascii="Arial" w:hAnsi="Arial" w:cs="Arial"/>
          <w:sz w:val="24"/>
          <w:szCs w:val="24"/>
        </w:rPr>
        <w:t>If consent is obtained, the change to the parties will not result in a new tenancy being created. Instead, the existing tenancy continues with the new person becoming a co</w:t>
      </w:r>
      <w:r>
        <w:rPr>
          <w:rFonts w:ascii="Arial" w:hAnsi="Arial" w:cs="Arial"/>
          <w:sz w:val="24"/>
          <w:szCs w:val="24"/>
        </w:rPr>
        <w:noBreakHyphen/>
        <w:t>tenant. A new condition report is not required</w:t>
      </w:r>
      <w:r w:rsidR="00C35889">
        <w:rPr>
          <w:rFonts w:ascii="Arial" w:hAnsi="Arial" w:cs="Arial"/>
          <w:sz w:val="24"/>
          <w:szCs w:val="24"/>
        </w:rPr>
        <w:t xml:space="preserve"> with the incoming co-tenant receiving a copy of the existing condition report. The incoming tenant will become liable for damage done to the property by existing or former tenants, and the payment of bond by the new co-tenant is covered by section 35</w:t>
      </w:r>
      <w:r w:rsidR="004D446F">
        <w:rPr>
          <w:rFonts w:ascii="Arial" w:hAnsi="Arial" w:cs="Arial"/>
          <w:sz w:val="24"/>
          <w:szCs w:val="24"/>
        </w:rPr>
        <w:t>F</w:t>
      </w:r>
      <w:r w:rsidR="00C35889">
        <w:rPr>
          <w:rFonts w:ascii="Arial" w:hAnsi="Arial" w:cs="Arial"/>
          <w:sz w:val="24"/>
          <w:szCs w:val="24"/>
        </w:rPr>
        <w:t xml:space="preserve"> (below).</w:t>
      </w:r>
    </w:p>
    <w:p w14:paraId="1FED334B" w14:textId="052E2EBB" w:rsidR="00C35889" w:rsidRDefault="00C35889" w:rsidP="00A903D8">
      <w:pPr>
        <w:spacing w:after="240" w:line="240" w:lineRule="auto"/>
        <w:rPr>
          <w:rFonts w:ascii="Arial" w:hAnsi="Arial" w:cs="Arial"/>
          <w:sz w:val="24"/>
          <w:szCs w:val="24"/>
        </w:rPr>
      </w:pPr>
      <w:r>
        <w:rPr>
          <w:rFonts w:ascii="Arial" w:hAnsi="Arial" w:cs="Arial"/>
          <w:sz w:val="24"/>
          <w:szCs w:val="24"/>
        </w:rPr>
        <w:t>New section 35</w:t>
      </w:r>
      <w:r w:rsidR="004D446F">
        <w:rPr>
          <w:rFonts w:ascii="Arial" w:hAnsi="Arial" w:cs="Arial"/>
          <w:sz w:val="24"/>
          <w:szCs w:val="24"/>
        </w:rPr>
        <w:t>D</w:t>
      </w:r>
      <w:r>
        <w:rPr>
          <w:rFonts w:ascii="Arial" w:hAnsi="Arial" w:cs="Arial"/>
          <w:sz w:val="24"/>
          <w:szCs w:val="24"/>
        </w:rPr>
        <w:t xml:space="preserve"> applies if an existing tenant has sought the consent required under section 35C (above) but the landlord alone has refused consent (that is, all the existing co-tenants consent but the landlord does not). Under section 35C, the landlord is not permitted to withhold consent unreasonably and must provide written reasons for withholding consent. If the existing tenant wants to challenge the landlord’s reason to withhold consent, they must apply to the Tribunal for a declaration that the </w:t>
      </w:r>
      <w:r w:rsidR="00AC3C56">
        <w:rPr>
          <w:rFonts w:ascii="Arial" w:hAnsi="Arial" w:cs="Arial"/>
          <w:sz w:val="24"/>
          <w:szCs w:val="24"/>
        </w:rPr>
        <w:t xml:space="preserve">refusal of </w:t>
      </w:r>
      <w:r>
        <w:rPr>
          <w:rFonts w:ascii="Arial" w:hAnsi="Arial" w:cs="Arial"/>
          <w:sz w:val="24"/>
          <w:szCs w:val="24"/>
        </w:rPr>
        <w:t>consent was unreasonable. New section 35</w:t>
      </w:r>
      <w:r w:rsidR="004D446F">
        <w:rPr>
          <w:rFonts w:ascii="Arial" w:hAnsi="Arial" w:cs="Arial"/>
          <w:sz w:val="24"/>
          <w:szCs w:val="24"/>
        </w:rPr>
        <w:t>D</w:t>
      </w:r>
      <w:r>
        <w:rPr>
          <w:rFonts w:ascii="Arial" w:hAnsi="Arial" w:cs="Arial"/>
          <w:sz w:val="24"/>
          <w:szCs w:val="24"/>
        </w:rPr>
        <w:t xml:space="preserve"> details this process.</w:t>
      </w:r>
    </w:p>
    <w:p w14:paraId="24B64E90" w14:textId="7FA74ACA" w:rsidR="00C35889" w:rsidRDefault="00C35889" w:rsidP="00A903D8">
      <w:pPr>
        <w:spacing w:after="240" w:line="240" w:lineRule="auto"/>
        <w:rPr>
          <w:rFonts w:ascii="Arial" w:hAnsi="Arial" w:cs="Arial"/>
          <w:sz w:val="24"/>
          <w:szCs w:val="24"/>
        </w:rPr>
      </w:pPr>
      <w:r>
        <w:rPr>
          <w:rFonts w:ascii="Arial" w:hAnsi="Arial" w:cs="Arial"/>
          <w:sz w:val="24"/>
          <w:szCs w:val="24"/>
        </w:rPr>
        <w:t>If the existing tenant makes a</w:t>
      </w:r>
      <w:r w:rsidR="004666D3">
        <w:rPr>
          <w:rFonts w:ascii="Arial" w:hAnsi="Arial" w:cs="Arial"/>
          <w:sz w:val="24"/>
          <w:szCs w:val="24"/>
        </w:rPr>
        <w:t>n application to the Tribunal for an</w:t>
      </w:r>
      <w:r>
        <w:rPr>
          <w:rFonts w:ascii="Arial" w:hAnsi="Arial" w:cs="Arial"/>
          <w:sz w:val="24"/>
          <w:szCs w:val="24"/>
        </w:rPr>
        <w:t xml:space="preserve"> </w:t>
      </w:r>
      <w:r w:rsidR="004666D3">
        <w:rPr>
          <w:rFonts w:ascii="Arial" w:hAnsi="Arial" w:cs="Arial"/>
          <w:sz w:val="24"/>
          <w:szCs w:val="24"/>
        </w:rPr>
        <w:t>order</w:t>
      </w:r>
      <w:r>
        <w:rPr>
          <w:rFonts w:ascii="Arial" w:hAnsi="Arial" w:cs="Arial"/>
          <w:sz w:val="24"/>
          <w:szCs w:val="24"/>
        </w:rPr>
        <w:t>, the new tenant will become a co-tenant under the residential tenancy agreement on the day that the application to the Tribunal is made. Until th</w:t>
      </w:r>
      <w:r w:rsidR="00117982">
        <w:rPr>
          <w:rFonts w:ascii="Arial" w:hAnsi="Arial" w:cs="Arial"/>
          <w:sz w:val="24"/>
          <w:szCs w:val="24"/>
        </w:rPr>
        <w:t>e application is made</w:t>
      </w:r>
      <w:r>
        <w:rPr>
          <w:rFonts w:ascii="Arial" w:hAnsi="Arial" w:cs="Arial"/>
          <w:sz w:val="24"/>
          <w:szCs w:val="24"/>
        </w:rPr>
        <w:t>, the new person will only be a bare licensee</w:t>
      </w:r>
      <w:r w:rsidR="004D446F">
        <w:rPr>
          <w:rFonts w:ascii="Arial" w:hAnsi="Arial" w:cs="Arial"/>
          <w:sz w:val="24"/>
          <w:szCs w:val="24"/>
        </w:rPr>
        <w:t xml:space="preserve"> if they occupy the premises</w:t>
      </w:r>
      <w:r>
        <w:rPr>
          <w:rFonts w:ascii="Arial" w:hAnsi="Arial" w:cs="Arial"/>
          <w:sz w:val="24"/>
          <w:szCs w:val="24"/>
        </w:rPr>
        <w:t xml:space="preserve"> and the landlord may elect to seek an order of the Tribunal under section 54 </w:t>
      </w:r>
      <w:r w:rsidR="00117982">
        <w:rPr>
          <w:rFonts w:ascii="Arial" w:hAnsi="Arial" w:cs="Arial"/>
          <w:sz w:val="24"/>
          <w:szCs w:val="24"/>
        </w:rPr>
        <w:t xml:space="preserve">that the existing tenant has purported to consent to a person to become a co-tenant or assign or sublet the premises in breach of the standard residential tenancy terms. </w:t>
      </w:r>
      <w:r w:rsidR="004D446F">
        <w:rPr>
          <w:rFonts w:ascii="Arial" w:hAnsi="Arial" w:cs="Arial"/>
          <w:sz w:val="24"/>
          <w:szCs w:val="24"/>
        </w:rPr>
        <w:t xml:space="preserve">To avoid doubt, section 35D(4) provides a landlord a right to make an application to the Tribunal if the existing tenant has made a declaration application, but they have withdrawn the application or otherwise delayed the Tribunal proceeding. As this right is a streamlined version of the right that already exists under section 54, the intent of this provision is to ensure that section 35D does not </w:t>
      </w:r>
      <w:r w:rsidR="00944402">
        <w:rPr>
          <w:rFonts w:ascii="Arial" w:hAnsi="Arial" w:cs="Arial"/>
          <w:sz w:val="24"/>
          <w:szCs w:val="24"/>
        </w:rPr>
        <w:t>prevent a landlord from reasonably protecting their rights with regard to the tenancy</w:t>
      </w:r>
      <w:r w:rsidR="004D446F">
        <w:rPr>
          <w:rFonts w:ascii="Arial" w:hAnsi="Arial" w:cs="Arial"/>
          <w:sz w:val="24"/>
          <w:szCs w:val="24"/>
        </w:rPr>
        <w:t>.</w:t>
      </w:r>
    </w:p>
    <w:p w14:paraId="4FED1D52" w14:textId="3FB61652" w:rsidR="00944402" w:rsidRDefault="00944402" w:rsidP="00A903D8">
      <w:pPr>
        <w:spacing w:after="240" w:line="240" w:lineRule="auto"/>
        <w:rPr>
          <w:rFonts w:ascii="Arial" w:hAnsi="Arial" w:cs="Arial"/>
          <w:sz w:val="24"/>
          <w:szCs w:val="24"/>
        </w:rPr>
      </w:pPr>
      <w:r>
        <w:rPr>
          <w:rFonts w:ascii="Arial" w:hAnsi="Arial" w:cs="Arial"/>
          <w:sz w:val="24"/>
          <w:szCs w:val="24"/>
        </w:rPr>
        <w:t>If the Tribunal finds that the landlord did not act unreasonably in refusing consent and makes an order that the new person stop being a party to the residential tenancy agreement, then the new person will cease to be a party to the residential tenancy agreement on the day the order is made and must leave the premises within 21 days after the order is made. The provisions regarding the bond in section 35B (discussed above) will apply to the person, protecting their interest in having their bond returned.</w:t>
      </w:r>
    </w:p>
    <w:p w14:paraId="01361BF7" w14:textId="77777777" w:rsidR="00D87810" w:rsidRDefault="00D87810" w:rsidP="00A903D8">
      <w:pPr>
        <w:spacing w:after="240" w:line="240" w:lineRule="auto"/>
        <w:rPr>
          <w:rFonts w:ascii="Arial" w:hAnsi="Arial" w:cs="Arial"/>
          <w:sz w:val="24"/>
          <w:szCs w:val="24"/>
        </w:rPr>
      </w:pPr>
    </w:p>
    <w:p w14:paraId="6900222E" w14:textId="77777777" w:rsidR="00D87810" w:rsidRDefault="00D87810" w:rsidP="00A903D8">
      <w:pPr>
        <w:spacing w:after="240" w:line="240" w:lineRule="auto"/>
        <w:rPr>
          <w:rFonts w:ascii="Arial" w:hAnsi="Arial" w:cs="Arial"/>
          <w:sz w:val="24"/>
          <w:szCs w:val="24"/>
        </w:rPr>
      </w:pPr>
    </w:p>
    <w:p w14:paraId="4DB435F0" w14:textId="77777777" w:rsidR="00D87810" w:rsidRDefault="00D87810" w:rsidP="00A903D8">
      <w:pPr>
        <w:spacing w:after="240" w:line="240" w:lineRule="auto"/>
        <w:rPr>
          <w:rFonts w:ascii="Arial" w:hAnsi="Arial" w:cs="Arial"/>
          <w:sz w:val="24"/>
          <w:szCs w:val="24"/>
        </w:rPr>
      </w:pPr>
    </w:p>
    <w:p w14:paraId="521B3779" w14:textId="77777777" w:rsidR="00D87810" w:rsidRDefault="00D87810" w:rsidP="00A903D8">
      <w:pPr>
        <w:spacing w:after="240" w:line="240" w:lineRule="auto"/>
        <w:rPr>
          <w:rFonts w:ascii="Arial" w:hAnsi="Arial" w:cs="Arial"/>
          <w:sz w:val="24"/>
          <w:szCs w:val="24"/>
        </w:rPr>
      </w:pPr>
    </w:p>
    <w:p w14:paraId="0A6111B9" w14:textId="15860930" w:rsidR="00E2436C" w:rsidRDefault="00A903D8" w:rsidP="00A903D8">
      <w:pPr>
        <w:spacing w:after="240" w:line="240" w:lineRule="auto"/>
        <w:rPr>
          <w:rFonts w:ascii="Arial" w:hAnsi="Arial" w:cs="Arial"/>
          <w:sz w:val="24"/>
          <w:szCs w:val="24"/>
        </w:rPr>
      </w:pPr>
      <w:r>
        <w:rPr>
          <w:rFonts w:ascii="Arial" w:hAnsi="Arial" w:cs="Arial"/>
          <w:sz w:val="24"/>
          <w:szCs w:val="24"/>
        </w:rPr>
        <w:lastRenderedPageBreak/>
        <w:t xml:space="preserve">New section </w:t>
      </w:r>
      <w:r w:rsidR="00944402">
        <w:rPr>
          <w:rFonts w:ascii="Arial" w:hAnsi="Arial" w:cs="Arial"/>
          <w:sz w:val="24"/>
          <w:szCs w:val="24"/>
        </w:rPr>
        <w:t xml:space="preserve">35E </w:t>
      </w:r>
      <w:r w:rsidR="00E2436C">
        <w:rPr>
          <w:rFonts w:ascii="Arial" w:hAnsi="Arial" w:cs="Arial"/>
          <w:sz w:val="24"/>
          <w:szCs w:val="24"/>
        </w:rPr>
        <w:t xml:space="preserve">provides a legislative framework for social housing dwellings and crisis accommodation. </w:t>
      </w:r>
      <w:r w:rsidR="00CB27DB">
        <w:rPr>
          <w:rFonts w:ascii="Arial" w:hAnsi="Arial" w:cs="Arial"/>
          <w:sz w:val="24"/>
          <w:szCs w:val="24"/>
        </w:rPr>
        <w:t>T</w:t>
      </w:r>
      <w:r w:rsidR="00E2436C">
        <w:rPr>
          <w:rFonts w:ascii="Arial" w:hAnsi="Arial" w:cs="Arial"/>
          <w:sz w:val="24"/>
          <w:szCs w:val="24"/>
        </w:rPr>
        <w:t xml:space="preserve">here are separate processes to be considered for social housing or crisis accommodation, and it is not intended that the new part 3A will provide a separate pathway </w:t>
      </w:r>
      <w:r w:rsidR="00944402">
        <w:rPr>
          <w:rFonts w:ascii="Arial" w:hAnsi="Arial" w:cs="Arial"/>
          <w:sz w:val="24"/>
          <w:szCs w:val="24"/>
        </w:rPr>
        <w:t>for people to apply for</w:t>
      </w:r>
      <w:r w:rsidR="00E2436C">
        <w:rPr>
          <w:rFonts w:ascii="Arial" w:hAnsi="Arial" w:cs="Arial"/>
          <w:sz w:val="24"/>
          <w:szCs w:val="24"/>
        </w:rPr>
        <w:t xml:space="preserve"> these forms of accommodation. Instead, it is intended</w:t>
      </w:r>
      <w:r w:rsidR="00944402">
        <w:rPr>
          <w:rFonts w:ascii="Arial" w:hAnsi="Arial" w:cs="Arial"/>
          <w:sz w:val="24"/>
          <w:szCs w:val="24"/>
        </w:rPr>
        <w:t xml:space="preserve"> only</w:t>
      </w:r>
      <w:r w:rsidR="00E2436C">
        <w:rPr>
          <w:rFonts w:ascii="Arial" w:hAnsi="Arial" w:cs="Arial"/>
          <w:sz w:val="24"/>
          <w:szCs w:val="24"/>
        </w:rPr>
        <w:t xml:space="preserve"> that</w:t>
      </w:r>
      <w:r w:rsidR="00944402">
        <w:rPr>
          <w:rFonts w:ascii="Arial" w:hAnsi="Arial" w:cs="Arial"/>
          <w:sz w:val="24"/>
          <w:szCs w:val="24"/>
        </w:rPr>
        <w:t>, for social housing and crisis accommodation tenancies,</w:t>
      </w:r>
      <w:r w:rsidR="00E2436C">
        <w:rPr>
          <w:rFonts w:ascii="Arial" w:hAnsi="Arial" w:cs="Arial"/>
          <w:sz w:val="24"/>
          <w:szCs w:val="24"/>
        </w:rPr>
        <w:t xml:space="preserve"> the common law rules about the change of parties to a tenancy agreement are amended so that the residential tenancy agreement survives the change of parties</w:t>
      </w:r>
      <w:r w:rsidR="007B7BD3">
        <w:rPr>
          <w:rFonts w:ascii="Arial" w:hAnsi="Arial" w:cs="Arial"/>
          <w:sz w:val="24"/>
          <w:szCs w:val="24"/>
        </w:rPr>
        <w:t xml:space="preserve"> where this is intended</w:t>
      </w:r>
      <w:r w:rsidR="00E2436C">
        <w:rPr>
          <w:rFonts w:ascii="Arial" w:hAnsi="Arial" w:cs="Arial"/>
          <w:sz w:val="24"/>
          <w:szCs w:val="24"/>
        </w:rPr>
        <w:t>.</w:t>
      </w:r>
      <w:r w:rsidR="00944402">
        <w:rPr>
          <w:rFonts w:ascii="Arial" w:hAnsi="Arial" w:cs="Arial"/>
          <w:sz w:val="24"/>
          <w:szCs w:val="24"/>
        </w:rPr>
        <w:t xml:space="preserve"> Section </w:t>
      </w:r>
      <w:r w:rsidR="0001242C">
        <w:rPr>
          <w:rFonts w:ascii="Arial" w:hAnsi="Arial" w:cs="Arial"/>
          <w:sz w:val="24"/>
          <w:szCs w:val="24"/>
        </w:rPr>
        <w:t xml:space="preserve">35E </w:t>
      </w:r>
      <w:r w:rsidR="00944402">
        <w:rPr>
          <w:rFonts w:ascii="Arial" w:hAnsi="Arial" w:cs="Arial"/>
          <w:sz w:val="24"/>
          <w:szCs w:val="24"/>
        </w:rPr>
        <w:t>does not create an additional obligation for a social housing or crisis accommodation provider to respond to a request from an existing tenant to join a new tenant.</w:t>
      </w:r>
      <w:r w:rsidR="002E3547">
        <w:rPr>
          <w:rFonts w:ascii="Arial" w:hAnsi="Arial" w:cs="Arial"/>
          <w:sz w:val="24"/>
          <w:szCs w:val="24"/>
        </w:rPr>
        <w:t xml:space="preserve"> Section 35E does not create an additional pathway for a decision by a social housing or crisis accommodation provider to be challenged in the Tribunal. </w:t>
      </w:r>
    </w:p>
    <w:p w14:paraId="7E837D9E" w14:textId="7BE14B19" w:rsidR="00A903D8" w:rsidRDefault="00E2436C" w:rsidP="00A903D8">
      <w:pPr>
        <w:spacing w:after="240" w:line="240" w:lineRule="auto"/>
        <w:rPr>
          <w:rFonts w:ascii="Arial" w:hAnsi="Arial" w:cs="Arial"/>
          <w:sz w:val="24"/>
          <w:szCs w:val="24"/>
        </w:rPr>
      </w:pPr>
      <w:r w:rsidRPr="00D301AC">
        <w:rPr>
          <w:rFonts w:ascii="Arial" w:hAnsi="Arial" w:cs="Arial"/>
          <w:sz w:val="24"/>
          <w:szCs w:val="24"/>
        </w:rPr>
        <w:t>New section 35</w:t>
      </w:r>
      <w:r w:rsidR="00D301AC" w:rsidRPr="00F61119">
        <w:rPr>
          <w:rFonts w:ascii="Arial" w:hAnsi="Arial" w:cs="Arial"/>
          <w:sz w:val="24"/>
          <w:szCs w:val="24"/>
        </w:rPr>
        <w:t>F</w:t>
      </w:r>
      <w:r w:rsidRPr="00D301AC">
        <w:rPr>
          <w:rFonts w:ascii="Arial" w:hAnsi="Arial" w:cs="Arial"/>
          <w:sz w:val="24"/>
          <w:szCs w:val="24"/>
        </w:rPr>
        <w:t xml:space="preserve"> </w:t>
      </w:r>
      <w:r w:rsidR="00A903D8" w:rsidRPr="00D301AC">
        <w:rPr>
          <w:rFonts w:ascii="Arial" w:hAnsi="Arial" w:cs="Arial"/>
          <w:sz w:val="24"/>
          <w:szCs w:val="24"/>
        </w:rPr>
        <w:t>regularises the method for an incoming co-tenant to gain an interest in the bond being held in relation to the agreement.</w:t>
      </w:r>
      <w:r w:rsidR="00A903D8">
        <w:rPr>
          <w:rFonts w:ascii="Arial" w:hAnsi="Arial" w:cs="Arial"/>
          <w:sz w:val="24"/>
          <w:szCs w:val="24"/>
        </w:rPr>
        <w:t xml:space="preserve"> </w:t>
      </w:r>
    </w:p>
    <w:p w14:paraId="157714F5" w14:textId="0F2E5E77" w:rsidR="00A903D8" w:rsidRPr="00D301AC" w:rsidRDefault="00A903D8" w:rsidP="00A903D8">
      <w:pPr>
        <w:spacing w:after="240" w:line="240" w:lineRule="auto"/>
        <w:rPr>
          <w:rFonts w:ascii="Arial" w:hAnsi="Arial" w:cs="Arial"/>
          <w:sz w:val="24"/>
          <w:szCs w:val="24"/>
        </w:rPr>
      </w:pPr>
      <w:r w:rsidRPr="00D301AC">
        <w:rPr>
          <w:rFonts w:ascii="Arial" w:hAnsi="Arial" w:cs="Arial"/>
          <w:sz w:val="24"/>
          <w:szCs w:val="24"/>
        </w:rPr>
        <w:t xml:space="preserve">New section </w:t>
      </w:r>
      <w:r w:rsidR="00E2436C" w:rsidRPr="00D301AC">
        <w:rPr>
          <w:rFonts w:ascii="Arial" w:hAnsi="Arial" w:cs="Arial"/>
          <w:sz w:val="24"/>
          <w:szCs w:val="24"/>
        </w:rPr>
        <w:t>35</w:t>
      </w:r>
      <w:r w:rsidR="00D301AC">
        <w:rPr>
          <w:rFonts w:ascii="Arial" w:hAnsi="Arial" w:cs="Arial"/>
          <w:sz w:val="24"/>
          <w:szCs w:val="24"/>
        </w:rPr>
        <w:t>G</w:t>
      </w:r>
      <w:r w:rsidR="00E2436C" w:rsidRPr="00D301AC">
        <w:rPr>
          <w:rFonts w:ascii="Arial" w:hAnsi="Arial" w:cs="Arial"/>
          <w:sz w:val="24"/>
          <w:szCs w:val="24"/>
        </w:rPr>
        <w:t xml:space="preserve"> </w:t>
      </w:r>
      <w:r w:rsidRPr="00D301AC">
        <w:rPr>
          <w:rFonts w:ascii="Arial" w:hAnsi="Arial" w:cs="Arial"/>
          <w:sz w:val="24"/>
          <w:szCs w:val="24"/>
        </w:rPr>
        <w:t xml:space="preserve">specifies powers of the Tribunal specific to disputes arising from co-tenancies. The Tribunal, upon application by a co-tenant, is empowered to make an order removing a co-tenant from the tenancy agreement. This power is deliberately out of alignment with the existing power of the Tribunal to terminate a tenancy as it will arise from a dispute between co-tenants rather than as a dispute between a landlord and the tenants. An application to remove a co-tenant from the tenancy agreement might arise if the co-tenant is jeopardising the entire tenancy agreement through their repeated non-payment of their share of rent or utilities, use of the premises for illegal activities, or repeated intentional damage to the property. </w:t>
      </w:r>
    </w:p>
    <w:p w14:paraId="146BA68A" w14:textId="0433EEC2" w:rsidR="00A903D8" w:rsidRDefault="00A903D8" w:rsidP="00A903D8">
      <w:pPr>
        <w:spacing w:after="240" w:line="240" w:lineRule="auto"/>
        <w:rPr>
          <w:rFonts w:ascii="Arial" w:hAnsi="Arial" w:cs="Arial"/>
          <w:sz w:val="24"/>
          <w:szCs w:val="24"/>
        </w:rPr>
      </w:pPr>
      <w:r w:rsidRPr="00D301AC">
        <w:rPr>
          <w:rFonts w:ascii="Arial" w:hAnsi="Arial" w:cs="Arial"/>
          <w:sz w:val="24"/>
          <w:szCs w:val="24"/>
        </w:rPr>
        <w:t xml:space="preserve">New section </w:t>
      </w:r>
      <w:r w:rsidR="00D301AC" w:rsidRPr="00D301AC">
        <w:rPr>
          <w:rFonts w:ascii="Arial" w:hAnsi="Arial" w:cs="Arial"/>
          <w:sz w:val="24"/>
          <w:szCs w:val="24"/>
        </w:rPr>
        <w:t>35</w:t>
      </w:r>
      <w:r w:rsidR="00D301AC">
        <w:rPr>
          <w:rFonts w:ascii="Arial" w:hAnsi="Arial" w:cs="Arial"/>
          <w:sz w:val="24"/>
          <w:szCs w:val="24"/>
        </w:rPr>
        <w:t>G</w:t>
      </w:r>
      <w:r w:rsidR="00D301AC" w:rsidRPr="00D301AC">
        <w:rPr>
          <w:rFonts w:ascii="Arial" w:hAnsi="Arial" w:cs="Arial"/>
          <w:sz w:val="24"/>
          <w:szCs w:val="24"/>
        </w:rPr>
        <w:t xml:space="preserve"> </w:t>
      </w:r>
      <w:r w:rsidRPr="00D301AC">
        <w:rPr>
          <w:rFonts w:ascii="Arial" w:hAnsi="Arial" w:cs="Arial"/>
          <w:sz w:val="24"/>
          <w:szCs w:val="24"/>
        </w:rPr>
        <w:t>also provides the power for the Tribunal to order that the landlord may refuse consent for a co-tenant to leave the agreement or for a new person to join the agreement as a co-tenant.</w:t>
      </w:r>
    </w:p>
    <w:p w14:paraId="0BF4DF63" w14:textId="76A6588E" w:rsidR="00D301AC" w:rsidRDefault="00D301AC" w:rsidP="00A903D8">
      <w:pPr>
        <w:spacing w:after="240" w:line="240" w:lineRule="auto"/>
        <w:rPr>
          <w:rFonts w:ascii="Arial" w:hAnsi="Arial" w:cs="Arial"/>
          <w:sz w:val="24"/>
          <w:szCs w:val="24"/>
        </w:rPr>
      </w:pPr>
      <w:r>
        <w:rPr>
          <w:rFonts w:ascii="Arial" w:hAnsi="Arial" w:cs="Arial"/>
          <w:sz w:val="24"/>
          <w:szCs w:val="24"/>
        </w:rPr>
        <w:t>New section 35G(3) lists the matters that the Tribunal must consider when deciding whether the landlord’s refusal to consent to a new tenant was reasonable. A landlord is likely to be reasonably refusing consent if:</w:t>
      </w:r>
    </w:p>
    <w:p w14:paraId="66A03B97" w14:textId="741BD07C" w:rsidR="00D301AC" w:rsidRDefault="00D301AC" w:rsidP="00D301AC">
      <w:pPr>
        <w:pStyle w:val="ListParagraph"/>
        <w:numPr>
          <w:ilvl w:val="0"/>
          <w:numId w:val="11"/>
        </w:numPr>
        <w:spacing w:after="240"/>
        <w:rPr>
          <w:rFonts w:ascii="Arial" w:hAnsi="Arial" w:cs="Arial"/>
          <w:sz w:val="24"/>
          <w:szCs w:val="24"/>
        </w:rPr>
      </w:pPr>
      <w:r>
        <w:rPr>
          <w:rFonts w:ascii="Arial" w:hAnsi="Arial" w:cs="Arial"/>
          <w:sz w:val="24"/>
          <w:szCs w:val="24"/>
        </w:rPr>
        <w:t>the premises would become overcrowded if the new person were to become a co-tenant;</w:t>
      </w:r>
    </w:p>
    <w:p w14:paraId="6A1A16B6" w14:textId="27755341" w:rsidR="00D301AC" w:rsidRDefault="00D301AC" w:rsidP="00D301AC">
      <w:pPr>
        <w:pStyle w:val="ListParagraph"/>
        <w:numPr>
          <w:ilvl w:val="0"/>
          <w:numId w:val="11"/>
        </w:numPr>
        <w:spacing w:after="240"/>
        <w:rPr>
          <w:rFonts w:ascii="Arial" w:hAnsi="Arial" w:cs="Arial"/>
          <w:sz w:val="24"/>
          <w:szCs w:val="24"/>
        </w:rPr>
      </w:pPr>
      <w:r>
        <w:rPr>
          <w:rFonts w:ascii="Arial" w:hAnsi="Arial" w:cs="Arial"/>
          <w:sz w:val="24"/>
          <w:szCs w:val="24"/>
        </w:rPr>
        <w:t>the new person is included on a residential tenancy database;</w:t>
      </w:r>
    </w:p>
    <w:p w14:paraId="5B079B16" w14:textId="096C695F" w:rsidR="00D301AC" w:rsidRDefault="00D301AC" w:rsidP="00D301AC">
      <w:pPr>
        <w:pStyle w:val="ListParagraph"/>
        <w:numPr>
          <w:ilvl w:val="0"/>
          <w:numId w:val="11"/>
        </w:numPr>
        <w:spacing w:after="240"/>
        <w:rPr>
          <w:rFonts w:ascii="Arial" w:hAnsi="Arial" w:cs="Arial"/>
          <w:sz w:val="24"/>
          <w:szCs w:val="24"/>
        </w:rPr>
      </w:pPr>
      <w:r>
        <w:rPr>
          <w:rFonts w:ascii="Arial" w:hAnsi="Arial" w:cs="Arial"/>
          <w:sz w:val="24"/>
          <w:szCs w:val="24"/>
        </w:rPr>
        <w:t xml:space="preserve">the new person does not meet a requirement of the tenancy, or is unsuitable having regard to the purpose of the tenancy (for example, a housing support program to support women at risk of homelessness might reasonably refuse to allow a tenant who is not a woman at risk of homelessness to join the tenancy; or a housing support program to support men </w:t>
      </w:r>
      <w:r w:rsidR="000A1A2B">
        <w:rPr>
          <w:rFonts w:ascii="Arial" w:hAnsi="Arial" w:cs="Arial"/>
          <w:sz w:val="24"/>
          <w:szCs w:val="24"/>
        </w:rPr>
        <w:t>moving out of prison might reasonably refuse to allow a tenant who is not a man moving out of prison; or a housing support program to support people on humanitarian visas might reasonably refuse to allow a tenant who is not on a humanitarian visa); or</w:t>
      </w:r>
    </w:p>
    <w:p w14:paraId="5EC38619" w14:textId="1F130627" w:rsidR="000A1A2B" w:rsidRDefault="000A1A2B" w:rsidP="00D301AC">
      <w:pPr>
        <w:pStyle w:val="ListParagraph"/>
        <w:numPr>
          <w:ilvl w:val="0"/>
          <w:numId w:val="11"/>
        </w:numPr>
        <w:spacing w:after="240"/>
        <w:rPr>
          <w:rFonts w:ascii="Arial" w:hAnsi="Arial" w:cs="Arial"/>
          <w:sz w:val="24"/>
          <w:szCs w:val="24"/>
        </w:rPr>
      </w:pPr>
      <w:r>
        <w:rPr>
          <w:rFonts w:ascii="Arial" w:hAnsi="Arial" w:cs="Arial"/>
          <w:sz w:val="24"/>
          <w:szCs w:val="24"/>
        </w:rPr>
        <w:t>the tenancy is associated with a person’s employment and the new tenant would not be occupying the premises under the terms and conditions of their employment.</w:t>
      </w:r>
    </w:p>
    <w:p w14:paraId="37DFD930" w14:textId="0BA2F616" w:rsidR="000A1A2B" w:rsidRPr="007B7BD3" w:rsidRDefault="000A1A2B" w:rsidP="0001242C">
      <w:pPr>
        <w:spacing w:after="240" w:line="240" w:lineRule="auto"/>
        <w:rPr>
          <w:rFonts w:ascii="Arial" w:hAnsi="Arial" w:cs="Arial"/>
          <w:sz w:val="24"/>
          <w:szCs w:val="24"/>
        </w:rPr>
      </w:pPr>
      <w:r>
        <w:rPr>
          <w:rFonts w:ascii="Arial" w:hAnsi="Arial" w:cs="Arial"/>
          <w:sz w:val="24"/>
          <w:szCs w:val="24"/>
        </w:rPr>
        <w:lastRenderedPageBreak/>
        <w:t>As the tenant is making the application, they have an evidentiary burden to demonstrate that the landlord’s refusal was unreasonable. It is intended that reasonableness will evaluated by an objective standard</w:t>
      </w:r>
      <w:r w:rsidR="007213DB">
        <w:rPr>
          <w:rFonts w:ascii="Arial" w:hAnsi="Arial" w:cs="Arial"/>
          <w:sz w:val="24"/>
          <w:szCs w:val="24"/>
        </w:rPr>
        <w:t>: that there were serious, proper reasons to withhold consent, and that it was not merely whim, personal preference, or a lack of a positive, compelling reason for the landlord to provide consent. It is also intended that the landlord is not permitted to withhold consent in exchange for some other benefit to the landlord (such as an increase in the rent or other change to the tenancy agreement).</w:t>
      </w:r>
    </w:p>
    <w:p w14:paraId="00E0C411" w14:textId="46AC7E17" w:rsidR="00A903D8" w:rsidRPr="00230BB7" w:rsidRDefault="00A903D8" w:rsidP="00A903D8">
      <w:pPr>
        <w:spacing w:after="240" w:line="240" w:lineRule="auto"/>
        <w:rPr>
          <w:rFonts w:ascii="Arial" w:hAnsi="Arial" w:cs="Arial"/>
          <w:b/>
          <w:sz w:val="24"/>
          <w:szCs w:val="24"/>
        </w:rPr>
      </w:pPr>
      <w:r>
        <w:rPr>
          <w:rFonts w:ascii="Arial" w:hAnsi="Arial" w:cs="Arial"/>
          <w:b/>
          <w:sz w:val="24"/>
          <w:szCs w:val="24"/>
        </w:rPr>
        <w:t xml:space="preserve">Clause </w:t>
      </w:r>
      <w:r w:rsidR="00E2436C">
        <w:rPr>
          <w:rFonts w:ascii="Arial" w:hAnsi="Arial" w:cs="Arial"/>
          <w:b/>
          <w:sz w:val="24"/>
          <w:szCs w:val="24"/>
        </w:rPr>
        <w:t>18</w:t>
      </w:r>
      <w:r w:rsidRPr="00230BB7">
        <w:rPr>
          <w:rFonts w:ascii="Arial" w:hAnsi="Arial" w:cs="Arial"/>
          <w:b/>
          <w:sz w:val="24"/>
          <w:szCs w:val="24"/>
        </w:rPr>
        <w:tab/>
      </w:r>
      <w:r>
        <w:rPr>
          <w:rFonts w:ascii="Arial" w:hAnsi="Arial" w:cs="Arial"/>
          <w:b/>
          <w:sz w:val="24"/>
          <w:szCs w:val="24"/>
        </w:rPr>
        <w:t>Section 54 heading</w:t>
      </w:r>
    </w:p>
    <w:p w14:paraId="49CE820A" w14:textId="626E04B5" w:rsidR="00A903D8" w:rsidRDefault="00A903D8" w:rsidP="00A903D8">
      <w:pPr>
        <w:spacing w:after="240" w:line="240" w:lineRule="auto"/>
        <w:rPr>
          <w:rFonts w:ascii="Arial" w:hAnsi="Arial" w:cs="Arial"/>
          <w:sz w:val="24"/>
          <w:szCs w:val="24"/>
        </w:rPr>
      </w:pPr>
      <w:r>
        <w:rPr>
          <w:rFonts w:ascii="Arial" w:hAnsi="Arial" w:cs="Arial"/>
          <w:sz w:val="24"/>
          <w:szCs w:val="24"/>
        </w:rPr>
        <w:t xml:space="preserve">This clause changes the heading of section 54 of the RTA to align with the introduction of part 3A (clause </w:t>
      </w:r>
      <w:r w:rsidR="003828BC">
        <w:rPr>
          <w:rFonts w:ascii="Arial" w:hAnsi="Arial" w:cs="Arial"/>
          <w:sz w:val="24"/>
          <w:szCs w:val="24"/>
        </w:rPr>
        <w:t xml:space="preserve">17 </w:t>
      </w:r>
      <w:r>
        <w:rPr>
          <w:rFonts w:ascii="Arial" w:hAnsi="Arial" w:cs="Arial"/>
          <w:sz w:val="24"/>
          <w:szCs w:val="24"/>
        </w:rPr>
        <w:t>above).</w:t>
      </w:r>
    </w:p>
    <w:p w14:paraId="125F8683" w14:textId="77777777" w:rsidR="00A903D8" w:rsidRPr="00BB34A1" w:rsidRDefault="00A903D8" w:rsidP="00A903D8">
      <w:pPr>
        <w:spacing w:after="240" w:line="240" w:lineRule="auto"/>
        <w:rPr>
          <w:rFonts w:ascii="Arial" w:hAnsi="Arial" w:cs="Arial"/>
          <w:sz w:val="24"/>
          <w:szCs w:val="24"/>
        </w:rPr>
      </w:pPr>
      <w:r>
        <w:rPr>
          <w:rFonts w:ascii="Arial" w:hAnsi="Arial" w:cs="Arial"/>
          <w:sz w:val="24"/>
          <w:szCs w:val="24"/>
        </w:rPr>
        <w:t>A heading to a section of an Act is part of the Act (</w:t>
      </w:r>
      <w:r>
        <w:rPr>
          <w:rFonts w:ascii="Arial" w:hAnsi="Arial" w:cs="Arial"/>
          <w:i/>
          <w:iCs/>
          <w:sz w:val="24"/>
          <w:szCs w:val="24"/>
        </w:rPr>
        <w:t>Legislation Act 2001</w:t>
      </w:r>
      <w:r>
        <w:rPr>
          <w:rFonts w:ascii="Arial" w:hAnsi="Arial" w:cs="Arial"/>
          <w:sz w:val="24"/>
          <w:szCs w:val="24"/>
        </w:rPr>
        <w:t>, s 126(2)).</w:t>
      </w:r>
    </w:p>
    <w:p w14:paraId="75B81C77" w14:textId="31B7711E" w:rsidR="00A903D8" w:rsidRPr="00230BB7" w:rsidRDefault="00A903D8" w:rsidP="0001242C">
      <w:pPr>
        <w:keepNext/>
        <w:spacing w:after="240" w:line="240" w:lineRule="auto"/>
        <w:rPr>
          <w:rFonts w:ascii="Arial" w:hAnsi="Arial" w:cs="Arial"/>
          <w:b/>
          <w:sz w:val="24"/>
          <w:szCs w:val="24"/>
        </w:rPr>
      </w:pPr>
      <w:r>
        <w:rPr>
          <w:rFonts w:ascii="Arial" w:hAnsi="Arial" w:cs="Arial"/>
          <w:b/>
          <w:sz w:val="24"/>
          <w:szCs w:val="24"/>
        </w:rPr>
        <w:t>Clause 1</w:t>
      </w:r>
      <w:r w:rsidR="00E2436C">
        <w:rPr>
          <w:rFonts w:ascii="Arial" w:hAnsi="Arial" w:cs="Arial"/>
          <w:b/>
          <w:sz w:val="24"/>
          <w:szCs w:val="24"/>
        </w:rPr>
        <w:t>9</w:t>
      </w:r>
      <w:r w:rsidRPr="00230BB7">
        <w:rPr>
          <w:rFonts w:ascii="Arial" w:hAnsi="Arial" w:cs="Arial"/>
          <w:b/>
          <w:sz w:val="24"/>
          <w:szCs w:val="24"/>
        </w:rPr>
        <w:tab/>
      </w:r>
      <w:r>
        <w:rPr>
          <w:rFonts w:ascii="Arial" w:hAnsi="Arial" w:cs="Arial"/>
          <w:b/>
          <w:sz w:val="24"/>
          <w:szCs w:val="24"/>
        </w:rPr>
        <w:t>Section 54 (1) (a)</w:t>
      </w:r>
    </w:p>
    <w:p w14:paraId="3328E902" w14:textId="657B4BCF" w:rsidR="00A903D8" w:rsidRDefault="00A903D8" w:rsidP="00A903D8">
      <w:pPr>
        <w:spacing w:after="240" w:line="240" w:lineRule="auto"/>
        <w:rPr>
          <w:rFonts w:ascii="Arial" w:hAnsi="Arial" w:cs="Arial"/>
          <w:b/>
          <w:sz w:val="24"/>
          <w:szCs w:val="24"/>
        </w:rPr>
      </w:pPr>
      <w:r>
        <w:rPr>
          <w:rFonts w:ascii="Arial" w:hAnsi="Arial" w:cs="Arial"/>
          <w:sz w:val="24"/>
          <w:szCs w:val="24"/>
        </w:rPr>
        <w:t xml:space="preserve">This clause clarifies the application of section 54 following the introduction of part 3A (clause </w:t>
      </w:r>
      <w:r w:rsidR="003828BC">
        <w:rPr>
          <w:rFonts w:ascii="Arial" w:hAnsi="Arial" w:cs="Arial"/>
          <w:sz w:val="24"/>
          <w:szCs w:val="24"/>
        </w:rPr>
        <w:t xml:space="preserve">17 </w:t>
      </w:r>
      <w:r>
        <w:rPr>
          <w:rFonts w:ascii="Arial" w:hAnsi="Arial" w:cs="Arial"/>
          <w:sz w:val="24"/>
          <w:szCs w:val="24"/>
        </w:rPr>
        <w:t xml:space="preserve">above). A tenant breaches the RTA if they purport to change the parties to a tenancy agreement or create a subtenancy except in accordance with the RTA. </w:t>
      </w:r>
    </w:p>
    <w:p w14:paraId="437FBB3B" w14:textId="46184214" w:rsidR="00A903D8" w:rsidRPr="00230BB7" w:rsidRDefault="00A903D8" w:rsidP="00A903D8">
      <w:pPr>
        <w:spacing w:after="240" w:line="240" w:lineRule="auto"/>
        <w:rPr>
          <w:rFonts w:ascii="Arial" w:hAnsi="Arial" w:cs="Arial"/>
          <w:b/>
          <w:sz w:val="24"/>
          <w:szCs w:val="24"/>
        </w:rPr>
      </w:pPr>
      <w:r>
        <w:rPr>
          <w:rFonts w:ascii="Arial" w:hAnsi="Arial" w:cs="Arial"/>
          <w:b/>
          <w:sz w:val="24"/>
          <w:szCs w:val="24"/>
        </w:rPr>
        <w:t xml:space="preserve">Clause </w:t>
      </w:r>
      <w:r w:rsidR="00E2436C">
        <w:rPr>
          <w:rFonts w:ascii="Arial" w:hAnsi="Arial" w:cs="Arial"/>
          <w:b/>
          <w:sz w:val="24"/>
          <w:szCs w:val="24"/>
        </w:rPr>
        <w:t>20</w:t>
      </w:r>
      <w:r w:rsidRPr="00230BB7">
        <w:rPr>
          <w:rFonts w:ascii="Arial" w:hAnsi="Arial" w:cs="Arial"/>
          <w:b/>
          <w:sz w:val="24"/>
          <w:szCs w:val="24"/>
        </w:rPr>
        <w:tab/>
      </w:r>
      <w:r>
        <w:rPr>
          <w:rFonts w:ascii="Arial" w:hAnsi="Arial" w:cs="Arial"/>
          <w:b/>
          <w:sz w:val="24"/>
          <w:szCs w:val="24"/>
        </w:rPr>
        <w:t>Section 54 (1) (b) and (c)</w:t>
      </w:r>
    </w:p>
    <w:p w14:paraId="163EA78B" w14:textId="2BABD91A" w:rsidR="00A903D8" w:rsidRDefault="00A903D8" w:rsidP="00A903D8">
      <w:pPr>
        <w:spacing w:after="240" w:line="240" w:lineRule="auto"/>
        <w:rPr>
          <w:rFonts w:ascii="Arial" w:hAnsi="Arial" w:cs="Arial"/>
          <w:sz w:val="24"/>
          <w:szCs w:val="24"/>
        </w:rPr>
      </w:pPr>
      <w:r>
        <w:rPr>
          <w:rFonts w:ascii="Arial" w:hAnsi="Arial" w:cs="Arial"/>
          <w:sz w:val="24"/>
          <w:szCs w:val="24"/>
        </w:rPr>
        <w:t xml:space="preserve">This clause clarifies the application of section 54 in respect of purported assignment or subletting following the introduction of part 3A (clause </w:t>
      </w:r>
      <w:r w:rsidR="003828BC">
        <w:rPr>
          <w:rFonts w:ascii="Arial" w:hAnsi="Arial" w:cs="Arial"/>
          <w:sz w:val="24"/>
          <w:szCs w:val="24"/>
        </w:rPr>
        <w:t xml:space="preserve">17 </w:t>
      </w:r>
      <w:r>
        <w:rPr>
          <w:rFonts w:ascii="Arial" w:hAnsi="Arial" w:cs="Arial"/>
          <w:sz w:val="24"/>
          <w:szCs w:val="24"/>
        </w:rPr>
        <w:t>above).</w:t>
      </w:r>
    </w:p>
    <w:p w14:paraId="7CAE428E" w14:textId="7AB47A22" w:rsidR="00A903D8" w:rsidRPr="00230BB7" w:rsidRDefault="00A903D8" w:rsidP="00A903D8">
      <w:pPr>
        <w:spacing w:after="240" w:line="240" w:lineRule="auto"/>
        <w:rPr>
          <w:rFonts w:ascii="Arial" w:hAnsi="Arial" w:cs="Arial"/>
          <w:b/>
          <w:sz w:val="24"/>
          <w:szCs w:val="24"/>
        </w:rPr>
      </w:pPr>
      <w:r>
        <w:rPr>
          <w:rFonts w:ascii="Arial" w:hAnsi="Arial" w:cs="Arial"/>
          <w:b/>
          <w:sz w:val="24"/>
          <w:szCs w:val="24"/>
        </w:rPr>
        <w:t xml:space="preserve">Clause </w:t>
      </w:r>
      <w:r w:rsidR="00E2436C">
        <w:rPr>
          <w:rFonts w:ascii="Arial" w:hAnsi="Arial" w:cs="Arial"/>
          <w:b/>
          <w:sz w:val="24"/>
          <w:szCs w:val="24"/>
        </w:rPr>
        <w:t>2</w:t>
      </w:r>
      <w:r>
        <w:rPr>
          <w:rFonts w:ascii="Arial" w:hAnsi="Arial" w:cs="Arial"/>
          <w:b/>
          <w:sz w:val="24"/>
          <w:szCs w:val="24"/>
        </w:rPr>
        <w:t>1</w:t>
      </w:r>
      <w:r w:rsidRPr="00230BB7">
        <w:rPr>
          <w:rFonts w:ascii="Arial" w:hAnsi="Arial" w:cs="Arial"/>
          <w:b/>
          <w:sz w:val="24"/>
          <w:szCs w:val="24"/>
        </w:rPr>
        <w:tab/>
      </w:r>
      <w:r>
        <w:rPr>
          <w:rFonts w:ascii="Arial" w:hAnsi="Arial" w:cs="Arial"/>
          <w:b/>
          <w:sz w:val="24"/>
          <w:szCs w:val="24"/>
        </w:rPr>
        <w:t>Section 54 (2)</w:t>
      </w:r>
    </w:p>
    <w:p w14:paraId="443C313B" w14:textId="78BE5353" w:rsidR="00A903D8" w:rsidRDefault="00A903D8" w:rsidP="00A903D8">
      <w:pPr>
        <w:spacing w:after="240" w:line="240" w:lineRule="auto"/>
        <w:rPr>
          <w:rFonts w:ascii="Arial" w:hAnsi="Arial" w:cs="Arial"/>
          <w:sz w:val="24"/>
          <w:szCs w:val="24"/>
        </w:rPr>
      </w:pPr>
      <w:r>
        <w:rPr>
          <w:rFonts w:ascii="Arial" w:hAnsi="Arial" w:cs="Arial"/>
          <w:sz w:val="24"/>
          <w:szCs w:val="24"/>
        </w:rPr>
        <w:t xml:space="preserve">This clause clarifies the application of section 54 following the introduction of part 3A (clause </w:t>
      </w:r>
      <w:r w:rsidR="003828BC">
        <w:rPr>
          <w:rFonts w:ascii="Arial" w:hAnsi="Arial" w:cs="Arial"/>
          <w:sz w:val="24"/>
          <w:szCs w:val="24"/>
        </w:rPr>
        <w:t xml:space="preserve">17 </w:t>
      </w:r>
      <w:r>
        <w:rPr>
          <w:rFonts w:ascii="Arial" w:hAnsi="Arial" w:cs="Arial"/>
          <w:sz w:val="24"/>
          <w:szCs w:val="24"/>
        </w:rPr>
        <w:t>above).</w:t>
      </w:r>
    </w:p>
    <w:p w14:paraId="543970C9" w14:textId="388F836D" w:rsidR="00A903D8" w:rsidRPr="00230BB7" w:rsidRDefault="00A903D8" w:rsidP="00A903D8">
      <w:pPr>
        <w:spacing w:after="240" w:line="240" w:lineRule="auto"/>
        <w:rPr>
          <w:rFonts w:ascii="Arial" w:hAnsi="Arial" w:cs="Arial"/>
          <w:b/>
          <w:sz w:val="24"/>
          <w:szCs w:val="24"/>
        </w:rPr>
      </w:pPr>
      <w:r>
        <w:rPr>
          <w:rFonts w:ascii="Arial" w:hAnsi="Arial" w:cs="Arial"/>
          <w:b/>
          <w:sz w:val="24"/>
          <w:szCs w:val="24"/>
        </w:rPr>
        <w:t xml:space="preserve">Clause </w:t>
      </w:r>
      <w:r w:rsidR="00E2436C">
        <w:rPr>
          <w:rFonts w:ascii="Arial" w:hAnsi="Arial" w:cs="Arial"/>
          <w:b/>
          <w:sz w:val="24"/>
          <w:szCs w:val="24"/>
        </w:rPr>
        <w:t>22</w:t>
      </w:r>
      <w:r w:rsidRPr="00230BB7">
        <w:rPr>
          <w:rFonts w:ascii="Arial" w:hAnsi="Arial" w:cs="Arial"/>
          <w:b/>
          <w:sz w:val="24"/>
          <w:szCs w:val="24"/>
        </w:rPr>
        <w:tab/>
      </w:r>
      <w:r>
        <w:rPr>
          <w:rFonts w:ascii="Arial" w:hAnsi="Arial" w:cs="Arial"/>
          <w:b/>
          <w:sz w:val="24"/>
          <w:szCs w:val="24"/>
        </w:rPr>
        <w:t>Section 71C (1)</w:t>
      </w:r>
    </w:p>
    <w:p w14:paraId="3AA8AC61" w14:textId="77777777" w:rsidR="00A903D8" w:rsidRDefault="00A903D8" w:rsidP="00A903D8">
      <w:pPr>
        <w:spacing w:after="240" w:line="240" w:lineRule="auto"/>
        <w:rPr>
          <w:rFonts w:ascii="Arial" w:hAnsi="Arial" w:cs="Arial"/>
          <w:sz w:val="24"/>
          <w:szCs w:val="24"/>
        </w:rPr>
      </w:pPr>
      <w:r>
        <w:rPr>
          <w:rFonts w:ascii="Arial" w:hAnsi="Arial" w:cs="Arial"/>
          <w:sz w:val="24"/>
          <w:szCs w:val="24"/>
        </w:rPr>
        <w:t>This clause inserts a new definition of an occupancy agreement into the RTA.</w:t>
      </w:r>
    </w:p>
    <w:p w14:paraId="73E9EB83" w14:textId="74B1B234" w:rsidR="00A903D8" w:rsidRDefault="00A903D8" w:rsidP="00A903D8">
      <w:pPr>
        <w:spacing w:after="240" w:line="240" w:lineRule="auto"/>
        <w:rPr>
          <w:rFonts w:ascii="Arial" w:hAnsi="Arial" w:cs="Arial"/>
          <w:sz w:val="24"/>
          <w:szCs w:val="24"/>
        </w:rPr>
      </w:pPr>
      <w:r>
        <w:rPr>
          <w:rFonts w:ascii="Arial" w:hAnsi="Arial" w:cs="Arial"/>
          <w:sz w:val="24"/>
          <w:szCs w:val="24"/>
        </w:rPr>
        <w:t xml:space="preserve">The policy intent is that people should be residential tenants unless there are strong policy reasons not to recognise a tenancy. The definition provides a more functional approach centred on those policy reasons to distinguish a tenancy agreement from an occupancy agreement. It will also make it clear that </w:t>
      </w:r>
      <w:r w:rsidRPr="009A3290">
        <w:rPr>
          <w:rFonts w:ascii="Arial" w:hAnsi="Arial" w:cs="Arial"/>
          <w:sz w:val="24"/>
          <w:szCs w:val="24"/>
        </w:rPr>
        <w:t xml:space="preserve">inconsistency with the standard tenancy terms in the </w:t>
      </w:r>
      <w:r>
        <w:rPr>
          <w:rFonts w:ascii="Arial" w:hAnsi="Arial" w:cs="Arial"/>
          <w:sz w:val="24"/>
          <w:szCs w:val="24"/>
        </w:rPr>
        <w:t>RTA</w:t>
      </w:r>
      <w:r w:rsidRPr="009A3290">
        <w:rPr>
          <w:rFonts w:ascii="Arial" w:hAnsi="Arial" w:cs="Arial"/>
          <w:sz w:val="24"/>
          <w:szCs w:val="24"/>
        </w:rPr>
        <w:t xml:space="preserve"> should, in the absence of countervailing reasons, be considered a breach of the </w:t>
      </w:r>
      <w:r w:rsidR="004D446F" w:rsidRPr="009A3290">
        <w:rPr>
          <w:rFonts w:ascii="Arial" w:hAnsi="Arial" w:cs="Arial"/>
          <w:sz w:val="24"/>
          <w:szCs w:val="24"/>
        </w:rPr>
        <w:t>l</w:t>
      </w:r>
      <w:r w:rsidR="004D446F">
        <w:rPr>
          <w:rFonts w:ascii="Arial" w:hAnsi="Arial" w:cs="Arial"/>
          <w:sz w:val="24"/>
          <w:szCs w:val="24"/>
        </w:rPr>
        <w:t>andlord</w:t>
      </w:r>
      <w:r w:rsidR="004D446F" w:rsidRPr="009A3290">
        <w:rPr>
          <w:rFonts w:ascii="Arial" w:hAnsi="Arial" w:cs="Arial"/>
          <w:sz w:val="24"/>
          <w:szCs w:val="24"/>
        </w:rPr>
        <w:t xml:space="preserve">’s </w:t>
      </w:r>
      <w:r w:rsidRPr="009A3290">
        <w:rPr>
          <w:rFonts w:ascii="Arial" w:hAnsi="Arial" w:cs="Arial"/>
          <w:sz w:val="24"/>
          <w:szCs w:val="24"/>
        </w:rPr>
        <w:t>obligations and not a reason in favour of reading an agreement as an occupancy agreement</w:t>
      </w:r>
      <w:r>
        <w:rPr>
          <w:rFonts w:ascii="Arial" w:hAnsi="Arial" w:cs="Arial"/>
          <w:sz w:val="24"/>
          <w:szCs w:val="24"/>
        </w:rPr>
        <w:t>.</w:t>
      </w:r>
    </w:p>
    <w:p w14:paraId="6FFCFE77" w14:textId="77777777" w:rsidR="00A903D8" w:rsidRPr="009A3290" w:rsidRDefault="00A903D8" w:rsidP="00A903D8">
      <w:pPr>
        <w:spacing w:after="240" w:line="240" w:lineRule="auto"/>
        <w:rPr>
          <w:rFonts w:ascii="Arial" w:hAnsi="Arial" w:cs="Arial"/>
          <w:sz w:val="24"/>
          <w:szCs w:val="24"/>
        </w:rPr>
      </w:pPr>
      <w:r w:rsidRPr="009A3290">
        <w:rPr>
          <w:rFonts w:ascii="Arial" w:hAnsi="Arial" w:cs="Arial"/>
          <w:sz w:val="24"/>
          <w:szCs w:val="24"/>
        </w:rPr>
        <w:t>The reasons to have an occupancy are:</w:t>
      </w:r>
    </w:p>
    <w:p w14:paraId="57BB216D" w14:textId="4B031C79" w:rsidR="00A903D8" w:rsidRPr="009A3290" w:rsidRDefault="00A903D8" w:rsidP="003B7D3A">
      <w:pPr>
        <w:numPr>
          <w:ilvl w:val="0"/>
          <w:numId w:val="4"/>
        </w:numPr>
        <w:spacing w:after="240" w:line="240" w:lineRule="auto"/>
        <w:rPr>
          <w:rFonts w:ascii="Arial" w:hAnsi="Arial" w:cs="Arial"/>
          <w:sz w:val="24"/>
          <w:szCs w:val="24"/>
        </w:rPr>
      </w:pPr>
      <w:r w:rsidRPr="009A3290">
        <w:rPr>
          <w:rFonts w:ascii="Arial" w:hAnsi="Arial" w:cs="Arial"/>
          <w:sz w:val="24"/>
          <w:szCs w:val="24"/>
        </w:rPr>
        <w:t>if the person is occupying a room within the grantor’s primary place of residence</w:t>
      </w:r>
      <w:r w:rsidR="00E2436C">
        <w:rPr>
          <w:rFonts w:ascii="Arial" w:hAnsi="Arial" w:cs="Arial"/>
          <w:sz w:val="24"/>
          <w:szCs w:val="24"/>
        </w:rPr>
        <w:t xml:space="preserve"> (where they are the owner-occupier)</w:t>
      </w:r>
      <w:r w:rsidRPr="009A3290">
        <w:rPr>
          <w:rFonts w:ascii="Arial" w:hAnsi="Arial" w:cs="Arial"/>
          <w:sz w:val="24"/>
          <w:szCs w:val="24"/>
        </w:rPr>
        <w:t>.</w:t>
      </w:r>
    </w:p>
    <w:p w14:paraId="40FE38BA" w14:textId="77777777" w:rsidR="00A903D8" w:rsidRPr="009A3290" w:rsidRDefault="00A903D8" w:rsidP="003B7D3A">
      <w:pPr>
        <w:numPr>
          <w:ilvl w:val="0"/>
          <w:numId w:val="4"/>
        </w:numPr>
        <w:spacing w:after="240" w:line="240" w:lineRule="auto"/>
        <w:rPr>
          <w:rFonts w:ascii="Arial" w:hAnsi="Arial" w:cs="Arial"/>
          <w:sz w:val="24"/>
          <w:szCs w:val="24"/>
        </w:rPr>
      </w:pPr>
      <w:r w:rsidRPr="009A3290">
        <w:rPr>
          <w:rFonts w:ascii="Arial" w:hAnsi="Arial" w:cs="Arial"/>
          <w:sz w:val="24"/>
          <w:szCs w:val="24"/>
        </w:rPr>
        <w:t xml:space="preserve">if exclusive possession interferes with </w:t>
      </w:r>
      <w:r>
        <w:rPr>
          <w:rFonts w:ascii="Arial" w:hAnsi="Arial" w:cs="Arial"/>
          <w:sz w:val="24"/>
          <w:szCs w:val="24"/>
        </w:rPr>
        <w:t>legitimate</w:t>
      </w:r>
      <w:r w:rsidRPr="009A3290">
        <w:rPr>
          <w:rFonts w:ascii="Arial" w:hAnsi="Arial" w:cs="Arial"/>
          <w:sz w:val="24"/>
          <w:szCs w:val="24"/>
        </w:rPr>
        <w:t xml:space="preserve"> goals </w:t>
      </w:r>
      <w:r>
        <w:rPr>
          <w:rFonts w:ascii="Arial" w:hAnsi="Arial" w:cs="Arial"/>
          <w:sz w:val="24"/>
          <w:szCs w:val="24"/>
        </w:rPr>
        <w:t>to support vulnerable or at-risk residents, such as those where the grantor is required to provide support or assistance</w:t>
      </w:r>
      <w:r w:rsidRPr="009A3290">
        <w:rPr>
          <w:rFonts w:ascii="Arial" w:hAnsi="Arial" w:cs="Arial"/>
          <w:sz w:val="24"/>
          <w:szCs w:val="24"/>
        </w:rPr>
        <w:t>.</w:t>
      </w:r>
    </w:p>
    <w:p w14:paraId="73D30126" w14:textId="00EAB022" w:rsidR="00A903D8" w:rsidRPr="009A3290" w:rsidRDefault="00A903D8" w:rsidP="003B7D3A">
      <w:pPr>
        <w:numPr>
          <w:ilvl w:val="0"/>
          <w:numId w:val="4"/>
        </w:numPr>
        <w:spacing w:after="240" w:line="240" w:lineRule="auto"/>
        <w:rPr>
          <w:rFonts w:ascii="Arial" w:hAnsi="Arial" w:cs="Arial"/>
          <w:sz w:val="24"/>
          <w:szCs w:val="24"/>
        </w:rPr>
      </w:pPr>
      <w:r w:rsidRPr="009A3290">
        <w:rPr>
          <w:rFonts w:ascii="Arial" w:hAnsi="Arial" w:cs="Arial"/>
          <w:sz w:val="24"/>
          <w:szCs w:val="24"/>
        </w:rPr>
        <w:lastRenderedPageBreak/>
        <w:t xml:space="preserve">if </w:t>
      </w:r>
      <w:r>
        <w:rPr>
          <w:rFonts w:ascii="Arial" w:hAnsi="Arial" w:cs="Arial"/>
          <w:sz w:val="24"/>
          <w:szCs w:val="24"/>
        </w:rPr>
        <w:t>restrictions on</w:t>
      </w:r>
      <w:r w:rsidRPr="009A3290">
        <w:rPr>
          <w:rFonts w:ascii="Arial" w:hAnsi="Arial" w:cs="Arial"/>
          <w:sz w:val="24"/>
          <w:szCs w:val="24"/>
        </w:rPr>
        <w:t xml:space="preserve"> termination of a</w:t>
      </w:r>
      <w:r>
        <w:rPr>
          <w:rFonts w:ascii="Arial" w:hAnsi="Arial" w:cs="Arial"/>
          <w:sz w:val="24"/>
          <w:szCs w:val="24"/>
        </w:rPr>
        <w:t>n agreement</w:t>
      </w:r>
      <w:r w:rsidRPr="009A3290">
        <w:rPr>
          <w:rFonts w:ascii="Arial" w:hAnsi="Arial" w:cs="Arial"/>
          <w:sz w:val="24"/>
          <w:szCs w:val="24"/>
        </w:rPr>
        <w:t xml:space="preserve"> interferes</w:t>
      </w:r>
      <w:r>
        <w:rPr>
          <w:rFonts w:ascii="Arial" w:hAnsi="Arial" w:cs="Arial"/>
          <w:sz w:val="24"/>
          <w:szCs w:val="24"/>
        </w:rPr>
        <w:t xml:space="preserve"> with</w:t>
      </w:r>
      <w:r w:rsidRPr="009A3290">
        <w:rPr>
          <w:rFonts w:ascii="Arial" w:hAnsi="Arial" w:cs="Arial"/>
          <w:sz w:val="24"/>
          <w:szCs w:val="24"/>
        </w:rPr>
        <w:t xml:space="preserve"> </w:t>
      </w:r>
      <w:r>
        <w:rPr>
          <w:rFonts w:ascii="Arial" w:hAnsi="Arial" w:cs="Arial"/>
          <w:sz w:val="24"/>
          <w:szCs w:val="24"/>
        </w:rPr>
        <w:t>legitimate</w:t>
      </w:r>
      <w:r w:rsidRPr="009A3290">
        <w:rPr>
          <w:rFonts w:ascii="Arial" w:hAnsi="Arial" w:cs="Arial"/>
          <w:sz w:val="24"/>
          <w:szCs w:val="24"/>
        </w:rPr>
        <w:t xml:space="preserve"> goals</w:t>
      </w:r>
      <w:r>
        <w:rPr>
          <w:rFonts w:ascii="Arial" w:hAnsi="Arial" w:cs="Arial"/>
          <w:sz w:val="24"/>
          <w:szCs w:val="24"/>
        </w:rPr>
        <w:t xml:space="preserve"> to provide accommodation on a needs-basis</w:t>
      </w:r>
      <w:r w:rsidRPr="009A3290">
        <w:rPr>
          <w:rFonts w:ascii="Arial" w:hAnsi="Arial" w:cs="Arial"/>
          <w:sz w:val="24"/>
          <w:szCs w:val="24"/>
        </w:rPr>
        <w:t>. </w:t>
      </w:r>
      <w:r>
        <w:rPr>
          <w:rFonts w:ascii="Arial" w:hAnsi="Arial" w:cs="Arial"/>
          <w:sz w:val="24"/>
          <w:szCs w:val="24"/>
        </w:rPr>
        <w:t>For example, t</w:t>
      </w:r>
      <w:r w:rsidRPr="009A3290">
        <w:rPr>
          <w:rFonts w:ascii="Arial" w:hAnsi="Arial" w:cs="Arial"/>
          <w:sz w:val="24"/>
          <w:szCs w:val="24"/>
        </w:rPr>
        <w:t xml:space="preserve">here </w:t>
      </w:r>
      <w:r w:rsidR="00211695">
        <w:rPr>
          <w:rFonts w:ascii="Arial" w:hAnsi="Arial" w:cs="Arial"/>
          <w:sz w:val="24"/>
          <w:szCs w:val="24"/>
        </w:rPr>
        <w:t xml:space="preserve">may be </w:t>
      </w:r>
      <w:r w:rsidRPr="009A3290">
        <w:rPr>
          <w:rFonts w:ascii="Arial" w:hAnsi="Arial" w:cs="Arial"/>
          <w:sz w:val="24"/>
          <w:szCs w:val="24"/>
        </w:rPr>
        <w:t>good policy reasons not to grant tenancies in</w:t>
      </w:r>
      <w:r>
        <w:rPr>
          <w:rFonts w:ascii="Arial" w:hAnsi="Arial" w:cs="Arial"/>
          <w:sz w:val="24"/>
          <w:szCs w:val="24"/>
        </w:rPr>
        <w:t xml:space="preserve"> respect of short</w:t>
      </w:r>
      <w:r w:rsidR="007A2E9F">
        <w:rPr>
          <w:rFonts w:ascii="Arial" w:hAnsi="Arial" w:cs="Arial"/>
          <w:sz w:val="24"/>
          <w:szCs w:val="24"/>
        </w:rPr>
        <w:t>-</w:t>
      </w:r>
      <w:r>
        <w:rPr>
          <w:rFonts w:ascii="Arial" w:hAnsi="Arial" w:cs="Arial"/>
          <w:sz w:val="24"/>
          <w:szCs w:val="24"/>
        </w:rPr>
        <w:t>term</w:t>
      </w:r>
      <w:r w:rsidRPr="009A3290">
        <w:rPr>
          <w:rFonts w:ascii="Arial" w:hAnsi="Arial" w:cs="Arial"/>
          <w:sz w:val="24"/>
          <w:szCs w:val="24"/>
        </w:rPr>
        <w:t xml:space="preserve"> refuge and crisis accommodation: accommodation is needs-based rather than a durable solution that should be offered under alternative forms of agreement.  For mid-term stay, the </w:t>
      </w:r>
      <w:r>
        <w:rPr>
          <w:rFonts w:ascii="Arial" w:hAnsi="Arial" w:cs="Arial"/>
          <w:sz w:val="24"/>
          <w:szCs w:val="24"/>
        </w:rPr>
        <w:t>RTA</w:t>
      </w:r>
      <w:r w:rsidRPr="009A3290">
        <w:rPr>
          <w:rFonts w:ascii="Arial" w:hAnsi="Arial" w:cs="Arial"/>
          <w:sz w:val="24"/>
          <w:szCs w:val="24"/>
        </w:rPr>
        <w:t xml:space="preserve"> already provides a pathway for declared crisis accommodation providers to terminate a tenancy agreement with four weeks notice</w:t>
      </w:r>
      <w:r>
        <w:rPr>
          <w:rFonts w:ascii="Arial" w:hAnsi="Arial" w:cs="Arial"/>
          <w:sz w:val="24"/>
          <w:szCs w:val="24"/>
        </w:rPr>
        <w:t xml:space="preserve"> (section 36 (1) (k))</w:t>
      </w:r>
      <w:r w:rsidRPr="009A3290">
        <w:rPr>
          <w:rFonts w:ascii="Arial" w:hAnsi="Arial" w:cs="Arial"/>
          <w:sz w:val="24"/>
          <w:szCs w:val="24"/>
        </w:rPr>
        <w:t>.</w:t>
      </w:r>
    </w:p>
    <w:p w14:paraId="00DFF6E2" w14:textId="77777777" w:rsidR="00A903D8" w:rsidRPr="009A3290" w:rsidRDefault="00A903D8" w:rsidP="003B7D3A">
      <w:pPr>
        <w:numPr>
          <w:ilvl w:val="0"/>
          <w:numId w:val="4"/>
        </w:numPr>
        <w:spacing w:after="240" w:line="240" w:lineRule="auto"/>
        <w:rPr>
          <w:rFonts w:ascii="Arial" w:hAnsi="Arial" w:cs="Arial"/>
          <w:sz w:val="24"/>
          <w:szCs w:val="24"/>
        </w:rPr>
      </w:pPr>
      <w:r w:rsidRPr="009A3290">
        <w:rPr>
          <w:rFonts w:ascii="Arial" w:hAnsi="Arial" w:cs="Arial"/>
          <w:sz w:val="24"/>
          <w:szCs w:val="24"/>
        </w:rPr>
        <w:t>if the accommodation is within a residential college</w:t>
      </w:r>
      <w:r>
        <w:rPr>
          <w:rFonts w:ascii="Arial" w:hAnsi="Arial" w:cs="Arial"/>
          <w:sz w:val="24"/>
          <w:szCs w:val="24"/>
        </w:rPr>
        <w:t xml:space="preserve"> affiliated with a university</w:t>
      </w:r>
      <w:r w:rsidRPr="009A3290">
        <w:rPr>
          <w:rFonts w:ascii="Arial" w:hAnsi="Arial" w:cs="Arial"/>
          <w:sz w:val="24"/>
          <w:szCs w:val="24"/>
        </w:rPr>
        <w:t xml:space="preserve">, </w:t>
      </w:r>
      <w:r>
        <w:rPr>
          <w:rFonts w:ascii="Arial" w:hAnsi="Arial" w:cs="Arial"/>
          <w:sz w:val="24"/>
          <w:szCs w:val="24"/>
        </w:rPr>
        <w:t xml:space="preserve">within </w:t>
      </w:r>
      <w:r w:rsidRPr="009A3290">
        <w:rPr>
          <w:rFonts w:ascii="Arial" w:hAnsi="Arial" w:cs="Arial"/>
          <w:sz w:val="24"/>
          <w:szCs w:val="24"/>
        </w:rPr>
        <w:t>a boarding house, or within part of a club.</w:t>
      </w:r>
    </w:p>
    <w:p w14:paraId="2B0EFB1E" w14:textId="77777777" w:rsidR="00A903D8" w:rsidRDefault="00A903D8" w:rsidP="00A903D8">
      <w:pPr>
        <w:spacing w:after="240" w:line="240" w:lineRule="auto"/>
        <w:rPr>
          <w:rFonts w:ascii="Arial" w:hAnsi="Arial" w:cs="Arial"/>
          <w:sz w:val="24"/>
          <w:szCs w:val="24"/>
        </w:rPr>
      </w:pPr>
      <w:r>
        <w:rPr>
          <w:rFonts w:ascii="Arial" w:hAnsi="Arial" w:cs="Arial"/>
          <w:sz w:val="24"/>
          <w:szCs w:val="24"/>
        </w:rPr>
        <w:t>People who reside in a residential park either reside in a dwelling which they own (such as a manufactured home that they have placed on a site) or they occupy a premises which is owned by the owner of the residential park. In the former case, it is intended that the agreement to occupy a site will be an occupancy agreement. In the latter case, the agreement to occupy the premises will also be an occupancy agreement. This resolves inconsistency and ambiguity about the application of the RTA to these residents. Owners of residential parks and residents may still elect to enter into a residential tenancy by clearly stating that intention (section 6B).</w:t>
      </w:r>
    </w:p>
    <w:p w14:paraId="78C47E85" w14:textId="77777777" w:rsidR="00A903D8" w:rsidRDefault="00A903D8" w:rsidP="00A903D8">
      <w:pPr>
        <w:spacing w:after="240" w:line="240" w:lineRule="auto"/>
        <w:rPr>
          <w:rFonts w:ascii="Arial" w:hAnsi="Arial" w:cs="Arial"/>
          <w:sz w:val="24"/>
          <w:szCs w:val="24"/>
        </w:rPr>
      </w:pPr>
      <w:r>
        <w:rPr>
          <w:rFonts w:ascii="Arial" w:hAnsi="Arial" w:cs="Arial"/>
          <w:sz w:val="24"/>
          <w:szCs w:val="24"/>
        </w:rPr>
        <w:t xml:space="preserve">The new definition shifts away from category-based classifications of occupancies to an inquiry about the function and purpose of the agreement. If an agreement purports to be an occupancy agreement but does not match the function and purpose of an occupancy agreement, it is intended that </w:t>
      </w:r>
      <w:r w:rsidRPr="00672478">
        <w:rPr>
          <w:rFonts w:ascii="Arial" w:hAnsi="Arial" w:cs="Arial"/>
          <w:sz w:val="24"/>
          <w:szCs w:val="24"/>
        </w:rPr>
        <w:t>inconsistency with the standard tenancy terms in the RTA should, in the absence of countervailing reasons, be considered a breach of the l</w:t>
      </w:r>
      <w:r>
        <w:rPr>
          <w:rFonts w:ascii="Arial" w:hAnsi="Arial" w:cs="Arial"/>
          <w:sz w:val="24"/>
          <w:szCs w:val="24"/>
        </w:rPr>
        <w:t>andlord</w:t>
      </w:r>
      <w:r w:rsidRPr="00672478">
        <w:rPr>
          <w:rFonts w:ascii="Arial" w:hAnsi="Arial" w:cs="Arial"/>
          <w:sz w:val="24"/>
          <w:szCs w:val="24"/>
        </w:rPr>
        <w:t>’s obligations and not a reason in favour of reading an agreement as an occupancy agreement instead</w:t>
      </w:r>
      <w:r>
        <w:rPr>
          <w:rFonts w:ascii="Arial" w:hAnsi="Arial" w:cs="Arial"/>
          <w:sz w:val="24"/>
          <w:szCs w:val="24"/>
        </w:rPr>
        <w:t xml:space="preserve"> (</w:t>
      </w:r>
      <w:r w:rsidRPr="00672478">
        <w:rPr>
          <w:rFonts w:ascii="Arial" w:hAnsi="Arial" w:cs="Arial"/>
          <w:sz w:val="24"/>
          <w:szCs w:val="24"/>
        </w:rPr>
        <w:t>contrary to</w:t>
      </w:r>
      <w:r>
        <w:rPr>
          <w:rFonts w:ascii="Arial" w:hAnsi="Arial" w:cs="Arial"/>
          <w:sz w:val="24"/>
          <w:szCs w:val="24"/>
        </w:rPr>
        <w:t xml:space="preserve"> the analysis in</w:t>
      </w:r>
      <w:r w:rsidRPr="00672478">
        <w:rPr>
          <w:rFonts w:ascii="Arial" w:hAnsi="Arial" w:cs="Arial"/>
          <w:sz w:val="24"/>
          <w:szCs w:val="24"/>
        </w:rPr>
        <w:t xml:space="preserve"> </w:t>
      </w:r>
      <w:r w:rsidRPr="00672478">
        <w:rPr>
          <w:rFonts w:ascii="Arial" w:hAnsi="Arial" w:cs="Arial"/>
          <w:i/>
          <w:iCs/>
          <w:sz w:val="24"/>
          <w:szCs w:val="24"/>
        </w:rPr>
        <w:t xml:space="preserve">Wicks v Hurst-Meyers Charity </w:t>
      </w:r>
      <w:r w:rsidRPr="00672478">
        <w:rPr>
          <w:rFonts w:ascii="Arial" w:hAnsi="Arial" w:cs="Arial"/>
          <w:sz w:val="24"/>
          <w:szCs w:val="24"/>
        </w:rPr>
        <w:t>[2019] ACAT 92</w:t>
      </w:r>
      <w:r>
        <w:rPr>
          <w:rFonts w:ascii="Arial" w:hAnsi="Arial" w:cs="Arial"/>
          <w:sz w:val="24"/>
          <w:szCs w:val="24"/>
        </w:rPr>
        <w:t>).</w:t>
      </w:r>
    </w:p>
    <w:p w14:paraId="2536AABE" w14:textId="4D0FA5D4" w:rsidR="00A903D8" w:rsidRDefault="00A903D8" w:rsidP="00A903D8">
      <w:pPr>
        <w:spacing w:after="240" w:line="240" w:lineRule="auto"/>
        <w:rPr>
          <w:rFonts w:ascii="Arial" w:hAnsi="Arial" w:cs="Arial"/>
          <w:sz w:val="24"/>
          <w:szCs w:val="24"/>
        </w:rPr>
      </w:pPr>
      <w:r>
        <w:rPr>
          <w:rFonts w:ascii="Arial" w:hAnsi="Arial" w:cs="Arial"/>
          <w:sz w:val="24"/>
          <w:szCs w:val="24"/>
        </w:rPr>
        <w:t>An agreement to reside in a room within another person’s principal place of residence</w:t>
      </w:r>
      <w:r w:rsidR="003B7D3A">
        <w:rPr>
          <w:rFonts w:ascii="Arial" w:hAnsi="Arial" w:cs="Arial"/>
          <w:sz w:val="24"/>
          <w:szCs w:val="24"/>
        </w:rPr>
        <w:t xml:space="preserve"> (where they are the owner-occupier)</w:t>
      </w:r>
      <w:r>
        <w:rPr>
          <w:rFonts w:ascii="Arial" w:hAnsi="Arial" w:cs="Arial"/>
          <w:sz w:val="24"/>
          <w:szCs w:val="24"/>
        </w:rPr>
        <w:t xml:space="preserve"> will ordinarily be an occupancy agreement unless the parties have stated that they intend to create a residential tenancy agreement. This is because residential tenancy law should not create an unreasonable burden on a person’s right to manage who may stay in their principal place of residence.</w:t>
      </w:r>
    </w:p>
    <w:p w14:paraId="3D4104FA" w14:textId="7AD752FC" w:rsidR="00A903D8" w:rsidRDefault="00A903D8" w:rsidP="00A903D8">
      <w:pPr>
        <w:spacing w:after="240" w:line="240" w:lineRule="auto"/>
        <w:rPr>
          <w:rFonts w:ascii="Arial" w:hAnsi="Arial" w:cs="Arial"/>
          <w:sz w:val="24"/>
          <w:szCs w:val="24"/>
        </w:rPr>
      </w:pPr>
      <w:r>
        <w:rPr>
          <w:rFonts w:ascii="Arial" w:hAnsi="Arial" w:cs="Arial"/>
          <w:sz w:val="24"/>
          <w:szCs w:val="24"/>
        </w:rPr>
        <w:t xml:space="preserve">An agreement to reside in a residential </w:t>
      </w:r>
      <w:r w:rsidR="0001242C">
        <w:rPr>
          <w:rFonts w:ascii="Arial" w:hAnsi="Arial" w:cs="Arial"/>
          <w:sz w:val="24"/>
          <w:szCs w:val="24"/>
        </w:rPr>
        <w:t xml:space="preserve">facility </w:t>
      </w:r>
      <w:r>
        <w:rPr>
          <w:rFonts w:ascii="Arial" w:hAnsi="Arial" w:cs="Arial"/>
          <w:sz w:val="24"/>
          <w:szCs w:val="24"/>
        </w:rPr>
        <w:t xml:space="preserve">associated with, or on the campus of, </w:t>
      </w:r>
      <w:r w:rsidR="0001242C">
        <w:rPr>
          <w:rFonts w:ascii="Arial" w:hAnsi="Arial" w:cs="Arial"/>
          <w:sz w:val="24"/>
          <w:szCs w:val="24"/>
        </w:rPr>
        <w:t xml:space="preserve">or provided under an arrangement with </w:t>
      </w:r>
      <w:r>
        <w:rPr>
          <w:rFonts w:ascii="Arial" w:hAnsi="Arial" w:cs="Arial"/>
          <w:sz w:val="24"/>
          <w:szCs w:val="24"/>
        </w:rPr>
        <w:t xml:space="preserve">an </w:t>
      </w:r>
      <w:r w:rsidR="002E3547" w:rsidRPr="002E3547">
        <w:rPr>
          <w:rFonts w:ascii="Arial" w:hAnsi="Arial" w:cs="Arial"/>
          <w:sz w:val="24"/>
          <w:szCs w:val="24"/>
        </w:rPr>
        <w:t xml:space="preserve">education provider </w:t>
      </w:r>
      <w:r>
        <w:rPr>
          <w:rFonts w:ascii="Arial" w:hAnsi="Arial" w:cs="Arial"/>
          <w:sz w:val="24"/>
          <w:szCs w:val="24"/>
        </w:rPr>
        <w:t>will ordinarily be an occupancy agreement unless the parties have stated that they intend to create a residential tenancy agreement.</w:t>
      </w:r>
      <w:r w:rsidR="008F5015">
        <w:rPr>
          <w:rFonts w:ascii="Arial" w:hAnsi="Arial" w:cs="Arial"/>
          <w:sz w:val="24"/>
          <w:szCs w:val="24"/>
        </w:rPr>
        <w:t xml:space="preserve"> The term ‘education provider’ is used to establish consistency with the </w:t>
      </w:r>
      <w:r w:rsidR="008F5015">
        <w:rPr>
          <w:rFonts w:ascii="Arial" w:hAnsi="Arial" w:cs="Arial"/>
          <w:i/>
          <w:iCs/>
          <w:sz w:val="24"/>
          <w:szCs w:val="24"/>
        </w:rPr>
        <w:t>Education Act 2004</w:t>
      </w:r>
      <w:r w:rsidR="008F5015">
        <w:rPr>
          <w:rFonts w:ascii="Arial" w:hAnsi="Arial" w:cs="Arial"/>
          <w:sz w:val="24"/>
          <w:szCs w:val="24"/>
        </w:rPr>
        <w:t>.</w:t>
      </w:r>
      <w:r>
        <w:rPr>
          <w:rFonts w:ascii="Arial" w:hAnsi="Arial" w:cs="Arial"/>
          <w:sz w:val="24"/>
          <w:szCs w:val="24"/>
        </w:rPr>
        <w:t xml:space="preserve"> Some residential colleges are not on the campus of the university, so this definition has been expanded to clarify the status of those residential colleges.</w:t>
      </w:r>
      <w:r w:rsidR="0001242C">
        <w:rPr>
          <w:rFonts w:ascii="Arial" w:hAnsi="Arial" w:cs="Arial"/>
          <w:sz w:val="24"/>
          <w:szCs w:val="24"/>
        </w:rPr>
        <w:t xml:space="preserve"> Some residential colleges are operated by third parties, so this definition is also intended</w:t>
      </w:r>
      <w:r w:rsidR="00013AB0">
        <w:rPr>
          <w:rFonts w:ascii="Arial" w:hAnsi="Arial" w:cs="Arial"/>
          <w:sz w:val="24"/>
          <w:szCs w:val="24"/>
        </w:rPr>
        <w:t>,</w:t>
      </w:r>
      <w:r w:rsidR="0001242C">
        <w:rPr>
          <w:rFonts w:ascii="Arial" w:hAnsi="Arial" w:cs="Arial"/>
          <w:sz w:val="24"/>
          <w:szCs w:val="24"/>
        </w:rPr>
        <w:t xml:space="preserve"> </w:t>
      </w:r>
      <w:r w:rsidR="00013AB0">
        <w:rPr>
          <w:rFonts w:ascii="Arial" w:hAnsi="Arial" w:cs="Arial"/>
          <w:sz w:val="24"/>
          <w:szCs w:val="24"/>
        </w:rPr>
        <w:t xml:space="preserve">for example, </w:t>
      </w:r>
      <w:r w:rsidR="0001242C">
        <w:rPr>
          <w:rFonts w:ascii="Arial" w:hAnsi="Arial" w:cs="Arial"/>
          <w:sz w:val="24"/>
          <w:szCs w:val="24"/>
        </w:rPr>
        <w:t>to capture those arrangements where an education provider outsources the management of accommodation.</w:t>
      </w:r>
    </w:p>
    <w:p w14:paraId="2A7915D0" w14:textId="77777777" w:rsidR="00D87810" w:rsidRDefault="00D87810" w:rsidP="00A903D8">
      <w:pPr>
        <w:spacing w:after="240" w:line="240" w:lineRule="auto"/>
        <w:rPr>
          <w:rFonts w:ascii="Arial" w:hAnsi="Arial" w:cs="Arial"/>
          <w:sz w:val="24"/>
          <w:szCs w:val="24"/>
        </w:rPr>
      </w:pPr>
    </w:p>
    <w:p w14:paraId="685CB244" w14:textId="77777777" w:rsidR="00D87810" w:rsidRDefault="00D87810" w:rsidP="00A903D8">
      <w:pPr>
        <w:spacing w:after="240" w:line="240" w:lineRule="auto"/>
        <w:rPr>
          <w:rFonts w:ascii="Arial" w:hAnsi="Arial" w:cs="Arial"/>
          <w:sz w:val="24"/>
          <w:szCs w:val="24"/>
        </w:rPr>
      </w:pPr>
    </w:p>
    <w:p w14:paraId="0268CF61" w14:textId="02469206" w:rsidR="00A903D8" w:rsidRDefault="00A903D8" w:rsidP="00A903D8">
      <w:pPr>
        <w:spacing w:after="240" w:line="240" w:lineRule="auto"/>
        <w:rPr>
          <w:rFonts w:ascii="Arial" w:hAnsi="Arial" w:cs="Arial"/>
          <w:sz w:val="24"/>
          <w:szCs w:val="24"/>
        </w:rPr>
      </w:pPr>
      <w:r>
        <w:rPr>
          <w:rFonts w:ascii="Arial" w:hAnsi="Arial" w:cs="Arial"/>
          <w:sz w:val="24"/>
          <w:szCs w:val="24"/>
        </w:rPr>
        <w:lastRenderedPageBreak/>
        <w:t xml:space="preserve">Dormitories and boarding houses are another way for people to reside in the ACT, especially where they have recently relocated and require transitional accommodation, or otherwise require lower-cost accommodation. Despite their ubiquity, there is no clear definition of a boarding house or a dormitory, except </w:t>
      </w:r>
      <w:r w:rsidR="003B7D3A">
        <w:rPr>
          <w:rFonts w:ascii="Arial" w:hAnsi="Arial" w:cs="Arial"/>
          <w:sz w:val="24"/>
          <w:szCs w:val="24"/>
        </w:rPr>
        <w:t xml:space="preserve">that they do </w:t>
      </w:r>
      <w:r>
        <w:rPr>
          <w:rFonts w:ascii="Arial" w:hAnsi="Arial" w:cs="Arial"/>
          <w:sz w:val="24"/>
          <w:szCs w:val="24"/>
        </w:rPr>
        <w:t xml:space="preserve">not </w:t>
      </w:r>
      <w:r w:rsidR="003B7D3A">
        <w:rPr>
          <w:rFonts w:ascii="Arial" w:hAnsi="Arial" w:cs="Arial"/>
          <w:sz w:val="24"/>
          <w:szCs w:val="24"/>
        </w:rPr>
        <w:t xml:space="preserve">constitute </w:t>
      </w:r>
      <w:r>
        <w:rPr>
          <w:rFonts w:ascii="Arial" w:hAnsi="Arial" w:cs="Arial"/>
          <w:sz w:val="24"/>
          <w:szCs w:val="24"/>
        </w:rPr>
        <w:t>a tenancy. New section 71C(1)(b)(iii) proposes to resolve the issue of ambiguity in this definition by describing the function of a dormitory or boarding house: the exclusive use of a sleeping space in a building with other sleeping spaces, with related access to shared facilities or provision of domestic services. In order to satisfy this definition, the agreement must state that it is an occupancy agreement.</w:t>
      </w:r>
    </w:p>
    <w:p w14:paraId="09E86694" w14:textId="77777777" w:rsidR="00A903D8" w:rsidRDefault="00A903D8" w:rsidP="00A903D8">
      <w:pPr>
        <w:spacing w:after="240" w:line="240" w:lineRule="auto"/>
        <w:rPr>
          <w:rFonts w:ascii="Arial" w:hAnsi="Arial" w:cs="Arial"/>
          <w:sz w:val="24"/>
          <w:szCs w:val="24"/>
        </w:rPr>
      </w:pPr>
      <w:r>
        <w:rPr>
          <w:rFonts w:ascii="Arial" w:hAnsi="Arial" w:cs="Arial"/>
          <w:sz w:val="24"/>
          <w:szCs w:val="24"/>
        </w:rPr>
        <w:t>Occupancy agreements are sometimes used to provide emergency accommodation for people in crisis. A tenancy is not desirable because tenancy protections might interfere with requirements to seek long-term housing actively, to move out of the premises when no longer eligible for the services provided by the grantor, or to take part in a grantor’s case management program. Given the legitimate and rational policy intent of making emergency housing available, these agreements should not be characterised as residential tenancy agreements if they fulfil this function and the agreement states that it is an occupancy agreement for emergency accommodation for people in crisis. Where a declared crisis accommodation provider wishes to use residential tenancies instead of occupancy agreements, they may do so and utilise the termination provisions section 36 (1) (k).</w:t>
      </w:r>
    </w:p>
    <w:p w14:paraId="33B3E0EF" w14:textId="77777777" w:rsidR="00A903D8" w:rsidRDefault="00A903D8" w:rsidP="00A903D8">
      <w:pPr>
        <w:spacing w:after="240" w:line="240" w:lineRule="auto"/>
        <w:rPr>
          <w:rFonts w:ascii="Arial" w:hAnsi="Arial" w:cs="Arial"/>
          <w:sz w:val="24"/>
          <w:szCs w:val="24"/>
        </w:rPr>
      </w:pPr>
      <w:r>
        <w:rPr>
          <w:rFonts w:ascii="Arial" w:hAnsi="Arial" w:cs="Arial"/>
          <w:sz w:val="24"/>
          <w:szCs w:val="24"/>
        </w:rPr>
        <w:t>Housing support programs funded by the Territory often require the grantor to have access to the property more regularly than residential tenancy agreements permit. For example, the grantor might provide accommodation as part of a program to provide welfare or health support services. New section 71C(1)(b)(v) proposes to clarify that an agreement to provide accommodation as part of a housing support program will be an occupancy agreement if it states that it is an occupancy agreement for a housing support program.</w:t>
      </w:r>
    </w:p>
    <w:p w14:paraId="16C8FEE5" w14:textId="77777777" w:rsidR="00A903D8" w:rsidRDefault="00A903D8" w:rsidP="00A903D8">
      <w:pPr>
        <w:spacing w:after="240" w:line="240" w:lineRule="auto"/>
        <w:rPr>
          <w:rFonts w:ascii="Arial" w:hAnsi="Arial" w:cs="Arial"/>
          <w:sz w:val="24"/>
          <w:szCs w:val="24"/>
        </w:rPr>
      </w:pPr>
      <w:r>
        <w:rPr>
          <w:rFonts w:ascii="Arial" w:hAnsi="Arial" w:cs="Arial"/>
          <w:sz w:val="24"/>
          <w:szCs w:val="24"/>
        </w:rPr>
        <w:t>Some clubs and other membership entities in the ACT provide accommodation to their members. Tenancy law is poorly suited to this form of accommodation as protections against eviction conflict with the resident’s requirement to have ongoing membership of the club or entity in order to be eligible for the accommodation. It also conflicts with the club’s ability to manage their accommodation stock for the benefit of all members of the club. If the agreement provides accommodation because of membership in a club or other entity, it will be an occupancy agreement if it states that it is an occupancy agreement.</w:t>
      </w:r>
    </w:p>
    <w:p w14:paraId="2809C2EF" w14:textId="469E9A94" w:rsidR="003B7D3A" w:rsidRDefault="00A903D8" w:rsidP="00A903D8">
      <w:pPr>
        <w:spacing w:after="240" w:line="240" w:lineRule="auto"/>
        <w:rPr>
          <w:rFonts w:ascii="Arial" w:hAnsi="Arial" w:cs="Arial"/>
          <w:sz w:val="24"/>
          <w:szCs w:val="24"/>
        </w:rPr>
      </w:pPr>
      <w:r>
        <w:rPr>
          <w:rFonts w:ascii="Arial" w:hAnsi="Arial" w:cs="Arial"/>
          <w:sz w:val="24"/>
          <w:szCs w:val="24"/>
        </w:rPr>
        <w:t>The flexibility and adaptability of occupancy law makes it an attractive option for providing accommodation in the ACT for specific policy goals. The Minister may, by regulation, prescribe additional agreements that will meet the definition of an occupancy agreement.</w:t>
      </w:r>
    </w:p>
    <w:p w14:paraId="0D5ED377" w14:textId="77777777" w:rsidR="00D87810" w:rsidRDefault="00D87810" w:rsidP="00A903D8">
      <w:pPr>
        <w:spacing w:after="240" w:line="240" w:lineRule="auto"/>
        <w:rPr>
          <w:rFonts w:ascii="Arial" w:hAnsi="Arial" w:cs="Arial"/>
          <w:b/>
          <w:sz w:val="24"/>
          <w:szCs w:val="24"/>
        </w:rPr>
      </w:pPr>
    </w:p>
    <w:p w14:paraId="6DC38C3D" w14:textId="77777777" w:rsidR="00D87810" w:rsidRDefault="00D87810" w:rsidP="00A903D8">
      <w:pPr>
        <w:spacing w:after="240" w:line="240" w:lineRule="auto"/>
        <w:rPr>
          <w:rFonts w:ascii="Arial" w:hAnsi="Arial" w:cs="Arial"/>
          <w:b/>
          <w:sz w:val="24"/>
          <w:szCs w:val="24"/>
        </w:rPr>
      </w:pPr>
    </w:p>
    <w:p w14:paraId="3BD0280E" w14:textId="77777777" w:rsidR="00D87810" w:rsidRDefault="00D87810" w:rsidP="00A903D8">
      <w:pPr>
        <w:spacing w:after="240" w:line="240" w:lineRule="auto"/>
        <w:rPr>
          <w:rFonts w:ascii="Arial" w:hAnsi="Arial" w:cs="Arial"/>
          <w:b/>
          <w:sz w:val="24"/>
          <w:szCs w:val="24"/>
        </w:rPr>
      </w:pPr>
    </w:p>
    <w:p w14:paraId="20710215" w14:textId="77777777" w:rsidR="00D87810" w:rsidRDefault="00D87810" w:rsidP="00A903D8">
      <w:pPr>
        <w:spacing w:after="240" w:line="240" w:lineRule="auto"/>
        <w:rPr>
          <w:rFonts w:ascii="Arial" w:hAnsi="Arial" w:cs="Arial"/>
          <w:b/>
          <w:sz w:val="24"/>
          <w:szCs w:val="24"/>
        </w:rPr>
      </w:pPr>
    </w:p>
    <w:p w14:paraId="3E6C0C44" w14:textId="3B9D6679" w:rsidR="00A903D8" w:rsidRPr="00230BB7" w:rsidRDefault="00A903D8" w:rsidP="00A903D8">
      <w:pPr>
        <w:spacing w:after="240" w:line="240" w:lineRule="auto"/>
        <w:rPr>
          <w:rFonts w:ascii="Arial" w:hAnsi="Arial" w:cs="Arial"/>
          <w:b/>
          <w:sz w:val="24"/>
          <w:szCs w:val="24"/>
        </w:rPr>
      </w:pPr>
      <w:r w:rsidRPr="00230BB7">
        <w:rPr>
          <w:rFonts w:ascii="Arial" w:hAnsi="Arial" w:cs="Arial"/>
          <w:b/>
          <w:sz w:val="24"/>
          <w:szCs w:val="24"/>
        </w:rPr>
        <w:lastRenderedPageBreak/>
        <w:t xml:space="preserve">Clause </w:t>
      </w:r>
      <w:r w:rsidR="003B7D3A">
        <w:rPr>
          <w:rFonts w:ascii="Arial" w:hAnsi="Arial" w:cs="Arial"/>
          <w:b/>
          <w:sz w:val="24"/>
          <w:szCs w:val="24"/>
        </w:rPr>
        <w:t>23</w:t>
      </w:r>
      <w:r w:rsidRPr="00230BB7">
        <w:rPr>
          <w:rFonts w:ascii="Arial" w:hAnsi="Arial" w:cs="Arial"/>
          <w:b/>
          <w:sz w:val="24"/>
          <w:szCs w:val="24"/>
        </w:rPr>
        <w:tab/>
      </w:r>
      <w:r>
        <w:rPr>
          <w:rFonts w:ascii="Arial" w:hAnsi="Arial" w:cs="Arial"/>
          <w:b/>
          <w:sz w:val="24"/>
          <w:szCs w:val="24"/>
        </w:rPr>
        <w:t>Section 71C (4) and note</w:t>
      </w:r>
    </w:p>
    <w:p w14:paraId="521F5455" w14:textId="67CE975A" w:rsidR="00A903D8" w:rsidRDefault="00A903D8" w:rsidP="00A903D8">
      <w:pPr>
        <w:spacing w:after="240" w:line="240" w:lineRule="auto"/>
        <w:rPr>
          <w:rFonts w:ascii="Arial" w:hAnsi="Arial" w:cs="Arial"/>
          <w:sz w:val="24"/>
          <w:szCs w:val="24"/>
        </w:rPr>
      </w:pPr>
      <w:r>
        <w:rPr>
          <w:rFonts w:ascii="Arial" w:hAnsi="Arial" w:cs="Arial"/>
          <w:sz w:val="24"/>
          <w:szCs w:val="24"/>
        </w:rPr>
        <w:t xml:space="preserve">This is a consequential amendment to clause </w:t>
      </w:r>
      <w:r w:rsidR="003B7D3A">
        <w:rPr>
          <w:rFonts w:ascii="Arial" w:hAnsi="Arial" w:cs="Arial"/>
          <w:sz w:val="24"/>
          <w:szCs w:val="24"/>
        </w:rPr>
        <w:t>22</w:t>
      </w:r>
      <w:r>
        <w:rPr>
          <w:rFonts w:ascii="Arial" w:hAnsi="Arial" w:cs="Arial"/>
          <w:sz w:val="24"/>
          <w:szCs w:val="24"/>
        </w:rPr>
        <w:t xml:space="preserve"> above</w:t>
      </w:r>
      <w:r w:rsidRPr="00E150B2">
        <w:rPr>
          <w:rFonts w:ascii="Arial" w:hAnsi="Arial" w:cs="Arial"/>
          <w:sz w:val="24"/>
          <w:szCs w:val="24"/>
        </w:rPr>
        <w:t>.</w:t>
      </w:r>
      <w:r>
        <w:rPr>
          <w:rFonts w:ascii="Arial" w:hAnsi="Arial" w:cs="Arial"/>
          <w:sz w:val="24"/>
          <w:szCs w:val="24"/>
        </w:rPr>
        <w:t xml:space="preserve"> </w:t>
      </w:r>
    </w:p>
    <w:p w14:paraId="16F33399" w14:textId="7B914071" w:rsidR="00A903D8" w:rsidRPr="00FA7D56" w:rsidRDefault="00A903D8" w:rsidP="00A903D8">
      <w:pPr>
        <w:keepNext/>
        <w:spacing w:after="240" w:line="240" w:lineRule="auto"/>
        <w:rPr>
          <w:rFonts w:ascii="Arial" w:hAnsi="Arial" w:cs="Arial"/>
          <w:b/>
          <w:sz w:val="24"/>
          <w:szCs w:val="24"/>
        </w:rPr>
      </w:pPr>
      <w:r w:rsidRPr="00FA7D56">
        <w:rPr>
          <w:rFonts w:ascii="Arial" w:hAnsi="Arial" w:cs="Arial"/>
          <w:b/>
          <w:sz w:val="24"/>
          <w:szCs w:val="24"/>
        </w:rPr>
        <w:t xml:space="preserve">Clause </w:t>
      </w:r>
      <w:r w:rsidR="003B7D3A">
        <w:rPr>
          <w:rFonts w:ascii="Arial" w:hAnsi="Arial" w:cs="Arial"/>
          <w:b/>
          <w:sz w:val="24"/>
          <w:szCs w:val="24"/>
        </w:rPr>
        <w:t>24</w:t>
      </w:r>
      <w:r w:rsidRPr="00FA7D56">
        <w:rPr>
          <w:rFonts w:ascii="Arial" w:hAnsi="Arial" w:cs="Arial"/>
          <w:b/>
          <w:sz w:val="24"/>
          <w:szCs w:val="24"/>
        </w:rPr>
        <w:tab/>
      </w:r>
      <w:r>
        <w:rPr>
          <w:rFonts w:ascii="Arial" w:hAnsi="Arial" w:cs="Arial"/>
          <w:b/>
          <w:sz w:val="24"/>
          <w:szCs w:val="24"/>
        </w:rPr>
        <w:t>New sections 71CA and 71CB</w:t>
      </w:r>
    </w:p>
    <w:p w14:paraId="0B0F2B95" w14:textId="77777777" w:rsidR="00A903D8" w:rsidRDefault="00A903D8" w:rsidP="00A903D8">
      <w:pPr>
        <w:spacing w:after="240" w:line="240" w:lineRule="auto"/>
        <w:rPr>
          <w:rFonts w:ascii="Arial" w:hAnsi="Arial" w:cs="Arial"/>
          <w:sz w:val="24"/>
          <w:szCs w:val="24"/>
        </w:rPr>
      </w:pPr>
      <w:r>
        <w:rPr>
          <w:rFonts w:ascii="Arial" w:hAnsi="Arial" w:cs="Arial"/>
          <w:sz w:val="24"/>
          <w:szCs w:val="24"/>
        </w:rPr>
        <w:t>This clause states that certain types of agreements are not occupancy agreements. This provides greater clarity about the scope of occupancy agreements and avoids unintended legislative outcomes.</w:t>
      </w:r>
    </w:p>
    <w:p w14:paraId="6007B30B" w14:textId="6080AE93" w:rsidR="00A903D8" w:rsidRDefault="00A903D8" w:rsidP="00A903D8">
      <w:pPr>
        <w:spacing w:after="240" w:line="240" w:lineRule="auto"/>
        <w:rPr>
          <w:rFonts w:ascii="Arial" w:hAnsi="Arial" w:cs="Arial"/>
          <w:sz w:val="24"/>
          <w:szCs w:val="24"/>
        </w:rPr>
      </w:pPr>
      <w:r w:rsidRPr="00682E85">
        <w:rPr>
          <w:rFonts w:ascii="Arial" w:hAnsi="Arial" w:cs="Arial"/>
          <w:sz w:val="24"/>
          <w:szCs w:val="24"/>
        </w:rPr>
        <w:t xml:space="preserve">This clause inserts a new requirement for a </w:t>
      </w:r>
      <w:r>
        <w:rPr>
          <w:rFonts w:ascii="Arial" w:hAnsi="Arial" w:cs="Arial"/>
          <w:sz w:val="24"/>
          <w:szCs w:val="24"/>
        </w:rPr>
        <w:t>grantor</w:t>
      </w:r>
      <w:r w:rsidRPr="00682E85">
        <w:rPr>
          <w:rFonts w:ascii="Arial" w:hAnsi="Arial" w:cs="Arial"/>
          <w:sz w:val="24"/>
          <w:szCs w:val="24"/>
        </w:rPr>
        <w:t xml:space="preserve"> to ensure that premises have smoke alarms installed. </w:t>
      </w:r>
    </w:p>
    <w:p w14:paraId="226C8484" w14:textId="77777777" w:rsidR="00A903D8" w:rsidRDefault="00A903D8" w:rsidP="00A903D8">
      <w:pPr>
        <w:spacing w:after="240" w:line="240" w:lineRule="auto"/>
        <w:rPr>
          <w:rFonts w:ascii="Arial" w:hAnsi="Arial" w:cs="Arial"/>
          <w:sz w:val="24"/>
          <w:szCs w:val="24"/>
        </w:rPr>
      </w:pPr>
      <w:r>
        <w:rPr>
          <w:rFonts w:ascii="Arial" w:hAnsi="Arial" w:cs="Arial"/>
          <w:sz w:val="24"/>
          <w:szCs w:val="24"/>
        </w:rPr>
        <w:t>For boarding houses and dormitories, it might not be appropriate for a smoke alarm to be installed in every bedroom. Section 71CB(1)(a) states that the grantor must not enter into an occupancy agreement with an occupant in relation to a premises unless smoke alarms are installed for the premises. ‘For’ in this provision is intended to extend to a smoke alarm that is installed in a hall for the safety of a group of rooms (and not necessarily in each room of the boarding house).</w:t>
      </w:r>
    </w:p>
    <w:p w14:paraId="3824756D" w14:textId="77777777" w:rsidR="00A903D8" w:rsidRDefault="00A903D8" w:rsidP="00A903D8">
      <w:pPr>
        <w:spacing w:after="240" w:line="240" w:lineRule="auto"/>
        <w:rPr>
          <w:rFonts w:ascii="Arial" w:hAnsi="Arial" w:cs="Arial"/>
          <w:sz w:val="24"/>
          <w:szCs w:val="24"/>
        </w:rPr>
      </w:pPr>
      <w:r>
        <w:rPr>
          <w:rFonts w:ascii="Arial" w:hAnsi="Arial" w:cs="Arial"/>
          <w:sz w:val="24"/>
          <w:szCs w:val="24"/>
        </w:rPr>
        <w:t>For the avoidance of doubt, the grantor’s obligation to install smoke alarms does not apply to an agreement for a site-only residential park occupancy agreement, as it is the resident’s responsibility to install smoke alarms for their dwelling.</w:t>
      </w:r>
    </w:p>
    <w:p w14:paraId="5080C6CB" w14:textId="5A35335A" w:rsidR="002179B2" w:rsidRPr="00FA7D56" w:rsidRDefault="002179B2" w:rsidP="00FB62CF">
      <w:pPr>
        <w:keepNext/>
        <w:spacing w:after="240" w:line="240" w:lineRule="auto"/>
        <w:rPr>
          <w:rFonts w:ascii="Arial" w:hAnsi="Arial" w:cs="Arial"/>
          <w:b/>
          <w:sz w:val="24"/>
          <w:szCs w:val="24"/>
        </w:rPr>
      </w:pPr>
      <w:r w:rsidRPr="00FA7D56">
        <w:rPr>
          <w:rFonts w:ascii="Arial" w:hAnsi="Arial" w:cs="Arial"/>
          <w:b/>
          <w:sz w:val="24"/>
          <w:szCs w:val="24"/>
        </w:rPr>
        <w:t xml:space="preserve">Clause </w:t>
      </w:r>
      <w:r>
        <w:rPr>
          <w:rFonts w:ascii="Arial" w:hAnsi="Arial" w:cs="Arial"/>
          <w:b/>
          <w:sz w:val="24"/>
          <w:szCs w:val="24"/>
        </w:rPr>
        <w:t>25</w:t>
      </w:r>
      <w:r w:rsidRPr="00FA7D56">
        <w:rPr>
          <w:rFonts w:ascii="Arial" w:hAnsi="Arial" w:cs="Arial"/>
          <w:b/>
          <w:sz w:val="24"/>
          <w:szCs w:val="24"/>
        </w:rPr>
        <w:tab/>
      </w:r>
      <w:r>
        <w:rPr>
          <w:rFonts w:ascii="Arial" w:hAnsi="Arial" w:cs="Arial"/>
          <w:b/>
          <w:sz w:val="24"/>
          <w:szCs w:val="24"/>
        </w:rPr>
        <w:t>Section 71D heading</w:t>
      </w:r>
    </w:p>
    <w:p w14:paraId="77573DB3" w14:textId="6666B97B" w:rsidR="002179B2" w:rsidRDefault="002179B2" w:rsidP="002179B2">
      <w:pPr>
        <w:spacing w:after="240" w:line="240" w:lineRule="auto"/>
        <w:rPr>
          <w:rFonts w:ascii="Arial" w:hAnsi="Arial" w:cs="Arial"/>
          <w:sz w:val="24"/>
          <w:szCs w:val="24"/>
        </w:rPr>
      </w:pPr>
      <w:r>
        <w:rPr>
          <w:rFonts w:ascii="Arial" w:hAnsi="Arial" w:cs="Arial"/>
          <w:sz w:val="24"/>
          <w:szCs w:val="24"/>
        </w:rPr>
        <w:t>This clause is a consequential amendment to clause 26 below.</w:t>
      </w:r>
    </w:p>
    <w:p w14:paraId="0DE69E1F" w14:textId="233BF21D" w:rsidR="002179B2" w:rsidRPr="00FA7D56" w:rsidRDefault="002179B2" w:rsidP="002179B2">
      <w:pPr>
        <w:spacing w:after="240" w:line="240" w:lineRule="auto"/>
        <w:rPr>
          <w:rFonts w:ascii="Arial" w:hAnsi="Arial" w:cs="Arial"/>
          <w:b/>
          <w:sz w:val="24"/>
          <w:szCs w:val="24"/>
        </w:rPr>
      </w:pPr>
      <w:r w:rsidRPr="00FA7D56">
        <w:rPr>
          <w:rFonts w:ascii="Arial" w:hAnsi="Arial" w:cs="Arial"/>
          <w:b/>
          <w:sz w:val="24"/>
          <w:szCs w:val="24"/>
        </w:rPr>
        <w:t xml:space="preserve">Clause </w:t>
      </w:r>
      <w:r>
        <w:rPr>
          <w:rFonts w:ascii="Arial" w:hAnsi="Arial" w:cs="Arial"/>
          <w:b/>
          <w:sz w:val="24"/>
          <w:szCs w:val="24"/>
        </w:rPr>
        <w:t>26</w:t>
      </w:r>
      <w:r w:rsidRPr="00FA7D56">
        <w:rPr>
          <w:rFonts w:ascii="Arial" w:hAnsi="Arial" w:cs="Arial"/>
          <w:b/>
          <w:sz w:val="24"/>
          <w:szCs w:val="24"/>
        </w:rPr>
        <w:tab/>
      </w:r>
      <w:r>
        <w:rPr>
          <w:rFonts w:ascii="Arial" w:hAnsi="Arial" w:cs="Arial"/>
          <w:b/>
          <w:sz w:val="24"/>
          <w:szCs w:val="24"/>
        </w:rPr>
        <w:t>Section 71D (2)</w:t>
      </w:r>
    </w:p>
    <w:p w14:paraId="1DEE0D4B" w14:textId="5BE0401A" w:rsidR="002179B2" w:rsidRDefault="002179B2" w:rsidP="00A903D8">
      <w:pPr>
        <w:spacing w:after="240" w:line="240" w:lineRule="auto"/>
        <w:rPr>
          <w:rFonts w:ascii="Arial" w:hAnsi="Arial" w:cs="Arial"/>
          <w:sz w:val="24"/>
          <w:szCs w:val="24"/>
        </w:rPr>
      </w:pPr>
      <w:r w:rsidRPr="007213DB">
        <w:rPr>
          <w:rFonts w:ascii="Arial" w:hAnsi="Arial" w:cs="Arial"/>
          <w:sz w:val="24"/>
          <w:szCs w:val="24"/>
        </w:rPr>
        <w:t xml:space="preserve">This clause </w:t>
      </w:r>
      <w:r w:rsidR="007213DB">
        <w:rPr>
          <w:rFonts w:ascii="Arial" w:hAnsi="Arial" w:cs="Arial"/>
          <w:sz w:val="24"/>
          <w:szCs w:val="24"/>
        </w:rPr>
        <w:t>is intended to prevent ambiguities from arising if an occupant stays in possession of a premises (with the grantor’s consent) at the end of an occupancy agreement.</w:t>
      </w:r>
    </w:p>
    <w:p w14:paraId="45081A55" w14:textId="5A6E050B" w:rsidR="007213DB" w:rsidRDefault="007213DB" w:rsidP="00A903D8">
      <w:pPr>
        <w:spacing w:after="240" w:line="240" w:lineRule="auto"/>
        <w:rPr>
          <w:rFonts w:ascii="Arial" w:hAnsi="Arial" w:cs="Arial"/>
          <w:sz w:val="24"/>
          <w:szCs w:val="24"/>
        </w:rPr>
      </w:pPr>
      <w:r>
        <w:rPr>
          <w:rFonts w:ascii="Arial" w:hAnsi="Arial" w:cs="Arial"/>
          <w:sz w:val="24"/>
          <w:szCs w:val="24"/>
        </w:rPr>
        <w:t>Most of the occupancy agreements have a requirement that the agreement state that it is an occupancy agreement. It is not intended that if a grantor and occupant mutually agree to continue the agreement following the expiry of an agreement but neglect to enter into a new written agreement, that the status of the agreement as an occupancy agreement would be in doubt. Instead, it is intended that the agreement will continue with a new end date.</w:t>
      </w:r>
    </w:p>
    <w:p w14:paraId="49C4636B" w14:textId="1D6EC7A8" w:rsidR="007213DB" w:rsidRPr="007213DB" w:rsidRDefault="007213DB" w:rsidP="00A903D8">
      <w:pPr>
        <w:spacing w:after="240" w:line="240" w:lineRule="auto"/>
        <w:rPr>
          <w:rFonts w:ascii="Arial" w:hAnsi="Arial" w:cs="Arial"/>
          <w:sz w:val="24"/>
          <w:szCs w:val="24"/>
        </w:rPr>
      </w:pPr>
      <w:r>
        <w:rPr>
          <w:rFonts w:ascii="Arial" w:hAnsi="Arial" w:cs="Arial"/>
          <w:sz w:val="24"/>
          <w:szCs w:val="24"/>
        </w:rPr>
        <w:t xml:space="preserve">It is also intended that this section will ensure that an occupant who is on a ‘periodic’ occupancy agreement is still protected by the occupancy principles related to the amount of notice a grantor is required to provide </w:t>
      </w:r>
      <w:r w:rsidR="00352119">
        <w:rPr>
          <w:rFonts w:ascii="Arial" w:hAnsi="Arial" w:cs="Arial"/>
          <w:sz w:val="24"/>
          <w:szCs w:val="24"/>
        </w:rPr>
        <w:t>(such as, for example, eight weeks’ notice to change an occupancy rule under new section 71EG(2)(a), discussed below).</w:t>
      </w:r>
    </w:p>
    <w:p w14:paraId="69B99649" w14:textId="0E622CB5" w:rsidR="00A903D8" w:rsidRPr="00FA7D56" w:rsidRDefault="00A903D8" w:rsidP="00A903D8">
      <w:pPr>
        <w:spacing w:after="240" w:line="240" w:lineRule="auto"/>
        <w:rPr>
          <w:rFonts w:ascii="Arial" w:hAnsi="Arial" w:cs="Arial"/>
          <w:b/>
          <w:sz w:val="24"/>
          <w:szCs w:val="24"/>
        </w:rPr>
      </w:pPr>
      <w:r w:rsidRPr="00FA7D56">
        <w:rPr>
          <w:rFonts w:ascii="Arial" w:hAnsi="Arial" w:cs="Arial"/>
          <w:b/>
          <w:sz w:val="24"/>
          <w:szCs w:val="24"/>
        </w:rPr>
        <w:t xml:space="preserve">Clause </w:t>
      </w:r>
      <w:r w:rsidR="002179B2">
        <w:rPr>
          <w:rFonts w:ascii="Arial" w:hAnsi="Arial" w:cs="Arial"/>
          <w:b/>
          <w:sz w:val="24"/>
          <w:szCs w:val="24"/>
        </w:rPr>
        <w:t>27</w:t>
      </w:r>
      <w:r w:rsidRPr="00FA7D56">
        <w:rPr>
          <w:rFonts w:ascii="Arial" w:hAnsi="Arial" w:cs="Arial"/>
          <w:b/>
          <w:sz w:val="24"/>
          <w:szCs w:val="24"/>
        </w:rPr>
        <w:tab/>
      </w:r>
      <w:r>
        <w:rPr>
          <w:rFonts w:ascii="Arial" w:hAnsi="Arial" w:cs="Arial"/>
          <w:b/>
          <w:sz w:val="24"/>
          <w:szCs w:val="24"/>
        </w:rPr>
        <w:t>Section 71E</w:t>
      </w:r>
    </w:p>
    <w:p w14:paraId="0FC7577F" w14:textId="77777777" w:rsidR="00A903D8" w:rsidRDefault="00A903D8" w:rsidP="00A903D8">
      <w:pPr>
        <w:spacing w:after="240" w:line="240" w:lineRule="auto"/>
        <w:rPr>
          <w:rFonts w:ascii="Arial" w:hAnsi="Arial" w:cs="Arial"/>
          <w:sz w:val="24"/>
          <w:szCs w:val="24"/>
        </w:rPr>
      </w:pPr>
      <w:r>
        <w:rPr>
          <w:rFonts w:ascii="Arial" w:hAnsi="Arial" w:cs="Arial"/>
          <w:sz w:val="24"/>
          <w:szCs w:val="24"/>
        </w:rPr>
        <w:t>This clause introduces the mandatory occupancy principles to the RTA.</w:t>
      </w:r>
    </w:p>
    <w:p w14:paraId="2FB03F4F" w14:textId="77777777" w:rsidR="00D87810" w:rsidRDefault="00D87810" w:rsidP="00A903D8">
      <w:pPr>
        <w:spacing w:after="240" w:line="240" w:lineRule="auto"/>
        <w:rPr>
          <w:rFonts w:ascii="Arial" w:hAnsi="Arial" w:cs="Arial"/>
          <w:sz w:val="24"/>
          <w:szCs w:val="24"/>
        </w:rPr>
      </w:pPr>
    </w:p>
    <w:p w14:paraId="6D7468F8" w14:textId="2A69961A" w:rsidR="00A903D8" w:rsidRDefault="00A903D8" w:rsidP="00A903D8">
      <w:pPr>
        <w:spacing w:after="240" w:line="240" w:lineRule="auto"/>
        <w:rPr>
          <w:rFonts w:ascii="Arial" w:hAnsi="Arial" w:cs="Arial"/>
          <w:sz w:val="24"/>
          <w:szCs w:val="24"/>
        </w:rPr>
      </w:pPr>
      <w:r>
        <w:rPr>
          <w:rFonts w:ascii="Arial" w:hAnsi="Arial" w:cs="Arial"/>
          <w:sz w:val="24"/>
          <w:szCs w:val="24"/>
        </w:rPr>
        <w:lastRenderedPageBreak/>
        <w:t>Section 71E states that an occupancy agreement for a premises is taken to contain the occupancy principles and may contain rules about occupying the premises and additional terms.  The occupancy principles are not terms of the occupancy agreement in the way that the standard residential tenancy terms (schedule 1 of the RTA) are under section 8. It is intended that the occupancy principles provide enough flexibility to be adapted to the specific needs of each type of occupancy agreement while still providing a minimum level of protection for occupants. For example, it is an occupancy principle that the grantor may enter the premises at a reasonable time on reasonable grounds to carry out inspections or repairs and for other reasonable purposes. What would constitute a reasonable time on reasonable grounds to enter a boarding room may be very different from what would constitute a reasonable time on reasonable grounds to do a welfare check on an occupant in emergency accommodation.</w:t>
      </w:r>
    </w:p>
    <w:p w14:paraId="25EBD706" w14:textId="77777777" w:rsidR="00A903D8" w:rsidRDefault="00A903D8" w:rsidP="00A903D8">
      <w:pPr>
        <w:spacing w:after="240" w:line="240" w:lineRule="auto"/>
        <w:rPr>
          <w:rFonts w:ascii="Arial" w:hAnsi="Arial" w:cs="Arial"/>
          <w:sz w:val="24"/>
          <w:szCs w:val="24"/>
        </w:rPr>
      </w:pPr>
      <w:r>
        <w:rPr>
          <w:rFonts w:ascii="Arial" w:hAnsi="Arial" w:cs="Arial"/>
          <w:sz w:val="24"/>
          <w:szCs w:val="24"/>
        </w:rPr>
        <w:t xml:space="preserve">An occupancy rule or additional term in an occupancy agreement is void if it is inconsistent with the occupancy principles, the RTA, or another territory law. Of particular note are section 19 of the </w:t>
      </w:r>
      <w:r>
        <w:rPr>
          <w:rFonts w:ascii="Arial" w:hAnsi="Arial" w:cs="Arial"/>
          <w:i/>
          <w:iCs/>
          <w:sz w:val="24"/>
          <w:szCs w:val="24"/>
        </w:rPr>
        <w:t>Discrimination Act 1991</w:t>
      </w:r>
      <w:r>
        <w:rPr>
          <w:rFonts w:ascii="Arial" w:hAnsi="Arial" w:cs="Arial"/>
          <w:sz w:val="24"/>
          <w:szCs w:val="24"/>
        </w:rPr>
        <w:t xml:space="preserve"> and section 100 of the </w:t>
      </w:r>
      <w:r>
        <w:rPr>
          <w:rFonts w:ascii="Arial" w:hAnsi="Arial" w:cs="Arial"/>
          <w:i/>
          <w:iCs/>
          <w:sz w:val="24"/>
          <w:szCs w:val="24"/>
        </w:rPr>
        <w:t>Utilities Act 2000</w:t>
      </w:r>
      <w:r>
        <w:rPr>
          <w:rFonts w:ascii="Arial" w:hAnsi="Arial" w:cs="Arial"/>
          <w:sz w:val="24"/>
          <w:szCs w:val="24"/>
        </w:rPr>
        <w:t xml:space="preserve">. </w:t>
      </w:r>
    </w:p>
    <w:p w14:paraId="63A4CE6E" w14:textId="77777777" w:rsidR="00A903D8" w:rsidRDefault="00A903D8" w:rsidP="00A903D8">
      <w:pPr>
        <w:spacing w:after="240" w:line="240" w:lineRule="auto"/>
        <w:rPr>
          <w:rFonts w:ascii="Arial" w:hAnsi="Arial" w:cs="Arial"/>
          <w:sz w:val="24"/>
          <w:szCs w:val="24"/>
        </w:rPr>
      </w:pPr>
      <w:r>
        <w:rPr>
          <w:rFonts w:ascii="Arial" w:hAnsi="Arial" w:cs="Arial"/>
          <w:sz w:val="24"/>
          <w:szCs w:val="24"/>
        </w:rPr>
        <w:t>Section 71EA lists the occupancy principles. Most of the occupancy principles are linked to other sections of the RTA, and explanations for those principles are provided with the descriptions for those sections below.</w:t>
      </w:r>
    </w:p>
    <w:p w14:paraId="44903637" w14:textId="77777777" w:rsidR="00A903D8" w:rsidRDefault="00A903D8" w:rsidP="00A903D8">
      <w:pPr>
        <w:spacing w:after="240" w:line="240" w:lineRule="auto"/>
        <w:rPr>
          <w:rFonts w:ascii="Arial" w:hAnsi="Arial" w:cs="Arial"/>
          <w:sz w:val="24"/>
          <w:szCs w:val="24"/>
        </w:rPr>
      </w:pPr>
      <w:r>
        <w:rPr>
          <w:rFonts w:ascii="Arial" w:hAnsi="Arial" w:cs="Arial"/>
          <w:sz w:val="24"/>
          <w:szCs w:val="24"/>
        </w:rPr>
        <w:t>The grantor must provide premises that are reasonably clean, in a reasonable state of repair, and reasonably secure. This corresponds with clause 54 (1) (b)-(d) of the standard terms (schedule 1) for residential tenancy agreements.</w:t>
      </w:r>
    </w:p>
    <w:p w14:paraId="6B7CB72A" w14:textId="43B6233B" w:rsidR="00A903D8" w:rsidRDefault="00A903D8" w:rsidP="00A903D8">
      <w:pPr>
        <w:spacing w:after="240" w:line="240" w:lineRule="auto"/>
        <w:rPr>
          <w:rFonts w:ascii="Arial" w:hAnsi="Arial" w:cs="Arial"/>
          <w:sz w:val="24"/>
          <w:szCs w:val="24"/>
        </w:rPr>
      </w:pPr>
      <w:r>
        <w:rPr>
          <w:rFonts w:ascii="Arial" w:hAnsi="Arial" w:cs="Arial"/>
          <w:sz w:val="24"/>
          <w:szCs w:val="24"/>
        </w:rPr>
        <w:t>The grantor must ensure that the occupancy agreement is in writing if the agreement is for a term longer than six weeks. Some occupancy agreements only come into existence if the agreement states that it is an occupancy agreement and, as such, these agreements will already be in writing. Where an occupancy agreement is for a term shorter than six weeks and the agreement is not in writing, the grantor may comply with any requirement to provide information by giving the occupant the information, in writing, in any other appropriate way before the agreement begins (section 71EA(</w:t>
      </w:r>
      <w:r w:rsidR="00FB62CF">
        <w:rPr>
          <w:rFonts w:ascii="Arial" w:hAnsi="Arial" w:cs="Arial"/>
          <w:sz w:val="24"/>
          <w:szCs w:val="24"/>
        </w:rPr>
        <w:t>3</w:t>
      </w:r>
      <w:r>
        <w:rPr>
          <w:rFonts w:ascii="Arial" w:hAnsi="Arial" w:cs="Arial"/>
          <w:sz w:val="24"/>
          <w:szCs w:val="24"/>
        </w:rPr>
        <w:t>)). Examples of this might be through a leaflet or through a poster in a highly visible place in a common area.</w:t>
      </w:r>
    </w:p>
    <w:p w14:paraId="2C57BB3D" w14:textId="77777777" w:rsidR="00D87810" w:rsidRDefault="00A903D8" w:rsidP="00A903D8">
      <w:pPr>
        <w:spacing w:after="240" w:line="240" w:lineRule="auto"/>
        <w:rPr>
          <w:rFonts w:ascii="Arial" w:hAnsi="Arial" w:cs="Arial"/>
          <w:sz w:val="24"/>
          <w:szCs w:val="24"/>
        </w:rPr>
      </w:pPr>
      <w:r>
        <w:rPr>
          <w:rFonts w:ascii="Arial" w:hAnsi="Arial" w:cs="Arial"/>
          <w:sz w:val="24"/>
          <w:szCs w:val="24"/>
        </w:rPr>
        <w:t>An occupancy rule must be reasonable and proportionate to the outcome sought by the imposition of the rule</w:t>
      </w:r>
      <w:r w:rsidR="00066C88">
        <w:rPr>
          <w:rFonts w:ascii="Arial" w:hAnsi="Arial" w:cs="Arial"/>
          <w:sz w:val="24"/>
          <w:szCs w:val="24"/>
        </w:rPr>
        <w:t xml:space="preserve"> (section 71EA(1)(g)</w:t>
      </w:r>
      <w:r w:rsidR="00FF1547">
        <w:rPr>
          <w:rFonts w:ascii="Arial" w:hAnsi="Arial" w:cs="Arial"/>
          <w:sz w:val="24"/>
          <w:szCs w:val="24"/>
        </w:rPr>
        <w:t>)</w:t>
      </w:r>
      <w:r>
        <w:rPr>
          <w:rFonts w:ascii="Arial" w:hAnsi="Arial" w:cs="Arial"/>
          <w:sz w:val="24"/>
          <w:szCs w:val="24"/>
        </w:rPr>
        <w:t>. This ‘reasonable and proportionate’ test is adapted from other areas of law including human rights law. It is intended to ensure that the occupancy principle</w:t>
      </w:r>
      <w:r w:rsidR="00066C88">
        <w:rPr>
          <w:rFonts w:ascii="Arial" w:hAnsi="Arial" w:cs="Arial"/>
          <w:sz w:val="24"/>
          <w:szCs w:val="24"/>
        </w:rPr>
        <w:t>s</w:t>
      </w:r>
      <w:r>
        <w:rPr>
          <w:rFonts w:ascii="Arial" w:hAnsi="Arial" w:cs="Arial"/>
          <w:sz w:val="24"/>
          <w:szCs w:val="24"/>
        </w:rPr>
        <w:t xml:space="preserve"> under the RTA </w:t>
      </w:r>
      <w:r w:rsidR="00066C88">
        <w:rPr>
          <w:rFonts w:ascii="Arial" w:hAnsi="Arial" w:cs="Arial"/>
          <w:sz w:val="24"/>
          <w:szCs w:val="24"/>
        </w:rPr>
        <w:t>are</w:t>
      </w:r>
      <w:r>
        <w:rPr>
          <w:rFonts w:ascii="Arial" w:hAnsi="Arial" w:cs="Arial"/>
          <w:sz w:val="24"/>
          <w:szCs w:val="24"/>
        </w:rPr>
        <w:t xml:space="preserve"> compatible with the HRA. Similarly, penalties or consequences for breaching an occupancy rule must be reasonable and proportionate to the seriousness of the breach of the rule,</w:t>
      </w:r>
      <w:r w:rsidR="002179B2">
        <w:rPr>
          <w:rFonts w:ascii="Arial" w:hAnsi="Arial" w:cs="Arial"/>
          <w:sz w:val="24"/>
          <w:szCs w:val="24"/>
        </w:rPr>
        <w:t xml:space="preserve"> </w:t>
      </w:r>
      <w:r>
        <w:rPr>
          <w:rFonts w:ascii="Arial" w:hAnsi="Arial" w:cs="Arial"/>
          <w:sz w:val="24"/>
          <w:szCs w:val="24"/>
        </w:rPr>
        <w:t xml:space="preserve">and must not impose unreasonable hardship on the occupant. The provision uses the term ‘penalty or consequences’ to reflect breaches of the rules might not result in a financial penalty, but might result in a loss of a privilege or some other restriction to the occupant’s access to shared services. </w:t>
      </w:r>
      <w:r w:rsidR="002179B2">
        <w:rPr>
          <w:rFonts w:ascii="Arial" w:hAnsi="Arial" w:cs="Arial"/>
          <w:sz w:val="24"/>
          <w:szCs w:val="24"/>
        </w:rPr>
        <w:t>Penalties or consequences that result in termination of the occupancy agreement are not captured by this occupancy principle (termination provisions are instead regulated by section 71EK.</w:t>
      </w:r>
      <w:r w:rsidR="00FB62CF">
        <w:rPr>
          <w:rFonts w:ascii="Arial" w:hAnsi="Arial" w:cs="Arial"/>
          <w:sz w:val="24"/>
          <w:szCs w:val="24"/>
        </w:rPr>
        <w:t xml:space="preserve"> As per section 71EA(2), this occupancy principle does not apply to a penalty or consequence under a university disciplinary requirement. </w:t>
      </w:r>
    </w:p>
    <w:p w14:paraId="2A8BC8A2" w14:textId="177987B4" w:rsidR="00A903D8" w:rsidRPr="00FB62CF" w:rsidRDefault="00FB62CF" w:rsidP="00A903D8">
      <w:pPr>
        <w:spacing w:after="240" w:line="240" w:lineRule="auto"/>
        <w:rPr>
          <w:rFonts w:ascii="Arial" w:hAnsi="Arial" w:cs="Arial"/>
          <w:sz w:val="24"/>
          <w:szCs w:val="24"/>
        </w:rPr>
      </w:pPr>
      <w:r>
        <w:rPr>
          <w:rFonts w:ascii="Arial" w:hAnsi="Arial" w:cs="Arial"/>
          <w:sz w:val="24"/>
          <w:szCs w:val="24"/>
        </w:rPr>
        <w:lastRenderedPageBreak/>
        <w:t xml:space="preserve">A university disciplinary requirement is defined in section 71EA(5) to mean a statute, rule, or policy about student discipline made under, or authorised by, the </w:t>
      </w:r>
      <w:r>
        <w:rPr>
          <w:rFonts w:ascii="Arial" w:hAnsi="Arial" w:cs="Arial"/>
          <w:i/>
          <w:iCs/>
          <w:sz w:val="24"/>
          <w:szCs w:val="24"/>
        </w:rPr>
        <w:t xml:space="preserve">Australian National University Act 1991 </w:t>
      </w:r>
      <w:r>
        <w:rPr>
          <w:rFonts w:ascii="Arial" w:hAnsi="Arial" w:cs="Arial"/>
          <w:sz w:val="24"/>
          <w:szCs w:val="24"/>
        </w:rPr>
        <w:t xml:space="preserve">(Cwth) or the </w:t>
      </w:r>
      <w:r>
        <w:rPr>
          <w:rFonts w:ascii="Arial" w:hAnsi="Arial" w:cs="Arial"/>
          <w:i/>
          <w:iCs/>
          <w:sz w:val="24"/>
          <w:szCs w:val="24"/>
        </w:rPr>
        <w:t>University of Canberra Act 1989</w:t>
      </w:r>
      <w:r>
        <w:rPr>
          <w:rFonts w:ascii="Arial" w:hAnsi="Arial" w:cs="Arial"/>
          <w:sz w:val="24"/>
          <w:szCs w:val="24"/>
        </w:rPr>
        <w:t>. This avoids potential inconsistencies between the two statutory regimes where a penalty or consequence arises from the university statutes, but could be prevented by the RTA.</w:t>
      </w:r>
      <w:r w:rsidR="00D23A7B">
        <w:rPr>
          <w:rFonts w:ascii="Arial" w:hAnsi="Arial" w:cs="Arial"/>
          <w:sz w:val="24"/>
          <w:szCs w:val="24"/>
        </w:rPr>
        <w:t xml:space="preserve"> </w:t>
      </w:r>
      <w:bookmarkStart w:id="7" w:name="_Hlk32312210"/>
      <w:r w:rsidR="00D23A7B">
        <w:rPr>
          <w:rFonts w:ascii="Arial" w:hAnsi="Arial" w:cs="Arial"/>
          <w:sz w:val="24"/>
          <w:szCs w:val="24"/>
        </w:rPr>
        <w:t xml:space="preserve">However, university students will enjoy protection under section 71EA where the penalty or consequence does not arise under a university disciplinary requirement. </w:t>
      </w:r>
      <w:bookmarkEnd w:id="7"/>
    </w:p>
    <w:p w14:paraId="4D1C7C5A" w14:textId="107E9D24" w:rsidR="00A903D8" w:rsidRDefault="00A903D8" w:rsidP="00A903D8">
      <w:pPr>
        <w:spacing w:after="240" w:line="240" w:lineRule="auto"/>
        <w:rPr>
          <w:rFonts w:ascii="Arial" w:hAnsi="Arial" w:cs="Arial"/>
          <w:sz w:val="24"/>
          <w:szCs w:val="24"/>
        </w:rPr>
      </w:pPr>
      <w:r>
        <w:rPr>
          <w:rFonts w:ascii="Arial" w:hAnsi="Arial" w:cs="Arial"/>
          <w:sz w:val="24"/>
          <w:szCs w:val="24"/>
        </w:rPr>
        <w:t xml:space="preserve">An occupant must not behave in a way that detracts from the rights of others (including another occupant) to live and work in the premises in a safe environment, free from harassment or intimidation. </w:t>
      </w:r>
      <w:r w:rsidR="009C7B64">
        <w:rPr>
          <w:rFonts w:ascii="Arial" w:hAnsi="Arial" w:cs="Arial"/>
          <w:sz w:val="24"/>
          <w:szCs w:val="24"/>
        </w:rPr>
        <w:t>Section 71EA(1)(k)</w:t>
      </w:r>
      <w:r>
        <w:rPr>
          <w:rFonts w:ascii="Arial" w:hAnsi="Arial" w:cs="Arial"/>
          <w:sz w:val="24"/>
          <w:szCs w:val="24"/>
        </w:rPr>
        <w:t xml:space="preserve"> makes it clear that</w:t>
      </w:r>
      <w:r w:rsidR="009C7B64">
        <w:rPr>
          <w:rFonts w:ascii="Arial" w:hAnsi="Arial" w:cs="Arial"/>
          <w:sz w:val="24"/>
          <w:szCs w:val="24"/>
        </w:rPr>
        <w:t xml:space="preserve"> each</w:t>
      </w:r>
      <w:r>
        <w:rPr>
          <w:rFonts w:ascii="Arial" w:hAnsi="Arial" w:cs="Arial"/>
          <w:sz w:val="24"/>
          <w:szCs w:val="24"/>
        </w:rPr>
        <w:t xml:space="preserve"> occupant will have obligations to</w:t>
      </w:r>
      <w:r w:rsidR="009C7B64">
        <w:rPr>
          <w:rFonts w:ascii="Arial" w:hAnsi="Arial" w:cs="Arial"/>
          <w:sz w:val="24"/>
          <w:szCs w:val="24"/>
        </w:rPr>
        <w:t xml:space="preserve"> any</w:t>
      </w:r>
      <w:r>
        <w:rPr>
          <w:rFonts w:ascii="Arial" w:hAnsi="Arial" w:cs="Arial"/>
          <w:sz w:val="24"/>
          <w:szCs w:val="24"/>
        </w:rPr>
        <w:t xml:space="preserve"> other occupant within the premises, even though those occupants might not be a party to the same occupancy agreement. Occupants, especially those in emergency accommodation or in housing support programs, may have particular vulnerabilities and a greater need for accommodation that is free from harassment and intimidation. Where co-tenants under a tenancy agreement will be required to apply to the Tribunal for orders to remove a co-tenant in a situation where the relationship has broken down, occupancy agreements might require grantors to have the flexibility to remove an occupant from a premises, or relocate them within the premises, if they are interfering with the rights of another occupant.</w:t>
      </w:r>
    </w:p>
    <w:p w14:paraId="58DB61C9" w14:textId="657A19EA" w:rsidR="00A903D8" w:rsidRDefault="00A903D8" w:rsidP="00A903D8">
      <w:pPr>
        <w:spacing w:after="240" w:line="240" w:lineRule="auto"/>
        <w:rPr>
          <w:rFonts w:ascii="Arial" w:hAnsi="Arial" w:cs="Arial"/>
          <w:sz w:val="24"/>
          <w:szCs w:val="24"/>
        </w:rPr>
      </w:pPr>
      <w:r>
        <w:rPr>
          <w:rFonts w:ascii="Arial" w:hAnsi="Arial" w:cs="Arial"/>
          <w:sz w:val="24"/>
          <w:szCs w:val="24"/>
        </w:rPr>
        <w:t xml:space="preserve">An occupant must vacate the premises at the end of the occupancy agreement. </w:t>
      </w:r>
      <w:bookmarkStart w:id="8" w:name="_Hlk32321304"/>
      <w:r w:rsidR="009C7B64">
        <w:rPr>
          <w:rFonts w:ascii="Arial" w:hAnsi="Arial" w:cs="Arial"/>
          <w:sz w:val="24"/>
          <w:szCs w:val="24"/>
        </w:rPr>
        <w:t>Section 71EA(1)(m)</w:t>
      </w:r>
      <w:r>
        <w:rPr>
          <w:rFonts w:ascii="Arial" w:hAnsi="Arial" w:cs="Arial"/>
          <w:sz w:val="24"/>
          <w:szCs w:val="24"/>
        </w:rPr>
        <w:t xml:space="preserve"> </w:t>
      </w:r>
      <w:bookmarkEnd w:id="8"/>
      <w:r>
        <w:rPr>
          <w:rFonts w:ascii="Arial" w:hAnsi="Arial" w:cs="Arial"/>
          <w:sz w:val="24"/>
          <w:szCs w:val="24"/>
        </w:rPr>
        <w:t xml:space="preserve">makes it clear that the occupant’s obligation to vacate the premises at the end of an occupancy agreement is not effected through issuing notices </w:t>
      </w:r>
      <w:r w:rsidR="009C7B64">
        <w:rPr>
          <w:rFonts w:ascii="Arial" w:hAnsi="Arial" w:cs="Arial"/>
          <w:sz w:val="24"/>
          <w:szCs w:val="24"/>
        </w:rPr>
        <w:t>(</w:t>
      </w:r>
      <w:r>
        <w:rPr>
          <w:rFonts w:ascii="Arial" w:hAnsi="Arial" w:cs="Arial"/>
          <w:sz w:val="24"/>
          <w:szCs w:val="24"/>
        </w:rPr>
        <w:t>as it is with a residential tenancy agreement</w:t>
      </w:r>
      <w:r w:rsidR="009C7B64">
        <w:rPr>
          <w:rFonts w:ascii="Arial" w:hAnsi="Arial" w:cs="Arial"/>
          <w:sz w:val="24"/>
          <w:szCs w:val="24"/>
        </w:rPr>
        <w:t>)</w:t>
      </w:r>
      <w:r>
        <w:rPr>
          <w:rFonts w:ascii="Arial" w:hAnsi="Arial" w:cs="Arial"/>
          <w:sz w:val="24"/>
          <w:szCs w:val="24"/>
        </w:rPr>
        <w:t>.</w:t>
      </w:r>
    </w:p>
    <w:p w14:paraId="734334BB" w14:textId="461B4D6D" w:rsidR="00A903D8" w:rsidRDefault="00A903D8" w:rsidP="00A903D8">
      <w:pPr>
        <w:spacing w:after="240" w:line="240" w:lineRule="auto"/>
        <w:rPr>
          <w:rFonts w:ascii="Arial" w:hAnsi="Arial" w:cs="Arial"/>
          <w:sz w:val="24"/>
          <w:szCs w:val="24"/>
        </w:rPr>
      </w:pPr>
      <w:r>
        <w:rPr>
          <w:rFonts w:ascii="Arial" w:hAnsi="Arial" w:cs="Arial"/>
          <w:sz w:val="24"/>
          <w:szCs w:val="24"/>
        </w:rPr>
        <w:t xml:space="preserve">An occupant must, at the end of the occupancy agreement, ensure that the premises are </w:t>
      </w:r>
      <w:r w:rsidR="009C7B64">
        <w:rPr>
          <w:rFonts w:ascii="Arial" w:hAnsi="Arial" w:cs="Arial"/>
          <w:sz w:val="24"/>
          <w:szCs w:val="24"/>
        </w:rPr>
        <w:t>in substantially the same state of cleanliness</w:t>
      </w:r>
      <w:r w:rsidR="003020E4">
        <w:rPr>
          <w:rFonts w:ascii="Arial" w:hAnsi="Arial" w:cs="Arial"/>
          <w:sz w:val="24"/>
          <w:szCs w:val="24"/>
        </w:rPr>
        <w:t xml:space="preserve"> and </w:t>
      </w:r>
      <w:r w:rsidR="009C7B64">
        <w:rPr>
          <w:rFonts w:ascii="Arial" w:hAnsi="Arial" w:cs="Arial"/>
          <w:sz w:val="24"/>
          <w:szCs w:val="24"/>
        </w:rPr>
        <w:t>condition</w:t>
      </w:r>
      <w:r w:rsidR="003020E4">
        <w:rPr>
          <w:rFonts w:ascii="Arial" w:hAnsi="Arial" w:cs="Arial"/>
          <w:sz w:val="24"/>
          <w:szCs w:val="24"/>
        </w:rPr>
        <w:t xml:space="preserve"> </w:t>
      </w:r>
      <w:r w:rsidR="009C7B64">
        <w:rPr>
          <w:rFonts w:ascii="Arial" w:hAnsi="Arial" w:cs="Arial"/>
          <w:sz w:val="24"/>
          <w:szCs w:val="24"/>
        </w:rPr>
        <w:t>the premises were in at the start of the occupancy</w:t>
      </w:r>
      <w:r>
        <w:rPr>
          <w:rFonts w:ascii="Arial" w:hAnsi="Arial" w:cs="Arial"/>
          <w:sz w:val="24"/>
          <w:szCs w:val="24"/>
        </w:rPr>
        <w:t xml:space="preserve"> (allowing for fair wear and tear), and reasonably secure</w:t>
      </w:r>
      <w:r w:rsidR="00066C88" w:rsidRPr="00066C88">
        <w:rPr>
          <w:rFonts w:ascii="Arial" w:hAnsi="Arial" w:cs="Arial"/>
          <w:sz w:val="24"/>
          <w:szCs w:val="24"/>
        </w:rPr>
        <w:t xml:space="preserve"> </w:t>
      </w:r>
      <w:r w:rsidR="00066C88">
        <w:rPr>
          <w:rFonts w:ascii="Arial" w:hAnsi="Arial" w:cs="Arial"/>
          <w:sz w:val="24"/>
          <w:szCs w:val="24"/>
        </w:rPr>
        <w:t>(s</w:t>
      </w:r>
      <w:r w:rsidR="00066C88" w:rsidRPr="00066C88">
        <w:rPr>
          <w:rFonts w:ascii="Arial" w:hAnsi="Arial" w:cs="Arial"/>
          <w:sz w:val="24"/>
          <w:szCs w:val="24"/>
        </w:rPr>
        <w:t>ection 71EA(1)(m)</w:t>
      </w:r>
      <w:r w:rsidR="00066C88">
        <w:rPr>
          <w:rFonts w:ascii="Arial" w:hAnsi="Arial" w:cs="Arial"/>
          <w:sz w:val="24"/>
          <w:szCs w:val="24"/>
        </w:rPr>
        <w:t>)</w:t>
      </w:r>
      <w:r>
        <w:rPr>
          <w:rFonts w:ascii="Arial" w:hAnsi="Arial" w:cs="Arial"/>
          <w:sz w:val="24"/>
          <w:szCs w:val="24"/>
        </w:rPr>
        <w:t xml:space="preserve">. </w:t>
      </w:r>
      <w:r w:rsidR="009C7B64">
        <w:rPr>
          <w:rFonts w:ascii="Arial" w:hAnsi="Arial" w:cs="Arial"/>
          <w:sz w:val="24"/>
          <w:szCs w:val="24"/>
        </w:rPr>
        <w:t>It is intended that this should be read in alignment with clause 64 of the standard terms.</w:t>
      </w:r>
    </w:p>
    <w:p w14:paraId="744AEC88" w14:textId="17815EAB" w:rsidR="00A903D8" w:rsidRDefault="00A903D8" w:rsidP="00A903D8">
      <w:pPr>
        <w:spacing w:after="240" w:line="240" w:lineRule="auto"/>
        <w:rPr>
          <w:rFonts w:ascii="Arial" w:hAnsi="Arial" w:cs="Arial"/>
          <w:sz w:val="24"/>
          <w:szCs w:val="24"/>
        </w:rPr>
      </w:pPr>
      <w:r>
        <w:rPr>
          <w:rFonts w:ascii="Arial" w:hAnsi="Arial" w:cs="Arial"/>
          <w:sz w:val="24"/>
          <w:szCs w:val="24"/>
        </w:rPr>
        <w:t>Section 71EA(</w:t>
      </w:r>
      <w:r w:rsidR="00FB62CF">
        <w:rPr>
          <w:rFonts w:ascii="Arial" w:hAnsi="Arial" w:cs="Arial"/>
          <w:sz w:val="24"/>
          <w:szCs w:val="24"/>
        </w:rPr>
        <w:t>4</w:t>
      </w:r>
      <w:r>
        <w:rPr>
          <w:rFonts w:ascii="Arial" w:hAnsi="Arial" w:cs="Arial"/>
          <w:sz w:val="24"/>
          <w:szCs w:val="24"/>
        </w:rPr>
        <w:t>) adapts the occupancy principles so that they apply to a site-only agreement in a residential park. As the grantor does not have any property rights over the dwelling, the grantor has an additional requirement to provide reasonable notice to enter an occupant’s manufactured or mobile home.</w:t>
      </w:r>
    </w:p>
    <w:p w14:paraId="79610E52" w14:textId="77777777" w:rsidR="00A903D8" w:rsidRDefault="00A903D8" w:rsidP="00A903D8">
      <w:pPr>
        <w:spacing w:after="240" w:line="240" w:lineRule="auto"/>
        <w:rPr>
          <w:rFonts w:ascii="Arial" w:hAnsi="Arial" w:cs="Arial"/>
          <w:sz w:val="24"/>
          <w:szCs w:val="24"/>
        </w:rPr>
      </w:pPr>
      <w:r w:rsidRPr="007F7E65">
        <w:rPr>
          <w:rFonts w:ascii="Arial" w:hAnsi="Arial" w:cs="Arial"/>
          <w:sz w:val="24"/>
          <w:szCs w:val="24"/>
        </w:rPr>
        <w:t>New section 71EB introduces a new requirement for a grantor to provide a condition report to the occupant. The grantor must sign the report and give the occupant a reasonable opportunity to check the content of the condition report, but the occupant is not required to sign the condition report. This is to allow additional flexibility in the context of occupancy agreements. The consequence of not providing a condition report is provided in subsection (3): if the grantor does not provide a condition report the state of repair or general condition of the premises is taken to be the same at the end of the occupancy agreement as they were at the start of the agreement, unless there is evidence to the contrary.</w:t>
      </w:r>
    </w:p>
    <w:p w14:paraId="50756D42" w14:textId="77777777" w:rsidR="00D87810" w:rsidRDefault="00D87810" w:rsidP="00A903D8">
      <w:pPr>
        <w:spacing w:after="240" w:line="240" w:lineRule="auto"/>
        <w:rPr>
          <w:rFonts w:ascii="Arial" w:hAnsi="Arial" w:cs="Arial"/>
          <w:sz w:val="24"/>
          <w:szCs w:val="24"/>
        </w:rPr>
      </w:pPr>
    </w:p>
    <w:p w14:paraId="1B6F55CE" w14:textId="3CB6EB80" w:rsidR="00A903D8" w:rsidRDefault="00A903D8" w:rsidP="00A903D8">
      <w:pPr>
        <w:spacing w:after="240" w:line="240" w:lineRule="auto"/>
        <w:rPr>
          <w:rFonts w:ascii="Arial" w:hAnsi="Arial" w:cs="Arial"/>
          <w:sz w:val="24"/>
          <w:szCs w:val="24"/>
        </w:rPr>
      </w:pPr>
      <w:r>
        <w:rPr>
          <w:rFonts w:ascii="Arial" w:hAnsi="Arial" w:cs="Arial"/>
          <w:sz w:val="24"/>
          <w:szCs w:val="24"/>
        </w:rPr>
        <w:lastRenderedPageBreak/>
        <w:t>Section 71EC relates to the occupancy principle about requiring a security deposit to be paid. This section creates three possible outcomes. If the agreement is for 14 days or fewer, then the grantor must not require the occupant to pay a security deposit. If the agreement is for greater than 14 days, then the amount that may be requested is capped at either the amount payable for the first two weeks of the occupancy if the agreement has a term of less than six months, or the amount payable for the first four weeks of the occupancy if the agreement is for six months or longer. This provision provides an incentive for grantors to create occupancy agreements with longer terms as it enables a larger security deposit. As with bonds under residential tenancy agreements, the section restrains a grantor from requiring or accepting more than one security deposit for an occupancy agreement.</w:t>
      </w:r>
    </w:p>
    <w:p w14:paraId="193B769C" w14:textId="3FC42326" w:rsidR="00A903D8" w:rsidRDefault="00A903D8" w:rsidP="00A903D8">
      <w:pPr>
        <w:spacing w:after="240" w:line="240" w:lineRule="auto"/>
        <w:rPr>
          <w:rFonts w:ascii="Arial" w:hAnsi="Arial" w:cs="Arial"/>
          <w:sz w:val="24"/>
          <w:szCs w:val="24"/>
        </w:rPr>
      </w:pPr>
      <w:r>
        <w:rPr>
          <w:rFonts w:ascii="Arial" w:hAnsi="Arial" w:cs="Arial"/>
          <w:sz w:val="24"/>
          <w:szCs w:val="24"/>
        </w:rPr>
        <w:t>Section 71ED requires a grantor to lodge the security deposit with the Territory</w:t>
      </w:r>
      <w:r w:rsidR="009C7B64">
        <w:rPr>
          <w:rFonts w:ascii="Arial" w:hAnsi="Arial" w:cs="Arial"/>
          <w:sz w:val="24"/>
          <w:szCs w:val="24"/>
        </w:rPr>
        <w:t xml:space="preserve"> unless it is an exempt agreement</w:t>
      </w:r>
      <w:r>
        <w:rPr>
          <w:rFonts w:ascii="Arial" w:hAnsi="Arial" w:cs="Arial"/>
          <w:sz w:val="24"/>
          <w:szCs w:val="24"/>
        </w:rPr>
        <w:t>. This section requires the Territory to manage the security deposit as if it were a bond under a residential tenancy agreement. This has the effect that an occupant has an increased capacity to dispute a claim against a security deposit by a grantor, as the deposit will be held on trust by the Territory until the dispute is resolved in a process applied from section 35 of the RTA.</w:t>
      </w:r>
      <w:r w:rsidR="009C7B64">
        <w:rPr>
          <w:rFonts w:ascii="Arial" w:hAnsi="Arial" w:cs="Arial"/>
          <w:sz w:val="24"/>
          <w:szCs w:val="24"/>
        </w:rPr>
        <w:t xml:space="preserve"> This provision does not apply to agreements to occupy premises in a residential facility associated with, or on the campus of, an education provider.</w:t>
      </w:r>
    </w:p>
    <w:p w14:paraId="1942100C" w14:textId="59197E17" w:rsidR="00A903D8" w:rsidRDefault="00A903D8" w:rsidP="00A903D8">
      <w:pPr>
        <w:spacing w:after="240" w:line="240" w:lineRule="auto"/>
        <w:rPr>
          <w:rFonts w:ascii="Arial" w:hAnsi="Arial" w:cs="Arial"/>
          <w:sz w:val="24"/>
          <w:szCs w:val="24"/>
        </w:rPr>
      </w:pPr>
      <w:r>
        <w:rPr>
          <w:rFonts w:ascii="Arial" w:hAnsi="Arial" w:cs="Arial"/>
          <w:sz w:val="24"/>
          <w:szCs w:val="24"/>
        </w:rPr>
        <w:t>Section 71EE permits a grantor to deduct from a security deposit certain costs attributable to breaches of the occupancy agreement. This aligns with section</w:t>
      </w:r>
      <w:r w:rsidR="00013AB0">
        <w:rPr>
          <w:rFonts w:ascii="Arial" w:hAnsi="Arial" w:cs="Arial"/>
          <w:sz w:val="24"/>
          <w:szCs w:val="24"/>
        </w:rPr>
        <w:t>s </w:t>
      </w:r>
      <w:r>
        <w:rPr>
          <w:rFonts w:ascii="Arial" w:hAnsi="Arial" w:cs="Arial"/>
          <w:sz w:val="24"/>
          <w:szCs w:val="24"/>
        </w:rPr>
        <w:t>31(a)</w:t>
      </w:r>
      <w:r>
        <w:rPr>
          <w:rFonts w:ascii="Arial" w:hAnsi="Arial" w:cs="Arial"/>
          <w:sz w:val="24"/>
          <w:szCs w:val="24"/>
        </w:rPr>
        <w:noBreakHyphen/>
        <w:t>(c) of the RTA.</w:t>
      </w:r>
    </w:p>
    <w:p w14:paraId="166E59E1" w14:textId="77777777" w:rsidR="00A903D8" w:rsidRDefault="00A903D8" w:rsidP="00A903D8">
      <w:pPr>
        <w:spacing w:after="240" w:line="240" w:lineRule="auto"/>
        <w:rPr>
          <w:rFonts w:ascii="Arial" w:hAnsi="Arial" w:cs="Arial"/>
          <w:sz w:val="24"/>
          <w:szCs w:val="24"/>
        </w:rPr>
      </w:pPr>
      <w:r>
        <w:rPr>
          <w:rFonts w:ascii="Arial" w:hAnsi="Arial" w:cs="Arial"/>
          <w:sz w:val="24"/>
          <w:szCs w:val="24"/>
        </w:rPr>
        <w:t>Section 71EF relates to the occupancy principle about the requirement of a grantor to provide written receipts for payments made under the occupancy agreement. Under the Australian Consumer Law,</w:t>
      </w:r>
      <w:r>
        <w:rPr>
          <w:rStyle w:val="FootnoteReference"/>
          <w:rFonts w:ascii="Arial" w:hAnsi="Arial"/>
          <w:sz w:val="24"/>
          <w:szCs w:val="24"/>
        </w:rPr>
        <w:footnoteReference w:id="4"/>
      </w:r>
      <w:r>
        <w:rPr>
          <w:rFonts w:ascii="Arial" w:hAnsi="Arial" w:cs="Arial"/>
          <w:sz w:val="24"/>
          <w:szCs w:val="24"/>
        </w:rPr>
        <w:t xml:space="preserve"> a person must give a consumer a proof of transaction if the person supplies good or services to a consumer and the total price (excluding GST) of the good or services is $75 or more. Section 71EF is a simplified version of that requirement.</w:t>
      </w:r>
    </w:p>
    <w:p w14:paraId="227AC516" w14:textId="74FC9192" w:rsidR="00A903D8" w:rsidRDefault="00A903D8" w:rsidP="00A903D8">
      <w:pPr>
        <w:spacing w:after="240" w:line="240" w:lineRule="auto"/>
        <w:rPr>
          <w:rFonts w:ascii="Arial" w:hAnsi="Arial" w:cs="Arial"/>
          <w:sz w:val="24"/>
          <w:szCs w:val="24"/>
        </w:rPr>
      </w:pPr>
      <w:r>
        <w:rPr>
          <w:rFonts w:ascii="Arial" w:hAnsi="Arial" w:cs="Arial"/>
          <w:sz w:val="24"/>
          <w:szCs w:val="24"/>
        </w:rPr>
        <w:t xml:space="preserve">Section 71EG relates to the occupancy principle that restricts the ability of grantors to impose occupancy rules, fees, charges, or penalties. This section should be read consistently with the occupancy principle that an occupancy rule must be reasonable and proportionate to the outcome sought by the imposition of the rule, and the occupancy principle that any penalty or consequence for breaching an occupancy rule must be reasonable and proportionate to the seriousness of the breach of the rule and must not impose unreasonable hardship on the occupant. Section 71EG provides that a grantor will not be permitted to impose occupancy rules, fees, charges, or penalties unless prescribed information is included in the occupancy agreement. This requirement includes prescribed information about fees or charges payable under the agreement for utility costs, including the method for calculating how the fee or charge is calculated. As these rules must be reasonable and proportionate to the outcome sought by the imposition of the rule, it is intended that charges for utility costs </w:t>
      </w:r>
      <w:r w:rsidR="00013AB0">
        <w:rPr>
          <w:rFonts w:ascii="Arial" w:hAnsi="Arial" w:cs="Arial"/>
          <w:sz w:val="24"/>
          <w:szCs w:val="24"/>
        </w:rPr>
        <w:t xml:space="preserve">have a direct relationship with </w:t>
      </w:r>
      <w:r>
        <w:rPr>
          <w:rFonts w:ascii="Arial" w:hAnsi="Arial" w:cs="Arial"/>
          <w:sz w:val="24"/>
          <w:szCs w:val="24"/>
        </w:rPr>
        <w:t xml:space="preserve">the actual cost incurred by the grantor. </w:t>
      </w:r>
    </w:p>
    <w:p w14:paraId="5AE7A73F" w14:textId="0BE339D4" w:rsidR="00A903D8" w:rsidRDefault="00A903D8" w:rsidP="00A903D8">
      <w:pPr>
        <w:spacing w:after="240" w:line="240" w:lineRule="auto"/>
        <w:rPr>
          <w:rFonts w:ascii="Arial" w:hAnsi="Arial" w:cs="Arial"/>
          <w:sz w:val="24"/>
          <w:szCs w:val="24"/>
        </w:rPr>
      </w:pPr>
      <w:r>
        <w:rPr>
          <w:rFonts w:ascii="Arial" w:hAnsi="Arial" w:cs="Arial"/>
          <w:sz w:val="24"/>
          <w:szCs w:val="24"/>
        </w:rPr>
        <w:lastRenderedPageBreak/>
        <w:t>Section 71EG(2)</w:t>
      </w:r>
      <w:r w:rsidR="009B53A0">
        <w:rPr>
          <w:rFonts w:ascii="Arial" w:hAnsi="Arial" w:cs="Arial"/>
          <w:sz w:val="24"/>
          <w:szCs w:val="24"/>
        </w:rPr>
        <w:t>(a)</w:t>
      </w:r>
      <w:r>
        <w:rPr>
          <w:rFonts w:ascii="Arial" w:hAnsi="Arial" w:cs="Arial"/>
          <w:sz w:val="24"/>
          <w:szCs w:val="24"/>
        </w:rPr>
        <w:t xml:space="preserve"> restricts the grantor’s ability to change the occupancy rules. The grantor must provide at least eight weeks prior written notice about changes to the rules. This provides the occupant reasonable time to relocate if the change to the rules is unacceptable to them.</w:t>
      </w:r>
      <w:r w:rsidR="009B53A0">
        <w:rPr>
          <w:rFonts w:ascii="Arial" w:hAnsi="Arial" w:cs="Arial"/>
          <w:sz w:val="24"/>
          <w:szCs w:val="24"/>
        </w:rPr>
        <w:t xml:space="preserve"> If a grantor exercises this right, section 71EG(3) provides the occupant a right to terminate the occupancy agreement. It is intended that the occupant must provide the notice to terminate within the grantor’s notice period (</w:t>
      </w:r>
      <w:r w:rsidR="003020E4" w:rsidRPr="003020E4">
        <w:rPr>
          <w:rFonts w:ascii="Arial" w:hAnsi="Arial" w:cs="Arial"/>
          <w:sz w:val="24"/>
          <w:szCs w:val="24"/>
        </w:rPr>
        <w:t xml:space="preserve">that is, within eight weeks) </w:t>
      </w:r>
      <w:r w:rsidR="009B53A0">
        <w:rPr>
          <w:rFonts w:ascii="Arial" w:hAnsi="Arial" w:cs="Arial"/>
          <w:sz w:val="24"/>
          <w:szCs w:val="24"/>
        </w:rPr>
        <w:t xml:space="preserve">and not that the occupant must vacate within the grantor’s notice period. </w:t>
      </w:r>
    </w:p>
    <w:p w14:paraId="0407F5F4" w14:textId="77777777" w:rsidR="00A903D8" w:rsidRDefault="00A903D8" w:rsidP="00A903D8">
      <w:pPr>
        <w:spacing w:after="240" w:line="240" w:lineRule="auto"/>
        <w:rPr>
          <w:rFonts w:ascii="Arial" w:hAnsi="Arial" w:cs="Arial"/>
          <w:sz w:val="24"/>
          <w:szCs w:val="24"/>
        </w:rPr>
      </w:pPr>
      <w:r>
        <w:rPr>
          <w:rFonts w:ascii="Arial" w:hAnsi="Arial" w:cs="Arial"/>
          <w:sz w:val="24"/>
          <w:szCs w:val="24"/>
        </w:rPr>
        <w:t>Section 71EG(2)(b) includes a requirement that a grantor must give reasonable notice about imposing a penalty for breach of an occupancy rule included in the occupancy agreement. It is intended that what is considered reasonable will vary depending upon the nature of the rule and the breach. For a breach which interferes with the safety of another occupant, for example, a very short notice period might be reasonable in the circumstances; a short notice period for the breach of a rule for the convenience of other occupants (such as rostered cleaning requirements, for example) would likely be considered unreasonable.</w:t>
      </w:r>
    </w:p>
    <w:p w14:paraId="407351DB" w14:textId="584B66B3" w:rsidR="00A903D8" w:rsidRDefault="00A903D8" w:rsidP="00A903D8">
      <w:pPr>
        <w:spacing w:after="240" w:line="240" w:lineRule="auto"/>
        <w:rPr>
          <w:rFonts w:ascii="Arial" w:hAnsi="Arial" w:cs="Arial"/>
          <w:sz w:val="24"/>
          <w:szCs w:val="24"/>
        </w:rPr>
      </w:pPr>
      <w:r>
        <w:rPr>
          <w:rFonts w:ascii="Arial" w:hAnsi="Arial" w:cs="Arial"/>
          <w:sz w:val="24"/>
          <w:szCs w:val="24"/>
        </w:rPr>
        <w:t>Section 71EH relates to the occupancy principle about providing the occupant with quiet enjoyment of the premises. As an occupancy agreement is for the use of a premises as a home, an occupant should be entitled to have access to the shared facilities. For hygiene reasons, an occupant should have 24-hour access to a toilet and a bathroom. Rules restricting access to other shared facilities, such as the kitchen, games room, or outdoor areas, might be, in the circumstances, reasonable. For example, a house rule might restrict access to reasonable hours if the noise interferes with the quiet enjoyment of other occupants.</w:t>
      </w:r>
      <w:r w:rsidR="009B53A0">
        <w:rPr>
          <w:rFonts w:ascii="Arial" w:hAnsi="Arial" w:cs="Arial"/>
          <w:sz w:val="24"/>
          <w:szCs w:val="24"/>
        </w:rPr>
        <w:t xml:space="preserve"> This provision requires grantors to consider the occupant’s circumstances</w:t>
      </w:r>
      <w:r w:rsidR="008B6D33">
        <w:rPr>
          <w:rFonts w:ascii="Arial" w:hAnsi="Arial" w:cs="Arial"/>
          <w:sz w:val="24"/>
          <w:szCs w:val="24"/>
        </w:rPr>
        <w:t xml:space="preserve"> and it is</w:t>
      </w:r>
      <w:r w:rsidR="009B53A0">
        <w:rPr>
          <w:rFonts w:ascii="Arial" w:hAnsi="Arial" w:cs="Arial"/>
          <w:sz w:val="24"/>
          <w:szCs w:val="24"/>
        </w:rPr>
        <w:t xml:space="preserve"> intended that</w:t>
      </w:r>
      <w:r w:rsidR="008B6D33">
        <w:rPr>
          <w:rFonts w:ascii="Arial" w:hAnsi="Arial" w:cs="Arial"/>
          <w:sz w:val="24"/>
          <w:szCs w:val="24"/>
        </w:rPr>
        <w:t xml:space="preserve"> what constitutes</w:t>
      </w:r>
      <w:r w:rsidR="009B53A0">
        <w:rPr>
          <w:rFonts w:ascii="Arial" w:hAnsi="Arial" w:cs="Arial"/>
          <w:sz w:val="24"/>
          <w:szCs w:val="24"/>
        </w:rPr>
        <w:t xml:space="preserve"> </w:t>
      </w:r>
      <w:r w:rsidR="00C42A39">
        <w:rPr>
          <w:rFonts w:ascii="Arial" w:hAnsi="Arial" w:cs="Arial"/>
          <w:sz w:val="24"/>
          <w:szCs w:val="24"/>
        </w:rPr>
        <w:t>‘reasonable times</w:t>
      </w:r>
      <w:r w:rsidR="00066C88">
        <w:rPr>
          <w:rFonts w:ascii="Arial" w:hAnsi="Arial" w:cs="Arial"/>
          <w:sz w:val="24"/>
          <w:szCs w:val="24"/>
        </w:rPr>
        <w:t>’</w:t>
      </w:r>
      <w:r w:rsidR="003020E4">
        <w:rPr>
          <w:rFonts w:ascii="Arial" w:hAnsi="Arial" w:cs="Arial"/>
          <w:sz w:val="24"/>
          <w:szCs w:val="24"/>
        </w:rPr>
        <w:t xml:space="preserve"> </w:t>
      </w:r>
      <w:r w:rsidR="008B6D33">
        <w:rPr>
          <w:rFonts w:ascii="Arial" w:hAnsi="Arial" w:cs="Arial"/>
          <w:sz w:val="24"/>
          <w:szCs w:val="24"/>
        </w:rPr>
        <w:t>will need to take into account</w:t>
      </w:r>
      <w:r w:rsidR="00C42A39">
        <w:rPr>
          <w:rFonts w:ascii="Arial" w:hAnsi="Arial" w:cs="Arial"/>
          <w:sz w:val="24"/>
          <w:szCs w:val="24"/>
        </w:rPr>
        <w:t xml:space="preserve"> the needs of the individual occupant. </w:t>
      </w:r>
      <w:r w:rsidR="00C42A39" w:rsidRPr="00C42A39">
        <w:rPr>
          <w:rFonts w:ascii="Arial" w:hAnsi="Arial" w:cs="Arial"/>
          <w:sz w:val="24"/>
          <w:szCs w:val="24"/>
        </w:rPr>
        <w:t>For example, individuals who need access to food or medication during the night for medical reasons or individuals who may require access to kitchens when they are observing religious fasting during day light hours.</w:t>
      </w:r>
    </w:p>
    <w:p w14:paraId="23180B96" w14:textId="15F32D2F" w:rsidR="00A903D8" w:rsidRDefault="00A903D8" w:rsidP="00A903D8">
      <w:pPr>
        <w:spacing w:after="240" w:line="240" w:lineRule="auto"/>
        <w:rPr>
          <w:rFonts w:ascii="Arial" w:hAnsi="Arial" w:cs="Arial"/>
          <w:sz w:val="24"/>
          <w:szCs w:val="24"/>
        </w:rPr>
      </w:pPr>
      <w:r>
        <w:rPr>
          <w:rFonts w:ascii="Arial" w:hAnsi="Arial" w:cs="Arial"/>
          <w:sz w:val="24"/>
          <w:szCs w:val="24"/>
        </w:rPr>
        <w:t xml:space="preserve">Section 71EI relates to the occupancy principle which requires grantors to provide information about dispute resolution processes that apply to the occupancy agreement. </w:t>
      </w:r>
      <w:r w:rsidR="006109EE">
        <w:rPr>
          <w:rFonts w:ascii="Arial" w:hAnsi="Arial" w:cs="Arial"/>
          <w:sz w:val="24"/>
          <w:szCs w:val="24"/>
        </w:rPr>
        <w:t>It also requires them to provide the contact details of the legal aid commission</w:t>
      </w:r>
      <w:r w:rsidR="00FF1547">
        <w:rPr>
          <w:rFonts w:ascii="Arial" w:hAnsi="Arial" w:cs="Arial"/>
          <w:sz w:val="24"/>
          <w:szCs w:val="24"/>
        </w:rPr>
        <w:t>, the Human Rights Commission, and the Tribunal</w:t>
      </w:r>
      <w:r w:rsidR="006109EE">
        <w:rPr>
          <w:rFonts w:ascii="Arial" w:hAnsi="Arial" w:cs="Arial"/>
          <w:sz w:val="24"/>
          <w:szCs w:val="24"/>
        </w:rPr>
        <w:t xml:space="preserve">. </w:t>
      </w:r>
      <w:r>
        <w:rPr>
          <w:rFonts w:ascii="Arial" w:hAnsi="Arial" w:cs="Arial"/>
          <w:sz w:val="24"/>
          <w:szCs w:val="24"/>
        </w:rPr>
        <w:t>This section is intended to ensure that occupants are aware of options to have disputes resolved.</w:t>
      </w:r>
      <w:r w:rsidR="00C42A39">
        <w:rPr>
          <w:rFonts w:ascii="Arial" w:hAnsi="Arial" w:cs="Arial"/>
          <w:sz w:val="24"/>
          <w:szCs w:val="24"/>
        </w:rPr>
        <w:t xml:space="preserve"> The section also requires the grantor to provide their contact details to the occupant.</w:t>
      </w:r>
    </w:p>
    <w:p w14:paraId="2F28055C" w14:textId="5C3D311D" w:rsidR="00C42A39" w:rsidRDefault="00C42A39" w:rsidP="00A903D8">
      <w:pPr>
        <w:spacing w:after="240" w:line="240" w:lineRule="auto"/>
        <w:rPr>
          <w:rFonts w:ascii="Arial" w:hAnsi="Arial" w:cs="Arial"/>
          <w:sz w:val="24"/>
          <w:szCs w:val="24"/>
        </w:rPr>
      </w:pPr>
      <w:r>
        <w:rPr>
          <w:rFonts w:ascii="Arial" w:hAnsi="Arial" w:cs="Arial"/>
          <w:sz w:val="24"/>
          <w:szCs w:val="24"/>
        </w:rPr>
        <w:t>Section 71EJ details when a grantor may enter the premises subject to an occupancy agreement. The grantor has an obligation to ensure that the occupancy agreement states under what circumstances the grantor may enter the premises and, for each circumstance, the kind and period of the notice that the grantor will give. The kind of notice and the period of notice must be reasonable and proportionate to the outcome sought by the grantor entering the premises.</w:t>
      </w:r>
      <w:r w:rsidR="00B86B37">
        <w:rPr>
          <w:rFonts w:ascii="Arial" w:hAnsi="Arial" w:cs="Arial"/>
          <w:sz w:val="24"/>
          <w:szCs w:val="24"/>
        </w:rPr>
        <w:t xml:space="preserve"> It is intended that this clause is read in conjunction with the requirement for premises to be reasonably secure (s </w:t>
      </w:r>
      <w:r w:rsidR="00655A9A">
        <w:rPr>
          <w:rFonts w:ascii="Arial" w:hAnsi="Arial" w:cs="Arial"/>
          <w:sz w:val="24"/>
          <w:szCs w:val="24"/>
        </w:rPr>
        <w:t xml:space="preserve">71EA(1)(a)(iii)), the requirement for occupancy rules to be reasonable and proportionate to the outcome sought by the imposition of the rule (s 71EA(1)(f)), and the requirement to provide the occupant with quiet enjoyment of the premises (s 71EA(1)(h)). </w:t>
      </w:r>
    </w:p>
    <w:p w14:paraId="6C8148D7" w14:textId="65BC0887" w:rsidR="00A903D8" w:rsidRDefault="00A903D8" w:rsidP="00A903D8">
      <w:pPr>
        <w:spacing w:after="240" w:line="240" w:lineRule="auto"/>
        <w:rPr>
          <w:rFonts w:ascii="Arial" w:hAnsi="Arial" w:cs="Arial"/>
          <w:sz w:val="24"/>
          <w:szCs w:val="24"/>
        </w:rPr>
      </w:pPr>
      <w:r>
        <w:rPr>
          <w:rFonts w:ascii="Arial" w:hAnsi="Arial" w:cs="Arial"/>
          <w:sz w:val="24"/>
          <w:szCs w:val="24"/>
        </w:rPr>
        <w:lastRenderedPageBreak/>
        <w:t xml:space="preserve">Section </w:t>
      </w:r>
      <w:r w:rsidR="00655A9A">
        <w:rPr>
          <w:rFonts w:ascii="Arial" w:hAnsi="Arial" w:cs="Arial"/>
          <w:sz w:val="24"/>
          <w:szCs w:val="24"/>
        </w:rPr>
        <w:t xml:space="preserve">71EK </w:t>
      </w:r>
      <w:r>
        <w:rPr>
          <w:rFonts w:ascii="Arial" w:hAnsi="Arial" w:cs="Arial"/>
          <w:sz w:val="24"/>
          <w:szCs w:val="24"/>
        </w:rPr>
        <w:t>relates to the occupancy principle which restricts the ability of parties to terminate an occupancy agreement. This section ensures that the grounds for termination of an occupancy agreement must be included in the agreement itself, requires a party to provide notice if they seek to exercise their right of termination under the agreement, and restrains a grantor from terminating an occupancy agreement only because the occupant sought to enforce their rights.</w:t>
      </w:r>
      <w:r w:rsidR="00655A9A">
        <w:rPr>
          <w:rFonts w:ascii="Arial" w:hAnsi="Arial" w:cs="Arial"/>
          <w:sz w:val="24"/>
          <w:szCs w:val="24"/>
        </w:rPr>
        <w:t xml:space="preserve"> The provision makes it clear that the occupancy agreement may only allow a party to terminate the agreement </w:t>
      </w:r>
      <w:r w:rsidR="00D64002">
        <w:rPr>
          <w:rFonts w:ascii="Arial" w:hAnsi="Arial" w:cs="Arial"/>
          <w:sz w:val="24"/>
          <w:szCs w:val="24"/>
        </w:rPr>
        <w:t xml:space="preserve">in </w:t>
      </w:r>
      <w:r w:rsidR="00655A9A">
        <w:rPr>
          <w:rFonts w:ascii="Arial" w:hAnsi="Arial" w:cs="Arial"/>
          <w:sz w:val="24"/>
          <w:szCs w:val="24"/>
        </w:rPr>
        <w:t xml:space="preserve">circumstances that are reasonable having regard to the nature of the occupancy. This protects occupants against arbitrary or otherwise unreasonable terminations of the occupancy agreement. The provision also prohibits retaliatory terminations or evictions. </w:t>
      </w:r>
      <w:r w:rsidR="002C2E65">
        <w:rPr>
          <w:rFonts w:ascii="Arial" w:hAnsi="Arial" w:cs="Arial"/>
          <w:sz w:val="24"/>
          <w:szCs w:val="24"/>
        </w:rPr>
        <w:t xml:space="preserve">As per section 71EK(4), the requirement that an occupancy agreement may only be terminated under circumstances that are reasonable having regard to the nature of the occupancy does not apply to a termination made under a university disciplinary requirement. A university disciplinary requirement is defined in section 71EA(5) to mean a statute, rule, or policy about student discipline made under, or authorised by, the </w:t>
      </w:r>
      <w:r w:rsidR="002C2E65">
        <w:rPr>
          <w:rFonts w:ascii="Arial" w:hAnsi="Arial" w:cs="Arial"/>
          <w:i/>
          <w:iCs/>
          <w:sz w:val="24"/>
          <w:szCs w:val="24"/>
        </w:rPr>
        <w:t xml:space="preserve">Australian National University Act 1991 </w:t>
      </w:r>
      <w:r w:rsidR="002C2E65">
        <w:rPr>
          <w:rFonts w:ascii="Arial" w:hAnsi="Arial" w:cs="Arial"/>
          <w:sz w:val="24"/>
          <w:szCs w:val="24"/>
        </w:rPr>
        <w:t xml:space="preserve">(Cwth) or the </w:t>
      </w:r>
      <w:r w:rsidR="002C2E65">
        <w:rPr>
          <w:rFonts w:ascii="Arial" w:hAnsi="Arial" w:cs="Arial"/>
          <w:i/>
          <w:iCs/>
          <w:sz w:val="24"/>
          <w:szCs w:val="24"/>
        </w:rPr>
        <w:t>University of Canberra Act 1989</w:t>
      </w:r>
      <w:r w:rsidR="002C2E65">
        <w:rPr>
          <w:rFonts w:ascii="Arial" w:hAnsi="Arial" w:cs="Arial"/>
          <w:sz w:val="24"/>
          <w:szCs w:val="24"/>
        </w:rPr>
        <w:t xml:space="preserve">. This avoids potential inconsistencies between the two statutory regimes where the termination of the occupancy agreement arises from the university statutes, but could be prevented by the RTA. </w:t>
      </w:r>
      <w:r w:rsidR="00D23A7B" w:rsidRPr="00D23A7B">
        <w:rPr>
          <w:rFonts w:ascii="Arial" w:hAnsi="Arial" w:cs="Arial"/>
          <w:sz w:val="24"/>
          <w:szCs w:val="24"/>
        </w:rPr>
        <w:t>However, university students will enjoy protection under section 71E</w:t>
      </w:r>
      <w:r w:rsidR="008F5015">
        <w:rPr>
          <w:rFonts w:ascii="Arial" w:hAnsi="Arial" w:cs="Arial"/>
          <w:sz w:val="24"/>
          <w:szCs w:val="24"/>
        </w:rPr>
        <w:t>K</w:t>
      </w:r>
      <w:r w:rsidR="00D23A7B" w:rsidRPr="00D23A7B">
        <w:rPr>
          <w:rFonts w:ascii="Arial" w:hAnsi="Arial" w:cs="Arial"/>
          <w:sz w:val="24"/>
          <w:szCs w:val="24"/>
        </w:rPr>
        <w:t xml:space="preserve"> where the </w:t>
      </w:r>
      <w:r w:rsidR="00D23A7B">
        <w:rPr>
          <w:rFonts w:ascii="Arial" w:hAnsi="Arial" w:cs="Arial"/>
          <w:sz w:val="24"/>
          <w:szCs w:val="24"/>
        </w:rPr>
        <w:t>termination</w:t>
      </w:r>
      <w:r w:rsidR="00D23A7B" w:rsidRPr="00D23A7B">
        <w:rPr>
          <w:rFonts w:ascii="Arial" w:hAnsi="Arial" w:cs="Arial"/>
          <w:sz w:val="24"/>
          <w:szCs w:val="24"/>
        </w:rPr>
        <w:t xml:space="preserve"> does not arise under a university disciplinary requirement.</w:t>
      </w:r>
    </w:p>
    <w:p w14:paraId="36D447A8" w14:textId="40178F0D" w:rsidR="00A903D8" w:rsidRDefault="00A903D8" w:rsidP="00A903D8">
      <w:pPr>
        <w:spacing w:after="240" w:line="240" w:lineRule="auto"/>
        <w:rPr>
          <w:rFonts w:ascii="Arial" w:hAnsi="Arial" w:cs="Arial"/>
          <w:sz w:val="24"/>
          <w:szCs w:val="24"/>
        </w:rPr>
      </w:pPr>
      <w:r>
        <w:rPr>
          <w:rFonts w:ascii="Arial" w:hAnsi="Arial" w:cs="Arial"/>
          <w:sz w:val="24"/>
          <w:szCs w:val="24"/>
        </w:rPr>
        <w:t xml:space="preserve">Section </w:t>
      </w:r>
      <w:r w:rsidR="00655A9A">
        <w:rPr>
          <w:rFonts w:ascii="Arial" w:hAnsi="Arial" w:cs="Arial"/>
          <w:sz w:val="24"/>
          <w:szCs w:val="24"/>
        </w:rPr>
        <w:t xml:space="preserve">71EL </w:t>
      </w:r>
      <w:r>
        <w:rPr>
          <w:rFonts w:ascii="Arial" w:hAnsi="Arial" w:cs="Arial"/>
          <w:sz w:val="24"/>
          <w:szCs w:val="24"/>
        </w:rPr>
        <w:t xml:space="preserve">empowers the Tribunal to issue a warrant for the eviction of an occupant from a premises if the Tribunal has made an order to vacate the premises and the occupant has failed to comply with the order. </w:t>
      </w:r>
      <w:r w:rsidR="00D64002">
        <w:rPr>
          <w:rFonts w:ascii="Arial" w:hAnsi="Arial" w:cs="Arial"/>
          <w:sz w:val="24"/>
          <w:szCs w:val="24"/>
        </w:rPr>
        <w:t xml:space="preserve">It corrects an </w:t>
      </w:r>
      <w:r w:rsidR="00D701E8">
        <w:rPr>
          <w:rFonts w:ascii="Arial" w:hAnsi="Arial" w:cs="Arial"/>
          <w:sz w:val="24"/>
          <w:szCs w:val="24"/>
        </w:rPr>
        <w:t>anomaly</w:t>
      </w:r>
      <w:r w:rsidR="00D64002">
        <w:rPr>
          <w:rFonts w:ascii="Arial" w:hAnsi="Arial" w:cs="Arial"/>
          <w:sz w:val="24"/>
          <w:szCs w:val="24"/>
        </w:rPr>
        <w:t xml:space="preserve"> whereby the Tribunal was able to make an order to vacate the premises but not to issue a warrant for eviction. </w:t>
      </w:r>
      <w:r w:rsidR="00D701E8">
        <w:rPr>
          <w:rFonts w:ascii="Arial" w:hAnsi="Arial" w:cs="Arial"/>
          <w:sz w:val="24"/>
          <w:szCs w:val="24"/>
        </w:rPr>
        <w:t xml:space="preserve">The new provision </w:t>
      </w:r>
      <w:r>
        <w:rPr>
          <w:rFonts w:ascii="Arial" w:hAnsi="Arial" w:cs="Arial"/>
          <w:sz w:val="24"/>
          <w:szCs w:val="24"/>
        </w:rPr>
        <w:t>is consistent with the regime for residential tenancy agreements.</w:t>
      </w:r>
      <w:r w:rsidR="00D64002">
        <w:rPr>
          <w:rFonts w:ascii="Arial" w:hAnsi="Arial" w:cs="Arial"/>
          <w:sz w:val="24"/>
          <w:szCs w:val="24"/>
        </w:rPr>
        <w:t xml:space="preserve"> </w:t>
      </w:r>
      <w:r w:rsidR="00D701E8">
        <w:rPr>
          <w:rFonts w:ascii="Arial" w:hAnsi="Arial" w:cs="Arial"/>
          <w:sz w:val="24"/>
          <w:szCs w:val="24"/>
        </w:rPr>
        <w:t>However, n</w:t>
      </w:r>
      <w:r w:rsidR="00D64002">
        <w:rPr>
          <w:rFonts w:ascii="Arial" w:hAnsi="Arial" w:cs="Arial"/>
          <w:sz w:val="24"/>
          <w:szCs w:val="24"/>
        </w:rPr>
        <w:t>othing in this provision disturbs the ability of</w:t>
      </w:r>
      <w:r w:rsidR="00D701E8">
        <w:rPr>
          <w:rFonts w:ascii="Arial" w:hAnsi="Arial" w:cs="Arial"/>
          <w:sz w:val="24"/>
          <w:szCs w:val="24"/>
        </w:rPr>
        <w:t xml:space="preserve"> the</w:t>
      </w:r>
      <w:r w:rsidR="00D64002">
        <w:rPr>
          <w:rFonts w:ascii="Arial" w:hAnsi="Arial" w:cs="Arial"/>
          <w:sz w:val="24"/>
          <w:szCs w:val="24"/>
        </w:rPr>
        <w:t xml:space="preserve"> grantor to use self-help</w:t>
      </w:r>
      <w:r w:rsidR="00D701E8">
        <w:rPr>
          <w:rFonts w:ascii="Arial" w:hAnsi="Arial" w:cs="Arial"/>
          <w:sz w:val="24"/>
          <w:szCs w:val="24"/>
        </w:rPr>
        <w:t xml:space="preserve"> evictions in respect of occupancy agreements. </w:t>
      </w:r>
      <w:r w:rsidR="00D64002">
        <w:rPr>
          <w:rFonts w:ascii="Arial" w:hAnsi="Arial" w:cs="Arial"/>
          <w:sz w:val="24"/>
          <w:szCs w:val="24"/>
        </w:rPr>
        <w:t xml:space="preserve"> </w:t>
      </w:r>
    </w:p>
    <w:p w14:paraId="08CDD313" w14:textId="79A014A2" w:rsidR="00A903D8" w:rsidRPr="000A031E" w:rsidRDefault="00A903D8" w:rsidP="00A903D8">
      <w:pPr>
        <w:spacing w:after="240" w:line="240" w:lineRule="auto"/>
        <w:rPr>
          <w:rFonts w:ascii="Arial" w:hAnsi="Arial" w:cs="Arial"/>
          <w:sz w:val="24"/>
          <w:szCs w:val="24"/>
        </w:rPr>
      </w:pPr>
      <w:r>
        <w:rPr>
          <w:rFonts w:ascii="Arial" w:hAnsi="Arial" w:cs="Arial"/>
          <w:sz w:val="24"/>
          <w:szCs w:val="24"/>
        </w:rPr>
        <w:t xml:space="preserve">Section </w:t>
      </w:r>
      <w:r w:rsidR="00655A9A">
        <w:rPr>
          <w:rFonts w:ascii="Arial" w:hAnsi="Arial" w:cs="Arial"/>
          <w:sz w:val="24"/>
          <w:szCs w:val="24"/>
        </w:rPr>
        <w:t xml:space="preserve">71EM </w:t>
      </w:r>
      <w:r>
        <w:rPr>
          <w:rFonts w:ascii="Arial" w:hAnsi="Arial" w:cs="Arial"/>
          <w:sz w:val="24"/>
          <w:szCs w:val="24"/>
        </w:rPr>
        <w:t xml:space="preserve">provides a right to the grantor to ascertain if the premises subject to an occupancy agreement have been abandoned. </w:t>
      </w:r>
      <w:r w:rsidRPr="00F37AA1">
        <w:rPr>
          <w:rFonts w:ascii="Arial" w:hAnsi="Arial" w:cs="Arial"/>
          <w:sz w:val="24"/>
          <w:szCs w:val="24"/>
        </w:rPr>
        <w:t xml:space="preserve">The provision only authorises the </w:t>
      </w:r>
      <w:r>
        <w:rPr>
          <w:rFonts w:ascii="Arial" w:hAnsi="Arial" w:cs="Arial"/>
          <w:sz w:val="24"/>
          <w:szCs w:val="24"/>
        </w:rPr>
        <w:t>grantor</w:t>
      </w:r>
      <w:r w:rsidRPr="00F37AA1">
        <w:rPr>
          <w:rFonts w:ascii="Arial" w:hAnsi="Arial" w:cs="Arial"/>
          <w:sz w:val="24"/>
          <w:szCs w:val="24"/>
        </w:rPr>
        <w:t xml:space="preserve"> to enter the premises to confirm whether they have been abandoned.  It does not authorise the </w:t>
      </w:r>
      <w:r>
        <w:rPr>
          <w:rFonts w:ascii="Arial" w:hAnsi="Arial" w:cs="Arial"/>
          <w:sz w:val="24"/>
          <w:szCs w:val="24"/>
        </w:rPr>
        <w:t>grantor</w:t>
      </w:r>
      <w:r w:rsidRPr="00F37AA1">
        <w:rPr>
          <w:rFonts w:ascii="Arial" w:hAnsi="Arial" w:cs="Arial"/>
          <w:sz w:val="24"/>
          <w:szCs w:val="24"/>
        </w:rPr>
        <w:t xml:space="preserve"> to take any further steps that are not otherwise authorised by the </w:t>
      </w:r>
      <w:r>
        <w:rPr>
          <w:rFonts w:ascii="Arial" w:hAnsi="Arial" w:cs="Arial"/>
          <w:sz w:val="24"/>
          <w:szCs w:val="24"/>
        </w:rPr>
        <w:t>RTA</w:t>
      </w:r>
      <w:r w:rsidRPr="00F37AA1">
        <w:rPr>
          <w:rFonts w:ascii="Arial" w:hAnsi="Arial" w:cs="Arial"/>
          <w:sz w:val="24"/>
          <w:szCs w:val="24"/>
        </w:rPr>
        <w:t xml:space="preserve">. In addition, section </w:t>
      </w:r>
      <w:r w:rsidR="00300B92">
        <w:rPr>
          <w:rFonts w:ascii="Arial" w:hAnsi="Arial" w:cs="Arial"/>
          <w:sz w:val="24"/>
          <w:szCs w:val="24"/>
        </w:rPr>
        <w:t>71EM</w:t>
      </w:r>
      <w:r w:rsidRPr="00F37AA1">
        <w:rPr>
          <w:rFonts w:ascii="Arial" w:hAnsi="Arial" w:cs="Arial"/>
          <w:sz w:val="24"/>
          <w:szCs w:val="24"/>
        </w:rPr>
        <w:t xml:space="preserve">(3) provides that the </w:t>
      </w:r>
      <w:r>
        <w:rPr>
          <w:rFonts w:ascii="Arial" w:hAnsi="Arial" w:cs="Arial"/>
          <w:sz w:val="24"/>
          <w:szCs w:val="24"/>
        </w:rPr>
        <w:t>grantor</w:t>
      </w:r>
      <w:r w:rsidRPr="00F37AA1">
        <w:rPr>
          <w:rFonts w:ascii="Arial" w:hAnsi="Arial" w:cs="Arial"/>
          <w:sz w:val="24"/>
          <w:szCs w:val="24"/>
        </w:rPr>
        <w:t xml:space="preserve"> may only enter the premises at a reasonable time. The </w:t>
      </w:r>
      <w:r>
        <w:rPr>
          <w:rFonts w:ascii="Arial" w:hAnsi="Arial" w:cs="Arial"/>
          <w:sz w:val="24"/>
          <w:szCs w:val="24"/>
        </w:rPr>
        <w:t>grantor</w:t>
      </w:r>
      <w:r w:rsidRPr="00F37AA1">
        <w:rPr>
          <w:rFonts w:ascii="Arial" w:hAnsi="Arial" w:cs="Arial"/>
          <w:sz w:val="24"/>
          <w:szCs w:val="24"/>
        </w:rPr>
        <w:t xml:space="preserve"> must not enter the premises on Sunday, on a public holiday, before 8am or after 6pm. This provision is proposed with the intention of minimising inconvenience to the </w:t>
      </w:r>
      <w:r>
        <w:rPr>
          <w:rFonts w:ascii="Arial" w:hAnsi="Arial" w:cs="Arial"/>
          <w:sz w:val="24"/>
          <w:szCs w:val="24"/>
        </w:rPr>
        <w:t>occupant</w:t>
      </w:r>
      <w:r w:rsidRPr="00F37AA1">
        <w:rPr>
          <w:rFonts w:ascii="Arial" w:hAnsi="Arial" w:cs="Arial"/>
          <w:sz w:val="24"/>
          <w:szCs w:val="24"/>
        </w:rPr>
        <w:t xml:space="preserve"> in the event that the premises have not been abandoned.</w:t>
      </w:r>
      <w:r>
        <w:rPr>
          <w:rFonts w:ascii="Arial" w:hAnsi="Arial" w:cs="Arial"/>
          <w:sz w:val="24"/>
          <w:szCs w:val="24"/>
        </w:rPr>
        <w:t xml:space="preserve"> The provision is similar to section 61A of the RTA, except that this provision includes a higher threshold of the occupancy fee not being paid for at least three consecutive periods. It is intended that a grantor who continues to receive money from the occupant cannot form the belief that the premises have been abandoned. </w:t>
      </w:r>
    </w:p>
    <w:p w14:paraId="5B27279D" w14:textId="370531A1" w:rsidR="00A903D8" w:rsidRDefault="00A903D8" w:rsidP="00A903D8">
      <w:pPr>
        <w:spacing w:after="240" w:line="240" w:lineRule="auto"/>
        <w:rPr>
          <w:rFonts w:ascii="Arial" w:hAnsi="Arial" w:cs="Arial"/>
          <w:b/>
          <w:sz w:val="24"/>
          <w:szCs w:val="24"/>
        </w:rPr>
      </w:pPr>
      <w:r>
        <w:rPr>
          <w:rFonts w:ascii="Arial" w:hAnsi="Arial" w:cs="Arial"/>
          <w:b/>
          <w:sz w:val="24"/>
          <w:szCs w:val="24"/>
        </w:rPr>
        <w:t xml:space="preserve">Clause </w:t>
      </w:r>
      <w:r w:rsidR="00655A9A">
        <w:rPr>
          <w:rFonts w:ascii="Arial" w:hAnsi="Arial" w:cs="Arial"/>
          <w:b/>
          <w:sz w:val="24"/>
          <w:szCs w:val="24"/>
        </w:rPr>
        <w:t>28</w:t>
      </w:r>
      <w:r>
        <w:rPr>
          <w:rFonts w:ascii="Arial" w:hAnsi="Arial" w:cs="Arial"/>
          <w:b/>
          <w:sz w:val="24"/>
          <w:szCs w:val="24"/>
        </w:rPr>
        <w:tab/>
        <w:t>Section</w:t>
      </w:r>
      <w:r w:rsidR="00655A9A">
        <w:rPr>
          <w:rFonts w:ascii="Arial" w:hAnsi="Arial" w:cs="Arial"/>
          <w:b/>
          <w:sz w:val="24"/>
          <w:szCs w:val="24"/>
        </w:rPr>
        <w:t>s 71G and</w:t>
      </w:r>
      <w:r>
        <w:rPr>
          <w:rFonts w:ascii="Arial" w:hAnsi="Arial" w:cs="Arial"/>
          <w:b/>
          <w:sz w:val="24"/>
          <w:szCs w:val="24"/>
        </w:rPr>
        <w:t xml:space="preserve"> 71GA</w:t>
      </w:r>
    </w:p>
    <w:p w14:paraId="2B935469" w14:textId="54C216D3" w:rsidR="00655A9A" w:rsidRDefault="00655A9A" w:rsidP="00A903D8">
      <w:pPr>
        <w:spacing w:after="240" w:line="240" w:lineRule="auto"/>
        <w:rPr>
          <w:rFonts w:ascii="Arial" w:hAnsi="Arial" w:cs="Arial"/>
          <w:sz w:val="24"/>
          <w:szCs w:val="24"/>
        </w:rPr>
      </w:pPr>
      <w:r>
        <w:rPr>
          <w:rFonts w:ascii="Arial" w:hAnsi="Arial" w:cs="Arial"/>
          <w:sz w:val="24"/>
          <w:szCs w:val="24"/>
        </w:rPr>
        <w:t>This clause removes section 71G as there are no standard occupancy agreements.</w:t>
      </w:r>
    </w:p>
    <w:p w14:paraId="08279638" w14:textId="6126E105" w:rsidR="00A903D8" w:rsidRDefault="00A903D8" w:rsidP="00A903D8">
      <w:pPr>
        <w:spacing w:after="240" w:line="240" w:lineRule="auto"/>
        <w:rPr>
          <w:rFonts w:ascii="Arial" w:hAnsi="Arial" w:cs="Arial"/>
          <w:sz w:val="24"/>
          <w:szCs w:val="24"/>
        </w:rPr>
      </w:pPr>
      <w:r>
        <w:rPr>
          <w:rFonts w:ascii="Arial" w:hAnsi="Arial" w:cs="Arial"/>
          <w:sz w:val="24"/>
          <w:szCs w:val="24"/>
        </w:rPr>
        <w:t>This clause removes section 71GA as security deposits must now be deposited with the Territory by the grantor.</w:t>
      </w:r>
    </w:p>
    <w:p w14:paraId="71BA9032" w14:textId="5D4DCEAB" w:rsidR="00A903D8" w:rsidRDefault="00A903D8" w:rsidP="00A903D8">
      <w:pPr>
        <w:spacing w:after="240" w:line="240" w:lineRule="auto"/>
        <w:rPr>
          <w:rFonts w:ascii="Arial" w:hAnsi="Arial" w:cs="Arial"/>
          <w:b/>
          <w:sz w:val="24"/>
          <w:szCs w:val="24"/>
        </w:rPr>
      </w:pPr>
      <w:r>
        <w:rPr>
          <w:rFonts w:ascii="Arial" w:hAnsi="Arial" w:cs="Arial"/>
          <w:b/>
          <w:sz w:val="24"/>
          <w:szCs w:val="24"/>
        </w:rPr>
        <w:lastRenderedPageBreak/>
        <w:t xml:space="preserve">Clause </w:t>
      </w:r>
      <w:r w:rsidR="00655A9A">
        <w:rPr>
          <w:rFonts w:ascii="Arial" w:hAnsi="Arial" w:cs="Arial"/>
          <w:b/>
          <w:sz w:val="24"/>
          <w:szCs w:val="24"/>
        </w:rPr>
        <w:t>29</w:t>
      </w:r>
      <w:r>
        <w:rPr>
          <w:rFonts w:ascii="Arial" w:hAnsi="Arial" w:cs="Arial"/>
          <w:b/>
          <w:sz w:val="24"/>
          <w:szCs w:val="24"/>
        </w:rPr>
        <w:tab/>
        <w:t>New part 5B</w:t>
      </w:r>
    </w:p>
    <w:p w14:paraId="1D3AD4AA" w14:textId="77777777" w:rsidR="00A903D8" w:rsidRDefault="00A903D8" w:rsidP="00A903D8">
      <w:pPr>
        <w:spacing w:after="240" w:line="240" w:lineRule="auto"/>
        <w:rPr>
          <w:rFonts w:ascii="Arial" w:hAnsi="Arial" w:cs="Arial"/>
          <w:sz w:val="24"/>
          <w:szCs w:val="24"/>
        </w:rPr>
      </w:pPr>
      <w:r>
        <w:rPr>
          <w:rFonts w:ascii="Arial" w:hAnsi="Arial" w:cs="Arial"/>
          <w:sz w:val="24"/>
          <w:szCs w:val="24"/>
        </w:rPr>
        <w:t>This clause inserts a new part into the RTA to provide additional provisions for occupancy agreements in residential parks.</w:t>
      </w:r>
    </w:p>
    <w:p w14:paraId="74FD3307" w14:textId="77777777" w:rsidR="00A903D8" w:rsidRDefault="00A903D8" w:rsidP="00A903D8">
      <w:pPr>
        <w:spacing w:after="240" w:line="240" w:lineRule="auto"/>
        <w:rPr>
          <w:rFonts w:ascii="Arial" w:hAnsi="Arial" w:cs="Arial"/>
          <w:sz w:val="24"/>
          <w:szCs w:val="24"/>
        </w:rPr>
      </w:pPr>
      <w:r>
        <w:rPr>
          <w:rFonts w:ascii="Arial" w:hAnsi="Arial" w:cs="Arial"/>
          <w:sz w:val="24"/>
          <w:szCs w:val="24"/>
        </w:rPr>
        <w:t>Section 71H provides the definitions that operate within part 5B of the RTA. Where residential tenancy agreements and occupancy agreements attach to the premises, a person residing in a residential park might own the dwelling but not the site on which the dwelling is erected. A person in a residential park might also have a residential tenancy agreement if the operator of the park owns the dwelling. To avoid the problems that arise from these variations, the RTA attaches requirements to the site agreement such that a resident in a residential park enjoys similar rights to an occupant regarding their access to shared facilities.</w:t>
      </w:r>
    </w:p>
    <w:p w14:paraId="309B995E" w14:textId="77777777" w:rsidR="00A903D8" w:rsidRDefault="00A903D8" w:rsidP="00A903D8">
      <w:pPr>
        <w:spacing w:after="240" w:line="240" w:lineRule="auto"/>
        <w:rPr>
          <w:rFonts w:ascii="Arial" w:hAnsi="Arial" w:cs="Arial"/>
          <w:sz w:val="24"/>
          <w:szCs w:val="24"/>
        </w:rPr>
      </w:pPr>
      <w:r>
        <w:rPr>
          <w:rFonts w:ascii="Arial" w:hAnsi="Arial" w:cs="Arial"/>
          <w:sz w:val="24"/>
          <w:szCs w:val="24"/>
        </w:rPr>
        <w:t>Section 71I states that a tenant or occupant under a residential park agreement must have access at reasonable hours to shared park facilities. Restriction on access might be reasonable if the use at certain hours interferes with the quiet enjoyment of other users of the residential park.</w:t>
      </w:r>
    </w:p>
    <w:p w14:paraId="5C576E82" w14:textId="5BDA6EE9" w:rsidR="00A903D8" w:rsidRDefault="00A903D8" w:rsidP="00A903D8">
      <w:pPr>
        <w:spacing w:after="240" w:line="240" w:lineRule="auto"/>
        <w:rPr>
          <w:rFonts w:ascii="Arial" w:hAnsi="Arial" w:cs="Arial"/>
          <w:sz w:val="24"/>
          <w:szCs w:val="24"/>
        </w:rPr>
      </w:pPr>
      <w:r>
        <w:rPr>
          <w:rFonts w:ascii="Arial" w:hAnsi="Arial" w:cs="Arial"/>
          <w:sz w:val="24"/>
          <w:szCs w:val="24"/>
        </w:rPr>
        <w:t>Section 71J defines</w:t>
      </w:r>
      <w:r w:rsidR="00013AB0">
        <w:rPr>
          <w:rFonts w:ascii="Arial" w:hAnsi="Arial" w:cs="Arial"/>
          <w:sz w:val="24"/>
          <w:szCs w:val="24"/>
        </w:rPr>
        <w:t xml:space="preserve"> the terms</w:t>
      </w:r>
      <w:r>
        <w:rPr>
          <w:rFonts w:ascii="Arial" w:hAnsi="Arial" w:cs="Arial"/>
          <w:sz w:val="24"/>
          <w:szCs w:val="24"/>
        </w:rPr>
        <w:t xml:space="preserve"> </w:t>
      </w:r>
      <w:r w:rsidR="00013AB0">
        <w:rPr>
          <w:rFonts w:ascii="Arial" w:hAnsi="Arial" w:cs="Arial"/>
          <w:sz w:val="24"/>
          <w:szCs w:val="24"/>
        </w:rPr>
        <w:t>‘</w:t>
      </w:r>
      <w:r>
        <w:rPr>
          <w:rFonts w:ascii="Arial" w:hAnsi="Arial" w:cs="Arial"/>
          <w:sz w:val="24"/>
          <w:szCs w:val="24"/>
        </w:rPr>
        <w:t>assignee</w:t>
      </w:r>
      <w:r w:rsidR="00013AB0">
        <w:rPr>
          <w:rFonts w:ascii="Arial" w:hAnsi="Arial" w:cs="Arial"/>
          <w:sz w:val="24"/>
          <w:szCs w:val="24"/>
        </w:rPr>
        <w:t>’</w:t>
      </w:r>
      <w:r>
        <w:rPr>
          <w:rFonts w:ascii="Arial" w:hAnsi="Arial" w:cs="Arial"/>
          <w:sz w:val="24"/>
          <w:szCs w:val="24"/>
        </w:rPr>
        <w:t xml:space="preserve"> and </w:t>
      </w:r>
      <w:r w:rsidR="00013AB0">
        <w:rPr>
          <w:rFonts w:ascii="Arial" w:hAnsi="Arial" w:cs="Arial"/>
          <w:sz w:val="24"/>
          <w:szCs w:val="24"/>
        </w:rPr>
        <w:t>‘</w:t>
      </w:r>
      <w:r>
        <w:rPr>
          <w:rFonts w:ascii="Arial" w:hAnsi="Arial" w:cs="Arial"/>
          <w:sz w:val="24"/>
          <w:szCs w:val="24"/>
        </w:rPr>
        <w:t>assignor</w:t>
      </w:r>
      <w:r w:rsidR="00013AB0">
        <w:rPr>
          <w:rFonts w:ascii="Arial" w:hAnsi="Arial" w:cs="Arial"/>
          <w:sz w:val="24"/>
          <w:szCs w:val="24"/>
        </w:rPr>
        <w:t>’</w:t>
      </w:r>
      <w:r>
        <w:rPr>
          <w:rFonts w:ascii="Arial" w:hAnsi="Arial" w:cs="Arial"/>
          <w:sz w:val="24"/>
          <w:szCs w:val="24"/>
        </w:rPr>
        <w:t xml:space="preserve"> for the purposes of division 5B.3 so that there is a consistent definition for the following provisions. Division 5B.3 facilitates the assignment of interests in a residential park agreement. This might be done, for example, so that an owner of a manufactured home might sublet a room in their home to another person. An owner of a dwelling might also want to have their partner live with them on a permanent basis. In these cases, the assignor is the original resident and the assignee is the original resident and the new resident together. </w:t>
      </w:r>
    </w:p>
    <w:p w14:paraId="21375662" w14:textId="77777777" w:rsidR="00A903D8" w:rsidRDefault="00A903D8" w:rsidP="00A903D8">
      <w:pPr>
        <w:spacing w:after="240" w:line="240" w:lineRule="auto"/>
        <w:rPr>
          <w:rFonts w:ascii="Arial" w:hAnsi="Arial" w:cs="Arial"/>
          <w:sz w:val="24"/>
          <w:szCs w:val="24"/>
        </w:rPr>
      </w:pPr>
      <w:r>
        <w:rPr>
          <w:rFonts w:ascii="Arial" w:hAnsi="Arial" w:cs="Arial"/>
          <w:sz w:val="24"/>
          <w:szCs w:val="24"/>
        </w:rPr>
        <w:t>Section 71K provides that this assignment may only occur with the consent of the operator of the park. The assignor must provide specified information to the owner of the park when seeking their consent.</w:t>
      </w:r>
    </w:p>
    <w:p w14:paraId="62F9A951" w14:textId="0CFE6684" w:rsidR="00A903D8" w:rsidRDefault="00A903D8" w:rsidP="00A903D8">
      <w:pPr>
        <w:spacing w:after="240" w:line="240" w:lineRule="auto"/>
        <w:rPr>
          <w:rFonts w:ascii="Arial" w:hAnsi="Arial" w:cs="Arial"/>
          <w:sz w:val="24"/>
          <w:szCs w:val="24"/>
        </w:rPr>
      </w:pPr>
      <w:r>
        <w:rPr>
          <w:rFonts w:ascii="Arial" w:hAnsi="Arial" w:cs="Arial"/>
          <w:sz w:val="24"/>
          <w:szCs w:val="24"/>
        </w:rPr>
        <w:t xml:space="preserve">Section 71L provides how the operator of the park may give or refuse consent to the request. If the operator does not take any action within </w:t>
      </w:r>
      <w:r w:rsidR="00417E1F">
        <w:rPr>
          <w:rFonts w:ascii="Arial" w:hAnsi="Arial" w:cs="Arial"/>
          <w:sz w:val="24"/>
          <w:szCs w:val="24"/>
        </w:rPr>
        <w:t xml:space="preserve">14 </w:t>
      </w:r>
      <w:r>
        <w:rPr>
          <w:rFonts w:ascii="Arial" w:hAnsi="Arial" w:cs="Arial"/>
          <w:sz w:val="24"/>
          <w:szCs w:val="24"/>
        </w:rPr>
        <w:t>days of the request, they are taken to have consented.</w:t>
      </w:r>
    </w:p>
    <w:p w14:paraId="1EE17FB7" w14:textId="77777777" w:rsidR="00A903D8" w:rsidRDefault="00A903D8" w:rsidP="00A903D8">
      <w:pPr>
        <w:spacing w:after="240" w:line="240" w:lineRule="auto"/>
        <w:rPr>
          <w:rFonts w:ascii="Arial" w:hAnsi="Arial" w:cs="Arial"/>
          <w:sz w:val="24"/>
          <w:szCs w:val="24"/>
        </w:rPr>
      </w:pPr>
      <w:r>
        <w:rPr>
          <w:rFonts w:ascii="Arial" w:hAnsi="Arial" w:cs="Arial"/>
          <w:sz w:val="24"/>
          <w:szCs w:val="24"/>
        </w:rPr>
        <w:t>Section 71M ensures that the residential park agreement survives the assignment of interests. It prevents a new deposit from being required, and ensures that the assignor is still liable for liabilities incurred prior to the assignment.</w:t>
      </w:r>
    </w:p>
    <w:p w14:paraId="4BED498D" w14:textId="77777777" w:rsidR="00A903D8" w:rsidRDefault="00A903D8" w:rsidP="00A903D8">
      <w:pPr>
        <w:spacing w:after="240" w:line="240" w:lineRule="auto"/>
        <w:rPr>
          <w:rFonts w:ascii="Arial" w:hAnsi="Arial" w:cs="Arial"/>
          <w:sz w:val="24"/>
          <w:szCs w:val="24"/>
        </w:rPr>
      </w:pPr>
      <w:r>
        <w:rPr>
          <w:rFonts w:ascii="Arial" w:hAnsi="Arial" w:cs="Arial"/>
          <w:sz w:val="24"/>
          <w:szCs w:val="24"/>
        </w:rPr>
        <w:t>Division 5B.4 of the RTA facilitates the sale of manufactured homes and mobile homes that are owned by residents of residential parks.</w:t>
      </w:r>
    </w:p>
    <w:p w14:paraId="03F1988C" w14:textId="77777777" w:rsidR="00D87810" w:rsidRDefault="00A903D8" w:rsidP="00A903D8">
      <w:pPr>
        <w:spacing w:after="240" w:line="240" w:lineRule="auto"/>
        <w:rPr>
          <w:rFonts w:ascii="Arial" w:hAnsi="Arial" w:cs="Arial"/>
          <w:sz w:val="24"/>
          <w:szCs w:val="24"/>
        </w:rPr>
      </w:pPr>
      <w:r>
        <w:rPr>
          <w:rFonts w:ascii="Arial" w:hAnsi="Arial" w:cs="Arial"/>
          <w:sz w:val="24"/>
          <w:szCs w:val="24"/>
        </w:rPr>
        <w:t xml:space="preserve">Section 71N details the process that must be followed by the owner of the premises and the operator of the park in relation to a sale. The operator of the park is restrained from interfering with the sale of the premises, and the section states some grounds upon which an operator might be taken to have interfered with the sale. </w:t>
      </w:r>
    </w:p>
    <w:p w14:paraId="56C423E0" w14:textId="77777777" w:rsidR="00D87810" w:rsidRDefault="00D87810" w:rsidP="00A903D8">
      <w:pPr>
        <w:spacing w:after="240" w:line="240" w:lineRule="auto"/>
        <w:rPr>
          <w:rFonts w:ascii="Arial" w:hAnsi="Arial" w:cs="Arial"/>
          <w:sz w:val="24"/>
          <w:szCs w:val="24"/>
        </w:rPr>
      </w:pPr>
    </w:p>
    <w:p w14:paraId="6ADB1BF1" w14:textId="77777777" w:rsidR="00D87810" w:rsidRDefault="00D87810" w:rsidP="00A903D8">
      <w:pPr>
        <w:spacing w:after="240" w:line="240" w:lineRule="auto"/>
        <w:rPr>
          <w:rFonts w:ascii="Arial" w:hAnsi="Arial" w:cs="Arial"/>
          <w:sz w:val="24"/>
          <w:szCs w:val="24"/>
        </w:rPr>
      </w:pPr>
    </w:p>
    <w:p w14:paraId="692B774B" w14:textId="3DA12A28" w:rsidR="00A903D8" w:rsidRDefault="00A903D8" w:rsidP="00A903D8">
      <w:pPr>
        <w:spacing w:after="240" w:line="240" w:lineRule="auto"/>
        <w:rPr>
          <w:rFonts w:ascii="Arial" w:hAnsi="Arial" w:cs="Arial"/>
          <w:sz w:val="24"/>
          <w:szCs w:val="24"/>
        </w:rPr>
      </w:pPr>
      <w:r>
        <w:rPr>
          <w:rFonts w:ascii="Arial" w:hAnsi="Arial" w:cs="Arial"/>
          <w:sz w:val="24"/>
          <w:szCs w:val="24"/>
        </w:rPr>
        <w:lastRenderedPageBreak/>
        <w:t>Subsection (5) states that the operator will not be taken to have interfered with the sale only because they imposed reasonable conditions relating to potential buyers entering or remaining in the park that are reasonable in the circumstances (for example, potential buyers arriving very late at night and disrupting other users of the park). It also states that the operator will not be taken to have interfered with the sale only because they reasonably refused to consent to a proposed assignment of the person’s interest in the site agreement. This situation might occur if the operator of the park reasonably believes that the premises presents a risk to other users of the park and has been initiating processes to effect a removal of the premises.</w:t>
      </w:r>
    </w:p>
    <w:p w14:paraId="438C669E" w14:textId="77777777" w:rsidR="00A903D8" w:rsidRDefault="00A903D8" w:rsidP="00A903D8">
      <w:pPr>
        <w:spacing w:after="240" w:line="240" w:lineRule="auto"/>
        <w:rPr>
          <w:rFonts w:ascii="Arial" w:hAnsi="Arial" w:cs="Arial"/>
          <w:sz w:val="24"/>
          <w:szCs w:val="24"/>
        </w:rPr>
      </w:pPr>
      <w:r>
        <w:rPr>
          <w:rFonts w:ascii="Arial" w:hAnsi="Arial" w:cs="Arial"/>
          <w:sz w:val="24"/>
          <w:szCs w:val="24"/>
        </w:rPr>
        <w:t>Section 71O operates where there has been a sale of a premises to another person. If the buyer of the premises has no right to keep the premises on the site, they must remove the premises. If the buyer requests it, the operator of the park must not unreasonably refuse to enter into a site agreement with the buyer. This section strikes a balance between the rights of a park operator and a buyer of a premises.</w:t>
      </w:r>
    </w:p>
    <w:p w14:paraId="7C49843A" w14:textId="16AF9B1D" w:rsidR="00A903D8" w:rsidRPr="00D6115E" w:rsidRDefault="00A903D8" w:rsidP="00A903D8">
      <w:pPr>
        <w:spacing w:after="240" w:line="240" w:lineRule="auto"/>
        <w:rPr>
          <w:rFonts w:ascii="Arial" w:hAnsi="Arial" w:cs="Arial"/>
          <w:b/>
          <w:sz w:val="24"/>
          <w:szCs w:val="24"/>
        </w:rPr>
      </w:pPr>
      <w:r>
        <w:rPr>
          <w:rFonts w:ascii="Arial" w:hAnsi="Arial" w:cs="Arial"/>
          <w:b/>
          <w:sz w:val="24"/>
          <w:szCs w:val="24"/>
        </w:rPr>
        <w:t>Clause 3</w:t>
      </w:r>
      <w:r w:rsidR="00417E1F">
        <w:rPr>
          <w:rFonts w:ascii="Arial" w:hAnsi="Arial" w:cs="Arial"/>
          <w:b/>
          <w:sz w:val="24"/>
          <w:szCs w:val="24"/>
        </w:rPr>
        <w:t>0</w:t>
      </w:r>
      <w:r>
        <w:rPr>
          <w:rFonts w:ascii="Arial" w:hAnsi="Arial" w:cs="Arial"/>
          <w:b/>
          <w:sz w:val="24"/>
          <w:szCs w:val="24"/>
        </w:rPr>
        <w:tab/>
        <w:t xml:space="preserve">Meaning of </w:t>
      </w:r>
      <w:r>
        <w:rPr>
          <w:rFonts w:ascii="Arial" w:hAnsi="Arial" w:cs="Arial"/>
          <w:b/>
          <w:i/>
          <w:iCs/>
          <w:sz w:val="24"/>
          <w:szCs w:val="24"/>
        </w:rPr>
        <w:t>tenancy dispute</w:t>
      </w:r>
      <w:r>
        <w:rPr>
          <w:rFonts w:ascii="Arial" w:hAnsi="Arial" w:cs="Arial"/>
          <w:b/>
          <w:sz w:val="24"/>
          <w:szCs w:val="24"/>
        </w:rPr>
        <w:br/>
      </w:r>
      <w:r>
        <w:rPr>
          <w:rFonts w:ascii="Arial" w:hAnsi="Arial" w:cs="Arial"/>
          <w:b/>
          <w:sz w:val="24"/>
          <w:szCs w:val="24"/>
        </w:rPr>
        <w:tab/>
      </w:r>
      <w:r>
        <w:rPr>
          <w:rFonts w:ascii="Arial" w:hAnsi="Arial" w:cs="Arial"/>
          <w:b/>
          <w:sz w:val="24"/>
          <w:szCs w:val="24"/>
        </w:rPr>
        <w:tab/>
        <w:t>Section 72 (1) (a)</w:t>
      </w:r>
    </w:p>
    <w:p w14:paraId="2B629431" w14:textId="77777777" w:rsidR="00A903D8" w:rsidRDefault="00A903D8" w:rsidP="00A903D8">
      <w:pPr>
        <w:spacing w:after="240" w:line="240" w:lineRule="auto"/>
        <w:rPr>
          <w:rFonts w:ascii="Arial" w:hAnsi="Arial" w:cs="Arial"/>
          <w:sz w:val="24"/>
          <w:szCs w:val="24"/>
        </w:rPr>
      </w:pPr>
      <w:bookmarkStart w:id="9" w:name="_Hlk32310501"/>
      <w:r>
        <w:rPr>
          <w:rFonts w:ascii="Arial" w:hAnsi="Arial" w:cs="Arial"/>
          <w:sz w:val="24"/>
          <w:szCs w:val="24"/>
        </w:rPr>
        <w:t>This clause clarifies that disputes between co-tenants are a form of tenancy dispute.</w:t>
      </w:r>
      <w:bookmarkEnd w:id="9"/>
    </w:p>
    <w:p w14:paraId="0A3EC8A5" w14:textId="3A18E390" w:rsidR="002C2E65" w:rsidRDefault="00A903D8" w:rsidP="00A903D8">
      <w:pPr>
        <w:spacing w:after="240" w:line="240" w:lineRule="auto"/>
        <w:rPr>
          <w:rFonts w:ascii="Arial" w:hAnsi="Arial" w:cs="Arial"/>
          <w:b/>
          <w:iCs/>
          <w:sz w:val="24"/>
          <w:szCs w:val="24"/>
        </w:rPr>
      </w:pPr>
      <w:r>
        <w:rPr>
          <w:rFonts w:ascii="Arial" w:hAnsi="Arial" w:cs="Arial"/>
          <w:b/>
          <w:sz w:val="24"/>
          <w:szCs w:val="24"/>
        </w:rPr>
        <w:t xml:space="preserve">Clause </w:t>
      </w:r>
      <w:r w:rsidR="00417E1F">
        <w:rPr>
          <w:rFonts w:ascii="Arial" w:hAnsi="Arial" w:cs="Arial"/>
          <w:b/>
          <w:sz w:val="24"/>
          <w:szCs w:val="24"/>
        </w:rPr>
        <w:t>31</w:t>
      </w:r>
      <w:r>
        <w:rPr>
          <w:rFonts w:ascii="Arial" w:hAnsi="Arial" w:cs="Arial"/>
          <w:b/>
          <w:sz w:val="24"/>
          <w:szCs w:val="24"/>
        </w:rPr>
        <w:tab/>
      </w:r>
      <w:r w:rsidR="002C2E65">
        <w:rPr>
          <w:rFonts w:ascii="Arial" w:hAnsi="Arial" w:cs="Arial"/>
          <w:b/>
          <w:sz w:val="24"/>
          <w:szCs w:val="24"/>
        </w:rPr>
        <w:t xml:space="preserve">Meaning of </w:t>
      </w:r>
      <w:r w:rsidR="002C2E65">
        <w:rPr>
          <w:rFonts w:ascii="Arial" w:hAnsi="Arial" w:cs="Arial"/>
          <w:b/>
          <w:i/>
          <w:iCs/>
          <w:sz w:val="24"/>
          <w:szCs w:val="24"/>
        </w:rPr>
        <w:t>occupancy dispute</w:t>
      </w:r>
      <w:r w:rsidR="002C2E65">
        <w:rPr>
          <w:rFonts w:ascii="Arial" w:hAnsi="Arial" w:cs="Arial"/>
          <w:b/>
          <w:iCs/>
          <w:sz w:val="24"/>
          <w:szCs w:val="24"/>
        </w:rPr>
        <w:br/>
      </w:r>
      <w:r w:rsidR="002C2E65">
        <w:rPr>
          <w:rFonts w:ascii="Arial" w:hAnsi="Arial" w:cs="Arial"/>
          <w:b/>
          <w:iCs/>
          <w:sz w:val="24"/>
          <w:szCs w:val="24"/>
        </w:rPr>
        <w:tab/>
      </w:r>
      <w:r w:rsidR="002C2E65">
        <w:rPr>
          <w:rFonts w:ascii="Arial" w:hAnsi="Arial" w:cs="Arial"/>
          <w:b/>
          <w:iCs/>
          <w:sz w:val="24"/>
          <w:szCs w:val="24"/>
        </w:rPr>
        <w:tab/>
        <w:t>New section 73 (2) and (3)</w:t>
      </w:r>
    </w:p>
    <w:p w14:paraId="67DEE72C" w14:textId="204FA2A4" w:rsidR="002C2E65" w:rsidRPr="002C2E65" w:rsidRDefault="002C2E65" w:rsidP="00A903D8">
      <w:pPr>
        <w:spacing w:after="240" w:line="240" w:lineRule="auto"/>
        <w:rPr>
          <w:rFonts w:ascii="Arial" w:hAnsi="Arial" w:cs="Arial"/>
          <w:b/>
          <w:iCs/>
          <w:sz w:val="24"/>
          <w:szCs w:val="24"/>
        </w:rPr>
      </w:pPr>
      <w:r>
        <w:rPr>
          <w:rFonts w:ascii="Arial" w:hAnsi="Arial" w:cs="Arial"/>
          <w:sz w:val="24"/>
          <w:szCs w:val="24"/>
        </w:rPr>
        <w:t xml:space="preserve">This clause amends the definition of an occupancy dispute. The Tribunal has the jurisdiction to hear occupancy disputes. This clause states that an occupancy dispute does not arise for </w:t>
      </w:r>
      <w:r w:rsidR="00D41AFF">
        <w:rPr>
          <w:rFonts w:ascii="Arial" w:hAnsi="Arial" w:cs="Arial"/>
          <w:sz w:val="24"/>
          <w:szCs w:val="24"/>
        </w:rPr>
        <w:t xml:space="preserve">occupancy agreements to which a university dispute resolution procedure applies until the parties have been unable to resolve the dispute within a reasonable time under the university dispute resolution procedure. </w:t>
      </w:r>
      <w:r w:rsidR="00013AB0">
        <w:rPr>
          <w:rFonts w:ascii="Arial" w:hAnsi="Arial" w:cs="Arial"/>
          <w:sz w:val="24"/>
          <w:szCs w:val="24"/>
        </w:rPr>
        <w:t>The intention of this provision is that</w:t>
      </w:r>
      <w:r w:rsidR="00D41AFF">
        <w:rPr>
          <w:rFonts w:ascii="Arial" w:hAnsi="Arial" w:cs="Arial"/>
          <w:sz w:val="24"/>
          <w:szCs w:val="24"/>
        </w:rPr>
        <w:t xml:space="preserve"> students in university accommodation will need to exhaust the university dispute resolution procedure before being able to take the matter to the Tribunal.</w:t>
      </w:r>
      <w:r w:rsidR="00D23A7B">
        <w:rPr>
          <w:rFonts w:ascii="Arial" w:hAnsi="Arial" w:cs="Arial"/>
          <w:sz w:val="24"/>
          <w:szCs w:val="24"/>
        </w:rPr>
        <w:t xml:space="preserve"> This is subject to the safeguard that a student will not be barred from brin</w:t>
      </w:r>
      <w:r w:rsidR="006109EE">
        <w:rPr>
          <w:rFonts w:ascii="Arial" w:hAnsi="Arial" w:cs="Arial"/>
          <w:sz w:val="24"/>
          <w:szCs w:val="24"/>
        </w:rPr>
        <w:t>g</w:t>
      </w:r>
      <w:r w:rsidR="00D23A7B">
        <w:rPr>
          <w:rFonts w:ascii="Arial" w:hAnsi="Arial" w:cs="Arial"/>
          <w:sz w:val="24"/>
          <w:szCs w:val="24"/>
        </w:rPr>
        <w:t xml:space="preserve">ing a matter to the Tribunal if </w:t>
      </w:r>
      <w:r w:rsidR="004A3012">
        <w:rPr>
          <w:rFonts w:ascii="Arial" w:hAnsi="Arial" w:cs="Arial"/>
          <w:sz w:val="24"/>
          <w:szCs w:val="24"/>
        </w:rPr>
        <w:t xml:space="preserve">the internal dispute resolution processes are not finalised within a reasonable time. </w:t>
      </w:r>
      <w:r w:rsidR="00CE4508">
        <w:rPr>
          <w:rFonts w:ascii="Arial" w:hAnsi="Arial" w:cs="Arial"/>
          <w:sz w:val="24"/>
          <w:szCs w:val="24"/>
        </w:rPr>
        <w:t>University students will also have access to conciliation processes</w:t>
      </w:r>
      <w:r w:rsidR="00FF1547">
        <w:rPr>
          <w:rFonts w:ascii="Arial" w:hAnsi="Arial" w:cs="Arial"/>
          <w:sz w:val="24"/>
          <w:szCs w:val="24"/>
        </w:rPr>
        <w:t xml:space="preserve"> under the </w:t>
      </w:r>
      <w:r w:rsidR="00FF1547">
        <w:rPr>
          <w:rFonts w:ascii="Arial" w:hAnsi="Arial" w:cs="Arial"/>
          <w:i/>
          <w:iCs/>
          <w:sz w:val="24"/>
          <w:szCs w:val="24"/>
        </w:rPr>
        <w:t>Human Rights Commission Act 2005</w:t>
      </w:r>
      <w:r w:rsidR="00CE4508">
        <w:rPr>
          <w:rFonts w:ascii="Arial" w:hAnsi="Arial" w:cs="Arial"/>
          <w:sz w:val="24"/>
          <w:szCs w:val="24"/>
        </w:rPr>
        <w:t xml:space="preserve"> </w:t>
      </w:r>
      <w:r w:rsidR="00FF1547">
        <w:rPr>
          <w:rFonts w:ascii="Arial" w:hAnsi="Arial" w:cs="Arial"/>
          <w:sz w:val="24"/>
          <w:szCs w:val="24"/>
        </w:rPr>
        <w:t>(</w:t>
      </w:r>
      <w:r w:rsidR="00CE4508">
        <w:rPr>
          <w:rFonts w:ascii="Arial" w:hAnsi="Arial" w:cs="Arial"/>
          <w:sz w:val="24"/>
          <w:szCs w:val="24"/>
        </w:rPr>
        <w:t>discussed below</w:t>
      </w:r>
      <w:r w:rsidR="00FF1547">
        <w:rPr>
          <w:rFonts w:ascii="Arial" w:hAnsi="Arial" w:cs="Arial"/>
          <w:sz w:val="24"/>
          <w:szCs w:val="24"/>
        </w:rPr>
        <w:t>)</w:t>
      </w:r>
      <w:r w:rsidR="00CE4508">
        <w:rPr>
          <w:rFonts w:ascii="Arial" w:hAnsi="Arial" w:cs="Arial"/>
          <w:sz w:val="24"/>
          <w:szCs w:val="24"/>
        </w:rPr>
        <w:t xml:space="preserve">. </w:t>
      </w:r>
    </w:p>
    <w:p w14:paraId="7FDBDDA9" w14:textId="1971AD74" w:rsidR="00A903D8" w:rsidRDefault="002C2E65" w:rsidP="00A903D8">
      <w:pPr>
        <w:spacing w:after="240" w:line="240" w:lineRule="auto"/>
        <w:rPr>
          <w:rFonts w:ascii="Arial" w:hAnsi="Arial" w:cs="Arial"/>
          <w:b/>
          <w:sz w:val="24"/>
          <w:szCs w:val="24"/>
        </w:rPr>
      </w:pPr>
      <w:r>
        <w:rPr>
          <w:rFonts w:ascii="Arial" w:hAnsi="Arial" w:cs="Arial"/>
          <w:b/>
          <w:sz w:val="24"/>
          <w:szCs w:val="24"/>
        </w:rPr>
        <w:t>Clause 32</w:t>
      </w:r>
      <w:r>
        <w:rPr>
          <w:rFonts w:ascii="Arial" w:hAnsi="Arial" w:cs="Arial"/>
          <w:b/>
          <w:sz w:val="24"/>
          <w:szCs w:val="24"/>
        </w:rPr>
        <w:tab/>
      </w:r>
      <w:r w:rsidR="00A903D8">
        <w:rPr>
          <w:rFonts w:ascii="Arial" w:hAnsi="Arial" w:cs="Arial"/>
          <w:b/>
          <w:sz w:val="24"/>
          <w:szCs w:val="24"/>
        </w:rPr>
        <w:t>Section 74</w:t>
      </w:r>
    </w:p>
    <w:p w14:paraId="30D38FA3" w14:textId="4FA5EC29" w:rsidR="00A903D8" w:rsidRPr="00D6115E" w:rsidRDefault="00A903D8" w:rsidP="00A903D8">
      <w:pPr>
        <w:spacing w:after="240" w:line="240" w:lineRule="auto"/>
        <w:rPr>
          <w:rFonts w:ascii="Arial" w:hAnsi="Arial" w:cs="Arial"/>
          <w:sz w:val="24"/>
          <w:szCs w:val="24"/>
        </w:rPr>
      </w:pPr>
      <w:r>
        <w:rPr>
          <w:rFonts w:ascii="Arial" w:hAnsi="Arial" w:cs="Arial"/>
          <w:sz w:val="24"/>
          <w:szCs w:val="24"/>
        </w:rPr>
        <w:t xml:space="preserve">This clause </w:t>
      </w:r>
      <w:r w:rsidR="00300B92">
        <w:rPr>
          <w:rFonts w:ascii="Arial" w:hAnsi="Arial" w:cs="Arial"/>
          <w:sz w:val="24"/>
          <w:szCs w:val="24"/>
        </w:rPr>
        <w:t xml:space="preserve">substitutes </w:t>
      </w:r>
      <w:r>
        <w:rPr>
          <w:rFonts w:ascii="Arial" w:hAnsi="Arial" w:cs="Arial"/>
          <w:sz w:val="24"/>
          <w:szCs w:val="24"/>
        </w:rPr>
        <w:t xml:space="preserve">section 74 as a result of the occupancy principles being mandatory. </w:t>
      </w:r>
      <w:r w:rsidR="00300B92">
        <w:rPr>
          <w:rFonts w:ascii="Arial" w:hAnsi="Arial" w:cs="Arial"/>
          <w:sz w:val="24"/>
          <w:szCs w:val="24"/>
        </w:rPr>
        <w:t>Substituted</w:t>
      </w:r>
      <w:r>
        <w:rPr>
          <w:rFonts w:ascii="Arial" w:hAnsi="Arial" w:cs="Arial"/>
          <w:sz w:val="24"/>
          <w:szCs w:val="24"/>
        </w:rPr>
        <w:t xml:space="preserve"> section 74 that clarifies that an occupant is not required to exhaust their other options under the RTA prior to making a complaint under the </w:t>
      </w:r>
      <w:r>
        <w:rPr>
          <w:rFonts w:ascii="Arial" w:hAnsi="Arial" w:cs="Arial"/>
          <w:i/>
          <w:iCs/>
          <w:sz w:val="24"/>
          <w:szCs w:val="24"/>
        </w:rPr>
        <w:t>Human Rights Commission Act 2005</w:t>
      </w:r>
      <w:r>
        <w:rPr>
          <w:rFonts w:ascii="Arial" w:hAnsi="Arial" w:cs="Arial"/>
          <w:sz w:val="24"/>
          <w:szCs w:val="24"/>
        </w:rPr>
        <w:t>.</w:t>
      </w:r>
    </w:p>
    <w:p w14:paraId="3F3A21C7" w14:textId="2B61CB12" w:rsidR="00A903D8" w:rsidRDefault="00A903D8" w:rsidP="00A903D8">
      <w:pPr>
        <w:spacing w:after="240" w:line="240" w:lineRule="auto"/>
        <w:rPr>
          <w:rFonts w:ascii="Arial" w:hAnsi="Arial" w:cs="Arial"/>
          <w:b/>
          <w:sz w:val="24"/>
          <w:szCs w:val="24"/>
        </w:rPr>
      </w:pPr>
      <w:r>
        <w:rPr>
          <w:rFonts w:ascii="Arial" w:hAnsi="Arial" w:cs="Arial"/>
          <w:b/>
          <w:sz w:val="24"/>
          <w:szCs w:val="24"/>
        </w:rPr>
        <w:t xml:space="preserve">Clause </w:t>
      </w:r>
      <w:r w:rsidR="00417E1F">
        <w:rPr>
          <w:rFonts w:ascii="Arial" w:hAnsi="Arial" w:cs="Arial"/>
          <w:b/>
          <w:sz w:val="24"/>
          <w:szCs w:val="24"/>
        </w:rPr>
        <w:t>3</w:t>
      </w:r>
      <w:r w:rsidR="00D41AFF">
        <w:rPr>
          <w:rFonts w:ascii="Arial" w:hAnsi="Arial" w:cs="Arial"/>
          <w:b/>
          <w:sz w:val="24"/>
          <w:szCs w:val="24"/>
        </w:rPr>
        <w:t>3</w:t>
      </w:r>
      <w:r>
        <w:rPr>
          <w:rFonts w:ascii="Arial" w:hAnsi="Arial" w:cs="Arial"/>
          <w:b/>
          <w:sz w:val="24"/>
          <w:szCs w:val="24"/>
        </w:rPr>
        <w:tab/>
        <w:t>Jurisdiction of ACAT under this Act etc</w:t>
      </w:r>
      <w:r>
        <w:rPr>
          <w:rFonts w:ascii="Arial" w:hAnsi="Arial" w:cs="Arial"/>
          <w:b/>
          <w:sz w:val="24"/>
          <w:szCs w:val="24"/>
        </w:rPr>
        <w:br/>
      </w:r>
      <w:r>
        <w:rPr>
          <w:rFonts w:ascii="Arial" w:hAnsi="Arial" w:cs="Arial"/>
          <w:b/>
          <w:sz w:val="24"/>
          <w:szCs w:val="24"/>
        </w:rPr>
        <w:tab/>
      </w:r>
      <w:r>
        <w:rPr>
          <w:rFonts w:ascii="Arial" w:hAnsi="Arial" w:cs="Arial"/>
          <w:b/>
          <w:sz w:val="24"/>
          <w:szCs w:val="24"/>
        </w:rPr>
        <w:tab/>
        <w:t>Section 76 (1) (c), except note</w:t>
      </w:r>
    </w:p>
    <w:p w14:paraId="342EA6A9" w14:textId="77777777" w:rsidR="00A903D8" w:rsidRDefault="00A903D8" w:rsidP="00A903D8">
      <w:pPr>
        <w:spacing w:after="240" w:line="240" w:lineRule="auto"/>
        <w:rPr>
          <w:rFonts w:ascii="Arial" w:hAnsi="Arial" w:cs="Arial"/>
          <w:sz w:val="24"/>
          <w:szCs w:val="24"/>
        </w:rPr>
      </w:pPr>
      <w:r>
        <w:rPr>
          <w:rFonts w:ascii="Arial" w:hAnsi="Arial" w:cs="Arial"/>
          <w:sz w:val="24"/>
          <w:szCs w:val="24"/>
        </w:rPr>
        <w:t>This clause clarifies the jurisdiction of the Tribunal as a result of making the occupancy principles mandatory.</w:t>
      </w:r>
    </w:p>
    <w:p w14:paraId="11FC143F" w14:textId="77777777" w:rsidR="00D87810" w:rsidRDefault="00D87810" w:rsidP="00A903D8">
      <w:pPr>
        <w:spacing w:after="240" w:line="240" w:lineRule="auto"/>
        <w:rPr>
          <w:rFonts w:ascii="Arial" w:hAnsi="Arial" w:cs="Arial"/>
          <w:b/>
          <w:sz w:val="24"/>
          <w:szCs w:val="24"/>
        </w:rPr>
      </w:pPr>
    </w:p>
    <w:p w14:paraId="7CBC734A" w14:textId="72CBDD77" w:rsidR="00A903D8" w:rsidRDefault="00A903D8" w:rsidP="00A903D8">
      <w:pPr>
        <w:spacing w:after="240" w:line="240" w:lineRule="auto"/>
        <w:rPr>
          <w:rFonts w:ascii="Arial" w:hAnsi="Arial" w:cs="Arial"/>
          <w:b/>
          <w:sz w:val="24"/>
          <w:szCs w:val="24"/>
        </w:rPr>
      </w:pPr>
      <w:r>
        <w:rPr>
          <w:rFonts w:ascii="Arial" w:hAnsi="Arial" w:cs="Arial"/>
          <w:b/>
          <w:sz w:val="24"/>
          <w:szCs w:val="24"/>
        </w:rPr>
        <w:lastRenderedPageBreak/>
        <w:t xml:space="preserve">Clause </w:t>
      </w:r>
      <w:r w:rsidR="00417E1F">
        <w:rPr>
          <w:rFonts w:ascii="Arial" w:hAnsi="Arial" w:cs="Arial"/>
          <w:b/>
          <w:sz w:val="24"/>
          <w:szCs w:val="24"/>
        </w:rPr>
        <w:t>3</w:t>
      </w:r>
      <w:r w:rsidR="00D41AFF">
        <w:rPr>
          <w:rFonts w:ascii="Arial" w:hAnsi="Arial" w:cs="Arial"/>
          <w:b/>
          <w:sz w:val="24"/>
          <w:szCs w:val="24"/>
        </w:rPr>
        <w:t>4</w:t>
      </w:r>
      <w:r>
        <w:rPr>
          <w:rFonts w:ascii="Arial" w:hAnsi="Arial" w:cs="Arial"/>
          <w:b/>
          <w:sz w:val="24"/>
          <w:szCs w:val="24"/>
        </w:rPr>
        <w:tab/>
        <w:t>Extended jurisdiction of ACAT with agreement of parties</w:t>
      </w:r>
      <w:r>
        <w:rPr>
          <w:rFonts w:ascii="Arial" w:hAnsi="Arial" w:cs="Arial"/>
          <w:b/>
          <w:sz w:val="24"/>
          <w:szCs w:val="24"/>
        </w:rPr>
        <w:br/>
      </w:r>
      <w:r>
        <w:rPr>
          <w:rFonts w:ascii="Arial" w:hAnsi="Arial" w:cs="Arial"/>
          <w:b/>
          <w:sz w:val="24"/>
          <w:szCs w:val="24"/>
        </w:rPr>
        <w:tab/>
      </w:r>
      <w:r>
        <w:rPr>
          <w:rFonts w:ascii="Arial" w:hAnsi="Arial" w:cs="Arial"/>
          <w:b/>
          <w:sz w:val="24"/>
          <w:szCs w:val="24"/>
        </w:rPr>
        <w:tab/>
        <w:t>Section 78 (1) (a) (iii), except note</w:t>
      </w:r>
    </w:p>
    <w:p w14:paraId="649FCC2D" w14:textId="77777777" w:rsidR="00A903D8" w:rsidRDefault="00A903D8" w:rsidP="00A903D8">
      <w:pPr>
        <w:spacing w:after="240" w:line="240" w:lineRule="auto"/>
        <w:rPr>
          <w:rFonts w:ascii="Arial" w:hAnsi="Arial" w:cs="Arial"/>
          <w:sz w:val="24"/>
          <w:szCs w:val="24"/>
        </w:rPr>
      </w:pPr>
      <w:r>
        <w:rPr>
          <w:rFonts w:ascii="Arial" w:hAnsi="Arial" w:cs="Arial"/>
          <w:sz w:val="24"/>
          <w:szCs w:val="24"/>
        </w:rPr>
        <w:t>This clause clarifies the jurisdiction of the Tribunal as a result of making the occupancy principles mandatory.</w:t>
      </w:r>
    </w:p>
    <w:p w14:paraId="13B5B6E4" w14:textId="72A722A5" w:rsidR="00417E1F" w:rsidRDefault="00417E1F" w:rsidP="00417E1F">
      <w:pPr>
        <w:spacing w:after="240" w:line="240" w:lineRule="auto"/>
        <w:rPr>
          <w:rFonts w:ascii="Arial" w:hAnsi="Arial" w:cs="Arial"/>
          <w:b/>
          <w:sz w:val="24"/>
          <w:szCs w:val="24"/>
        </w:rPr>
      </w:pPr>
      <w:r>
        <w:rPr>
          <w:rFonts w:ascii="Arial" w:hAnsi="Arial" w:cs="Arial"/>
          <w:b/>
          <w:sz w:val="24"/>
          <w:szCs w:val="24"/>
        </w:rPr>
        <w:t>Clause 3</w:t>
      </w:r>
      <w:r w:rsidR="00D41AFF">
        <w:rPr>
          <w:rFonts w:ascii="Arial" w:hAnsi="Arial" w:cs="Arial"/>
          <w:b/>
          <w:sz w:val="24"/>
          <w:szCs w:val="24"/>
        </w:rPr>
        <w:t>5</w:t>
      </w:r>
      <w:r>
        <w:rPr>
          <w:rFonts w:ascii="Arial" w:hAnsi="Arial" w:cs="Arial"/>
          <w:b/>
          <w:sz w:val="24"/>
          <w:szCs w:val="24"/>
        </w:rPr>
        <w:tab/>
        <w:t>Orders by ACAT</w:t>
      </w:r>
      <w:r>
        <w:rPr>
          <w:rFonts w:ascii="Arial" w:hAnsi="Arial" w:cs="Arial"/>
          <w:b/>
          <w:sz w:val="24"/>
          <w:szCs w:val="24"/>
        </w:rPr>
        <w:br/>
      </w:r>
      <w:r>
        <w:rPr>
          <w:rFonts w:ascii="Arial" w:hAnsi="Arial" w:cs="Arial"/>
          <w:b/>
          <w:sz w:val="24"/>
          <w:szCs w:val="24"/>
        </w:rPr>
        <w:tab/>
      </w:r>
      <w:r>
        <w:rPr>
          <w:rFonts w:ascii="Arial" w:hAnsi="Arial" w:cs="Arial"/>
          <w:b/>
          <w:sz w:val="24"/>
          <w:szCs w:val="24"/>
        </w:rPr>
        <w:tab/>
        <w:t>Section 83 (g)</w:t>
      </w:r>
    </w:p>
    <w:p w14:paraId="01F3DAD0" w14:textId="1FCCB417" w:rsidR="00417E1F" w:rsidRDefault="00417E1F" w:rsidP="00417E1F">
      <w:pPr>
        <w:spacing w:after="240" w:line="240" w:lineRule="auto"/>
        <w:rPr>
          <w:rFonts w:ascii="Arial" w:hAnsi="Arial" w:cs="Arial"/>
          <w:b/>
          <w:sz w:val="24"/>
          <w:szCs w:val="24"/>
        </w:rPr>
      </w:pPr>
      <w:r>
        <w:rPr>
          <w:rFonts w:ascii="Arial" w:hAnsi="Arial" w:cs="Arial"/>
          <w:sz w:val="24"/>
          <w:szCs w:val="24"/>
        </w:rPr>
        <w:t>This clause removes the reference to standard occupancy terms (which do not exist) and updates the reference to occupancy agreements.</w:t>
      </w:r>
    </w:p>
    <w:p w14:paraId="6168C292" w14:textId="10E90D7A" w:rsidR="00A903D8" w:rsidRDefault="00A903D8" w:rsidP="00A903D8">
      <w:pPr>
        <w:spacing w:after="240" w:line="240" w:lineRule="auto"/>
        <w:rPr>
          <w:rFonts w:ascii="Arial" w:hAnsi="Arial" w:cs="Arial"/>
          <w:b/>
          <w:sz w:val="24"/>
          <w:szCs w:val="24"/>
        </w:rPr>
      </w:pPr>
      <w:r>
        <w:rPr>
          <w:rFonts w:ascii="Arial" w:hAnsi="Arial" w:cs="Arial"/>
          <w:b/>
          <w:sz w:val="24"/>
          <w:szCs w:val="24"/>
        </w:rPr>
        <w:t xml:space="preserve">Clause </w:t>
      </w:r>
      <w:r w:rsidR="00417E1F">
        <w:rPr>
          <w:rFonts w:ascii="Arial" w:hAnsi="Arial" w:cs="Arial"/>
          <w:b/>
          <w:sz w:val="24"/>
          <w:szCs w:val="24"/>
        </w:rPr>
        <w:t>3</w:t>
      </w:r>
      <w:r w:rsidR="00D41AFF">
        <w:rPr>
          <w:rFonts w:ascii="Arial" w:hAnsi="Arial" w:cs="Arial"/>
          <w:b/>
          <w:sz w:val="24"/>
          <w:szCs w:val="24"/>
        </w:rPr>
        <w:t>6</w:t>
      </w:r>
      <w:r w:rsidR="00417E1F" w:rsidDel="00417E1F">
        <w:rPr>
          <w:rFonts w:ascii="Arial" w:hAnsi="Arial" w:cs="Arial"/>
          <w:b/>
          <w:sz w:val="24"/>
          <w:szCs w:val="24"/>
        </w:rPr>
        <w:t xml:space="preserve"> </w:t>
      </w:r>
      <w:r>
        <w:rPr>
          <w:rFonts w:ascii="Arial" w:hAnsi="Arial" w:cs="Arial"/>
          <w:b/>
          <w:sz w:val="24"/>
          <w:szCs w:val="24"/>
        </w:rPr>
        <w:tab/>
        <w:t>Section 83 (j)</w:t>
      </w:r>
    </w:p>
    <w:p w14:paraId="0AFD4E48" w14:textId="77777777" w:rsidR="00A903D8" w:rsidRDefault="00A903D8" w:rsidP="00A903D8">
      <w:pPr>
        <w:spacing w:after="240" w:line="240" w:lineRule="auto"/>
        <w:rPr>
          <w:rFonts w:ascii="Arial" w:hAnsi="Arial" w:cs="Arial"/>
          <w:sz w:val="24"/>
          <w:szCs w:val="24"/>
        </w:rPr>
      </w:pPr>
      <w:r>
        <w:rPr>
          <w:rFonts w:ascii="Arial" w:hAnsi="Arial" w:cs="Arial"/>
          <w:sz w:val="24"/>
          <w:szCs w:val="24"/>
        </w:rPr>
        <w:t>This clause provides additional powers to the Tribunal where a premises are abandoned and the premises are a manufactured home or a mobile home in a residential park.</w:t>
      </w:r>
    </w:p>
    <w:p w14:paraId="32B0E192" w14:textId="77777777" w:rsidR="00A903D8" w:rsidRDefault="00A903D8" w:rsidP="00A903D8">
      <w:pPr>
        <w:spacing w:after="240" w:line="240" w:lineRule="auto"/>
        <w:rPr>
          <w:rFonts w:ascii="Arial" w:hAnsi="Arial" w:cs="Arial"/>
          <w:sz w:val="24"/>
          <w:szCs w:val="24"/>
        </w:rPr>
      </w:pPr>
      <w:r>
        <w:rPr>
          <w:rFonts w:ascii="Arial" w:hAnsi="Arial" w:cs="Arial"/>
          <w:sz w:val="24"/>
          <w:szCs w:val="24"/>
        </w:rPr>
        <w:t xml:space="preserve">Part 1.2 (below) introduces changes to the </w:t>
      </w:r>
      <w:r>
        <w:rPr>
          <w:rFonts w:ascii="Arial" w:hAnsi="Arial" w:cs="Arial"/>
          <w:i/>
          <w:iCs/>
          <w:sz w:val="24"/>
          <w:szCs w:val="24"/>
        </w:rPr>
        <w:t>Uncollected Goods Act 1996</w:t>
      </w:r>
      <w:r>
        <w:rPr>
          <w:rFonts w:ascii="Arial" w:hAnsi="Arial" w:cs="Arial"/>
          <w:sz w:val="24"/>
          <w:szCs w:val="24"/>
        </w:rPr>
        <w:t xml:space="preserve"> to streamline the provisions applicable where a mobile home or manufactured home is abandoned. Section 83(j) is amended to prevent a situation where an operator of a park is required to sell premises that are not fit for human habitation. This provision allows the Tribunal to order the disposal of the premises through, for example, destruction.</w:t>
      </w:r>
    </w:p>
    <w:p w14:paraId="46CA6778" w14:textId="57B6CCC6" w:rsidR="00A903D8" w:rsidRDefault="00A903D8" w:rsidP="00A903D8">
      <w:pPr>
        <w:spacing w:after="240" w:line="240" w:lineRule="auto"/>
        <w:rPr>
          <w:rFonts w:ascii="Arial" w:hAnsi="Arial" w:cs="Arial"/>
          <w:b/>
          <w:sz w:val="24"/>
          <w:szCs w:val="24"/>
        </w:rPr>
      </w:pPr>
      <w:r>
        <w:rPr>
          <w:rFonts w:ascii="Arial" w:hAnsi="Arial" w:cs="Arial"/>
          <w:b/>
          <w:sz w:val="24"/>
          <w:szCs w:val="24"/>
        </w:rPr>
        <w:t xml:space="preserve">Clause </w:t>
      </w:r>
      <w:r w:rsidR="00417E1F">
        <w:rPr>
          <w:rFonts w:ascii="Arial" w:hAnsi="Arial" w:cs="Arial"/>
          <w:b/>
          <w:sz w:val="24"/>
          <w:szCs w:val="24"/>
        </w:rPr>
        <w:t>3</w:t>
      </w:r>
      <w:r w:rsidR="00D41AFF">
        <w:rPr>
          <w:rFonts w:ascii="Arial" w:hAnsi="Arial" w:cs="Arial"/>
          <w:b/>
          <w:sz w:val="24"/>
          <w:szCs w:val="24"/>
        </w:rPr>
        <w:t>7</w:t>
      </w:r>
      <w:r>
        <w:rPr>
          <w:rFonts w:ascii="Arial" w:hAnsi="Arial" w:cs="Arial"/>
          <w:b/>
          <w:sz w:val="24"/>
          <w:szCs w:val="24"/>
        </w:rPr>
        <w:tab/>
        <w:t>Section 127</w:t>
      </w:r>
    </w:p>
    <w:p w14:paraId="5DF040BB" w14:textId="77777777" w:rsidR="00A903D8" w:rsidRDefault="00A903D8" w:rsidP="00A903D8">
      <w:pPr>
        <w:spacing w:after="240" w:line="240" w:lineRule="auto"/>
        <w:rPr>
          <w:rFonts w:ascii="Arial" w:hAnsi="Arial" w:cs="Arial"/>
          <w:sz w:val="24"/>
          <w:szCs w:val="24"/>
        </w:rPr>
      </w:pPr>
      <w:r>
        <w:rPr>
          <w:rFonts w:ascii="Arial" w:hAnsi="Arial" w:cs="Arial"/>
          <w:sz w:val="24"/>
          <w:szCs w:val="24"/>
        </w:rPr>
        <w:t>This clause updates section 127 to align with the terminology used in part 3A.</w:t>
      </w:r>
    </w:p>
    <w:p w14:paraId="64F0337A" w14:textId="1ADA9E66" w:rsidR="00A903D8" w:rsidRDefault="00A903D8" w:rsidP="00A903D8">
      <w:pPr>
        <w:spacing w:after="240" w:line="240" w:lineRule="auto"/>
        <w:rPr>
          <w:rFonts w:ascii="Arial" w:hAnsi="Arial" w:cs="Arial"/>
          <w:b/>
          <w:sz w:val="24"/>
          <w:szCs w:val="24"/>
        </w:rPr>
      </w:pPr>
      <w:r>
        <w:rPr>
          <w:rFonts w:ascii="Arial" w:hAnsi="Arial" w:cs="Arial"/>
          <w:b/>
          <w:sz w:val="24"/>
          <w:szCs w:val="24"/>
        </w:rPr>
        <w:t xml:space="preserve">Clause </w:t>
      </w:r>
      <w:r w:rsidR="00417E1F">
        <w:rPr>
          <w:rFonts w:ascii="Arial" w:hAnsi="Arial" w:cs="Arial"/>
          <w:b/>
          <w:sz w:val="24"/>
          <w:szCs w:val="24"/>
        </w:rPr>
        <w:t>3</w:t>
      </w:r>
      <w:r w:rsidR="00D41AFF">
        <w:rPr>
          <w:rFonts w:ascii="Arial" w:hAnsi="Arial" w:cs="Arial"/>
          <w:b/>
          <w:sz w:val="24"/>
          <w:szCs w:val="24"/>
        </w:rPr>
        <w:t>8</w:t>
      </w:r>
      <w:r>
        <w:rPr>
          <w:rFonts w:ascii="Arial" w:hAnsi="Arial" w:cs="Arial"/>
          <w:b/>
          <w:sz w:val="24"/>
          <w:szCs w:val="24"/>
        </w:rPr>
        <w:tab/>
        <w:t>Section 128</w:t>
      </w:r>
    </w:p>
    <w:p w14:paraId="6DF3BE96" w14:textId="77777777" w:rsidR="00A903D8" w:rsidRDefault="00A903D8" w:rsidP="00A903D8">
      <w:pPr>
        <w:spacing w:after="240" w:line="240" w:lineRule="auto"/>
        <w:rPr>
          <w:rFonts w:ascii="Arial" w:hAnsi="Arial" w:cs="Arial"/>
          <w:sz w:val="24"/>
          <w:szCs w:val="24"/>
        </w:rPr>
      </w:pPr>
      <w:r>
        <w:rPr>
          <w:rFonts w:ascii="Arial" w:hAnsi="Arial" w:cs="Arial"/>
          <w:sz w:val="24"/>
          <w:szCs w:val="24"/>
        </w:rPr>
        <w:t>This clause updates section 128 to align with the terminology used in part 3A.</w:t>
      </w:r>
    </w:p>
    <w:p w14:paraId="3AE37694" w14:textId="4FFB7A0F" w:rsidR="00A903D8" w:rsidRDefault="00A903D8" w:rsidP="00A903D8">
      <w:pPr>
        <w:spacing w:after="240" w:line="240" w:lineRule="auto"/>
        <w:rPr>
          <w:rFonts w:ascii="Arial" w:hAnsi="Arial" w:cs="Arial"/>
          <w:b/>
          <w:sz w:val="24"/>
          <w:szCs w:val="24"/>
        </w:rPr>
      </w:pPr>
      <w:r>
        <w:rPr>
          <w:rFonts w:ascii="Arial" w:hAnsi="Arial" w:cs="Arial"/>
          <w:b/>
          <w:sz w:val="24"/>
          <w:szCs w:val="24"/>
        </w:rPr>
        <w:t xml:space="preserve">Clause </w:t>
      </w:r>
      <w:r w:rsidR="00417E1F">
        <w:rPr>
          <w:rFonts w:ascii="Arial" w:hAnsi="Arial" w:cs="Arial"/>
          <w:b/>
          <w:sz w:val="24"/>
          <w:szCs w:val="24"/>
        </w:rPr>
        <w:t>3</w:t>
      </w:r>
      <w:r w:rsidR="00D41AFF">
        <w:rPr>
          <w:rFonts w:ascii="Arial" w:hAnsi="Arial" w:cs="Arial"/>
          <w:b/>
          <w:sz w:val="24"/>
          <w:szCs w:val="24"/>
        </w:rPr>
        <w:t>9</w:t>
      </w:r>
      <w:r>
        <w:rPr>
          <w:rFonts w:ascii="Arial" w:hAnsi="Arial" w:cs="Arial"/>
          <w:b/>
          <w:sz w:val="24"/>
          <w:szCs w:val="24"/>
        </w:rPr>
        <w:tab/>
        <w:t>Standard residential tenancy terms</w:t>
      </w:r>
      <w:r>
        <w:rPr>
          <w:rFonts w:ascii="Arial" w:hAnsi="Arial" w:cs="Arial"/>
          <w:b/>
          <w:sz w:val="24"/>
          <w:szCs w:val="24"/>
        </w:rPr>
        <w:br/>
      </w:r>
      <w:r>
        <w:rPr>
          <w:rFonts w:ascii="Arial" w:hAnsi="Arial" w:cs="Arial"/>
          <w:b/>
          <w:sz w:val="24"/>
          <w:szCs w:val="24"/>
        </w:rPr>
        <w:tab/>
      </w:r>
      <w:r>
        <w:rPr>
          <w:rFonts w:ascii="Arial" w:hAnsi="Arial" w:cs="Arial"/>
          <w:b/>
          <w:sz w:val="24"/>
          <w:szCs w:val="24"/>
        </w:rPr>
        <w:tab/>
        <w:t>Schedule 1, new clause 24 (aa)</w:t>
      </w:r>
    </w:p>
    <w:p w14:paraId="4348EFCC" w14:textId="77777777" w:rsidR="00A903D8" w:rsidRDefault="00A903D8" w:rsidP="00A903D8">
      <w:pPr>
        <w:spacing w:after="240" w:line="240" w:lineRule="auto"/>
        <w:rPr>
          <w:rFonts w:ascii="Arial" w:hAnsi="Arial" w:cs="Arial"/>
          <w:sz w:val="24"/>
          <w:szCs w:val="24"/>
        </w:rPr>
      </w:pPr>
      <w:r>
        <w:rPr>
          <w:rFonts w:ascii="Arial" w:hAnsi="Arial" w:cs="Arial"/>
          <w:sz w:val="24"/>
          <w:szCs w:val="24"/>
        </w:rPr>
        <w:t>This clause updates the standard terms to align with part 3A.</w:t>
      </w:r>
    </w:p>
    <w:p w14:paraId="60242B64" w14:textId="7D866477" w:rsidR="00A903D8" w:rsidRDefault="00A903D8" w:rsidP="00A903D8">
      <w:pPr>
        <w:spacing w:after="240" w:line="240" w:lineRule="auto"/>
        <w:rPr>
          <w:rFonts w:ascii="Arial" w:hAnsi="Arial" w:cs="Arial"/>
          <w:b/>
          <w:sz w:val="24"/>
          <w:szCs w:val="24"/>
        </w:rPr>
      </w:pPr>
      <w:r>
        <w:rPr>
          <w:rFonts w:ascii="Arial" w:hAnsi="Arial" w:cs="Arial"/>
          <w:b/>
          <w:sz w:val="24"/>
          <w:szCs w:val="24"/>
        </w:rPr>
        <w:t xml:space="preserve">Clause </w:t>
      </w:r>
      <w:r w:rsidR="00D41AFF">
        <w:rPr>
          <w:rFonts w:ascii="Arial" w:hAnsi="Arial" w:cs="Arial"/>
          <w:b/>
          <w:sz w:val="24"/>
          <w:szCs w:val="24"/>
        </w:rPr>
        <w:t>40</w:t>
      </w:r>
      <w:r>
        <w:rPr>
          <w:rFonts w:ascii="Arial" w:hAnsi="Arial" w:cs="Arial"/>
          <w:b/>
          <w:sz w:val="24"/>
          <w:szCs w:val="24"/>
        </w:rPr>
        <w:tab/>
        <w:t>Schedule 1, new clauses 72A and 72B</w:t>
      </w:r>
    </w:p>
    <w:p w14:paraId="66A183B4" w14:textId="77777777" w:rsidR="00A903D8" w:rsidRDefault="00A903D8" w:rsidP="00A903D8">
      <w:pPr>
        <w:spacing w:after="240" w:line="240" w:lineRule="auto"/>
        <w:rPr>
          <w:rFonts w:ascii="Arial" w:hAnsi="Arial" w:cs="Arial"/>
          <w:sz w:val="24"/>
          <w:szCs w:val="24"/>
        </w:rPr>
      </w:pPr>
      <w:r>
        <w:rPr>
          <w:rFonts w:ascii="Arial" w:hAnsi="Arial" w:cs="Arial"/>
          <w:sz w:val="24"/>
          <w:szCs w:val="24"/>
        </w:rPr>
        <w:t>This clause updates the standard terms to align with part 3A.</w:t>
      </w:r>
    </w:p>
    <w:p w14:paraId="5D466B34" w14:textId="27C93353" w:rsidR="00A903D8" w:rsidRDefault="00A903D8" w:rsidP="00A903D8">
      <w:pPr>
        <w:spacing w:after="240" w:line="240" w:lineRule="auto"/>
        <w:rPr>
          <w:rFonts w:ascii="Arial" w:hAnsi="Arial" w:cs="Arial"/>
          <w:b/>
          <w:sz w:val="24"/>
          <w:szCs w:val="24"/>
        </w:rPr>
      </w:pPr>
      <w:r>
        <w:rPr>
          <w:rFonts w:ascii="Arial" w:hAnsi="Arial" w:cs="Arial"/>
          <w:b/>
          <w:sz w:val="24"/>
          <w:szCs w:val="24"/>
        </w:rPr>
        <w:t xml:space="preserve">Clause </w:t>
      </w:r>
      <w:r w:rsidR="00417E1F">
        <w:rPr>
          <w:rFonts w:ascii="Arial" w:hAnsi="Arial" w:cs="Arial"/>
          <w:b/>
          <w:sz w:val="24"/>
          <w:szCs w:val="24"/>
        </w:rPr>
        <w:t>4</w:t>
      </w:r>
      <w:r w:rsidR="00D41AFF">
        <w:rPr>
          <w:rFonts w:ascii="Arial" w:hAnsi="Arial" w:cs="Arial"/>
          <w:b/>
          <w:sz w:val="24"/>
          <w:szCs w:val="24"/>
        </w:rPr>
        <w:t>1</w:t>
      </w:r>
      <w:r>
        <w:rPr>
          <w:rFonts w:ascii="Arial" w:hAnsi="Arial" w:cs="Arial"/>
          <w:b/>
          <w:sz w:val="24"/>
          <w:szCs w:val="24"/>
        </w:rPr>
        <w:tab/>
        <w:t>Dictionary, note 2</w:t>
      </w:r>
    </w:p>
    <w:p w14:paraId="718B896C" w14:textId="77777777" w:rsidR="00A903D8" w:rsidRDefault="00A903D8" w:rsidP="00A903D8">
      <w:pPr>
        <w:spacing w:after="240" w:line="240" w:lineRule="auto"/>
        <w:rPr>
          <w:rFonts w:ascii="Arial" w:hAnsi="Arial" w:cs="Arial"/>
          <w:sz w:val="24"/>
          <w:szCs w:val="24"/>
        </w:rPr>
      </w:pPr>
      <w:r>
        <w:rPr>
          <w:rFonts w:ascii="Arial" w:hAnsi="Arial" w:cs="Arial"/>
          <w:sz w:val="24"/>
          <w:szCs w:val="24"/>
        </w:rPr>
        <w:t>This clause inserts ‘human rights commission’ as a defined term.</w:t>
      </w:r>
    </w:p>
    <w:p w14:paraId="1123E4C8" w14:textId="6CC2C7FF" w:rsidR="00A903D8" w:rsidRDefault="00A903D8" w:rsidP="00A903D8">
      <w:pPr>
        <w:keepNext/>
        <w:spacing w:after="240" w:line="240" w:lineRule="auto"/>
        <w:rPr>
          <w:rFonts w:ascii="Arial" w:hAnsi="Arial" w:cs="Arial"/>
          <w:b/>
          <w:sz w:val="24"/>
          <w:szCs w:val="24"/>
        </w:rPr>
      </w:pPr>
      <w:r>
        <w:rPr>
          <w:rFonts w:ascii="Arial" w:hAnsi="Arial" w:cs="Arial"/>
          <w:b/>
          <w:sz w:val="24"/>
          <w:szCs w:val="24"/>
        </w:rPr>
        <w:t xml:space="preserve">Clause </w:t>
      </w:r>
      <w:r w:rsidR="00417E1F">
        <w:rPr>
          <w:rFonts w:ascii="Arial" w:hAnsi="Arial" w:cs="Arial"/>
          <w:b/>
          <w:sz w:val="24"/>
          <w:szCs w:val="24"/>
        </w:rPr>
        <w:t>4</w:t>
      </w:r>
      <w:r w:rsidR="00D41AFF">
        <w:rPr>
          <w:rFonts w:ascii="Arial" w:hAnsi="Arial" w:cs="Arial"/>
          <w:b/>
          <w:sz w:val="24"/>
          <w:szCs w:val="24"/>
        </w:rPr>
        <w:t>2</w:t>
      </w:r>
      <w:r>
        <w:rPr>
          <w:rFonts w:ascii="Arial" w:hAnsi="Arial" w:cs="Arial"/>
          <w:b/>
          <w:sz w:val="24"/>
          <w:szCs w:val="24"/>
        </w:rPr>
        <w:tab/>
        <w:t>Dictionary, new definitions</w:t>
      </w:r>
    </w:p>
    <w:p w14:paraId="290C798A" w14:textId="77777777" w:rsidR="00A903D8" w:rsidRDefault="00A903D8" w:rsidP="00A903D8">
      <w:pPr>
        <w:spacing w:after="240" w:line="240" w:lineRule="auto"/>
        <w:rPr>
          <w:rFonts w:ascii="Arial" w:hAnsi="Arial" w:cs="Arial"/>
          <w:sz w:val="24"/>
          <w:szCs w:val="24"/>
        </w:rPr>
      </w:pPr>
      <w:r>
        <w:rPr>
          <w:rFonts w:ascii="Arial" w:hAnsi="Arial" w:cs="Arial"/>
          <w:sz w:val="24"/>
          <w:szCs w:val="24"/>
        </w:rPr>
        <w:t>This clause makes consequential amendments to the dictionary arising from the above amendments.</w:t>
      </w:r>
    </w:p>
    <w:p w14:paraId="5E9F7567" w14:textId="077F8178" w:rsidR="00A903D8" w:rsidRPr="00645215" w:rsidRDefault="00A903D8" w:rsidP="00A903D8">
      <w:pPr>
        <w:keepNext/>
        <w:spacing w:after="240" w:line="240" w:lineRule="auto"/>
        <w:rPr>
          <w:rFonts w:ascii="Arial" w:hAnsi="Arial" w:cs="Arial"/>
          <w:b/>
          <w:sz w:val="24"/>
          <w:szCs w:val="24"/>
        </w:rPr>
      </w:pPr>
      <w:r>
        <w:rPr>
          <w:rFonts w:ascii="Arial" w:hAnsi="Arial" w:cs="Arial"/>
          <w:b/>
          <w:sz w:val="24"/>
          <w:szCs w:val="24"/>
        </w:rPr>
        <w:lastRenderedPageBreak/>
        <w:t xml:space="preserve">Clause </w:t>
      </w:r>
      <w:r w:rsidR="00417E1F">
        <w:rPr>
          <w:rFonts w:ascii="Arial" w:hAnsi="Arial" w:cs="Arial"/>
          <w:b/>
          <w:sz w:val="24"/>
          <w:szCs w:val="24"/>
        </w:rPr>
        <w:t>4</w:t>
      </w:r>
      <w:r w:rsidR="00D41AFF">
        <w:rPr>
          <w:rFonts w:ascii="Arial" w:hAnsi="Arial" w:cs="Arial"/>
          <w:b/>
          <w:sz w:val="24"/>
          <w:szCs w:val="24"/>
        </w:rPr>
        <w:t>3</w:t>
      </w:r>
      <w:r>
        <w:rPr>
          <w:rFonts w:ascii="Arial" w:hAnsi="Arial" w:cs="Arial"/>
          <w:b/>
          <w:sz w:val="24"/>
          <w:szCs w:val="24"/>
        </w:rPr>
        <w:tab/>
        <w:t xml:space="preserve">Dictionary, definition of </w:t>
      </w:r>
      <w:r>
        <w:rPr>
          <w:rFonts w:ascii="Arial" w:hAnsi="Arial" w:cs="Arial"/>
          <w:b/>
          <w:i/>
          <w:iCs/>
          <w:sz w:val="24"/>
          <w:szCs w:val="24"/>
        </w:rPr>
        <w:t>mobile home</w:t>
      </w:r>
      <w:r w:rsidR="00645215">
        <w:rPr>
          <w:rFonts w:ascii="Arial" w:hAnsi="Arial" w:cs="Arial"/>
          <w:b/>
          <w:i/>
          <w:iCs/>
          <w:sz w:val="24"/>
          <w:szCs w:val="24"/>
        </w:rPr>
        <w:t xml:space="preserve"> </w:t>
      </w:r>
      <w:r w:rsidR="00645215">
        <w:rPr>
          <w:rFonts w:ascii="Arial" w:hAnsi="Arial" w:cs="Arial"/>
          <w:b/>
          <w:sz w:val="24"/>
          <w:szCs w:val="24"/>
        </w:rPr>
        <w:t xml:space="preserve">and </w:t>
      </w:r>
      <w:r w:rsidR="00645215">
        <w:rPr>
          <w:rFonts w:ascii="Arial" w:hAnsi="Arial" w:cs="Arial"/>
          <w:b/>
          <w:i/>
          <w:iCs/>
          <w:sz w:val="24"/>
          <w:szCs w:val="24"/>
        </w:rPr>
        <w:t>occupancy principles</w:t>
      </w:r>
    </w:p>
    <w:p w14:paraId="2667DB31" w14:textId="77777777" w:rsidR="00A903D8" w:rsidRDefault="00A903D8" w:rsidP="00A903D8">
      <w:pPr>
        <w:spacing w:after="240" w:line="240" w:lineRule="auto"/>
        <w:rPr>
          <w:rFonts w:ascii="Arial" w:hAnsi="Arial" w:cs="Arial"/>
          <w:sz w:val="24"/>
          <w:szCs w:val="24"/>
        </w:rPr>
      </w:pPr>
      <w:r>
        <w:rPr>
          <w:rFonts w:ascii="Arial" w:hAnsi="Arial" w:cs="Arial"/>
          <w:sz w:val="24"/>
          <w:szCs w:val="24"/>
        </w:rPr>
        <w:t>This clause inserts ‘mobile home’ as a defined term consequential to the above amendments.</w:t>
      </w:r>
    </w:p>
    <w:p w14:paraId="290C8FFC" w14:textId="77C74875" w:rsidR="00A903D8" w:rsidRDefault="00A903D8" w:rsidP="00A903D8">
      <w:pPr>
        <w:spacing w:after="240" w:line="240" w:lineRule="auto"/>
        <w:rPr>
          <w:rFonts w:ascii="Arial" w:hAnsi="Arial" w:cs="Arial"/>
          <w:sz w:val="24"/>
          <w:szCs w:val="24"/>
        </w:rPr>
      </w:pPr>
      <w:r>
        <w:rPr>
          <w:rFonts w:ascii="Arial" w:hAnsi="Arial" w:cs="Arial"/>
          <w:sz w:val="24"/>
          <w:szCs w:val="24"/>
        </w:rPr>
        <w:t>This clause</w:t>
      </w:r>
      <w:r w:rsidR="00645215">
        <w:rPr>
          <w:rFonts w:ascii="Arial" w:hAnsi="Arial" w:cs="Arial"/>
          <w:sz w:val="24"/>
          <w:szCs w:val="24"/>
        </w:rPr>
        <w:t xml:space="preserve"> also</w:t>
      </w:r>
      <w:r>
        <w:rPr>
          <w:rFonts w:ascii="Arial" w:hAnsi="Arial" w:cs="Arial"/>
          <w:sz w:val="24"/>
          <w:szCs w:val="24"/>
        </w:rPr>
        <w:t xml:space="preserve"> inserts ‘occupancy principles’ as a defined term consequential to the above amendments.</w:t>
      </w:r>
    </w:p>
    <w:p w14:paraId="61FC8CCA" w14:textId="41968793" w:rsidR="00A903D8" w:rsidRPr="008F2772" w:rsidRDefault="00A903D8" w:rsidP="00A903D8">
      <w:pPr>
        <w:keepNext/>
        <w:spacing w:after="240" w:line="240" w:lineRule="auto"/>
        <w:rPr>
          <w:rFonts w:ascii="Arial" w:hAnsi="Arial" w:cs="Arial"/>
          <w:b/>
          <w:sz w:val="24"/>
          <w:szCs w:val="24"/>
        </w:rPr>
      </w:pPr>
      <w:r>
        <w:rPr>
          <w:rFonts w:ascii="Arial" w:hAnsi="Arial" w:cs="Arial"/>
          <w:b/>
          <w:sz w:val="24"/>
          <w:szCs w:val="24"/>
        </w:rPr>
        <w:t xml:space="preserve">Clause </w:t>
      </w:r>
      <w:r w:rsidR="00417E1F">
        <w:rPr>
          <w:rFonts w:ascii="Arial" w:hAnsi="Arial" w:cs="Arial"/>
          <w:b/>
          <w:sz w:val="24"/>
          <w:szCs w:val="24"/>
        </w:rPr>
        <w:t>4</w:t>
      </w:r>
      <w:r w:rsidR="00D41AFF">
        <w:rPr>
          <w:rFonts w:ascii="Arial" w:hAnsi="Arial" w:cs="Arial"/>
          <w:b/>
          <w:sz w:val="24"/>
          <w:szCs w:val="24"/>
        </w:rPr>
        <w:t>4</w:t>
      </w:r>
      <w:r>
        <w:rPr>
          <w:rFonts w:ascii="Arial" w:hAnsi="Arial" w:cs="Arial"/>
          <w:b/>
          <w:sz w:val="24"/>
          <w:szCs w:val="24"/>
        </w:rPr>
        <w:tab/>
        <w:t>Dictionary, new definitions</w:t>
      </w:r>
    </w:p>
    <w:p w14:paraId="30B1FDD8" w14:textId="77777777" w:rsidR="00A903D8" w:rsidRDefault="00A903D8" w:rsidP="00A903D8">
      <w:pPr>
        <w:spacing w:after="240" w:line="240" w:lineRule="auto"/>
        <w:rPr>
          <w:rFonts w:ascii="Arial" w:hAnsi="Arial" w:cs="Arial"/>
          <w:sz w:val="24"/>
          <w:szCs w:val="24"/>
        </w:rPr>
      </w:pPr>
      <w:r>
        <w:rPr>
          <w:rFonts w:ascii="Arial" w:hAnsi="Arial" w:cs="Arial"/>
          <w:sz w:val="24"/>
          <w:szCs w:val="24"/>
        </w:rPr>
        <w:t>This clause makes consequential amendments to the dictionary arising from the above amendments.</w:t>
      </w:r>
    </w:p>
    <w:p w14:paraId="376426DA" w14:textId="77777777" w:rsidR="00A903D8" w:rsidRDefault="00A903D8" w:rsidP="00A903D8">
      <w:pPr>
        <w:spacing w:after="240" w:line="240" w:lineRule="auto"/>
        <w:rPr>
          <w:rFonts w:ascii="Arial" w:hAnsi="Arial" w:cs="Arial"/>
          <w:sz w:val="24"/>
          <w:szCs w:val="24"/>
        </w:rPr>
      </w:pPr>
      <w:r>
        <w:rPr>
          <w:rFonts w:ascii="Arial" w:hAnsi="Arial" w:cs="Arial"/>
          <w:sz w:val="24"/>
          <w:szCs w:val="24"/>
        </w:rPr>
        <w:t>The definition of ‘residential park’ is intended to include caravan parks, camping grounds, and manufactured home villages, but is not intended to include a backyard in which a caravan or manufactured home is erected.</w:t>
      </w:r>
    </w:p>
    <w:p w14:paraId="0CBAAA7C" w14:textId="46DBE7F8" w:rsidR="00417E1F" w:rsidRPr="00D701E8" w:rsidRDefault="00417E1F" w:rsidP="00417E1F">
      <w:pPr>
        <w:keepNext/>
        <w:spacing w:after="240" w:line="240" w:lineRule="auto"/>
        <w:rPr>
          <w:rFonts w:ascii="Arial" w:hAnsi="Arial" w:cs="Arial"/>
          <w:b/>
          <w:i/>
          <w:iCs/>
          <w:sz w:val="24"/>
          <w:szCs w:val="24"/>
        </w:rPr>
      </w:pPr>
      <w:r>
        <w:rPr>
          <w:rFonts w:ascii="Arial" w:hAnsi="Arial" w:cs="Arial"/>
          <w:b/>
          <w:sz w:val="24"/>
          <w:szCs w:val="24"/>
        </w:rPr>
        <w:t>Clause 4</w:t>
      </w:r>
      <w:r w:rsidR="00D41AFF">
        <w:rPr>
          <w:rFonts w:ascii="Arial" w:hAnsi="Arial" w:cs="Arial"/>
          <w:b/>
          <w:sz w:val="24"/>
          <w:szCs w:val="24"/>
        </w:rPr>
        <w:t>5</w:t>
      </w:r>
      <w:r>
        <w:rPr>
          <w:rFonts w:ascii="Arial" w:hAnsi="Arial" w:cs="Arial"/>
          <w:b/>
          <w:sz w:val="24"/>
          <w:szCs w:val="24"/>
        </w:rPr>
        <w:tab/>
        <w:t xml:space="preserve">Dictionary, definition of </w:t>
      </w:r>
      <w:r>
        <w:rPr>
          <w:rFonts w:ascii="Arial" w:hAnsi="Arial" w:cs="Arial"/>
          <w:b/>
          <w:i/>
          <w:iCs/>
          <w:sz w:val="24"/>
          <w:szCs w:val="24"/>
        </w:rPr>
        <w:t>standard occupancy terms</w:t>
      </w:r>
    </w:p>
    <w:p w14:paraId="702AFC22" w14:textId="166AB4E3" w:rsidR="00417E1F" w:rsidRDefault="00417E1F" w:rsidP="00417E1F">
      <w:pPr>
        <w:spacing w:after="240" w:line="240" w:lineRule="auto"/>
        <w:rPr>
          <w:rFonts w:ascii="Arial" w:hAnsi="Arial" w:cs="Arial"/>
          <w:sz w:val="24"/>
          <w:szCs w:val="24"/>
        </w:rPr>
      </w:pPr>
      <w:r>
        <w:rPr>
          <w:rFonts w:ascii="Arial" w:hAnsi="Arial" w:cs="Arial"/>
          <w:sz w:val="24"/>
          <w:szCs w:val="24"/>
        </w:rPr>
        <w:t>This clause removes the reference to standard occupancy terms, which do not exist.</w:t>
      </w:r>
    </w:p>
    <w:p w14:paraId="18335BCE" w14:textId="7D5EFF90" w:rsidR="00A903D8" w:rsidRPr="008F2772" w:rsidRDefault="00A903D8" w:rsidP="00A903D8">
      <w:pPr>
        <w:keepNext/>
        <w:spacing w:after="240" w:line="240" w:lineRule="auto"/>
        <w:rPr>
          <w:rFonts w:ascii="Arial" w:hAnsi="Arial" w:cs="Arial"/>
          <w:b/>
          <w:sz w:val="24"/>
          <w:szCs w:val="24"/>
        </w:rPr>
      </w:pPr>
      <w:r>
        <w:rPr>
          <w:rFonts w:ascii="Arial" w:hAnsi="Arial" w:cs="Arial"/>
          <w:b/>
          <w:sz w:val="24"/>
          <w:szCs w:val="24"/>
        </w:rPr>
        <w:t xml:space="preserve">Clause </w:t>
      </w:r>
      <w:r w:rsidR="00417E1F">
        <w:rPr>
          <w:rFonts w:ascii="Arial" w:hAnsi="Arial" w:cs="Arial"/>
          <w:b/>
          <w:sz w:val="24"/>
          <w:szCs w:val="24"/>
        </w:rPr>
        <w:t>4</w:t>
      </w:r>
      <w:r w:rsidR="00D41AFF">
        <w:rPr>
          <w:rFonts w:ascii="Arial" w:hAnsi="Arial" w:cs="Arial"/>
          <w:b/>
          <w:sz w:val="24"/>
          <w:szCs w:val="24"/>
        </w:rPr>
        <w:t>6</w:t>
      </w:r>
      <w:r>
        <w:rPr>
          <w:rFonts w:ascii="Arial" w:hAnsi="Arial" w:cs="Arial"/>
          <w:b/>
          <w:sz w:val="24"/>
          <w:szCs w:val="24"/>
        </w:rPr>
        <w:tab/>
        <w:t>Section 1B</w:t>
      </w:r>
    </w:p>
    <w:p w14:paraId="0555A2D0" w14:textId="77777777" w:rsidR="00A903D8" w:rsidRDefault="00A903D8" w:rsidP="00A903D8">
      <w:pPr>
        <w:spacing w:after="240" w:line="240" w:lineRule="auto"/>
        <w:rPr>
          <w:rFonts w:ascii="Arial" w:hAnsi="Arial" w:cs="Arial"/>
          <w:sz w:val="24"/>
          <w:szCs w:val="24"/>
        </w:rPr>
      </w:pPr>
      <w:r>
        <w:rPr>
          <w:rFonts w:ascii="Arial" w:hAnsi="Arial" w:cs="Arial"/>
          <w:sz w:val="24"/>
          <w:szCs w:val="24"/>
        </w:rPr>
        <w:t>This clause updates the Residential Tenancies Regulation 1998 to extend the requirements about smoke alarms to premises subject to an occupancy agreement.</w:t>
      </w:r>
    </w:p>
    <w:p w14:paraId="4153C926" w14:textId="77777777" w:rsidR="00A903D8" w:rsidRDefault="00A903D8" w:rsidP="00A903D8">
      <w:pPr>
        <w:spacing w:after="240" w:line="240" w:lineRule="auto"/>
        <w:rPr>
          <w:rFonts w:ascii="Arial" w:hAnsi="Arial" w:cs="Arial"/>
          <w:b/>
          <w:sz w:val="24"/>
          <w:szCs w:val="24"/>
        </w:rPr>
      </w:pPr>
      <w:r>
        <w:rPr>
          <w:rFonts w:ascii="Arial" w:hAnsi="Arial" w:cs="Arial"/>
          <w:b/>
          <w:sz w:val="24"/>
          <w:szCs w:val="24"/>
        </w:rPr>
        <w:t>Clause [1.1]</w:t>
      </w:r>
      <w:r>
        <w:rPr>
          <w:rFonts w:ascii="Arial" w:hAnsi="Arial" w:cs="Arial"/>
          <w:b/>
          <w:sz w:val="24"/>
          <w:szCs w:val="24"/>
        </w:rPr>
        <w:tab/>
        <w:t>New section 41A</w:t>
      </w:r>
    </w:p>
    <w:p w14:paraId="46588A80" w14:textId="77777777" w:rsidR="00A903D8" w:rsidRDefault="00A903D8" w:rsidP="00A903D8">
      <w:pPr>
        <w:spacing w:after="240" w:line="240" w:lineRule="auto"/>
        <w:rPr>
          <w:rFonts w:ascii="Arial" w:hAnsi="Arial" w:cs="Arial"/>
          <w:sz w:val="24"/>
          <w:szCs w:val="24"/>
        </w:rPr>
      </w:pPr>
      <w:r>
        <w:rPr>
          <w:rFonts w:ascii="Arial" w:hAnsi="Arial" w:cs="Arial"/>
          <w:sz w:val="24"/>
          <w:szCs w:val="24"/>
        </w:rPr>
        <w:t>This clause provides a new right to complain to the Human Rights Commission (the Commission) about an occupancy dispute.</w:t>
      </w:r>
    </w:p>
    <w:p w14:paraId="4DC62638" w14:textId="77777777" w:rsidR="00A903D8" w:rsidRDefault="00A903D8" w:rsidP="00A903D8">
      <w:pPr>
        <w:spacing w:after="240" w:line="240" w:lineRule="auto"/>
        <w:rPr>
          <w:rFonts w:ascii="Arial" w:hAnsi="Arial" w:cs="Arial"/>
          <w:sz w:val="24"/>
          <w:szCs w:val="24"/>
        </w:rPr>
      </w:pPr>
      <w:r>
        <w:rPr>
          <w:rFonts w:ascii="Arial" w:hAnsi="Arial" w:cs="Arial"/>
          <w:sz w:val="24"/>
          <w:szCs w:val="24"/>
        </w:rPr>
        <w:t>An occupancy dispute is defined by section 73 of the RTA as a dispute that is between the parties to an occupancy agreement and is about, or relates to, the agreement.</w:t>
      </w:r>
    </w:p>
    <w:p w14:paraId="45B50464" w14:textId="2A999608" w:rsidR="00A903D8" w:rsidRDefault="00A903D8" w:rsidP="00A903D8">
      <w:pPr>
        <w:spacing w:after="240" w:line="240" w:lineRule="auto"/>
        <w:rPr>
          <w:rFonts w:ascii="Arial" w:hAnsi="Arial" w:cs="Arial"/>
          <w:sz w:val="24"/>
          <w:szCs w:val="24"/>
        </w:rPr>
      </w:pPr>
      <w:r>
        <w:rPr>
          <w:rFonts w:ascii="Arial" w:hAnsi="Arial" w:cs="Arial"/>
          <w:sz w:val="24"/>
          <w:szCs w:val="24"/>
        </w:rPr>
        <w:t xml:space="preserve">Clause </w:t>
      </w:r>
      <w:r w:rsidR="00352119">
        <w:rPr>
          <w:rFonts w:ascii="Arial" w:hAnsi="Arial" w:cs="Arial"/>
          <w:sz w:val="24"/>
          <w:szCs w:val="24"/>
        </w:rPr>
        <w:t xml:space="preserve">[1.3] </w:t>
      </w:r>
      <w:r>
        <w:rPr>
          <w:rFonts w:ascii="Arial" w:hAnsi="Arial" w:cs="Arial"/>
          <w:sz w:val="24"/>
          <w:szCs w:val="24"/>
        </w:rPr>
        <w:t xml:space="preserve">(below) states that an occupant under the occupancy agreement may make a complaint to the Commission, and clause </w:t>
      </w:r>
      <w:r w:rsidR="00352119">
        <w:rPr>
          <w:rFonts w:ascii="Arial" w:hAnsi="Arial" w:cs="Arial"/>
          <w:sz w:val="24"/>
          <w:szCs w:val="24"/>
        </w:rPr>
        <w:t xml:space="preserve">[1.5] </w:t>
      </w:r>
      <w:r>
        <w:rPr>
          <w:rFonts w:ascii="Arial" w:hAnsi="Arial" w:cs="Arial"/>
          <w:sz w:val="24"/>
          <w:szCs w:val="24"/>
        </w:rPr>
        <w:t>(below) states that complaints about occupancy disputes can only be made about grantors. The effect of the new section 41A is an occupant may make complaints arising from occupancy agreements about the grantor.</w:t>
      </w:r>
    </w:p>
    <w:p w14:paraId="4C764632" w14:textId="77777777" w:rsidR="00A903D8" w:rsidRDefault="00A903D8" w:rsidP="00A903D8">
      <w:pPr>
        <w:spacing w:after="240" w:line="240" w:lineRule="auto"/>
        <w:rPr>
          <w:rFonts w:ascii="Arial" w:hAnsi="Arial" w:cs="Arial"/>
          <w:sz w:val="24"/>
          <w:szCs w:val="24"/>
        </w:rPr>
      </w:pPr>
      <w:r>
        <w:rPr>
          <w:rFonts w:ascii="Arial" w:hAnsi="Arial" w:cs="Arial"/>
          <w:sz w:val="24"/>
          <w:szCs w:val="24"/>
        </w:rPr>
        <w:t>Occupants continue to have existing rights to make complaints to the Commission under other provisions of the HRCA, but those rights depend upon the complaint matching the description of a complaint in section 42 of the HRCA. This new provision means that occupants, as of right, will be able to make complaints to the Commission.</w:t>
      </w:r>
    </w:p>
    <w:p w14:paraId="706FCC25" w14:textId="451B962A" w:rsidR="00A903D8" w:rsidRDefault="00A903D8" w:rsidP="00A903D8">
      <w:pPr>
        <w:spacing w:after="240" w:line="240" w:lineRule="auto"/>
        <w:rPr>
          <w:rFonts w:ascii="Arial" w:hAnsi="Arial" w:cs="Arial"/>
          <w:b/>
          <w:sz w:val="24"/>
          <w:szCs w:val="24"/>
        </w:rPr>
      </w:pPr>
      <w:r>
        <w:rPr>
          <w:rFonts w:ascii="Arial" w:hAnsi="Arial" w:cs="Arial"/>
          <w:b/>
          <w:sz w:val="24"/>
          <w:szCs w:val="24"/>
        </w:rPr>
        <w:t>Clause [1.2]</w:t>
      </w:r>
      <w:r>
        <w:rPr>
          <w:rFonts w:ascii="Arial" w:hAnsi="Arial" w:cs="Arial"/>
          <w:b/>
          <w:sz w:val="24"/>
          <w:szCs w:val="24"/>
        </w:rPr>
        <w:tab/>
        <w:t>New section 42 (1) (g)</w:t>
      </w:r>
    </w:p>
    <w:p w14:paraId="0BF79B6F" w14:textId="4E5C9276" w:rsidR="00A903D8" w:rsidRPr="00172EA7" w:rsidRDefault="00A903D8" w:rsidP="00A903D8">
      <w:pPr>
        <w:spacing w:after="240" w:line="240" w:lineRule="auto"/>
        <w:rPr>
          <w:rFonts w:ascii="Arial" w:hAnsi="Arial" w:cs="Arial"/>
          <w:sz w:val="24"/>
          <w:szCs w:val="24"/>
        </w:rPr>
      </w:pPr>
      <w:r>
        <w:rPr>
          <w:rFonts w:ascii="Arial" w:hAnsi="Arial" w:cs="Arial"/>
          <w:sz w:val="24"/>
          <w:szCs w:val="24"/>
        </w:rPr>
        <w:t xml:space="preserve">This clause is consequential upon clause </w:t>
      </w:r>
      <w:r w:rsidR="00352119">
        <w:rPr>
          <w:rFonts w:ascii="Arial" w:hAnsi="Arial" w:cs="Arial"/>
          <w:sz w:val="24"/>
          <w:szCs w:val="24"/>
        </w:rPr>
        <w:t xml:space="preserve">[1.1] </w:t>
      </w:r>
      <w:r>
        <w:rPr>
          <w:rFonts w:ascii="Arial" w:hAnsi="Arial" w:cs="Arial"/>
          <w:sz w:val="24"/>
          <w:szCs w:val="24"/>
        </w:rPr>
        <w:t xml:space="preserve">(above) and inserts occupancy disputes into the list of complaints that can be made to the Commissioner. </w:t>
      </w:r>
    </w:p>
    <w:p w14:paraId="61AC03C4" w14:textId="77777777" w:rsidR="00D87810" w:rsidRDefault="00D87810" w:rsidP="00A903D8">
      <w:pPr>
        <w:spacing w:after="240" w:line="240" w:lineRule="auto"/>
        <w:rPr>
          <w:rFonts w:ascii="Arial" w:hAnsi="Arial" w:cs="Arial"/>
          <w:b/>
          <w:sz w:val="24"/>
          <w:szCs w:val="24"/>
        </w:rPr>
      </w:pPr>
    </w:p>
    <w:p w14:paraId="3512ABB2" w14:textId="0EA16BAA" w:rsidR="00A903D8" w:rsidRDefault="00A903D8" w:rsidP="00A903D8">
      <w:pPr>
        <w:spacing w:after="240" w:line="240" w:lineRule="auto"/>
        <w:rPr>
          <w:rFonts w:ascii="Arial" w:hAnsi="Arial" w:cs="Arial"/>
          <w:b/>
          <w:sz w:val="24"/>
          <w:szCs w:val="24"/>
        </w:rPr>
      </w:pPr>
      <w:r>
        <w:rPr>
          <w:rFonts w:ascii="Arial" w:hAnsi="Arial" w:cs="Arial"/>
          <w:b/>
          <w:sz w:val="24"/>
          <w:szCs w:val="24"/>
        </w:rPr>
        <w:lastRenderedPageBreak/>
        <w:t>Clause [1.3]</w:t>
      </w:r>
      <w:r>
        <w:rPr>
          <w:rFonts w:ascii="Arial" w:hAnsi="Arial" w:cs="Arial"/>
          <w:b/>
          <w:sz w:val="24"/>
          <w:szCs w:val="24"/>
        </w:rPr>
        <w:tab/>
        <w:t>New section 43 (1) (h)</w:t>
      </w:r>
    </w:p>
    <w:p w14:paraId="28519240" w14:textId="7AD56612" w:rsidR="00A903D8" w:rsidRDefault="00A903D8" w:rsidP="00A903D8">
      <w:pPr>
        <w:spacing w:after="240" w:line="240" w:lineRule="auto"/>
        <w:rPr>
          <w:rFonts w:ascii="Arial" w:hAnsi="Arial" w:cs="Arial"/>
          <w:b/>
          <w:sz w:val="24"/>
          <w:szCs w:val="24"/>
        </w:rPr>
      </w:pPr>
      <w:r>
        <w:rPr>
          <w:rFonts w:ascii="Arial" w:hAnsi="Arial" w:cs="Arial"/>
          <w:sz w:val="24"/>
          <w:szCs w:val="24"/>
        </w:rPr>
        <w:t xml:space="preserve">This clause is consequential upon clause </w:t>
      </w:r>
      <w:r w:rsidR="00352119">
        <w:rPr>
          <w:rFonts w:ascii="Arial" w:hAnsi="Arial" w:cs="Arial"/>
          <w:sz w:val="24"/>
          <w:szCs w:val="24"/>
        </w:rPr>
        <w:t xml:space="preserve">[1.1] </w:t>
      </w:r>
      <w:r>
        <w:rPr>
          <w:rFonts w:ascii="Arial" w:hAnsi="Arial" w:cs="Arial"/>
          <w:sz w:val="24"/>
          <w:szCs w:val="24"/>
        </w:rPr>
        <w:t>(above) and states that an occupant may make a complaint to the Commission about an occupancy dispute.</w:t>
      </w:r>
    </w:p>
    <w:p w14:paraId="5C6458C5" w14:textId="03648346" w:rsidR="00A903D8" w:rsidRDefault="00A903D8" w:rsidP="00A903D8">
      <w:pPr>
        <w:spacing w:after="240" w:line="240" w:lineRule="auto"/>
        <w:rPr>
          <w:rFonts w:ascii="Arial" w:hAnsi="Arial" w:cs="Arial"/>
          <w:b/>
          <w:sz w:val="24"/>
          <w:szCs w:val="24"/>
        </w:rPr>
      </w:pPr>
      <w:r>
        <w:rPr>
          <w:rFonts w:ascii="Arial" w:hAnsi="Arial" w:cs="Arial"/>
          <w:b/>
          <w:sz w:val="24"/>
          <w:szCs w:val="24"/>
        </w:rPr>
        <w:t>Clause [1.4]</w:t>
      </w:r>
      <w:r>
        <w:rPr>
          <w:rFonts w:ascii="Arial" w:hAnsi="Arial" w:cs="Arial"/>
          <w:b/>
          <w:sz w:val="24"/>
          <w:szCs w:val="24"/>
        </w:rPr>
        <w:tab/>
        <w:t>New section 45 (2) (ea)</w:t>
      </w:r>
    </w:p>
    <w:p w14:paraId="4EE3767C" w14:textId="4DC239E0" w:rsidR="00A903D8" w:rsidRPr="003D25D9" w:rsidRDefault="00A903D8">
      <w:pPr>
        <w:spacing w:after="240" w:line="240" w:lineRule="auto"/>
        <w:rPr>
          <w:rFonts w:ascii="Arial" w:hAnsi="Arial" w:cs="Arial"/>
          <w:sz w:val="24"/>
          <w:szCs w:val="24"/>
        </w:rPr>
      </w:pPr>
      <w:r>
        <w:rPr>
          <w:rFonts w:ascii="Arial" w:hAnsi="Arial" w:cs="Arial"/>
          <w:sz w:val="24"/>
          <w:szCs w:val="24"/>
        </w:rPr>
        <w:t xml:space="preserve">This clause inserts a provision specific to occupancy disputes into the section requiring the Commission to </w:t>
      </w:r>
      <w:r w:rsidR="00013AB0">
        <w:rPr>
          <w:rFonts w:ascii="Arial" w:hAnsi="Arial" w:cs="Arial"/>
          <w:sz w:val="24"/>
          <w:szCs w:val="24"/>
        </w:rPr>
        <w:t>tell the complainant in writing</w:t>
      </w:r>
      <w:r w:rsidR="00E37F64">
        <w:rPr>
          <w:rFonts w:ascii="Arial" w:hAnsi="Arial" w:cs="Arial"/>
          <w:sz w:val="24"/>
          <w:szCs w:val="24"/>
        </w:rPr>
        <w:t xml:space="preserve"> if the Commission decides not to refer the complainant’s complaint to conciliation, and</w:t>
      </w:r>
      <w:r w:rsidR="00013AB0">
        <w:rPr>
          <w:rFonts w:ascii="Arial" w:hAnsi="Arial" w:cs="Arial"/>
          <w:sz w:val="24"/>
          <w:szCs w:val="24"/>
        </w:rPr>
        <w:t xml:space="preserve"> and include an occupancy dispute referral statement in their advice to this effect.</w:t>
      </w:r>
    </w:p>
    <w:p w14:paraId="0745452C" w14:textId="77777777" w:rsidR="00A903D8" w:rsidRDefault="00A903D8" w:rsidP="00A903D8">
      <w:pPr>
        <w:spacing w:after="240" w:line="240" w:lineRule="auto"/>
        <w:rPr>
          <w:rFonts w:ascii="Arial" w:hAnsi="Arial" w:cs="Arial"/>
          <w:b/>
          <w:sz w:val="24"/>
          <w:szCs w:val="24"/>
        </w:rPr>
      </w:pPr>
      <w:r>
        <w:rPr>
          <w:rFonts w:ascii="Arial" w:hAnsi="Arial" w:cs="Arial"/>
          <w:b/>
          <w:sz w:val="24"/>
          <w:szCs w:val="24"/>
        </w:rPr>
        <w:t>Clause [1.5]</w:t>
      </w:r>
      <w:r>
        <w:rPr>
          <w:rFonts w:ascii="Arial" w:hAnsi="Arial" w:cs="Arial"/>
          <w:b/>
          <w:sz w:val="24"/>
          <w:szCs w:val="24"/>
        </w:rPr>
        <w:tab/>
        <w:t>New division 4.2C</w:t>
      </w:r>
    </w:p>
    <w:p w14:paraId="077B5F76" w14:textId="53D4DAE4" w:rsidR="00A903D8" w:rsidRDefault="00A903D8" w:rsidP="00A903D8">
      <w:pPr>
        <w:spacing w:after="240" w:line="240" w:lineRule="auto"/>
        <w:rPr>
          <w:rFonts w:ascii="Arial" w:hAnsi="Arial" w:cs="Arial"/>
          <w:sz w:val="24"/>
          <w:szCs w:val="24"/>
        </w:rPr>
      </w:pPr>
      <w:r>
        <w:rPr>
          <w:rFonts w:ascii="Arial" w:hAnsi="Arial" w:cs="Arial"/>
          <w:sz w:val="24"/>
          <w:szCs w:val="24"/>
        </w:rPr>
        <w:t>This clause inserts new division 4.2C, consisting of new sections 53</w:t>
      </w:r>
      <w:r w:rsidR="00E37F64">
        <w:rPr>
          <w:rFonts w:ascii="Arial" w:hAnsi="Arial" w:cs="Arial"/>
          <w:sz w:val="24"/>
          <w:szCs w:val="24"/>
        </w:rPr>
        <w:t>P</w:t>
      </w:r>
      <w:r w:rsidRPr="006F7AAD">
        <w:rPr>
          <w:rFonts w:ascii="Arial" w:hAnsi="Arial" w:cs="Arial"/>
          <w:sz w:val="24"/>
          <w:szCs w:val="24"/>
        </w:rPr>
        <w:t xml:space="preserve"> – </w:t>
      </w:r>
      <w:r>
        <w:rPr>
          <w:rFonts w:ascii="Arial" w:hAnsi="Arial" w:cs="Arial"/>
          <w:sz w:val="24"/>
          <w:szCs w:val="24"/>
        </w:rPr>
        <w:t xml:space="preserve">53Y, into the HRCA. Division 4.2C provides access to an enforceable conciliation process which can be used to manage complaints arising from occupancy disputes. This conciliation process is similar to the Commission’s current processes for managing discrimination complaints under division 4.2A of the HRCA and for managing complaints by certain older people about retirement villages under division 4.2B of the HRCA. </w:t>
      </w:r>
    </w:p>
    <w:p w14:paraId="2309E75E" w14:textId="77777777" w:rsidR="00A903D8" w:rsidRDefault="00A903D8" w:rsidP="00A903D8">
      <w:pPr>
        <w:spacing w:after="240" w:line="240" w:lineRule="auto"/>
        <w:rPr>
          <w:rFonts w:ascii="Arial" w:hAnsi="Arial" w:cs="Arial"/>
          <w:sz w:val="24"/>
          <w:szCs w:val="24"/>
        </w:rPr>
      </w:pPr>
      <w:r>
        <w:rPr>
          <w:rFonts w:ascii="Arial" w:hAnsi="Arial" w:cs="Arial"/>
          <w:sz w:val="24"/>
          <w:szCs w:val="24"/>
        </w:rPr>
        <w:t xml:space="preserve">New section 53P defines the term ‘person complained about’ and ‘occupancy dispute complaint’ for the purpose of division 4.2C. For the purposes of division 4.2C, the ‘person complained about’ means the grantor under an occupancy agreement. The effect of this, in concert with new sections 41A and 43(1)(h) is that grantors are unable to bring occupancy dispute complaints against occupants. </w:t>
      </w:r>
    </w:p>
    <w:p w14:paraId="4DFDCF26" w14:textId="77777777" w:rsidR="00A903D8" w:rsidRDefault="00A903D8" w:rsidP="00A903D8">
      <w:pPr>
        <w:spacing w:after="240" w:line="240" w:lineRule="auto"/>
        <w:rPr>
          <w:rFonts w:ascii="Arial" w:hAnsi="Arial" w:cs="Arial"/>
          <w:sz w:val="24"/>
          <w:szCs w:val="24"/>
        </w:rPr>
      </w:pPr>
      <w:r>
        <w:rPr>
          <w:rFonts w:ascii="Arial" w:hAnsi="Arial" w:cs="Arial"/>
          <w:sz w:val="24"/>
          <w:szCs w:val="24"/>
        </w:rPr>
        <w:t>New section 53Q makes it clear that division 4.2C applies to occupancy dispute complaints.</w:t>
      </w:r>
    </w:p>
    <w:p w14:paraId="1D00C205" w14:textId="29D24CE3" w:rsidR="00A903D8" w:rsidRDefault="00A903D8" w:rsidP="00A903D8">
      <w:pPr>
        <w:spacing w:after="240" w:line="240" w:lineRule="auto"/>
        <w:rPr>
          <w:rFonts w:ascii="Arial" w:hAnsi="Arial" w:cs="Arial"/>
          <w:sz w:val="24"/>
          <w:szCs w:val="24"/>
        </w:rPr>
      </w:pPr>
      <w:r>
        <w:rPr>
          <w:rFonts w:ascii="Arial" w:hAnsi="Arial" w:cs="Arial"/>
          <w:sz w:val="24"/>
          <w:szCs w:val="24"/>
        </w:rPr>
        <w:t>W</w:t>
      </w:r>
      <w:r w:rsidRPr="00811E89">
        <w:rPr>
          <w:rFonts w:ascii="Arial" w:hAnsi="Arial" w:cs="Arial"/>
          <w:sz w:val="24"/>
          <w:szCs w:val="24"/>
        </w:rPr>
        <w:t>here a</w:t>
      </w:r>
      <w:r>
        <w:rPr>
          <w:rFonts w:ascii="Arial" w:hAnsi="Arial" w:cs="Arial"/>
          <w:sz w:val="24"/>
          <w:szCs w:val="24"/>
        </w:rPr>
        <w:t>n</w:t>
      </w:r>
      <w:r w:rsidRPr="00811E89">
        <w:rPr>
          <w:rFonts w:ascii="Arial" w:hAnsi="Arial" w:cs="Arial"/>
          <w:sz w:val="24"/>
          <w:szCs w:val="24"/>
        </w:rPr>
        <w:t xml:space="preserve"> </w:t>
      </w:r>
      <w:r>
        <w:rPr>
          <w:rFonts w:ascii="Arial" w:hAnsi="Arial" w:cs="Arial"/>
          <w:sz w:val="24"/>
          <w:szCs w:val="24"/>
        </w:rPr>
        <w:t>occupancy dispute</w:t>
      </w:r>
      <w:r w:rsidRPr="00811E89">
        <w:rPr>
          <w:rFonts w:ascii="Arial" w:hAnsi="Arial" w:cs="Arial"/>
          <w:sz w:val="24"/>
          <w:szCs w:val="24"/>
        </w:rPr>
        <w:t xml:space="preserve"> complaint is made to the Commission and the Commission decides not to refer the complaint for a conciliation process under division 4.2</w:t>
      </w:r>
      <w:r>
        <w:rPr>
          <w:rFonts w:ascii="Arial" w:hAnsi="Arial" w:cs="Arial"/>
          <w:sz w:val="24"/>
          <w:szCs w:val="24"/>
        </w:rPr>
        <w:t>C,</w:t>
      </w:r>
      <w:r w:rsidRPr="00811E89">
        <w:rPr>
          <w:rFonts w:ascii="Arial" w:hAnsi="Arial" w:cs="Arial"/>
          <w:sz w:val="24"/>
          <w:szCs w:val="24"/>
        </w:rPr>
        <w:t xml:space="preserve"> they must provide a written statement to the complainant reflecting this advice and advising the complainant that they can seek to have the Commission refer the complaint to the </w:t>
      </w:r>
      <w:r>
        <w:rPr>
          <w:rFonts w:ascii="Arial" w:hAnsi="Arial" w:cs="Arial"/>
          <w:sz w:val="24"/>
          <w:szCs w:val="24"/>
        </w:rPr>
        <w:t>Tribunal</w:t>
      </w:r>
      <w:r w:rsidRPr="00811E89">
        <w:rPr>
          <w:rFonts w:ascii="Arial" w:hAnsi="Arial" w:cs="Arial"/>
          <w:sz w:val="24"/>
          <w:szCs w:val="24"/>
        </w:rPr>
        <w:t xml:space="preserve"> within 60 days, or, after the 60 day period has elapsed, they may individually apply to the </w:t>
      </w:r>
      <w:r>
        <w:rPr>
          <w:rFonts w:ascii="Arial" w:hAnsi="Arial" w:cs="Arial"/>
          <w:sz w:val="24"/>
          <w:szCs w:val="24"/>
        </w:rPr>
        <w:t>Tribunal</w:t>
      </w:r>
      <w:r w:rsidRPr="00811E89">
        <w:rPr>
          <w:rFonts w:ascii="Arial" w:hAnsi="Arial" w:cs="Arial"/>
          <w:sz w:val="24"/>
          <w:szCs w:val="24"/>
        </w:rPr>
        <w:t xml:space="preserve"> for the complaint to be heard (a</w:t>
      </w:r>
      <w:r>
        <w:rPr>
          <w:rFonts w:ascii="Arial" w:hAnsi="Arial" w:cs="Arial"/>
          <w:sz w:val="24"/>
          <w:szCs w:val="24"/>
        </w:rPr>
        <w:t>n occupancy dispute</w:t>
      </w:r>
      <w:r w:rsidRPr="00811E89">
        <w:rPr>
          <w:rFonts w:ascii="Arial" w:hAnsi="Arial" w:cs="Arial"/>
          <w:sz w:val="24"/>
          <w:szCs w:val="24"/>
        </w:rPr>
        <w:t xml:space="preserve"> referral statement). If these circumstances apply, the Commission must include a</w:t>
      </w:r>
      <w:r>
        <w:rPr>
          <w:rFonts w:ascii="Arial" w:hAnsi="Arial" w:cs="Arial"/>
          <w:sz w:val="24"/>
          <w:szCs w:val="24"/>
        </w:rPr>
        <w:t>n</w:t>
      </w:r>
      <w:r w:rsidRPr="00811E89">
        <w:rPr>
          <w:rFonts w:ascii="Arial" w:hAnsi="Arial" w:cs="Arial"/>
          <w:sz w:val="24"/>
          <w:szCs w:val="24"/>
        </w:rPr>
        <w:t xml:space="preserve"> </w:t>
      </w:r>
      <w:r>
        <w:rPr>
          <w:rFonts w:ascii="Arial" w:hAnsi="Arial" w:cs="Arial"/>
          <w:sz w:val="24"/>
          <w:szCs w:val="24"/>
        </w:rPr>
        <w:t>occupancy dispute</w:t>
      </w:r>
      <w:r w:rsidRPr="00811E89">
        <w:rPr>
          <w:rFonts w:ascii="Arial" w:hAnsi="Arial" w:cs="Arial"/>
          <w:sz w:val="24"/>
          <w:szCs w:val="24"/>
        </w:rPr>
        <w:t xml:space="preserve"> referral statement in its final report about the complaint. New section 53</w:t>
      </w:r>
      <w:r>
        <w:rPr>
          <w:rFonts w:ascii="Arial" w:hAnsi="Arial" w:cs="Arial"/>
          <w:sz w:val="24"/>
          <w:szCs w:val="24"/>
        </w:rPr>
        <w:t>R</w:t>
      </w:r>
      <w:r w:rsidRPr="00811E89">
        <w:rPr>
          <w:rFonts w:ascii="Arial" w:hAnsi="Arial" w:cs="Arial"/>
          <w:sz w:val="24"/>
          <w:szCs w:val="24"/>
        </w:rPr>
        <w:t xml:space="preserve"> provides that where the above circumstances apply, and the complainant requires the Commission to refer the complaint to the </w:t>
      </w:r>
      <w:r>
        <w:rPr>
          <w:rFonts w:ascii="Arial" w:hAnsi="Arial" w:cs="Arial"/>
          <w:sz w:val="24"/>
          <w:szCs w:val="24"/>
        </w:rPr>
        <w:t>Tribunal</w:t>
      </w:r>
      <w:r w:rsidRPr="00811E89">
        <w:rPr>
          <w:rFonts w:ascii="Arial" w:hAnsi="Arial" w:cs="Arial"/>
          <w:sz w:val="24"/>
          <w:szCs w:val="24"/>
        </w:rPr>
        <w:t xml:space="preserve"> within 60 days of receiving the statement, the Commission must refer the complaint to the </w:t>
      </w:r>
      <w:r>
        <w:rPr>
          <w:rFonts w:ascii="Arial" w:hAnsi="Arial" w:cs="Arial"/>
          <w:sz w:val="24"/>
          <w:szCs w:val="24"/>
        </w:rPr>
        <w:t>Tribunal</w:t>
      </w:r>
      <w:r w:rsidRPr="00811E89">
        <w:rPr>
          <w:rFonts w:ascii="Arial" w:hAnsi="Arial" w:cs="Arial"/>
          <w:sz w:val="24"/>
          <w:szCs w:val="24"/>
        </w:rPr>
        <w:t xml:space="preserve"> and advise the parties to the matter, in writing, that the referral has been made. If the Commission refers a complaint to the </w:t>
      </w:r>
      <w:r>
        <w:rPr>
          <w:rFonts w:ascii="Arial" w:hAnsi="Arial" w:cs="Arial"/>
          <w:sz w:val="24"/>
          <w:szCs w:val="24"/>
        </w:rPr>
        <w:t>Tribunal</w:t>
      </w:r>
      <w:r w:rsidRPr="00811E89">
        <w:rPr>
          <w:rFonts w:ascii="Arial" w:hAnsi="Arial" w:cs="Arial"/>
          <w:sz w:val="24"/>
          <w:szCs w:val="24"/>
        </w:rPr>
        <w:t xml:space="preserve"> under s</w:t>
      </w:r>
      <w:r w:rsidR="00512ACD">
        <w:rPr>
          <w:rFonts w:ascii="Arial" w:hAnsi="Arial" w:cs="Arial"/>
          <w:sz w:val="24"/>
          <w:szCs w:val="24"/>
        </w:rPr>
        <w:t xml:space="preserve">ection </w:t>
      </w:r>
      <w:r w:rsidRPr="00811E89">
        <w:rPr>
          <w:rFonts w:ascii="Arial" w:hAnsi="Arial" w:cs="Arial"/>
          <w:sz w:val="24"/>
          <w:szCs w:val="24"/>
        </w:rPr>
        <w:t>53</w:t>
      </w:r>
      <w:r>
        <w:rPr>
          <w:rFonts w:ascii="Arial" w:hAnsi="Arial" w:cs="Arial"/>
          <w:sz w:val="24"/>
          <w:szCs w:val="24"/>
        </w:rPr>
        <w:t>R</w:t>
      </w:r>
      <w:r w:rsidRPr="00811E89">
        <w:rPr>
          <w:rFonts w:ascii="Arial" w:hAnsi="Arial" w:cs="Arial"/>
          <w:sz w:val="24"/>
          <w:szCs w:val="24"/>
        </w:rPr>
        <w:t>, it must close the complaint in accordance with section 78 of the H</w:t>
      </w:r>
      <w:r>
        <w:rPr>
          <w:rFonts w:ascii="Arial" w:hAnsi="Arial" w:cs="Arial"/>
          <w:sz w:val="24"/>
          <w:szCs w:val="24"/>
        </w:rPr>
        <w:t>RCA</w:t>
      </w:r>
      <w:r w:rsidRPr="00811E89">
        <w:rPr>
          <w:rFonts w:ascii="Arial" w:hAnsi="Arial" w:cs="Arial"/>
          <w:sz w:val="24"/>
          <w:szCs w:val="24"/>
        </w:rPr>
        <w:t>.</w:t>
      </w:r>
    </w:p>
    <w:p w14:paraId="2AA1B657" w14:textId="77777777" w:rsidR="00D87810" w:rsidRDefault="00D87810" w:rsidP="00A903D8">
      <w:pPr>
        <w:spacing w:after="240" w:line="240" w:lineRule="auto"/>
        <w:rPr>
          <w:rFonts w:ascii="Arial" w:hAnsi="Arial" w:cs="Arial"/>
          <w:sz w:val="24"/>
          <w:szCs w:val="24"/>
        </w:rPr>
      </w:pPr>
    </w:p>
    <w:p w14:paraId="6F375EFC" w14:textId="77777777" w:rsidR="00D87810" w:rsidRDefault="00D87810" w:rsidP="00A903D8">
      <w:pPr>
        <w:spacing w:after="240" w:line="240" w:lineRule="auto"/>
        <w:rPr>
          <w:rFonts w:ascii="Arial" w:hAnsi="Arial" w:cs="Arial"/>
          <w:sz w:val="24"/>
          <w:szCs w:val="24"/>
        </w:rPr>
      </w:pPr>
    </w:p>
    <w:p w14:paraId="569428BA" w14:textId="77777777" w:rsidR="00D87810" w:rsidRDefault="00D87810" w:rsidP="00A903D8">
      <w:pPr>
        <w:spacing w:after="240" w:line="240" w:lineRule="auto"/>
        <w:rPr>
          <w:rFonts w:ascii="Arial" w:hAnsi="Arial" w:cs="Arial"/>
          <w:sz w:val="24"/>
          <w:szCs w:val="24"/>
        </w:rPr>
      </w:pPr>
    </w:p>
    <w:p w14:paraId="411FEBCB" w14:textId="3A43D020" w:rsidR="00A903D8" w:rsidRDefault="00A903D8" w:rsidP="00A903D8">
      <w:pPr>
        <w:spacing w:after="240" w:line="240" w:lineRule="auto"/>
        <w:rPr>
          <w:rFonts w:ascii="Arial" w:hAnsi="Arial" w:cs="Arial"/>
          <w:sz w:val="24"/>
          <w:szCs w:val="24"/>
        </w:rPr>
      </w:pPr>
      <w:r w:rsidRPr="00811E89">
        <w:rPr>
          <w:rFonts w:ascii="Arial" w:hAnsi="Arial" w:cs="Arial"/>
          <w:sz w:val="24"/>
          <w:szCs w:val="24"/>
        </w:rPr>
        <w:lastRenderedPageBreak/>
        <w:t>If a complainant fails to have the complaint referred to the T</w:t>
      </w:r>
      <w:r>
        <w:rPr>
          <w:rFonts w:ascii="Arial" w:hAnsi="Arial" w:cs="Arial"/>
          <w:sz w:val="24"/>
          <w:szCs w:val="24"/>
        </w:rPr>
        <w:t>ribunal</w:t>
      </w:r>
      <w:r w:rsidRPr="00811E89">
        <w:rPr>
          <w:rFonts w:ascii="Arial" w:hAnsi="Arial" w:cs="Arial"/>
          <w:sz w:val="24"/>
          <w:szCs w:val="24"/>
        </w:rPr>
        <w:t xml:space="preserve"> within 60 days of receiving a retirement village referral statement, new section 53</w:t>
      </w:r>
      <w:r>
        <w:rPr>
          <w:rFonts w:ascii="Arial" w:hAnsi="Arial" w:cs="Arial"/>
          <w:sz w:val="24"/>
          <w:szCs w:val="24"/>
        </w:rPr>
        <w:t>S</w:t>
      </w:r>
      <w:r w:rsidRPr="00811E89">
        <w:rPr>
          <w:rFonts w:ascii="Arial" w:hAnsi="Arial" w:cs="Arial"/>
          <w:sz w:val="24"/>
          <w:szCs w:val="24"/>
        </w:rPr>
        <w:t xml:space="preserve"> provides that they may make an application to the T</w:t>
      </w:r>
      <w:r>
        <w:rPr>
          <w:rFonts w:ascii="Arial" w:hAnsi="Arial" w:cs="Arial"/>
          <w:sz w:val="24"/>
          <w:szCs w:val="24"/>
        </w:rPr>
        <w:t>ribunal</w:t>
      </w:r>
      <w:r w:rsidRPr="00811E89">
        <w:rPr>
          <w:rFonts w:ascii="Arial" w:hAnsi="Arial" w:cs="Arial"/>
          <w:sz w:val="24"/>
          <w:szCs w:val="24"/>
        </w:rPr>
        <w:t xml:space="preserve"> to have the complaint heard. The T</w:t>
      </w:r>
      <w:r>
        <w:rPr>
          <w:rFonts w:ascii="Arial" w:hAnsi="Arial" w:cs="Arial"/>
          <w:sz w:val="24"/>
          <w:szCs w:val="24"/>
        </w:rPr>
        <w:t>ribunal</w:t>
      </w:r>
      <w:r w:rsidRPr="00811E89">
        <w:rPr>
          <w:rFonts w:ascii="Arial" w:hAnsi="Arial" w:cs="Arial"/>
          <w:sz w:val="24"/>
          <w:szCs w:val="24"/>
        </w:rPr>
        <w:t xml:space="preserve"> may grant this application where it is satisfied upon reasonable grounds that exceptional circumstances prevented the complainant from meeting the timeframes for referrals to the T</w:t>
      </w:r>
      <w:r>
        <w:rPr>
          <w:rFonts w:ascii="Arial" w:hAnsi="Arial" w:cs="Arial"/>
          <w:sz w:val="24"/>
          <w:szCs w:val="24"/>
        </w:rPr>
        <w:t>ribunal</w:t>
      </w:r>
      <w:r w:rsidRPr="00811E89">
        <w:rPr>
          <w:rFonts w:ascii="Arial" w:hAnsi="Arial" w:cs="Arial"/>
          <w:sz w:val="24"/>
          <w:szCs w:val="24"/>
        </w:rPr>
        <w:t xml:space="preserve"> prescribed in section 53</w:t>
      </w:r>
      <w:r>
        <w:rPr>
          <w:rFonts w:ascii="Arial" w:hAnsi="Arial" w:cs="Arial"/>
          <w:sz w:val="24"/>
          <w:szCs w:val="24"/>
        </w:rPr>
        <w:t>R</w:t>
      </w:r>
      <w:r w:rsidRPr="00811E89">
        <w:rPr>
          <w:rFonts w:ascii="Arial" w:hAnsi="Arial" w:cs="Arial"/>
          <w:sz w:val="24"/>
          <w:szCs w:val="24"/>
        </w:rPr>
        <w:t>. If the T</w:t>
      </w:r>
      <w:r>
        <w:rPr>
          <w:rFonts w:ascii="Arial" w:hAnsi="Arial" w:cs="Arial"/>
          <w:sz w:val="24"/>
          <w:szCs w:val="24"/>
        </w:rPr>
        <w:t>ribunal</w:t>
      </w:r>
      <w:r w:rsidRPr="00811E89">
        <w:rPr>
          <w:rFonts w:ascii="Arial" w:hAnsi="Arial" w:cs="Arial"/>
          <w:sz w:val="24"/>
          <w:szCs w:val="24"/>
        </w:rPr>
        <w:t xml:space="preserve"> grants an application under section 53</w:t>
      </w:r>
      <w:r>
        <w:rPr>
          <w:rFonts w:ascii="Arial" w:hAnsi="Arial" w:cs="Arial"/>
          <w:sz w:val="24"/>
          <w:szCs w:val="24"/>
        </w:rPr>
        <w:t>S</w:t>
      </w:r>
      <w:r w:rsidRPr="00811E89">
        <w:rPr>
          <w:rFonts w:ascii="Arial" w:hAnsi="Arial" w:cs="Arial"/>
          <w:sz w:val="24"/>
          <w:szCs w:val="24"/>
        </w:rPr>
        <w:t xml:space="preserve">, the complaint is considered to have been referred to the </w:t>
      </w:r>
      <w:r>
        <w:rPr>
          <w:rFonts w:ascii="Arial" w:hAnsi="Arial" w:cs="Arial"/>
          <w:sz w:val="24"/>
          <w:szCs w:val="24"/>
        </w:rPr>
        <w:t>Tribunal</w:t>
      </w:r>
      <w:r w:rsidRPr="00811E89">
        <w:rPr>
          <w:rFonts w:ascii="Arial" w:hAnsi="Arial" w:cs="Arial"/>
          <w:sz w:val="24"/>
          <w:szCs w:val="24"/>
        </w:rPr>
        <w:t>.</w:t>
      </w:r>
    </w:p>
    <w:p w14:paraId="00A5AA82" w14:textId="77777777" w:rsidR="00A903D8" w:rsidRDefault="00A903D8" w:rsidP="00A903D8">
      <w:pPr>
        <w:spacing w:after="240" w:line="240" w:lineRule="auto"/>
        <w:rPr>
          <w:rFonts w:ascii="Arial" w:hAnsi="Arial" w:cs="Arial"/>
          <w:sz w:val="24"/>
          <w:szCs w:val="24"/>
        </w:rPr>
      </w:pPr>
      <w:r w:rsidRPr="006F7AAD">
        <w:rPr>
          <w:rFonts w:ascii="Arial" w:hAnsi="Arial" w:cs="Arial"/>
          <w:sz w:val="24"/>
          <w:szCs w:val="24"/>
        </w:rPr>
        <w:t>New sections 53</w:t>
      </w:r>
      <w:r>
        <w:rPr>
          <w:rFonts w:ascii="Arial" w:hAnsi="Arial" w:cs="Arial"/>
          <w:sz w:val="24"/>
          <w:szCs w:val="24"/>
        </w:rPr>
        <w:t>T</w:t>
      </w:r>
      <w:r w:rsidRPr="006F7AAD">
        <w:rPr>
          <w:rFonts w:ascii="Arial" w:hAnsi="Arial" w:cs="Arial"/>
          <w:sz w:val="24"/>
          <w:szCs w:val="24"/>
        </w:rPr>
        <w:t xml:space="preserve"> – 53</w:t>
      </w:r>
      <w:r>
        <w:rPr>
          <w:rFonts w:ascii="Arial" w:hAnsi="Arial" w:cs="Arial"/>
          <w:sz w:val="24"/>
          <w:szCs w:val="24"/>
        </w:rPr>
        <w:t>X</w:t>
      </w:r>
      <w:r w:rsidRPr="006F7AAD">
        <w:rPr>
          <w:rFonts w:ascii="Arial" w:hAnsi="Arial" w:cs="Arial"/>
          <w:sz w:val="24"/>
          <w:szCs w:val="24"/>
        </w:rPr>
        <w:t xml:space="preserve"> outline procedural processes to be followed where a complaint is referred to the </w:t>
      </w:r>
      <w:r>
        <w:rPr>
          <w:rFonts w:ascii="Arial" w:hAnsi="Arial" w:cs="Arial"/>
          <w:sz w:val="24"/>
          <w:szCs w:val="24"/>
        </w:rPr>
        <w:t>Tribunal</w:t>
      </w:r>
      <w:r w:rsidRPr="006F7AAD">
        <w:rPr>
          <w:rFonts w:ascii="Arial" w:hAnsi="Arial" w:cs="Arial"/>
          <w:sz w:val="24"/>
          <w:szCs w:val="24"/>
        </w:rPr>
        <w:t>. Section 53</w:t>
      </w:r>
      <w:r>
        <w:rPr>
          <w:rFonts w:ascii="Arial" w:hAnsi="Arial" w:cs="Arial"/>
          <w:sz w:val="24"/>
          <w:szCs w:val="24"/>
        </w:rPr>
        <w:t>T</w:t>
      </w:r>
      <w:r w:rsidRPr="006F7AAD">
        <w:rPr>
          <w:rFonts w:ascii="Arial" w:hAnsi="Arial" w:cs="Arial"/>
          <w:sz w:val="24"/>
          <w:szCs w:val="24"/>
        </w:rPr>
        <w:t xml:space="preserve"> provides that the Commission may apply to the T</w:t>
      </w:r>
      <w:r>
        <w:rPr>
          <w:rFonts w:ascii="Arial" w:hAnsi="Arial" w:cs="Arial"/>
          <w:sz w:val="24"/>
          <w:szCs w:val="24"/>
        </w:rPr>
        <w:t>ribunal</w:t>
      </w:r>
      <w:r w:rsidRPr="006F7AAD">
        <w:rPr>
          <w:rFonts w:ascii="Arial" w:hAnsi="Arial" w:cs="Arial"/>
          <w:sz w:val="24"/>
          <w:szCs w:val="24"/>
        </w:rPr>
        <w:t xml:space="preserve"> </w:t>
      </w:r>
      <w:r>
        <w:rPr>
          <w:rFonts w:ascii="Arial" w:hAnsi="Arial" w:cs="Arial"/>
          <w:sz w:val="24"/>
          <w:szCs w:val="24"/>
        </w:rPr>
        <w:t>to be joined to</w:t>
      </w:r>
      <w:r w:rsidRPr="006F7AAD">
        <w:rPr>
          <w:rFonts w:ascii="Arial" w:hAnsi="Arial" w:cs="Arial"/>
          <w:sz w:val="24"/>
          <w:szCs w:val="24"/>
        </w:rPr>
        <w:t xml:space="preserve"> the complaint referred. If this application is granted, the parties to the complaint will be the complainant, the person complained about</w:t>
      </w:r>
      <w:r>
        <w:rPr>
          <w:rFonts w:ascii="Arial" w:hAnsi="Arial" w:cs="Arial"/>
          <w:sz w:val="24"/>
          <w:szCs w:val="24"/>
        </w:rPr>
        <w:t>,</w:t>
      </w:r>
      <w:r w:rsidRPr="006F7AAD">
        <w:rPr>
          <w:rFonts w:ascii="Arial" w:hAnsi="Arial" w:cs="Arial"/>
          <w:sz w:val="24"/>
          <w:szCs w:val="24"/>
        </w:rPr>
        <w:t xml:space="preserve"> and the Commission. Section 53</w:t>
      </w:r>
      <w:r>
        <w:rPr>
          <w:rFonts w:ascii="Arial" w:hAnsi="Arial" w:cs="Arial"/>
          <w:sz w:val="24"/>
          <w:szCs w:val="24"/>
        </w:rPr>
        <w:t>U</w:t>
      </w:r>
      <w:r w:rsidRPr="006F7AAD">
        <w:rPr>
          <w:rFonts w:ascii="Arial" w:hAnsi="Arial" w:cs="Arial"/>
          <w:sz w:val="24"/>
          <w:szCs w:val="24"/>
        </w:rPr>
        <w:t xml:space="preserve"> provides that the T</w:t>
      </w:r>
      <w:r>
        <w:rPr>
          <w:rFonts w:ascii="Arial" w:hAnsi="Arial" w:cs="Arial"/>
          <w:sz w:val="24"/>
          <w:szCs w:val="24"/>
        </w:rPr>
        <w:t>ribunal</w:t>
      </w:r>
      <w:r w:rsidRPr="006F7AAD">
        <w:rPr>
          <w:rFonts w:ascii="Arial" w:hAnsi="Arial" w:cs="Arial"/>
          <w:sz w:val="24"/>
          <w:szCs w:val="24"/>
        </w:rPr>
        <w:t xml:space="preserve"> has, and may exercise, the same jurisdiction as </w:t>
      </w:r>
      <w:r>
        <w:rPr>
          <w:rFonts w:ascii="Arial" w:hAnsi="Arial" w:cs="Arial"/>
          <w:sz w:val="24"/>
          <w:szCs w:val="24"/>
        </w:rPr>
        <w:t>provided for in the RTA</w:t>
      </w:r>
      <w:r w:rsidRPr="006F7AAD">
        <w:rPr>
          <w:rFonts w:ascii="Arial" w:hAnsi="Arial" w:cs="Arial"/>
          <w:sz w:val="24"/>
          <w:szCs w:val="24"/>
        </w:rPr>
        <w:t xml:space="preserve"> in proceedings where relief is sought in relation to a</w:t>
      </w:r>
      <w:r>
        <w:rPr>
          <w:rFonts w:ascii="Arial" w:hAnsi="Arial" w:cs="Arial"/>
          <w:sz w:val="24"/>
          <w:szCs w:val="24"/>
        </w:rPr>
        <w:t>n occupancy agreement</w:t>
      </w:r>
      <w:r w:rsidRPr="006F7AAD">
        <w:rPr>
          <w:rFonts w:ascii="Arial" w:hAnsi="Arial" w:cs="Arial"/>
          <w:sz w:val="24"/>
          <w:szCs w:val="24"/>
        </w:rPr>
        <w:t xml:space="preserve"> between a</w:t>
      </w:r>
      <w:r>
        <w:rPr>
          <w:rFonts w:ascii="Arial" w:hAnsi="Arial" w:cs="Arial"/>
          <w:sz w:val="24"/>
          <w:szCs w:val="24"/>
        </w:rPr>
        <w:t xml:space="preserve"> grantor</w:t>
      </w:r>
      <w:r w:rsidRPr="006F7AAD">
        <w:rPr>
          <w:rFonts w:ascii="Arial" w:hAnsi="Arial" w:cs="Arial"/>
          <w:sz w:val="24"/>
          <w:szCs w:val="24"/>
        </w:rPr>
        <w:t xml:space="preserve"> and a</w:t>
      </w:r>
      <w:r>
        <w:rPr>
          <w:rFonts w:ascii="Arial" w:hAnsi="Arial" w:cs="Arial"/>
          <w:sz w:val="24"/>
          <w:szCs w:val="24"/>
        </w:rPr>
        <w:t>n occupant</w:t>
      </w:r>
      <w:r w:rsidRPr="006F7AAD">
        <w:rPr>
          <w:rFonts w:ascii="Arial" w:hAnsi="Arial" w:cs="Arial"/>
          <w:sz w:val="24"/>
          <w:szCs w:val="24"/>
        </w:rPr>
        <w:t>.</w:t>
      </w:r>
    </w:p>
    <w:p w14:paraId="6E8AF5F2" w14:textId="77777777" w:rsidR="00A903D8" w:rsidRDefault="00A903D8" w:rsidP="00A903D8">
      <w:pPr>
        <w:spacing w:after="240" w:line="240" w:lineRule="auto"/>
        <w:rPr>
          <w:rFonts w:ascii="Arial" w:hAnsi="Arial" w:cs="Arial"/>
          <w:sz w:val="24"/>
          <w:szCs w:val="24"/>
        </w:rPr>
      </w:pPr>
      <w:r w:rsidRPr="00454070">
        <w:rPr>
          <w:rFonts w:ascii="Arial" w:hAnsi="Arial" w:cs="Arial"/>
          <w:sz w:val="24"/>
          <w:szCs w:val="24"/>
        </w:rPr>
        <w:t>Section 53</w:t>
      </w:r>
      <w:r>
        <w:rPr>
          <w:rFonts w:ascii="Arial" w:hAnsi="Arial" w:cs="Arial"/>
          <w:sz w:val="24"/>
          <w:szCs w:val="24"/>
        </w:rPr>
        <w:t>V</w:t>
      </w:r>
      <w:r w:rsidRPr="00454070">
        <w:rPr>
          <w:rFonts w:ascii="Arial" w:hAnsi="Arial" w:cs="Arial"/>
          <w:sz w:val="24"/>
          <w:szCs w:val="24"/>
        </w:rPr>
        <w:t xml:space="preserve"> provides guidance about the documents which the Commission can provide to the </w:t>
      </w:r>
      <w:r>
        <w:rPr>
          <w:rFonts w:ascii="Arial" w:hAnsi="Arial" w:cs="Arial"/>
          <w:sz w:val="24"/>
          <w:szCs w:val="24"/>
        </w:rPr>
        <w:t>Tribunal</w:t>
      </w:r>
      <w:r w:rsidRPr="00454070">
        <w:rPr>
          <w:rFonts w:ascii="Arial" w:hAnsi="Arial" w:cs="Arial"/>
          <w:sz w:val="24"/>
          <w:szCs w:val="24"/>
        </w:rPr>
        <w:t xml:space="preserve"> when it refers a complaint to the </w:t>
      </w:r>
      <w:r>
        <w:rPr>
          <w:rFonts w:ascii="Arial" w:hAnsi="Arial" w:cs="Arial"/>
          <w:sz w:val="24"/>
          <w:szCs w:val="24"/>
        </w:rPr>
        <w:t>Tribunal</w:t>
      </w:r>
      <w:r w:rsidRPr="00454070">
        <w:rPr>
          <w:rFonts w:ascii="Arial" w:hAnsi="Arial" w:cs="Arial"/>
          <w:sz w:val="24"/>
          <w:szCs w:val="24"/>
        </w:rPr>
        <w:t xml:space="preserve"> under division 4.2</w:t>
      </w:r>
      <w:r>
        <w:rPr>
          <w:rFonts w:ascii="Arial" w:hAnsi="Arial" w:cs="Arial"/>
          <w:sz w:val="24"/>
          <w:szCs w:val="24"/>
        </w:rPr>
        <w:t>C</w:t>
      </w:r>
      <w:r w:rsidRPr="00454070">
        <w:rPr>
          <w:rFonts w:ascii="Arial" w:hAnsi="Arial" w:cs="Arial"/>
          <w:sz w:val="24"/>
          <w:szCs w:val="24"/>
        </w:rPr>
        <w:t xml:space="preserve">. Certain documents, such as communications providing evidence of settlement negotiations, will be inadmissible before the </w:t>
      </w:r>
      <w:r>
        <w:rPr>
          <w:rFonts w:ascii="Arial" w:hAnsi="Arial" w:cs="Arial"/>
          <w:sz w:val="24"/>
          <w:szCs w:val="24"/>
        </w:rPr>
        <w:t>Tribunal</w:t>
      </w:r>
      <w:r w:rsidRPr="00454070">
        <w:rPr>
          <w:rFonts w:ascii="Arial" w:hAnsi="Arial" w:cs="Arial"/>
          <w:sz w:val="24"/>
          <w:szCs w:val="24"/>
        </w:rPr>
        <w:t xml:space="preserve"> in accordance with the </w:t>
      </w:r>
      <w:r w:rsidRPr="00454070">
        <w:rPr>
          <w:rFonts w:ascii="Arial" w:hAnsi="Arial" w:cs="Arial"/>
          <w:i/>
          <w:iCs/>
          <w:sz w:val="24"/>
          <w:szCs w:val="24"/>
        </w:rPr>
        <w:t>Evidence Act 2011</w:t>
      </w:r>
      <w:r w:rsidRPr="00454070">
        <w:rPr>
          <w:rFonts w:ascii="Arial" w:hAnsi="Arial" w:cs="Arial"/>
          <w:sz w:val="24"/>
          <w:szCs w:val="24"/>
        </w:rPr>
        <w:t xml:space="preserve">. Section 131(2) of the </w:t>
      </w:r>
      <w:r w:rsidRPr="00454070">
        <w:rPr>
          <w:rFonts w:ascii="Arial" w:hAnsi="Arial" w:cs="Arial"/>
          <w:i/>
          <w:iCs/>
          <w:sz w:val="24"/>
          <w:szCs w:val="24"/>
        </w:rPr>
        <w:t>Evidence Act 2011</w:t>
      </w:r>
      <w:r w:rsidRPr="00454070">
        <w:rPr>
          <w:rFonts w:ascii="Arial" w:hAnsi="Arial" w:cs="Arial"/>
          <w:sz w:val="24"/>
          <w:szCs w:val="24"/>
        </w:rPr>
        <w:t xml:space="preserve"> provides further guidance about circumstances which would allow communications about settlement negotiations to be admitted before the </w:t>
      </w:r>
      <w:r>
        <w:rPr>
          <w:rFonts w:ascii="Arial" w:hAnsi="Arial" w:cs="Arial"/>
          <w:sz w:val="24"/>
          <w:szCs w:val="24"/>
        </w:rPr>
        <w:t>Tribunal</w:t>
      </w:r>
      <w:r w:rsidRPr="00454070">
        <w:rPr>
          <w:rFonts w:ascii="Arial" w:hAnsi="Arial" w:cs="Arial"/>
          <w:sz w:val="24"/>
          <w:szCs w:val="24"/>
        </w:rPr>
        <w:t xml:space="preserve">. Consideration of this provision’s impact on the right to privacy and reputation under the </w:t>
      </w:r>
      <w:r w:rsidRPr="00454070">
        <w:rPr>
          <w:rFonts w:ascii="Arial" w:hAnsi="Arial" w:cs="Arial"/>
          <w:i/>
          <w:iCs/>
          <w:sz w:val="24"/>
          <w:szCs w:val="24"/>
        </w:rPr>
        <w:t>Human Rights Act 2004</w:t>
      </w:r>
      <w:r w:rsidRPr="00454070">
        <w:rPr>
          <w:rFonts w:ascii="Arial" w:hAnsi="Arial" w:cs="Arial"/>
          <w:sz w:val="24"/>
          <w:szCs w:val="24"/>
        </w:rPr>
        <w:t xml:space="preserve"> has been addressed above in the human rights analysis of this explanatory statement.</w:t>
      </w:r>
    </w:p>
    <w:p w14:paraId="640A3202" w14:textId="77777777" w:rsidR="00A903D8" w:rsidRDefault="00A903D8" w:rsidP="00A903D8">
      <w:pPr>
        <w:spacing w:after="240" w:line="240" w:lineRule="auto"/>
        <w:rPr>
          <w:rFonts w:ascii="Arial" w:hAnsi="Arial" w:cs="Arial"/>
          <w:sz w:val="24"/>
          <w:szCs w:val="24"/>
        </w:rPr>
      </w:pPr>
      <w:r w:rsidRPr="00454070">
        <w:rPr>
          <w:rFonts w:ascii="Arial" w:hAnsi="Arial" w:cs="Arial"/>
          <w:sz w:val="24"/>
          <w:szCs w:val="24"/>
        </w:rPr>
        <w:t xml:space="preserve">If a complaint is referred to the </w:t>
      </w:r>
      <w:r>
        <w:rPr>
          <w:rFonts w:ascii="Arial" w:hAnsi="Arial" w:cs="Arial"/>
          <w:sz w:val="24"/>
          <w:szCs w:val="24"/>
        </w:rPr>
        <w:t>Tribunal</w:t>
      </w:r>
      <w:r w:rsidRPr="00454070">
        <w:rPr>
          <w:rFonts w:ascii="Arial" w:hAnsi="Arial" w:cs="Arial"/>
          <w:sz w:val="24"/>
          <w:szCs w:val="24"/>
        </w:rPr>
        <w:t xml:space="preserve"> and it is satisfied that the person complained about has engaged in an unlawful act, new section 53</w:t>
      </w:r>
      <w:r>
        <w:rPr>
          <w:rFonts w:ascii="Arial" w:hAnsi="Arial" w:cs="Arial"/>
          <w:sz w:val="24"/>
          <w:szCs w:val="24"/>
        </w:rPr>
        <w:t>W</w:t>
      </w:r>
      <w:r w:rsidRPr="00454070">
        <w:rPr>
          <w:rFonts w:ascii="Arial" w:hAnsi="Arial" w:cs="Arial"/>
          <w:sz w:val="24"/>
          <w:szCs w:val="24"/>
        </w:rPr>
        <w:t xml:space="preserve"> provides that the </w:t>
      </w:r>
      <w:r>
        <w:rPr>
          <w:rFonts w:ascii="Arial" w:hAnsi="Arial" w:cs="Arial"/>
          <w:sz w:val="24"/>
          <w:szCs w:val="24"/>
        </w:rPr>
        <w:t>Tribunal</w:t>
      </w:r>
      <w:r w:rsidRPr="00454070">
        <w:rPr>
          <w:rFonts w:ascii="Arial" w:hAnsi="Arial" w:cs="Arial"/>
          <w:sz w:val="24"/>
          <w:szCs w:val="24"/>
        </w:rPr>
        <w:t xml:space="preserve"> may make one or more orders in accordance with section 8</w:t>
      </w:r>
      <w:r>
        <w:rPr>
          <w:rFonts w:ascii="Arial" w:hAnsi="Arial" w:cs="Arial"/>
          <w:sz w:val="24"/>
          <w:szCs w:val="24"/>
        </w:rPr>
        <w:t>3</w:t>
      </w:r>
      <w:r w:rsidRPr="00454070">
        <w:rPr>
          <w:rFonts w:ascii="Arial" w:hAnsi="Arial" w:cs="Arial"/>
          <w:sz w:val="24"/>
          <w:szCs w:val="24"/>
        </w:rPr>
        <w:t xml:space="preserve"> of the </w:t>
      </w:r>
      <w:r>
        <w:rPr>
          <w:rFonts w:ascii="Arial" w:hAnsi="Arial" w:cs="Arial"/>
          <w:sz w:val="24"/>
          <w:szCs w:val="24"/>
        </w:rPr>
        <w:t>RTA</w:t>
      </w:r>
      <w:r w:rsidRPr="00454070">
        <w:rPr>
          <w:rFonts w:ascii="Arial" w:hAnsi="Arial" w:cs="Arial"/>
          <w:sz w:val="24"/>
          <w:szCs w:val="24"/>
        </w:rPr>
        <w:t>. In making these orders, new section 53</w:t>
      </w:r>
      <w:r>
        <w:rPr>
          <w:rFonts w:ascii="Arial" w:hAnsi="Arial" w:cs="Arial"/>
          <w:sz w:val="24"/>
          <w:szCs w:val="24"/>
        </w:rPr>
        <w:t>X</w:t>
      </w:r>
      <w:r w:rsidRPr="00454070">
        <w:rPr>
          <w:rFonts w:ascii="Arial" w:hAnsi="Arial" w:cs="Arial"/>
          <w:sz w:val="24"/>
          <w:szCs w:val="24"/>
        </w:rPr>
        <w:t xml:space="preserve"> provides that division 4.2</w:t>
      </w:r>
      <w:r>
        <w:rPr>
          <w:rFonts w:ascii="Arial" w:hAnsi="Arial" w:cs="Arial"/>
          <w:sz w:val="24"/>
          <w:szCs w:val="24"/>
        </w:rPr>
        <w:t>C</w:t>
      </w:r>
      <w:r w:rsidRPr="00454070">
        <w:rPr>
          <w:rFonts w:ascii="Arial" w:hAnsi="Arial" w:cs="Arial"/>
          <w:sz w:val="24"/>
          <w:szCs w:val="24"/>
        </w:rPr>
        <w:t xml:space="preserve"> does </w:t>
      </w:r>
      <w:r>
        <w:rPr>
          <w:rFonts w:ascii="Arial" w:hAnsi="Arial" w:cs="Arial"/>
          <w:sz w:val="24"/>
          <w:szCs w:val="24"/>
        </w:rPr>
        <w:t xml:space="preserve">additionally restrict </w:t>
      </w:r>
      <w:r w:rsidRPr="00454070">
        <w:rPr>
          <w:rFonts w:ascii="Arial" w:hAnsi="Arial" w:cs="Arial"/>
          <w:sz w:val="24"/>
          <w:szCs w:val="24"/>
        </w:rPr>
        <w:t>the amount of money that the T</w:t>
      </w:r>
      <w:r>
        <w:rPr>
          <w:rFonts w:ascii="Arial" w:hAnsi="Arial" w:cs="Arial"/>
          <w:sz w:val="24"/>
          <w:szCs w:val="24"/>
        </w:rPr>
        <w:t>ribunal</w:t>
      </w:r>
      <w:r w:rsidRPr="00454070">
        <w:rPr>
          <w:rFonts w:ascii="Arial" w:hAnsi="Arial" w:cs="Arial"/>
          <w:sz w:val="24"/>
          <w:szCs w:val="24"/>
        </w:rPr>
        <w:t xml:space="preserve"> may order be paid as a result of the order being made.</w:t>
      </w:r>
      <w:r>
        <w:rPr>
          <w:rFonts w:ascii="Arial" w:hAnsi="Arial" w:cs="Arial"/>
          <w:sz w:val="24"/>
          <w:szCs w:val="24"/>
        </w:rPr>
        <w:t xml:space="preserve"> The existing limitations under the RTA apply. </w:t>
      </w:r>
    </w:p>
    <w:p w14:paraId="762D6E16" w14:textId="77777777" w:rsidR="00A903D8" w:rsidRPr="00B228CB" w:rsidRDefault="00A903D8" w:rsidP="00A903D8">
      <w:pPr>
        <w:spacing w:after="240" w:line="240" w:lineRule="auto"/>
        <w:rPr>
          <w:rFonts w:ascii="Arial" w:hAnsi="Arial" w:cs="Arial"/>
          <w:sz w:val="24"/>
          <w:szCs w:val="24"/>
        </w:rPr>
      </w:pPr>
      <w:r w:rsidRPr="00D433FA">
        <w:rPr>
          <w:rFonts w:ascii="Arial" w:hAnsi="Arial" w:cs="Arial"/>
          <w:sz w:val="24"/>
          <w:szCs w:val="24"/>
        </w:rPr>
        <w:t>New section 53</w:t>
      </w:r>
      <w:r>
        <w:rPr>
          <w:rFonts w:ascii="Arial" w:hAnsi="Arial" w:cs="Arial"/>
          <w:sz w:val="24"/>
          <w:szCs w:val="24"/>
        </w:rPr>
        <w:t>Y</w:t>
      </w:r>
      <w:r w:rsidRPr="00D433FA">
        <w:rPr>
          <w:rFonts w:ascii="Arial" w:hAnsi="Arial" w:cs="Arial"/>
          <w:sz w:val="24"/>
          <w:szCs w:val="24"/>
        </w:rPr>
        <w:t xml:space="preserve"> provides that complainants are not required to make an attempt to resolve a complaint prior to making a</w:t>
      </w:r>
      <w:r>
        <w:rPr>
          <w:rFonts w:ascii="Arial" w:hAnsi="Arial" w:cs="Arial"/>
          <w:sz w:val="24"/>
          <w:szCs w:val="24"/>
        </w:rPr>
        <w:t>n occupancy dispute</w:t>
      </w:r>
      <w:r w:rsidRPr="00D433FA">
        <w:rPr>
          <w:rFonts w:ascii="Arial" w:hAnsi="Arial" w:cs="Arial"/>
          <w:sz w:val="24"/>
          <w:szCs w:val="24"/>
        </w:rPr>
        <w:t xml:space="preserve"> complaint under the HRCA. This recognises that the conciliation process offered under division 4.2</w:t>
      </w:r>
      <w:r>
        <w:rPr>
          <w:rFonts w:ascii="Arial" w:hAnsi="Arial" w:cs="Arial"/>
          <w:sz w:val="24"/>
          <w:szCs w:val="24"/>
        </w:rPr>
        <w:t>C</w:t>
      </w:r>
      <w:r w:rsidRPr="00D433FA">
        <w:rPr>
          <w:rFonts w:ascii="Arial" w:hAnsi="Arial" w:cs="Arial"/>
          <w:sz w:val="24"/>
          <w:szCs w:val="24"/>
        </w:rPr>
        <w:t xml:space="preserve"> is an optional process which can be utilised by </w:t>
      </w:r>
      <w:r>
        <w:rPr>
          <w:rFonts w:ascii="Arial" w:hAnsi="Arial" w:cs="Arial"/>
          <w:sz w:val="24"/>
          <w:szCs w:val="24"/>
        </w:rPr>
        <w:t>occupants</w:t>
      </w:r>
      <w:r w:rsidRPr="00D433FA">
        <w:rPr>
          <w:rFonts w:ascii="Arial" w:hAnsi="Arial" w:cs="Arial"/>
          <w:sz w:val="24"/>
          <w:szCs w:val="24"/>
        </w:rPr>
        <w:t xml:space="preserve"> at a time that is right for them.</w:t>
      </w:r>
    </w:p>
    <w:p w14:paraId="47E52965" w14:textId="420CBA6B" w:rsidR="00A903D8" w:rsidRPr="001A0950" w:rsidRDefault="00A903D8" w:rsidP="00A903D8">
      <w:pPr>
        <w:spacing w:after="240" w:line="240" w:lineRule="auto"/>
        <w:rPr>
          <w:rFonts w:ascii="Arial" w:hAnsi="Arial" w:cs="Arial"/>
          <w:b/>
          <w:sz w:val="24"/>
          <w:szCs w:val="24"/>
        </w:rPr>
      </w:pPr>
      <w:r w:rsidRPr="001A0950">
        <w:rPr>
          <w:rFonts w:ascii="Arial" w:hAnsi="Arial" w:cs="Arial"/>
          <w:b/>
          <w:sz w:val="24"/>
          <w:szCs w:val="24"/>
        </w:rPr>
        <w:t xml:space="preserve">Clause </w:t>
      </w:r>
      <w:r>
        <w:rPr>
          <w:rFonts w:ascii="Arial" w:hAnsi="Arial" w:cs="Arial"/>
          <w:b/>
          <w:sz w:val="24"/>
          <w:szCs w:val="24"/>
        </w:rPr>
        <w:t>[1.6]</w:t>
      </w:r>
      <w:r w:rsidRPr="001A0950">
        <w:rPr>
          <w:rFonts w:ascii="Arial" w:hAnsi="Arial" w:cs="Arial"/>
          <w:b/>
          <w:sz w:val="24"/>
          <w:szCs w:val="24"/>
        </w:rPr>
        <w:tab/>
      </w:r>
      <w:r>
        <w:rPr>
          <w:rFonts w:ascii="Arial" w:hAnsi="Arial" w:cs="Arial"/>
          <w:b/>
          <w:sz w:val="24"/>
          <w:szCs w:val="24"/>
        </w:rPr>
        <w:t>Section 62 (3) (b)</w:t>
      </w:r>
    </w:p>
    <w:p w14:paraId="3D71D4A5" w14:textId="77777777" w:rsidR="00A903D8" w:rsidRDefault="00A903D8" w:rsidP="00A903D8">
      <w:pPr>
        <w:spacing w:after="240" w:line="240" w:lineRule="auto"/>
        <w:rPr>
          <w:rFonts w:ascii="Arial" w:hAnsi="Arial" w:cs="Arial"/>
          <w:sz w:val="24"/>
          <w:szCs w:val="24"/>
        </w:rPr>
      </w:pPr>
      <w:r>
        <w:rPr>
          <w:rFonts w:ascii="Arial" w:hAnsi="Arial" w:cs="Arial"/>
          <w:sz w:val="24"/>
          <w:szCs w:val="24"/>
        </w:rPr>
        <w:t xml:space="preserve">This clause </w:t>
      </w:r>
      <w:r w:rsidRPr="00D433FA">
        <w:rPr>
          <w:rFonts w:ascii="Arial" w:hAnsi="Arial" w:cs="Arial"/>
          <w:sz w:val="24"/>
          <w:szCs w:val="24"/>
        </w:rPr>
        <w:t>provide</w:t>
      </w:r>
      <w:r>
        <w:rPr>
          <w:rFonts w:ascii="Arial" w:hAnsi="Arial" w:cs="Arial"/>
          <w:sz w:val="24"/>
          <w:szCs w:val="24"/>
        </w:rPr>
        <w:t>s</w:t>
      </w:r>
      <w:r w:rsidRPr="00D433FA">
        <w:rPr>
          <w:rFonts w:ascii="Arial" w:hAnsi="Arial" w:cs="Arial"/>
          <w:sz w:val="24"/>
          <w:szCs w:val="24"/>
        </w:rPr>
        <w:t xml:space="preserve"> that if a</w:t>
      </w:r>
      <w:r>
        <w:rPr>
          <w:rFonts w:ascii="Arial" w:hAnsi="Arial" w:cs="Arial"/>
          <w:sz w:val="24"/>
          <w:szCs w:val="24"/>
        </w:rPr>
        <w:t>n</w:t>
      </w:r>
      <w:r w:rsidRPr="00D433FA">
        <w:rPr>
          <w:rFonts w:ascii="Arial" w:hAnsi="Arial" w:cs="Arial"/>
          <w:sz w:val="24"/>
          <w:szCs w:val="24"/>
        </w:rPr>
        <w:t xml:space="preserve"> </w:t>
      </w:r>
      <w:r>
        <w:rPr>
          <w:rFonts w:ascii="Arial" w:hAnsi="Arial" w:cs="Arial"/>
          <w:sz w:val="24"/>
          <w:szCs w:val="24"/>
        </w:rPr>
        <w:t>occupancy dispute</w:t>
      </w:r>
      <w:r w:rsidRPr="00D433FA">
        <w:rPr>
          <w:rFonts w:ascii="Arial" w:hAnsi="Arial" w:cs="Arial"/>
          <w:sz w:val="24"/>
          <w:szCs w:val="24"/>
        </w:rPr>
        <w:t xml:space="preserve"> complaint is resolved by conciliation processes conducted by the Commission, the agreement reached is deemed enforceable as if it were an order of the </w:t>
      </w:r>
      <w:r>
        <w:rPr>
          <w:rFonts w:ascii="Arial" w:hAnsi="Arial" w:cs="Arial"/>
          <w:sz w:val="24"/>
          <w:szCs w:val="24"/>
        </w:rPr>
        <w:t>Tribunal</w:t>
      </w:r>
      <w:r w:rsidRPr="00D433FA">
        <w:rPr>
          <w:rFonts w:ascii="Arial" w:hAnsi="Arial" w:cs="Arial"/>
          <w:sz w:val="24"/>
          <w:szCs w:val="24"/>
        </w:rPr>
        <w:t xml:space="preserve">. This clause places an obligation on the Commission to provide a copy of the written agreement formed through the conciliation process (conciliation agreement) to the parties to the complaint and the </w:t>
      </w:r>
      <w:r>
        <w:rPr>
          <w:rFonts w:ascii="Arial" w:hAnsi="Arial" w:cs="Arial"/>
          <w:sz w:val="24"/>
          <w:szCs w:val="24"/>
        </w:rPr>
        <w:t>Tribunal</w:t>
      </w:r>
      <w:r w:rsidRPr="00D433FA">
        <w:rPr>
          <w:rFonts w:ascii="Arial" w:hAnsi="Arial" w:cs="Arial"/>
          <w:sz w:val="24"/>
          <w:szCs w:val="24"/>
        </w:rPr>
        <w:t>. Complainants may seek an order in the ACT Magistrates Court to enforce an order of the T</w:t>
      </w:r>
      <w:r>
        <w:rPr>
          <w:rFonts w:ascii="Arial" w:hAnsi="Arial" w:cs="Arial"/>
          <w:sz w:val="24"/>
          <w:szCs w:val="24"/>
        </w:rPr>
        <w:t>ribunal</w:t>
      </w:r>
      <w:r w:rsidRPr="00D433FA">
        <w:rPr>
          <w:rFonts w:ascii="Arial" w:hAnsi="Arial" w:cs="Arial"/>
          <w:sz w:val="24"/>
          <w:szCs w:val="24"/>
        </w:rPr>
        <w:t xml:space="preserve">. Section 71 of the </w:t>
      </w:r>
      <w:r w:rsidRPr="00D433FA">
        <w:rPr>
          <w:rFonts w:ascii="Arial" w:hAnsi="Arial" w:cs="Arial"/>
          <w:i/>
          <w:iCs/>
          <w:sz w:val="24"/>
          <w:szCs w:val="24"/>
        </w:rPr>
        <w:t>ACT Civil and Administrative Tribunal Act 2008</w:t>
      </w:r>
      <w:r w:rsidRPr="00D433FA">
        <w:rPr>
          <w:rFonts w:ascii="Arial" w:hAnsi="Arial" w:cs="Arial"/>
          <w:sz w:val="24"/>
          <w:szCs w:val="24"/>
        </w:rPr>
        <w:t xml:space="preserve"> provides guidance about the process to be followed to enforce orders which have been made by the T</w:t>
      </w:r>
      <w:r>
        <w:rPr>
          <w:rFonts w:ascii="Arial" w:hAnsi="Arial" w:cs="Arial"/>
          <w:sz w:val="24"/>
          <w:szCs w:val="24"/>
        </w:rPr>
        <w:t>ribunal</w:t>
      </w:r>
      <w:r w:rsidRPr="00D433FA">
        <w:rPr>
          <w:rFonts w:ascii="Arial" w:hAnsi="Arial" w:cs="Arial"/>
          <w:sz w:val="24"/>
          <w:szCs w:val="24"/>
        </w:rPr>
        <w:t xml:space="preserve">. </w:t>
      </w:r>
    </w:p>
    <w:p w14:paraId="52F78652" w14:textId="7D58783A" w:rsidR="00A903D8" w:rsidRPr="00FD1BCA" w:rsidRDefault="00A903D8" w:rsidP="00A903D8">
      <w:pPr>
        <w:spacing w:after="240" w:line="240" w:lineRule="auto"/>
        <w:rPr>
          <w:rFonts w:ascii="Arial" w:hAnsi="Arial" w:cs="Arial"/>
          <w:b/>
          <w:sz w:val="24"/>
          <w:szCs w:val="24"/>
        </w:rPr>
      </w:pPr>
      <w:r w:rsidRPr="00FD1BCA">
        <w:rPr>
          <w:rFonts w:ascii="Arial" w:hAnsi="Arial" w:cs="Arial"/>
          <w:b/>
          <w:sz w:val="24"/>
          <w:szCs w:val="24"/>
        </w:rPr>
        <w:lastRenderedPageBreak/>
        <w:t xml:space="preserve">Clause </w:t>
      </w:r>
      <w:r>
        <w:rPr>
          <w:rFonts w:ascii="Arial" w:hAnsi="Arial" w:cs="Arial"/>
          <w:b/>
          <w:sz w:val="24"/>
          <w:szCs w:val="24"/>
        </w:rPr>
        <w:t>[1.7]</w:t>
      </w:r>
      <w:r w:rsidRPr="00FD1BCA">
        <w:rPr>
          <w:rFonts w:ascii="Arial" w:hAnsi="Arial" w:cs="Arial"/>
          <w:b/>
          <w:sz w:val="24"/>
          <w:szCs w:val="24"/>
        </w:rPr>
        <w:t xml:space="preserve"> </w:t>
      </w:r>
      <w:r w:rsidRPr="00FD1BCA">
        <w:rPr>
          <w:rFonts w:ascii="Arial" w:hAnsi="Arial" w:cs="Arial"/>
          <w:b/>
          <w:sz w:val="24"/>
          <w:szCs w:val="24"/>
        </w:rPr>
        <w:tab/>
      </w:r>
      <w:r>
        <w:rPr>
          <w:rFonts w:ascii="Arial" w:hAnsi="Arial" w:cs="Arial"/>
          <w:b/>
          <w:sz w:val="24"/>
          <w:szCs w:val="24"/>
        </w:rPr>
        <w:t>Section 78 (2) (d)</w:t>
      </w:r>
    </w:p>
    <w:p w14:paraId="7CE8E375" w14:textId="77777777" w:rsidR="00A903D8" w:rsidRDefault="00A903D8" w:rsidP="00A903D8">
      <w:pPr>
        <w:spacing w:after="240" w:line="240" w:lineRule="auto"/>
        <w:rPr>
          <w:rFonts w:ascii="Arial" w:hAnsi="Arial" w:cs="Arial"/>
          <w:sz w:val="24"/>
          <w:szCs w:val="24"/>
        </w:rPr>
      </w:pPr>
      <w:r>
        <w:rPr>
          <w:rFonts w:ascii="Arial" w:hAnsi="Arial" w:cs="Arial"/>
          <w:sz w:val="24"/>
          <w:szCs w:val="24"/>
        </w:rPr>
        <w:t xml:space="preserve">This clause </w:t>
      </w:r>
      <w:r w:rsidRPr="00D15276">
        <w:rPr>
          <w:rFonts w:ascii="Arial" w:hAnsi="Arial" w:cs="Arial"/>
          <w:sz w:val="24"/>
          <w:szCs w:val="24"/>
        </w:rPr>
        <w:t>provide</w:t>
      </w:r>
      <w:r>
        <w:rPr>
          <w:rFonts w:ascii="Arial" w:hAnsi="Arial" w:cs="Arial"/>
          <w:sz w:val="24"/>
          <w:szCs w:val="24"/>
        </w:rPr>
        <w:t>s</w:t>
      </w:r>
      <w:r w:rsidRPr="00D15276">
        <w:rPr>
          <w:rFonts w:ascii="Arial" w:hAnsi="Arial" w:cs="Arial"/>
          <w:sz w:val="24"/>
          <w:szCs w:val="24"/>
        </w:rPr>
        <w:t xml:space="preserve"> that the Commission must close </w:t>
      </w:r>
      <w:r>
        <w:rPr>
          <w:rFonts w:ascii="Arial" w:hAnsi="Arial" w:cs="Arial"/>
          <w:sz w:val="24"/>
          <w:szCs w:val="24"/>
        </w:rPr>
        <w:t>occupancy dispute</w:t>
      </w:r>
      <w:r w:rsidRPr="00D15276">
        <w:rPr>
          <w:rFonts w:ascii="Arial" w:hAnsi="Arial" w:cs="Arial"/>
          <w:sz w:val="24"/>
          <w:szCs w:val="24"/>
        </w:rPr>
        <w:t xml:space="preserve"> complaints where the complaints have been referred to the </w:t>
      </w:r>
      <w:r>
        <w:rPr>
          <w:rFonts w:ascii="Arial" w:hAnsi="Arial" w:cs="Arial"/>
          <w:sz w:val="24"/>
          <w:szCs w:val="24"/>
        </w:rPr>
        <w:t>Tribunal</w:t>
      </w:r>
      <w:r w:rsidRPr="00D15276">
        <w:rPr>
          <w:rFonts w:ascii="Arial" w:hAnsi="Arial" w:cs="Arial"/>
          <w:sz w:val="24"/>
          <w:szCs w:val="24"/>
        </w:rPr>
        <w:t>.</w:t>
      </w:r>
    </w:p>
    <w:p w14:paraId="0D6B0062" w14:textId="77777777" w:rsidR="00A903D8" w:rsidRPr="00FD1BCA" w:rsidRDefault="00A903D8" w:rsidP="00A903D8">
      <w:pPr>
        <w:spacing w:after="240" w:line="240" w:lineRule="auto"/>
        <w:rPr>
          <w:rFonts w:ascii="Arial" w:hAnsi="Arial" w:cs="Arial"/>
          <w:b/>
          <w:sz w:val="24"/>
          <w:szCs w:val="24"/>
        </w:rPr>
      </w:pPr>
      <w:r w:rsidRPr="00FD1BCA">
        <w:rPr>
          <w:rFonts w:ascii="Arial" w:hAnsi="Arial" w:cs="Arial"/>
          <w:b/>
          <w:sz w:val="24"/>
          <w:szCs w:val="24"/>
        </w:rPr>
        <w:t xml:space="preserve">Clause </w:t>
      </w:r>
      <w:r>
        <w:rPr>
          <w:rFonts w:ascii="Arial" w:hAnsi="Arial" w:cs="Arial"/>
          <w:b/>
          <w:sz w:val="24"/>
          <w:szCs w:val="24"/>
        </w:rPr>
        <w:t>[1.8]</w:t>
      </w:r>
      <w:r w:rsidRPr="00FD1BCA">
        <w:rPr>
          <w:rFonts w:ascii="Arial" w:hAnsi="Arial" w:cs="Arial"/>
          <w:b/>
          <w:sz w:val="24"/>
          <w:szCs w:val="24"/>
        </w:rPr>
        <w:tab/>
      </w:r>
      <w:r>
        <w:rPr>
          <w:rFonts w:ascii="Arial" w:hAnsi="Arial" w:cs="Arial"/>
          <w:b/>
          <w:sz w:val="24"/>
          <w:szCs w:val="24"/>
        </w:rPr>
        <w:t>New section 82B</w:t>
      </w:r>
    </w:p>
    <w:p w14:paraId="5CFA7343" w14:textId="77777777" w:rsidR="00A903D8" w:rsidRDefault="00A903D8" w:rsidP="00A903D8">
      <w:pPr>
        <w:spacing w:after="240" w:line="240" w:lineRule="auto"/>
        <w:rPr>
          <w:rFonts w:ascii="Arial" w:hAnsi="Arial" w:cs="Arial"/>
          <w:sz w:val="24"/>
          <w:szCs w:val="24"/>
        </w:rPr>
      </w:pPr>
      <w:r>
        <w:rPr>
          <w:rFonts w:ascii="Arial" w:hAnsi="Arial" w:cs="Arial"/>
          <w:sz w:val="24"/>
          <w:szCs w:val="24"/>
        </w:rPr>
        <w:t xml:space="preserve">This clause </w:t>
      </w:r>
      <w:r w:rsidRPr="00D15276">
        <w:rPr>
          <w:rFonts w:ascii="Arial" w:hAnsi="Arial" w:cs="Arial"/>
          <w:sz w:val="24"/>
          <w:szCs w:val="24"/>
        </w:rPr>
        <w:t xml:space="preserve">provides guidance about the contents of final reports made by the Commission relating to </w:t>
      </w:r>
      <w:r>
        <w:rPr>
          <w:rFonts w:ascii="Arial" w:hAnsi="Arial" w:cs="Arial"/>
          <w:sz w:val="24"/>
          <w:szCs w:val="24"/>
        </w:rPr>
        <w:t>occupancy dispute</w:t>
      </w:r>
      <w:r w:rsidRPr="00D15276">
        <w:rPr>
          <w:rFonts w:ascii="Arial" w:hAnsi="Arial" w:cs="Arial"/>
          <w:sz w:val="24"/>
          <w:szCs w:val="24"/>
        </w:rPr>
        <w:t xml:space="preserve"> complaints. All reports must include a</w:t>
      </w:r>
      <w:r>
        <w:rPr>
          <w:rFonts w:ascii="Arial" w:hAnsi="Arial" w:cs="Arial"/>
          <w:sz w:val="24"/>
          <w:szCs w:val="24"/>
        </w:rPr>
        <w:t>n</w:t>
      </w:r>
      <w:r w:rsidRPr="00D15276">
        <w:rPr>
          <w:rFonts w:ascii="Arial" w:hAnsi="Arial" w:cs="Arial"/>
          <w:sz w:val="24"/>
          <w:szCs w:val="24"/>
        </w:rPr>
        <w:t xml:space="preserve"> </w:t>
      </w:r>
      <w:r>
        <w:rPr>
          <w:rFonts w:ascii="Arial" w:hAnsi="Arial" w:cs="Arial"/>
          <w:sz w:val="24"/>
          <w:szCs w:val="24"/>
        </w:rPr>
        <w:t>occupancy dispute</w:t>
      </w:r>
      <w:r w:rsidRPr="00D15276">
        <w:rPr>
          <w:rFonts w:ascii="Arial" w:hAnsi="Arial" w:cs="Arial"/>
          <w:sz w:val="24"/>
          <w:szCs w:val="24"/>
        </w:rPr>
        <w:t xml:space="preserve"> referral statement, unless the complaint has been resolved by a conciliation process under division 4.2</w:t>
      </w:r>
      <w:r>
        <w:rPr>
          <w:rFonts w:ascii="Arial" w:hAnsi="Arial" w:cs="Arial"/>
          <w:sz w:val="24"/>
          <w:szCs w:val="24"/>
        </w:rPr>
        <w:t>C</w:t>
      </w:r>
      <w:r w:rsidRPr="00D15276">
        <w:rPr>
          <w:rFonts w:ascii="Arial" w:hAnsi="Arial" w:cs="Arial"/>
          <w:sz w:val="24"/>
          <w:szCs w:val="24"/>
        </w:rPr>
        <w:t>. These requirements are in addition to the other requirements placed upon the Commission for a final report which are detailed within section 81 of the HRCA</w:t>
      </w:r>
      <w:r>
        <w:rPr>
          <w:rFonts w:ascii="Arial" w:hAnsi="Arial" w:cs="Arial"/>
          <w:sz w:val="24"/>
          <w:szCs w:val="24"/>
        </w:rPr>
        <w:t>.</w:t>
      </w:r>
    </w:p>
    <w:p w14:paraId="0F24AC02" w14:textId="77777777" w:rsidR="00A903D8" w:rsidRPr="003027E3" w:rsidRDefault="00A903D8" w:rsidP="00D701E8">
      <w:pPr>
        <w:keepNext/>
        <w:spacing w:after="240" w:line="240" w:lineRule="auto"/>
        <w:rPr>
          <w:rFonts w:ascii="Arial" w:hAnsi="Arial" w:cs="Arial"/>
          <w:b/>
          <w:sz w:val="24"/>
          <w:szCs w:val="24"/>
        </w:rPr>
      </w:pPr>
      <w:r w:rsidRPr="003027E3">
        <w:rPr>
          <w:rFonts w:ascii="Arial" w:hAnsi="Arial" w:cs="Arial"/>
          <w:b/>
          <w:sz w:val="24"/>
          <w:szCs w:val="24"/>
        </w:rPr>
        <w:t xml:space="preserve">Clause </w:t>
      </w:r>
      <w:r>
        <w:rPr>
          <w:rFonts w:ascii="Arial" w:hAnsi="Arial" w:cs="Arial"/>
          <w:b/>
          <w:sz w:val="24"/>
          <w:szCs w:val="24"/>
        </w:rPr>
        <w:t>[1.9]</w:t>
      </w:r>
      <w:r w:rsidRPr="003027E3">
        <w:rPr>
          <w:rFonts w:ascii="Arial" w:hAnsi="Arial" w:cs="Arial"/>
          <w:b/>
          <w:sz w:val="24"/>
          <w:szCs w:val="24"/>
        </w:rPr>
        <w:tab/>
      </w:r>
      <w:r>
        <w:rPr>
          <w:rFonts w:ascii="Arial" w:hAnsi="Arial" w:cs="Arial"/>
          <w:b/>
          <w:sz w:val="24"/>
          <w:szCs w:val="24"/>
        </w:rPr>
        <w:t>New section 88B</w:t>
      </w:r>
    </w:p>
    <w:p w14:paraId="0CE773F7" w14:textId="77777777" w:rsidR="00A903D8" w:rsidRDefault="00A903D8" w:rsidP="00A903D8">
      <w:pPr>
        <w:spacing w:after="240" w:line="240" w:lineRule="auto"/>
        <w:rPr>
          <w:rFonts w:ascii="Arial" w:hAnsi="Arial" w:cs="Arial"/>
          <w:sz w:val="24"/>
          <w:szCs w:val="24"/>
        </w:rPr>
      </w:pPr>
      <w:r>
        <w:rPr>
          <w:rFonts w:ascii="Arial" w:hAnsi="Arial" w:cs="Arial"/>
          <w:sz w:val="24"/>
          <w:szCs w:val="24"/>
        </w:rPr>
        <w:t xml:space="preserve">This clause </w:t>
      </w:r>
      <w:r w:rsidRPr="00D15276">
        <w:rPr>
          <w:rFonts w:ascii="Arial" w:hAnsi="Arial" w:cs="Arial"/>
          <w:sz w:val="24"/>
          <w:szCs w:val="24"/>
        </w:rPr>
        <w:t>inserts a definition of ‘</w:t>
      </w:r>
      <w:r>
        <w:rPr>
          <w:rFonts w:ascii="Arial" w:hAnsi="Arial" w:cs="Arial"/>
          <w:sz w:val="24"/>
          <w:szCs w:val="24"/>
        </w:rPr>
        <w:t>occupancy dispute</w:t>
      </w:r>
      <w:r w:rsidRPr="00D15276">
        <w:rPr>
          <w:rFonts w:ascii="Arial" w:hAnsi="Arial" w:cs="Arial"/>
          <w:sz w:val="24"/>
          <w:szCs w:val="24"/>
        </w:rPr>
        <w:t xml:space="preserve"> referral statement’ into part 4 of the HRCA. </w:t>
      </w:r>
      <w:r>
        <w:rPr>
          <w:rFonts w:ascii="Arial" w:hAnsi="Arial" w:cs="Arial"/>
          <w:sz w:val="24"/>
          <w:szCs w:val="24"/>
        </w:rPr>
        <w:t>Occupancy dispute</w:t>
      </w:r>
      <w:r w:rsidRPr="00D15276">
        <w:rPr>
          <w:rFonts w:ascii="Arial" w:hAnsi="Arial" w:cs="Arial"/>
          <w:sz w:val="24"/>
          <w:szCs w:val="24"/>
        </w:rPr>
        <w:t xml:space="preserve"> referral statements must be provided to complainants and included in final reports which close complaints within the Commission where the Commission had decided not to refer the complaint for conciliation under division 4.2</w:t>
      </w:r>
      <w:r>
        <w:rPr>
          <w:rFonts w:ascii="Arial" w:hAnsi="Arial" w:cs="Arial"/>
          <w:sz w:val="24"/>
          <w:szCs w:val="24"/>
        </w:rPr>
        <w:t>C</w:t>
      </w:r>
      <w:r w:rsidRPr="00D15276">
        <w:rPr>
          <w:rFonts w:ascii="Arial" w:hAnsi="Arial" w:cs="Arial"/>
          <w:sz w:val="24"/>
          <w:szCs w:val="24"/>
        </w:rPr>
        <w:t xml:space="preserve">.  </w:t>
      </w:r>
    </w:p>
    <w:p w14:paraId="265876CA" w14:textId="77777777" w:rsidR="00A903D8" w:rsidRDefault="00A903D8" w:rsidP="00A903D8">
      <w:pPr>
        <w:spacing w:after="240" w:line="240" w:lineRule="auto"/>
        <w:rPr>
          <w:rFonts w:ascii="Arial" w:hAnsi="Arial" w:cs="Arial"/>
          <w:sz w:val="24"/>
          <w:szCs w:val="24"/>
        </w:rPr>
      </w:pPr>
      <w:r>
        <w:rPr>
          <w:rFonts w:ascii="Arial" w:hAnsi="Arial" w:cs="Arial"/>
          <w:sz w:val="24"/>
          <w:szCs w:val="24"/>
        </w:rPr>
        <w:t>Occupancy dispute</w:t>
      </w:r>
      <w:r w:rsidRPr="00D15276">
        <w:rPr>
          <w:rFonts w:ascii="Arial" w:hAnsi="Arial" w:cs="Arial"/>
          <w:sz w:val="24"/>
          <w:szCs w:val="24"/>
        </w:rPr>
        <w:t xml:space="preserve"> referral statements must include:</w:t>
      </w:r>
    </w:p>
    <w:p w14:paraId="2AD1F5BB" w14:textId="77777777" w:rsidR="00A903D8" w:rsidRDefault="00A903D8" w:rsidP="003B7D3A">
      <w:pPr>
        <w:pStyle w:val="ListParagraph"/>
        <w:numPr>
          <w:ilvl w:val="0"/>
          <w:numId w:val="6"/>
        </w:numPr>
        <w:spacing w:after="240"/>
        <w:contextualSpacing/>
        <w:rPr>
          <w:rFonts w:ascii="Arial" w:hAnsi="Arial" w:cs="Arial"/>
          <w:sz w:val="24"/>
          <w:szCs w:val="24"/>
        </w:rPr>
      </w:pPr>
      <w:r w:rsidRPr="00D15276">
        <w:rPr>
          <w:rFonts w:ascii="Arial" w:hAnsi="Arial" w:cs="Arial"/>
          <w:sz w:val="24"/>
          <w:szCs w:val="24"/>
        </w:rPr>
        <w:t>a statement to the effect that the Commission has closed the complaint;</w:t>
      </w:r>
    </w:p>
    <w:p w14:paraId="53CCD250" w14:textId="77777777" w:rsidR="00A903D8" w:rsidRDefault="00A903D8" w:rsidP="003B7D3A">
      <w:pPr>
        <w:pStyle w:val="ListParagraph"/>
        <w:numPr>
          <w:ilvl w:val="0"/>
          <w:numId w:val="6"/>
        </w:numPr>
        <w:spacing w:after="240"/>
        <w:contextualSpacing/>
        <w:rPr>
          <w:rFonts w:ascii="Arial" w:hAnsi="Arial" w:cs="Arial"/>
          <w:sz w:val="24"/>
          <w:szCs w:val="24"/>
        </w:rPr>
      </w:pPr>
      <w:r w:rsidRPr="00D15276">
        <w:rPr>
          <w:rFonts w:ascii="Arial" w:hAnsi="Arial" w:cs="Arial"/>
          <w:sz w:val="24"/>
          <w:szCs w:val="24"/>
        </w:rPr>
        <w:t xml:space="preserve">a statement advising that the complainant may ask the Commission to refer the complaint to the </w:t>
      </w:r>
      <w:r>
        <w:rPr>
          <w:rFonts w:ascii="Arial" w:hAnsi="Arial" w:cs="Arial"/>
          <w:sz w:val="24"/>
          <w:szCs w:val="24"/>
        </w:rPr>
        <w:t>Tribunal</w:t>
      </w:r>
      <w:r w:rsidRPr="00D15276">
        <w:rPr>
          <w:rFonts w:ascii="Arial" w:hAnsi="Arial" w:cs="Arial"/>
          <w:sz w:val="24"/>
          <w:szCs w:val="24"/>
        </w:rPr>
        <w:t xml:space="preserve"> within 60 days of receiving this advice; and</w:t>
      </w:r>
    </w:p>
    <w:p w14:paraId="73AD168F" w14:textId="77777777" w:rsidR="00A903D8" w:rsidRPr="00D15276" w:rsidRDefault="00A903D8" w:rsidP="003B7D3A">
      <w:pPr>
        <w:pStyle w:val="ListParagraph"/>
        <w:numPr>
          <w:ilvl w:val="0"/>
          <w:numId w:val="6"/>
        </w:numPr>
        <w:spacing w:after="240"/>
        <w:contextualSpacing/>
        <w:rPr>
          <w:rFonts w:ascii="Arial" w:hAnsi="Arial" w:cs="Arial"/>
          <w:sz w:val="24"/>
          <w:szCs w:val="24"/>
        </w:rPr>
      </w:pPr>
      <w:r w:rsidRPr="00D15276">
        <w:rPr>
          <w:rFonts w:ascii="Arial" w:hAnsi="Arial" w:cs="Arial"/>
          <w:sz w:val="24"/>
          <w:szCs w:val="24"/>
        </w:rPr>
        <w:t>a statement advising that, if the 60 day period elapses, the complainant may apply to the T</w:t>
      </w:r>
      <w:r>
        <w:rPr>
          <w:rFonts w:ascii="Arial" w:hAnsi="Arial" w:cs="Arial"/>
          <w:sz w:val="24"/>
          <w:szCs w:val="24"/>
        </w:rPr>
        <w:t>ribunal</w:t>
      </w:r>
      <w:r w:rsidRPr="00D15276">
        <w:rPr>
          <w:rFonts w:ascii="Arial" w:hAnsi="Arial" w:cs="Arial"/>
          <w:sz w:val="24"/>
          <w:szCs w:val="24"/>
        </w:rPr>
        <w:t xml:space="preserve"> under section 53</w:t>
      </w:r>
      <w:r>
        <w:rPr>
          <w:rFonts w:ascii="Arial" w:hAnsi="Arial" w:cs="Arial"/>
          <w:sz w:val="24"/>
          <w:szCs w:val="24"/>
        </w:rPr>
        <w:t>S</w:t>
      </w:r>
      <w:r w:rsidRPr="00D15276">
        <w:rPr>
          <w:rFonts w:ascii="Arial" w:hAnsi="Arial" w:cs="Arial"/>
          <w:sz w:val="24"/>
          <w:szCs w:val="24"/>
        </w:rPr>
        <w:t xml:space="preserve"> for the complaint to be heard.</w:t>
      </w:r>
    </w:p>
    <w:p w14:paraId="52476170" w14:textId="77777777" w:rsidR="00A903D8" w:rsidRDefault="00A903D8" w:rsidP="00A903D8">
      <w:pPr>
        <w:spacing w:after="240" w:line="240" w:lineRule="auto"/>
        <w:rPr>
          <w:rFonts w:ascii="Arial" w:hAnsi="Arial" w:cs="Arial"/>
          <w:b/>
          <w:sz w:val="24"/>
          <w:szCs w:val="24"/>
        </w:rPr>
      </w:pPr>
      <w:r>
        <w:rPr>
          <w:rFonts w:ascii="Arial" w:hAnsi="Arial" w:cs="Arial"/>
          <w:b/>
          <w:sz w:val="24"/>
          <w:szCs w:val="24"/>
        </w:rPr>
        <w:t>Clause [1.10] Dictionary, new definitions</w:t>
      </w:r>
    </w:p>
    <w:p w14:paraId="1771D856" w14:textId="77777777" w:rsidR="00A903D8" w:rsidRDefault="00A903D8" w:rsidP="00A903D8">
      <w:pPr>
        <w:spacing w:after="240" w:line="240" w:lineRule="auto"/>
        <w:rPr>
          <w:rFonts w:ascii="Arial" w:hAnsi="Arial" w:cs="Arial"/>
          <w:sz w:val="24"/>
          <w:szCs w:val="24"/>
        </w:rPr>
      </w:pPr>
      <w:r>
        <w:rPr>
          <w:rFonts w:ascii="Arial" w:hAnsi="Arial" w:cs="Arial"/>
          <w:sz w:val="24"/>
          <w:szCs w:val="24"/>
        </w:rPr>
        <w:t xml:space="preserve">This clause </w:t>
      </w:r>
      <w:r w:rsidRPr="00F13818">
        <w:rPr>
          <w:rFonts w:ascii="Arial" w:hAnsi="Arial" w:cs="Arial"/>
          <w:sz w:val="24"/>
          <w:szCs w:val="24"/>
        </w:rPr>
        <w:t>inserts relevant definitions into the dictionary. The terms defined are:</w:t>
      </w:r>
    </w:p>
    <w:p w14:paraId="05851C22" w14:textId="77777777" w:rsidR="00A903D8" w:rsidRDefault="00A903D8" w:rsidP="003B7D3A">
      <w:pPr>
        <w:pStyle w:val="ListParagraph"/>
        <w:numPr>
          <w:ilvl w:val="0"/>
          <w:numId w:val="7"/>
        </w:numPr>
        <w:spacing w:after="240"/>
        <w:contextualSpacing/>
        <w:rPr>
          <w:rFonts w:ascii="Arial" w:hAnsi="Arial" w:cs="Arial"/>
          <w:sz w:val="24"/>
          <w:szCs w:val="24"/>
        </w:rPr>
      </w:pPr>
      <w:r w:rsidRPr="00F13818">
        <w:rPr>
          <w:rFonts w:ascii="Arial" w:hAnsi="Arial" w:cs="Arial"/>
          <w:sz w:val="24"/>
          <w:szCs w:val="24"/>
        </w:rPr>
        <w:t>o</w:t>
      </w:r>
      <w:r>
        <w:rPr>
          <w:rFonts w:ascii="Arial" w:hAnsi="Arial" w:cs="Arial"/>
          <w:sz w:val="24"/>
          <w:szCs w:val="24"/>
        </w:rPr>
        <w:t>ccupancy agreement</w:t>
      </w:r>
      <w:r w:rsidRPr="00F13818">
        <w:rPr>
          <w:rFonts w:ascii="Arial" w:hAnsi="Arial" w:cs="Arial"/>
          <w:sz w:val="24"/>
          <w:szCs w:val="24"/>
        </w:rPr>
        <w:t>;</w:t>
      </w:r>
    </w:p>
    <w:p w14:paraId="5E95035D" w14:textId="77777777" w:rsidR="00A903D8" w:rsidRDefault="00A903D8" w:rsidP="003B7D3A">
      <w:pPr>
        <w:pStyle w:val="ListParagraph"/>
        <w:numPr>
          <w:ilvl w:val="0"/>
          <w:numId w:val="7"/>
        </w:numPr>
        <w:spacing w:after="240"/>
        <w:contextualSpacing/>
        <w:rPr>
          <w:rFonts w:ascii="Arial" w:hAnsi="Arial" w:cs="Arial"/>
          <w:sz w:val="24"/>
          <w:szCs w:val="24"/>
        </w:rPr>
      </w:pPr>
      <w:r>
        <w:rPr>
          <w:rFonts w:ascii="Arial" w:hAnsi="Arial" w:cs="Arial"/>
          <w:sz w:val="24"/>
          <w:szCs w:val="24"/>
        </w:rPr>
        <w:t xml:space="preserve">occupancy dispute; </w:t>
      </w:r>
    </w:p>
    <w:p w14:paraId="15AEFDC6" w14:textId="77777777" w:rsidR="00A903D8" w:rsidRDefault="00A903D8" w:rsidP="003B7D3A">
      <w:pPr>
        <w:pStyle w:val="ListParagraph"/>
        <w:numPr>
          <w:ilvl w:val="0"/>
          <w:numId w:val="7"/>
        </w:numPr>
        <w:spacing w:after="240"/>
        <w:contextualSpacing/>
        <w:rPr>
          <w:rFonts w:ascii="Arial" w:hAnsi="Arial" w:cs="Arial"/>
          <w:sz w:val="24"/>
          <w:szCs w:val="24"/>
        </w:rPr>
      </w:pPr>
      <w:r>
        <w:rPr>
          <w:rFonts w:ascii="Arial" w:hAnsi="Arial" w:cs="Arial"/>
          <w:sz w:val="24"/>
          <w:szCs w:val="24"/>
        </w:rPr>
        <w:t>occupancy dispute</w:t>
      </w:r>
      <w:r w:rsidRPr="00F13818">
        <w:rPr>
          <w:rFonts w:ascii="Arial" w:hAnsi="Arial" w:cs="Arial"/>
          <w:sz w:val="24"/>
          <w:szCs w:val="24"/>
        </w:rPr>
        <w:t xml:space="preserve"> complaint; and</w:t>
      </w:r>
    </w:p>
    <w:p w14:paraId="754A597C" w14:textId="77777777" w:rsidR="00A903D8" w:rsidRPr="00F13818" w:rsidRDefault="00A903D8" w:rsidP="003B7D3A">
      <w:pPr>
        <w:pStyle w:val="ListParagraph"/>
        <w:numPr>
          <w:ilvl w:val="0"/>
          <w:numId w:val="7"/>
        </w:numPr>
        <w:spacing w:after="240"/>
        <w:contextualSpacing/>
        <w:rPr>
          <w:rFonts w:ascii="Arial" w:hAnsi="Arial" w:cs="Arial"/>
          <w:sz w:val="24"/>
          <w:szCs w:val="24"/>
        </w:rPr>
      </w:pPr>
      <w:r>
        <w:rPr>
          <w:rFonts w:ascii="Arial" w:hAnsi="Arial" w:cs="Arial"/>
          <w:sz w:val="24"/>
          <w:szCs w:val="24"/>
        </w:rPr>
        <w:t>occupancy dispute</w:t>
      </w:r>
      <w:r w:rsidRPr="00F13818">
        <w:rPr>
          <w:rFonts w:ascii="Arial" w:hAnsi="Arial" w:cs="Arial"/>
          <w:sz w:val="24"/>
          <w:szCs w:val="24"/>
        </w:rPr>
        <w:t xml:space="preserve"> referral statement.  </w:t>
      </w:r>
    </w:p>
    <w:p w14:paraId="4057F1F8" w14:textId="30864754" w:rsidR="00A903D8" w:rsidRDefault="00A903D8" w:rsidP="00A903D8">
      <w:pPr>
        <w:spacing w:after="240" w:line="240" w:lineRule="auto"/>
        <w:rPr>
          <w:rFonts w:ascii="Arial" w:hAnsi="Arial" w:cs="Arial"/>
          <w:sz w:val="24"/>
          <w:szCs w:val="24"/>
        </w:rPr>
      </w:pPr>
    </w:p>
    <w:p w14:paraId="08EA7DC1" w14:textId="77777777" w:rsidR="00A903D8" w:rsidRPr="002A2ECB" w:rsidRDefault="00A903D8" w:rsidP="00A903D8">
      <w:pPr>
        <w:spacing w:after="240" w:line="240" w:lineRule="auto"/>
        <w:rPr>
          <w:rFonts w:ascii="Arial" w:hAnsi="Arial" w:cs="Arial"/>
          <w:b/>
          <w:sz w:val="24"/>
          <w:szCs w:val="24"/>
        </w:rPr>
      </w:pPr>
      <w:r w:rsidRPr="002A2ECB">
        <w:rPr>
          <w:rFonts w:ascii="Arial" w:hAnsi="Arial" w:cs="Arial"/>
          <w:b/>
          <w:sz w:val="24"/>
          <w:szCs w:val="24"/>
        </w:rPr>
        <w:t xml:space="preserve">Clause </w:t>
      </w:r>
      <w:r>
        <w:rPr>
          <w:rFonts w:ascii="Arial" w:hAnsi="Arial" w:cs="Arial"/>
          <w:b/>
          <w:sz w:val="24"/>
          <w:szCs w:val="24"/>
        </w:rPr>
        <w:t>[1.11] Dictionary, definition of person complained about</w:t>
      </w:r>
    </w:p>
    <w:p w14:paraId="26E7139B" w14:textId="460955B6" w:rsidR="00A903D8" w:rsidRDefault="00A903D8" w:rsidP="00A903D8">
      <w:pPr>
        <w:spacing w:after="240" w:line="240" w:lineRule="auto"/>
        <w:rPr>
          <w:rFonts w:ascii="Arial" w:hAnsi="Arial" w:cs="Arial"/>
          <w:sz w:val="24"/>
          <w:szCs w:val="24"/>
        </w:rPr>
      </w:pPr>
      <w:r>
        <w:rPr>
          <w:rFonts w:ascii="Arial" w:hAnsi="Arial" w:cs="Arial"/>
          <w:sz w:val="24"/>
          <w:szCs w:val="24"/>
        </w:rPr>
        <w:t xml:space="preserve">This clause amends the definition of ‘person complained about’ in the dictionary and is consequential upon the amendments in clause </w:t>
      </w:r>
      <w:r w:rsidR="00352119">
        <w:rPr>
          <w:rFonts w:ascii="Arial" w:hAnsi="Arial" w:cs="Arial"/>
          <w:sz w:val="24"/>
          <w:szCs w:val="24"/>
        </w:rPr>
        <w:t xml:space="preserve">[1.5] </w:t>
      </w:r>
      <w:r>
        <w:rPr>
          <w:rFonts w:ascii="Arial" w:hAnsi="Arial" w:cs="Arial"/>
          <w:sz w:val="24"/>
          <w:szCs w:val="24"/>
        </w:rPr>
        <w:t>(above).</w:t>
      </w:r>
    </w:p>
    <w:p w14:paraId="09E7E785" w14:textId="77777777" w:rsidR="00A903D8" w:rsidRPr="002A2ECB" w:rsidRDefault="00A903D8" w:rsidP="00A903D8">
      <w:pPr>
        <w:spacing w:after="240" w:line="240" w:lineRule="auto"/>
        <w:rPr>
          <w:rFonts w:ascii="Arial" w:hAnsi="Arial" w:cs="Arial"/>
          <w:b/>
          <w:sz w:val="24"/>
          <w:szCs w:val="24"/>
        </w:rPr>
      </w:pPr>
      <w:r w:rsidRPr="002A2ECB">
        <w:rPr>
          <w:rFonts w:ascii="Arial" w:hAnsi="Arial" w:cs="Arial"/>
          <w:b/>
          <w:sz w:val="24"/>
          <w:szCs w:val="24"/>
        </w:rPr>
        <w:t xml:space="preserve">Clause </w:t>
      </w:r>
      <w:r>
        <w:rPr>
          <w:rFonts w:ascii="Arial" w:hAnsi="Arial" w:cs="Arial"/>
          <w:b/>
          <w:sz w:val="24"/>
          <w:szCs w:val="24"/>
        </w:rPr>
        <w:t>[1.12] Section 22 (a)</w:t>
      </w:r>
    </w:p>
    <w:p w14:paraId="20A9945D" w14:textId="77777777" w:rsidR="00A903D8" w:rsidRDefault="00A903D8" w:rsidP="00A903D8">
      <w:pPr>
        <w:spacing w:after="240" w:line="240" w:lineRule="auto"/>
        <w:rPr>
          <w:rFonts w:ascii="Arial" w:hAnsi="Arial" w:cs="Arial"/>
          <w:sz w:val="24"/>
          <w:szCs w:val="24"/>
        </w:rPr>
      </w:pPr>
      <w:r>
        <w:rPr>
          <w:rFonts w:ascii="Arial" w:hAnsi="Arial" w:cs="Arial"/>
          <w:sz w:val="24"/>
          <w:szCs w:val="24"/>
        </w:rPr>
        <w:t>This clause is consequential upon clause [1.15] below.</w:t>
      </w:r>
    </w:p>
    <w:p w14:paraId="37B210E5" w14:textId="77777777" w:rsidR="00D87810" w:rsidRDefault="00D87810" w:rsidP="00A903D8">
      <w:pPr>
        <w:spacing w:after="240" w:line="240" w:lineRule="auto"/>
        <w:rPr>
          <w:rFonts w:ascii="Arial" w:hAnsi="Arial" w:cs="Arial"/>
          <w:b/>
          <w:sz w:val="24"/>
          <w:szCs w:val="24"/>
        </w:rPr>
      </w:pPr>
    </w:p>
    <w:p w14:paraId="24AD6C5C" w14:textId="0CEB3DE4" w:rsidR="00A903D8" w:rsidRPr="002A2ECB" w:rsidRDefault="00A903D8" w:rsidP="00A903D8">
      <w:pPr>
        <w:spacing w:after="240" w:line="240" w:lineRule="auto"/>
        <w:rPr>
          <w:rFonts w:ascii="Arial" w:hAnsi="Arial" w:cs="Arial"/>
          <w:b/>
          <w:sz w:val="24"/>
          <w:szCs w:val="24"/>
        </w:rPr>
      </w:pPr>
      <w:r w:rsidRPr="002A2ECB">
        <w:rPr>
          <w:rFonts w:ascii="Arial" w:hAnsi="Arial" w:cs="Arial"/>
          <w:b/>
          <w:sz w:val="24"/>
          <w:szCs w:val="24"/>
        </w:rPr>
        <w:lastRenderedPageBreak/>
        <w:t xml:space="preserve">Clause </w:t>
      </w:r>
      <w:r>
        <w:rPr>
          <w:rFonts w:ascii="Arial" w:hAnsi="Arial" w:cs="Arial"/>
          <w:b/>
          <w:sz w:val="24"/>
          <w:szCs w:val="24"/>
        </w:rPr>
        <w:t>[1.13] Section 23 (a)</w:t>
      </w:r>
    </w:p>
    <w:p w14:paraId="2C22BE38" w14:textId="77777777" w:rsidR="00A903D8" w:rsidRPr="002A2ECB" w:rsidRDefault="00A903D8" w:rsidP="00A903D8">
      <w:pPr>
        <w:spacing w:after="240" w:line="240" w:lineRule="auto"/>
        <w:rPr>
          <w:rFonts w:ascii="Arial" w:hAnsi="Arial" w:cs="Arial"/>
          <w:sz w:val="24"/>
          <w:szCs w:val="24"/>
        </w:rPr>
      </w:pPr>
      <w:r>
        <w:rPr>
          <w:rFonts w:ascii="Arial" w:hAnsi="Arial" w:cs="Arial"/>
          <w:sz w:val="24"/>
          <w:szCs w:val="24"/>
        </w:rPr>
        <w:t>This clause is consequential upon clause [1.15] below.</w:t>
      </w:r>
    </w:p>
    <w:p w14:paraId="4BE8380B" w14:textId="77777777" w:rsidR="00A903D8" w:rsidRPr="002A2ECB" w:rsidRDefault="00A903D8" w:rsidP="00A903D8">
      <w:pPr>
        <w:spacing w:after="240" w:line="240" w:lineRule="auto"/>
        <w:rPr>
          <w:rFonts w:ascii="Arial" w:hAnsi="Arial" w:cs="Arial"/>
          <w:b/>
          <w:sz w:val="24"/>
          <w:szCs w:val="24"/>
        </w:rPr>
      </w:pPr>
      <w:r w:rsidRPr="002A2ECB">
        <w:rPr>
          <w:rFonts w:ascii="Arial" w:hAnsi="Arial" w:cs="Arial"/>
          <w:b/>
          <w:sz w:val="24"/>
          <w:szCs w:val="24"/>
        </w:rPr>
        <w:t xml:space="preserve">Clause </w:t>
      </w:r>
      <w:r>
        <w:rPr>
          <w:rFonts w:ascii="Arial" w:hAnsi="Arial" w:cs="Arial"/>
          <w:b/>
          <w:sz w:val="24"/>
          <w:szCs w:val="24"/>
        </w:rPr>
        <w:t>[1.14] Section 24 (a)</w:t>
      </w:r>
    </w:p>
    <w:p w14:paraId="26BAE5B3" w14:textId="77777777" w:rsidR="00A903D8" w:rsidRPr="002A2ECB" w:rsidRDefault="00A903D8" w:rsidP="00A903D8">
      <w:pPr>
        <w:spacing w:after="240" w:line="240" w:lineRule="auto"/>
        <w:rPr>
          <w:rFonts w:ascii="Arial" w:hAnsi="Arial" w:cs="Arial"/>
          <w:sz w:val="24"/>
          <w:szCs w:val="24"/>
        </w:rPr>
      </w:pPr>
      <w:r>
        <w:rPr>
          <w:rFonts w:ascii="Arial" w:hAnsi="Arial" w:cs="Arial"/>
          <w:sz w:val="24"/>
          <w:szCs w:val="24"/>
        </w:rPr>
        <w:t>This clause is consequential upon clause [1.15] below.</w:t>
      </w:r>
    </w:p>
    <w:p w14:paraId="6B0AC67D" w14:textId="77777777" w:rsidR="00A903D8" w:rsidRPr="002A2ECB" w:rsidRDefault="00A903D8" w:rsidP="00A903D8">
      <w:pPr>
        <w:spacing w:after="240" w:line="240" w:lineRule="auto"/>
        <w:rPr>
          <w:rFonts w:ascii="Arial" w:hAnsi="Arial" w:cs="Arial"/>
          <w:b/>
          <w:sz w:val="24"/>
          <w:szCs w:val="24"/>
        </w:rPr>
      </w:pPr>
      <w:r w:rsidRPr="002A2ECB">
        <w:rPr>
          <w:rFonts w:ascii="Arial" w:hAnsi="Arial" w:cs="Arial"/>
          <w:b/>
          <w:sz w:val="24"/>
          <w:szCs w:val="24"/>
        </w:rPr>
        <w:t xml:space="preserve">Clause </w:t>
      </w:r>
      <w:r>
        <w:rPr>
          <w:rFonts w:ascii="Arial" w:hAnsi="Arial" w:cs="Arial"/>
          <w:b/>
          <w:sz w:val="24"/>
          <w:szCs w:val="24"/>
        </w:rPr>
        <w:t>[1.15] New section 24A</w:t>
      </w:r>
    </w:p>
    <w:p w14:paraId="176D87AC" w14:textId="77777777" w:rsidR="00A903D8" w:rsidRDefault="00A903D8" w:rsidP="00A903D8">
      <w:pPr>
        <w:spacing w:after="240" w:line="240" w:lineRule="auto"/>
        <w:rPr>
          <w:rFonts w:ascii="Arial" w:hAnsi="Arial" w:cs="Arial"/>
          <w:sz w:val="24"/>
          <w:szCs w:val="24"/>
        </w:rPr>
      </w:pPr>
      <w:r>
        <w:rPr>
          <w:rFonts w:ascii="Arial" w:hAnsi="Arial" w:cs="Arial"/>
          <w:sz w:val="24"/>
          <w:szCs w:val="24"/>
        </w:rPr>
        <w:t xml:space="preserve">This clause inserts a new section into the </w:t>
      </w:r>
      <w:r>
        <w:rPr>
          <w:rFonts w:ascii="Arial" w:hAnsi="Arial" w:cs="Arial"/>
          <w:i/>
          <w:iCs/>
          <w:sz w:val="24"/>
          <w:szCs w:val="24"/>
        </w:rPr>
        <w:t xml:space="preserve">Uncollected Goods Act 1996 </w:t>
      </w:r>
      <w:r>
        <w:rPr>
          <w:rFonts w:ascii="Arial" w:hAnsi="Arial" w:cs="Arial"/>
          <w:sz w:val="24"/>
          <w:szCs w:val="24"/>
        </w:rPr>
        <w:t>(the UGA) specific to manufactured homes and mobile homes abandoned in residential parks. The UGA categorises uncollected goods according to their value and prescribes the method by which the person in possession of the uncollected good may dispose of it.</w:t>
      </w:r>
    </w:p>
    <w:p w14:paraId="5FFA9871" w14:textId="77777777" w:rsidR="00A903D8" w:rsidRDefault="00A903D8" w:rsidP="00A903D8">
      <w:pPr>
        <w:keepLines/>
        <w:spacing w:after="240" w:line="240" w:lineRule="auto"/>
        <w:rPr>
          <w:rFonts w:ascii="Arial" w:hAnsi="Arial" w:cs="Arial"/>
          <w:sz w:val="24"/>
          <w:szCs w:val="24"/>
        </w:rPr>
      </w:pPr>
      <w:r>
        <w:rPr>
          <w:rFonts w:ascii="Arial" w:hAnsi="Arial" w:cs="Arial"/>
          <w:sz w:val="24"/>
          <w:szCs w:val="24"/>
        </w:rPr>
        <w:t>This framework creates challenges for operators of residential parks who are in possession of abandoned dwellings. The timeframes contained within the UGA are in addition to timeframes in the RTA for declaring a dwelling to have been abandoned, resulting in significant delays in being able to regain use of the site upon which the dwelling is erected. A strict reading of the UGA entails that a park owner might be required to sell, as a home, a dwelling that is not fit for human habitation.</w:t>
      </w:r>
    </w:p>
    <w:p w14:paraId="2BB7016A" w14:textId="77777777" w:rsidR="00A903D8" w:rsidRDefault="00A903D8" w:rsidP="00A903D8">
      <w:pPr>
        <w:keepLines/>
        <w:spacing w:after="240" w:line="240" w:lineRule="auto"/>
        <w:rPr>
          <w:rFonts w:ascii="Arial" w:hAnsi="Arial" w:cs="Arial"/>
          <w:sz w:val="24"/>
          <w:szCs w:val="24"/>
        </w:rPr>
      </w:pPr>
      <w:r>
        <w:rPr>
          <w:rFonts w:ascii="Arial" w:hAnsi="Arial" w:cs="Arial"/>
          <w:sz w:val="24"/>
          <w:szCs w:val="24"/>
        </w:rPr>
        <w:t xml:space="preserve">This clause and the preceding three clauses exempt mobile homes and manufactured homes from the ordinary operation of the UGA. A park operator is required to obtain an order from the Tribunal declaring that the premises has been abandoned. The Tribunal may make an order about how the premises is to be disposed but, if it does not, the operator of the park may dispose of the manufactured home or mobile home by public auction after 14 days from the date of the Tribunal order. </w:t>
      </w:r>
    </w:p>
    <w:p w14:paraId="26BE1B99" w14:textId="5A86CBB3" w:rsidR="00A903D8" w:rsidRPr="002A2ECB" w:rsidRDefault="00A903D8" w:rsidP="00A903D8">
      <w:pPr>
        <w:keepLines/>
        <w:spacing w:after="240" w:line="240" w:lineRule="auto"/>
        <w:rPr>
          <w:rFonts w:ascii="Arial" w:hAnsi="Arial" w:cs="Arial"/>
          <w:sz w:val="24"/>
          <w:szCs w:val="24"/>
        </w:rPr>
      </w:pPr>
      <w:r>
        <w:rPr>
          <w:rFonts w:ascii="Arial" w:hAnsi="Arial" w:cs="Arial"/>
          <w:sz w:val="24"/>
          <w:szCs w:val="24"/>
        </w:rPr>
        <w:t xml:space="preserve">Section 25 of the UGA details the process that must be followed for a public auction of uncollected goods. Section 30 of the UGA states that the possessor may retain various costs from the proceeds of sale, but that any balance remaining must be paid to the Territory. </w:t>
      </w:r>
    </w:p>
    <w:p w14:paraId="782EDD85" w14:textId="4D4CF7C7" w:rsidR="0088613B" w:rsidRPr="00D701E8" w:rsidRDefault="0088613B" w:rsidP="0088613B">
      <w:pPr>
        <w:spacing w:after="240" w:line="240" w:lineRule="auto"/>
        <w:rPr>
          <w:rFonts w:ascii="Arial" w:hAnsi="Arial" w:cs="Arial"/>
          <w:b/>
          <w:i/>
          <w:iCs/>
          <w:sz w:val="24"/>
          <w:szCs w:val="24"/>
        </w:rPr>
      </w:pPr>
      <w:r w:rsidRPr="002A2ECB">
        <w:rPr>
          <w:rFonts w:ascii="Arial" w:hAnsi="Arial" w:cs="Arial"/>
          <w:b/>
          <w:sz w:val="24"/>
          <w:szCs w:val="24"/>
        </w:rPr>
        <w:t xml:space="preserve">Clause </w:t>
      </w:r>
      <w:r>
        <w:rPr>
          <w:rFonts w:ascii="Arial" w:hAnsi="Arial" w:cs="Arial"/>
          <w:b/>
          <w:sz w:val="24"/>
          <w:szCs w:val="24"/>
        </w:rPr>
        <w:t xml:space="preserve">[1.16] Dictionary, new definition of </w:t>
      </w:r>
      <w:r>
        <w:rPr>
          <w:rFonts w:ascii="Arial" w:hAnsi="Arial" w:cs="Arial"/>
          <w:b/>
          <w:i/>
          <w:iCs/>
          <w:sz w:val="24"/>
          <w:szCs w:val="24"/>
        </w:rPr>
        <w:t>mobile home</w:t>
      </w:r>
    </w:p>
    <w:p w14:paraId="38F52529" w14:textId="5539A49F" w:rsidR="0088613B" w:rsidRPr="002A2ECB" w:rsidRDefault="0088613B" w:rsidP="0088613B">
      <w:pPr>
        <w:spacing w:after="240" w:line="240" w:lineRule="auto"/>
        <w:rPr>
          <w:rFonts w:ascii="Arial" w:hAnsi="Arial" w:cs="Arial"/>
          <w:sz w:val="24"/>
          <w:szCs w:val="24"/>
        </w:rPr>
      </w:pPr>
      <w:r>
        <w:rPr>
          <w:rFonts w:ascii="Arial" w:hAnsi="Arial" w:cs="Arial"/>
          <w:sz w:val="24"/>
          <w:szCs w:val="24"/>
        </w:rPr>
        <w:t>This clause is consequential upon clause [1.1</w:t>
      </w:r>
      <w:r w:rsidR="00352119">
        <w:rPr>
          <w:rFonts w:ascii="Arial" w:hAnsi="Arial" w:cs="Arial"/>
          <w:sz w:val="24"/>
          <w:szCs w:val="24"/>
        </w:rPr>
        <w:t>5</w:t>
      </w:r>
      <w:r>
        <w:rPr>
          <w:rFonts w:ascii="Arial" w:hAnsi="Arial" w:cs="Arial"/>
          <w:sz w:val="24"/>
          <w:szCs w:val="24"/>
        </w:rPr>
        <w:t xml:space="preserve">] </w:t>
      </w:r>
      <w:r w:rsidR="00352119">
        <w:rPr>
          <w:rFonts w:ascii="Arial" w:hAnsi="Arial" w:cs="Arial"/>
          <w:sz w:val="24"/>
          <w:szCs w:val="24"/>
        </w:rPr>
        <w:t>above</w:t>
      </w:r>
      <w:r>
        <w:rPr>
          <w:rFonts w:ascii="Arial" w:hAnsi="Arial" w:cs="Arial"/>
          <w:sz w:val="24"/>
          <w:szCs w:val="24"/>
        </w:rPr>
        <w:t>.</w:t>
      </w:r>
    </w:p>
    <w:p w14:paraId="6635791F" w14:textId="77777777" w:rsidR="00A903D8" w:rsidRPr="002A2ECB" w:rsidRDefault="00A903D8" w:rsidP="00A903D8">
      <w:pPr>
        <w:spacing w:after="240" w:line="240" w:lineRule="auto"/>
        <w:rPr>
          <w:rFonts w:ascii="Arial" w:hAnsi="Arial" w:cs="Arial"/>
          <w:sz w:val="24"/>
          <w:szCs w:val="24"/>
        </w:rPr>
      </w:pPr>
    </w:p>
    <w:p w14:paraId="7E20FA38" w14:textId="77777777" w:rsidR="00D7062D" w:rsidRPr="004923C1" w:rsidRDefault="00D7062D" w:rsidP="00D3034B">
      <w:pPr>
        <w:rPr>
          <w:rFonts w:ascii="Arial" w:hAnsi="Arial" w:cs="Arial"/>
          <w:sz w:val="24"/>
          <w:szCs w:val="24"/>
        </w:rPr>
      </w:pPr>
    </w:p>
    <w:sectPr w:rsidR="00D7062D" w:rsidRPr="004923C1" w:rsidSect="00F41A2F">
      <w:footerReference w:type="default" r:id="rId15"/>
      <w:footerReference w:type="first" r:id="rId16"/>
      <w:pgSz w:w="11906" w:h="16838"/>
      <w:pgMar w:top="1276" w:right="1440" w:bottom="1440" w:left="1440" w:header="709" w:footer="675"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BA785C" w14:textId="77777777" w:rsidR="00C05B50" w:rsidRDefault="00C05B50">
      <w:pPr>
        <w:spacing w:after="0" w:line="240" w:lineRule="auto"/>
      </w:pPr>
      <w:r>
        <w:separator/>
      </w:r>
    </w:p>
  </w:endnote>
  <w:endnote w:type="continuationSeparator" w:id="0">
    <w:p w14:paraId="3662D80F" w14:textId="77777777" w:rsidR="00C05B50" w:rsidRDefault="00C05B50">
      <w:pPr>
        <w:spacing w:after="0" w:line="240" w:lineRule="auto"/>
      </w:pPr>
      <w:r>
        <w:continuationSeparator/>
      </w:r>
    </w:p>
  </w:endnote>
  <w:endnote w:type="continuationNotice" w:id="1">
    <w:p w14:paraId="006F2BCE" w14:textId="77777777" w:rsidR="00C05B50" w:rsidRDefault="00C05B5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51F147" w14:textId="77777777" w:rsidR="00455875" w:rsidRDefault="004558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C4A205" w14:textId="08C45191" w:rsidR="008B6D33" w:rsidRPr="00455875" w:rsidRDefault="00455875" w:rsidP="00455875">
    <w:pPr>
      <w:pStyle w:val="Footer"/>
      <w:jc w:val="center"/>
      <w:rPr>
        <w:rFonts w:cs="Arial"/>
        <w:sz w:val="14"/>
      </w:rPr>
    </w:pPr>
    <w:r w:rsidRPr="00455875">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5348B8" w14:textId="77777777" w:rsidR="008B6D33" w:rsidRDefault="008B6D33">
    <w:pPr>
      <w:pStyle w:val="Footer"/>
      <w:jc w:val="right"/>
    </w:pPr>
  </w:p>
  <w:p w14:paraId="1B19A0D3" w14:textId="77777777" w:rsidR="008B6D33" w:rsidRPr="00DC5912" w:rsidRDefault="008B6D33" w:rsidP="00DC591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CF7F91" w14:textId="0A7E793A" w:rsidR="008B6D33" w:rsidRDefault="008B6D33" w:rsidP="00937954">
    <w:pPr>
      <w:pStyle w:val="Footer"/>
      <w:spacing w:before="60" w:line="240" w:lineRule="auto"/>
      <w:jc w:val="right"/>
    </w:pPr>
    <w:r>
      <w:fldChar w:fldCharType="begin"/>
    </w:r>
    <w:r>
      <w:instrText xml:space="preserve"> PAGE   \* MERGEFORMAT </w:instrText>
    </w:r>
    <w:r>
      <w:fldChar w:fldCharType="separate"/>
    </w:r>
    <w:r>
      <w:rPr>
        <w:noProof/>
      </w:rPr>
      <w:t>4</w:t>
    </w:r>
    <w:r>
      <w:fldChar w:fldCharType="end"/>
    </w:r>
  </w:p>
  <w:p w14:paraId="30FD60E4" w14:textId="037AD4DC" w:rsidR="00455875" w:rsidRPr="00455875" w:rsidRDefault="00455875" w:rsidP="00455875">
    <w:pPr>
      <w:pStyle w:val="Footer"/>
      <w:spacing w:before="60" w:line="240" w:lineRule="auto"/>
      <w:jc w:val="center"/>
      <w:rPr>
        <w:rFonts w:cs="Arial"/>
        <w:sz w:val="14"/>
      </w:rPr>
    </w:pPr>
    <w:r w:rsidRPr="00455875">
      <w:rPr>
        <w:rFonts w:cs="Arial"/>
        <w:sz w:val="14"/>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E375DD" w14:textId="6E79E052" w:rsidR="008B6D33" w:rsidRDefault="008B6D33">
    <w:pPr>
      <w:pStyle w:val="Footer"/>
      <w:jc w:val="right"/>
    </w:pPr>
    <w:r>
      <w:fldChar w:fldCharType="begin"/>
    </w:r>
    <w:r>
      <w:instrText xml:space="preserve"> PAGE   \* MERGEFORMAT </w:instrText>
    </w:r>
    <w:r>
      <w:fldChar w:fldCharType="separate"/>
    </w:r>
    <w:r>
      <w:rPr>
        <w:noProof/>
      </w:rPr>
      <w:t>1</w:t>
    </w:r>
    <w:r>
      <w:fldChar w:fldCharType="end"/>
    </w:r>
  </w:p>
  <w:p w14:paraId="549F8FEA" w14:textId="0860F408" w:rsidR="00455875" w:rsidRPr="00455875" w:rsidRDefault="00455875" w:rsidP="00455875">
    <w:pPr>
      <w:pStyle w:val="Footer"/>
      <w:jc w:val="center"/>
      <w:rPr>
        <w:rFonts w:cs="Arial"/>
        <w:sz w:val="14"/>
      </w:rPr>
    </w:pPr>
    <w:r w:rsidRPr="00455875">
      <w:rPr>
        <w:rFonts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972047" w14:textId="77777777" w:rsidR="00C05B50" w:rsidRDefault="00C05B50">
      <w:pPr>
        <w:spacing w:after="0" w:line="240" w:lineRule="auto"/>
      </w:pPr>
      <w:r>
        <w:separator/>
      </w:r>
    </w:p>
  </w:footnote>
  <w:footnote w:type="continuationSeparator" w:id="0">
    <w:p w14:paraId="07F92534" w14:textId="77777777" w:rsidR="00C05B50" w:rsidRDefault="00C05B50">
      <w:pPr>
        <w:spacing w:after="0" w:line="240" w:lineRule="auto"/>
      </w:pPr>
      <w:r>
        <w:continuationSeparator/>
      </w:r>
    </w:p>
  </w:footnote>
  <w:footnote w:type="continuationNotice" w:id="1">
    <w:p w14:paraId="4CD8FC2B" w14:textId="77777777" w:rsidR="00C05B50" w:rsidRDefault="00C05B50">
      <w:pPr>
        <w:spacing w:after="0" w:line="240" w:lineRule="auto"/>
      </w:pPr>
    </w:p>
  </w:footnote>
  <w:footnote w:id="2">
    <w:p w14:paraId="44E92D52" w14:textId="126DE62B" w:rsidR="008B6D33" w:rsidRPr="00300B92" w:rsidRDefault="008B6D33" w:rsidP="00732507">
      <w:pPr>
        <w:pStyle w:val="FootnoteText"/>
        <w:rPr>
          <w:rFonts w:ascii="Arial" w:hAnsi="Arial" w:cs="Arial"/>
        </w:rPr>
      </w:pPr>
      <w:r w:rsidRPr="00300B92">
        <w:rPr>
          <w:rStyle w:val="FootnoteReference"/>
          <w:rFonts w:ascii="Arial" w:hAnsi="Arial" w:cs="Arial"/>
        </w:rPr>
        <w:footnoteRef/>
      </w:r>
      <w:r w:rsidRPr="00300B92">
        <w:rPr>
          <w:rFonts w:ascii="Arial" w:hAnsi="Arial" w:cs="Arial"/>
        </w:rPr>
        <w:t xml:space="preserve"> International Covenant on Civil and Political Rights (ICCPR) articles 2 and 26; </w:t>
      </w:r>
      <w:r w:rsidRPr="00300B92">
        <w:rPr>
          <w:rFonts w:ascii="Arial" w:hAnsi="Arial" w:cs="Arial"/>
          <w:i/>
          <w:iCs/>
        </w:rPr>
        <w:t>Althammer v Austria</w:t>
      </w:r>
      <w:r w:rsidRPr="00300B92">
        <w:rPr>
          <w:rFonts w:ascii="Arial" w:hAnsi="Arial" w:cs="Arial"/>
        </w:rPr>
        <w:t>, United Nations (UN) Human Rights Committee Communication no. 998/01 (2003) [10.2].</w:t>
      </w:r>
    </w:p>
  </w:footnote>
  <w:footnote w:id="3">
    <w:p w14:paraId="1841A3B2" w14:textId="1AE3061A" w:rsidR="008B6D33" w:rsidRPr="00300B92" w:rsidRDefault="008B6D33" w:rsidP="00732507">
      <w:pPr>
        <w:pStyle w:val="FootnoteText"/>
        <w:rPr>
          <w:rFonts w:ascii="Arial" w:hAnsi="Arial" w:cs="Arial"/>
        </w:rPr>
      </w:pPr>
      <w:r w:rsidRPr="00300B92">
        <w:rPr>
          <w:rStyle w:val="FootnoteReference"/>
          <w:rFonts w:ascii="Arial" w:hAnsi="Arial" w:cs="Arial"/>
        </w:rPr>
        <w:footnoteRef/>
      </w:r>
      <w:r w:rsidRPr="00300B92">
        <w:rPr>
          <w:rFonts w:ascii="Arial" w:hAnsi="Arial" w:cs="Arial"/>
        </w:rPr>
        <w:t xml:space="preserve"> The grounds of discrimination are not specifically or exhaustively defined under the HRA. However,</w:t>
      </w:r>
      <w:r w:rsidR="00300B92">
        <w:rPr>
          <w:rFonts w:ascii="Arial" w:hAnsi="Arial" w:cs="Arial"/>
        </w:rPr>
        <w:t xml:space="preserve"> </w:t>
      </w:r>
      <w:r w:rsidRPr="00300B92">
        <w:rPr>
          <w:rFonts w:ascii="Arial" w:hAnsi="Arial" w:cs="Arial"/>
        </w:rPr>
        <w:t>the following examples of discrimination are provided in the HRA: ‘race, colour, sex, sexual orientation, language, religion, political or other opinion, national or social origin, property, birth, disability or other status.’</w:t>
      </w:r>
    </w:p>
  </w:footnote>
  <w:footnote w:id="4">
    <w:p w14:paraId="2C749179" w14:textId="77777777" w:rsidR="008B6D33" w:rsidRPr="00D47654" w:rsidRDefault="008B6D33" w:rsidP="00A903D8">
      <w:pPr>
        <w:pStyle w:val="FootnoteText"/>
      </w:pPr>
      <w:r>
        <w:rPr>
          <w:rStyle w:val="FootnoteReference"/>
        </w:rPr>
        <w:footnoteRef/>
      </w:r>
      <w:r>
        <w:t xml:space="preserve"> </w:t>
      </w:r>
      <w:r>
        <w:rPr>
          <w:i/>
          <w:iCs/>
        </w:rPr>
        <w:t>Competition and Consumer Act 2010</w:t>
      </w:r>
      <w:r>
        <w:t>, sch 2, s 100.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57A55F" w14:textId="77777777" w:rsidR="00455875" w:rsidRDefault="004558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73F41F" w14:textId="5756B4C2" w:rsidR="008B6D33" w:rsidRPr="0038674D" w:rsidRDefault="008B6D33" w:rsidP="0038674D">
    <w:pPr>
      <w:pStyle w:val="Header"/>
      <w:jc w:val="center"/>
      <w:rPr>
        <w:color w:val="FF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B2CF38" w14:textId="77777777" w:rsidR="00455875" w:rsidRDefault="004558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B4AAB"/>
    <w:multiLevelType w:val="hybridMultilevel"/>
    <w:tmpl w:val="A4B2B346"/>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C4311B0"/>
    <w:multiLevelType w:val="hybridMultilevel"/>
    <w:tmpl w:val="85B60120"/>
    <w:lvl w:ilvl="0" w:tplc="0C090001">
      <w:start w:val="1"/>
      <w:numFmt w:val="bullet"/>
      <w:lvlText w:val=""/>
      <w:lvlJc w:val="left"/>
      <w:pPr>
        <w:ind w:left="855" w:hanging="360"/>
      </w:pPr>
      <w:rPr>
        <w:rFonts w:ascii="Symbol" w:hAnsi="Symbol" w:hint="default"/>
      </w:rPr>
    </w:lvl>
    <w:lvl w:ilvl="1" w:tplc="0C090003" w:tentative="1">
      <w:start w:val="1"/>
      <w:numFmt w:val="bullet"/>
      <w:lvlText w:val="o"/>
      <w:lvlJc w:val="left"/>
      <w:pPr>
        <w:ind w:left="1575" w:hanging="360"/>
      </w:pPr>
      <w:rPr>
        <w:rFonts w:ascii="Courier New" w:hAnsi="Courier New" w:cs="Courier New" w:hint="default"/>
      </w:rPr>
    </w:lvl>
    <w:lvl w:ilvl="2" w:tplc="0C090005" w:tentative="1">
      <w:start w:val="1"/>
      <w:numFmt w:val="bullet"/>
      <w:lvlText w:val=""/>
      <w:lvlJc w:val="left"/>
      <w:pPr>
        <w:ind w:left="2295" w:hanging="360"/>
      </w:pPr>
      <w:rPr>
        <w:rFonts w:ascii="Wingdings" w:hAnsi="Wingdings" w:hint="default"/>
      </w:rPr>
    </w:lvl>
    <w:lvl w:ilvl="3" w:tplc="0C090001" w:tentative="1">
      <w:start w:val="1"/>
      <w:numFmt w:val="bullet"/>
      <w:lvlText w:val=""/>
      <w:lvlJc w:val="left"/>
      <w:pPr>
        <w:ind w:left="3015" w:hanging="360"/>
      </w:pPr>
      <w:rPr>
        <w:rFonts w:ascii="Symbol" w:hAnsi="Symbol" w:hint="default"/>
      </w:rPr>
    </w:lvl>
    <w:lvl w:ilvl="4" w:tplc="0C090003" w:tentative="1">
      <w:start w:val="1"/>
      <w:numFmt w:val="bullet"/>
      <w:lvlText w:val="o"/>
      <w:lvlJc w:val="left"/>
      <w:pPr>
        <w:ind w:left="3735" w:hanging="360"/>
      </w:pPr>
      <w:rPr>
        <w:rFonts w:ascii="Courier New" w:hAnsi="Courier New" w:cs="Courier New" w:hint="default"/>
      </w:rPr>
    </w:lvl>
    <w:lvl w:ilvl="5" w:tplc="0C090005" w:tentative="1">
      <w:start w:val="1"/>
      <w:numFmt w:val="bullet"/>
      <w:lvlText w:val=""/>
      <w:lvlJc w:val="left"/>
      <w:pPr>
        <w:ind w:left="4455" w:hanging="360"/>
      </w:pPr>
      <w:rPr>
        <w:rFonts w:ascii="Wingdings" w:hAnsi="Wingdings" w:hint="default"/>
      </w:rPr>
    </w:lvl>
    <w:lvl w:ilvl="6" w:tplc="0C090001" w:tentative="1">
      <w:start w:val="1"/>
      <w:numFmt w:val="bullet"/>
      <w:lvlText w:val=""/>
      <w:lvlJc w:val="left"/>
      <w:pPr>
        <w:ind w:left="5175" w:hanging="360"/>
      </w:pPr>
      <w:rPr>
        <w:rFonts w:ascii="Symbol" w:hAnsi="Symbol" w:hint="default"/>
      </w:rPr>
    </w:lvl>
    <w:lvl w:ilvl="7" w:tplc="0C090003" w:tentative="1">
      <w:start w:val="1"/>
      <w:numFmt w:val="bullet"/>
      <w:lvlText w:val="o"/>
      <w:lvlJc w:val="left"/>
      <w:pPr>
        <w:ind w:left="5895" w:hanging="360"/>
      </w:pPr>
      <w:rPr>
        <w:rFonts w:ascii="Courier New" w:hAnsi="Courier New" w:cs="Courier New" w:hint="default"/>
      </w:rPr>
    </w:lvl>
    <w:lvl w:ilvl="8" w:tplc="0C090005" w:tentative="1">
      <w:start w:val="1"/>
      <w:numFmt w:val="bullet"/>
      <w:lvlText w:val=""/>
      <w:lvlJc w:val="left"/>
      <w:pPr>
        <w:ind w:left="6615" w:hanging="360"/>
      </w:pPr>
      <w:rPr>
        <w:rFonts w:ascii="Wingdings" w:hAnsi="Wingdings" w:hint="default"/>
      </w:rPr>
    </w:lvl>
  </w:abstractNum>
  <w:abstractNum w:abstractNumId="2" w15:restartNumberingAfterBreak="0">
    <w:nsid w:val="0E672E33"/>
    <w:multiLevelType w:val="hybridMultilevel"/>
    <w:tmpl w:val="15F226A8"/>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 w15:restartNumberingAfterBreak="0">
    <w:nsid w:val="20D257F4"/>
    <w:multiLevelType w:val="hybridMultilevel"/>
    <w:tmpl w:val="EBA4748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AD23AE8"/>
    <w:multiLevelType w:val="hybridMultilevel"/>
    <w:tmpl w:val="0A3030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28357C9"/>
    <w:multiLevelType w:val="hybridMultilevel"/>
    <w:tmpl w:val="2736CD6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4036DBF"/>
    <w:multiLevelType w:val="hybridMultilevel"/>
    <w:tmpl w:val="3094F68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7" w15:restartNumberingAfterBreak="0">
    <w:nsid w:val="5D95728D"/>
    <w:multiLevelType w:val="multilevel"/>
    <w:tmpl w:val="54549D3A"/>
    <w:lvl w:ilvl="0">
      <w:start w:val="1"/>
      <w:numFmt w:val="decimal"/>
      <w:lvlText w:val="%1)"/>
      <w:lvlJc w:val="left"/>
      <w:pPr>
        <w:tabs>
          <w:tab w:val="num" w:pos="360"/>
        </w:tabs>
        <w:ind w:left="360" w:hanging="360"/>
      </w:pPr>
      <w:rPr>
        <w:rFonts w:cs="Times New Roman" w:hint="default"/>
        <w:b w:val="0"/>
        <w:i w:val="0"/>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upperLetter"/>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8" w15:restartNumberingAfterBreak="0">
    <w:nsid w:val="60CE1103"/>
    <w:multiLevelType w:val="hybridMultilevel"/>
    <w:tmpl w:val="BEB0E7D6"/>
    <w:lvl w:ilvl="0" w:tplc="73EEE99A">
      <w:start w:val="1"/>
      <w:numFmt w:val="lowerLetter"/>
      <w:lvlText w:val="(%1)"/>
      <w:lvlJc w:val="left"/>
      <w:pPr>
        <w:ind w:left="360" w:hanging="360"/>
      </w:pPr>
      <w:rPr>
        <w:rFonts w:ascii="Calibri" w:eastAsia="Times New Roman" w:hAnsi="Calibri" w:cs="Times New Roman" w:hint="default"/>
        <w:sz w:val="24"/>
        <w:szCs w:val="24"/>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start w:val="1"/>
      <w:numFmt w:val="lowerLetter"/>
      <w:pStyle w:val="AH5Sec"/>
      <w:lvlText w:val="%5."/>
      <w:lvlJc w:val="left"/>
      <w:pPr>
        <w:ind w:left="3240" w:hanging="360"/>
      </w:pPr>
      <w:rPr>
        <w:rFonts w:cs="Times New Roman"/>
      </w:rPr>
    </w:lvl>
    <w:lvl w:ilvl="5" w:tplc="0C09001B" w:tentative="1">
      <w:start w:val="1"/>
      <w:numFmt w:val="lowerRoman"/>
      <w:pStyle w:val="Amai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9" w15:restartNumberingAfterBreak="0">
    <w:nsid w:val="64D472A8"/>
    <w:multiLevelType w:val="hybridMultilevel"/>
    <w:tmpl w:val="D090AB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BBE2A28"/>
    <w:multiLevelType w:val="hybridMultilevel"/>
    <w:tmpl w:val="A4B2B346"/>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7A2A016C"/>
    <w:multiLevelType w:val="multilevel"/>
    <w:tmpl w:val="1BBEC6E8"/>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none"/>
      <w:pStyle w:val="aExamss"/>
      <w:suff w:val="nothing"/>
      <w:lvlText w:val=""/>
      <w:lvlJc w:val="left"/>
      <w:pPr>
        <w:ind w:left="1100"/>
      </w:pPr>
      <w:rPr>
        <w:rFonts w:cs="Times New Roman"/>
      </w:rPr>
    </w:lvl>
    <w:lvl w:ilvl="6">
      <w:start w:val="1"/>
      <w:numFmt w:val="lowerLetter"/>
      <w:lvlText w:val="(%7)"/>
      <w:lvlJc w:val="right"/>
      <w:pPr>
        <w:tabs>
          <w:tab w:val="num" w:pos="1600"/>
        </w:tabs>
        <w:ind w:left="1600" w:hanging="200"/>
      </w:pPr>
      <w:rPr>
        <w:rFonts w:cs="Times New Roman"/>
        <w:b w:val="0"/>
        <w:bCs w:val="0"/>
        <w:i w:val="0"/>
        <w:iCs w:val="0"/>
        <w:strike w:val="0"/>
        <w:dstrike w:val="0"/>
        <w:vertAlign w:val="baseline"/>
      </w:rPr>
    </w:lvl>
    <w:lvl w:ilvl="7">
      <w:start w:val="1"/>
      <w:numFmt w:val="lowerRoman"/>
      <w:lvlText w:val="(%8)"/>
      <w:lvlJc w:val="right"/>
      <w:pPr>
        <w:tabs>
          <w:tab w:val="num" w:pos="2140"/>
        </w:tabs>
        <w:ind w:left="2140" w:hanging="200"/>
      </w:pPr>
      <w:rPr>
        <w:rFonts w:cs="Times New Roman"/>
        <w:b w:val="0"/>
        <w:bCs w:val="0"/>
        <w:i w:val="0"/>
        <w:iCs w:val="0"/>
        <w:strike w:val="0"/>
        <w:dstrike w:val="0"/>
        <w:vertAlign w:val="baseline"/>
      </w:rPr>
    </w:lvl>
    <w:lvl w:ilvl="8">
      <w:start w:val="1"/>
      <w:numFmt w:val="decimal"/>
      <w:lvlText w:val="%1.%2.%3.%4.%5.%6.%7.%8.%9"/>
      <w:lvlJc w:val="left"/>
      <w:pPr>
        <w:tabs>
          <w:tab w:val="num" w:pos="1584"/>
        </w:tabs>
        <w:ind w:left="1584" w:hanging="1584"/>
      </w:pPr>
      <w:rPr>
        <w:rFonts w:cs="Times New Roman"/>
      </w:rPr>
    </w:lvl>
  </w:abstractNum>
  <w:num w:numId="1">
    <w:abstractNumId w:val="8"/>
  </w:num>
  <w:num w:numId="2">
    <w:abstractNumId w:val="11"/>
  </w:num>
  <w:num w:numId="3">
    <w:abstractNumId w:val="0"/>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4"/>
  </w:num>
  <w:num w:numId="7">
    <w:abstractNumId w:val="1"/>
  </w:num>
  <w:num w:numId="8">
    <w:abstractNumId w:val="5"/>
  </w:num>
  <w:num w:numId="9">
    <w:abstractNumId w:val="10"/>
  </w:num>
  <w:num w:numId="10">
    <w:abstractNumId w:val="7"/>
  </w:num>
  <w:num w:numId="11">
    <w:abstractNumId w:val="3"/>
  </w:num>
  <w:num w:numId="12">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F4C50A84-9852-4AB0-9A00-5A675E93E2AE}"/>
    <w:docVar w:name="dgnword-eventsink" w:val="524465648"/>
  </w:docVars>
  <w:rsids>
    <w:rsidRoot w:val="00852760"/>
    <w:rsid w:val="00000744"/>
    <w:rsid w:val="00000D55"/>
    <w:rsid w:val="000010F4"/>
    <w:rsid w:val="000017F2"/>
    <w:rsid w:val="00003193"/>
    <w:rsid w:val="000031D2"/>
    <w:rsid w:val="000037CA"/>
    <w:rsid w:val="00003B06"/>
    <w:rsid w:val="00003E8C"/>
    <w:rsid w:val="00003E9C"/>
    <w:rsid w:val="000044DF"/>
    <w:rsid w:val="00005792"/>
    <w:rsid w:val="000065F2"/>
    <w:rsid w:val="00006A9D"/>
    <w:rsid w:val="00006CBF"/>
    <w:rsid w:val="00007947"/>
    <w:rsid w:val="00007EB9"/>
    <w:rsid w:val="00010E45"/>
    <w:rsid w:val="00010F19"/>
    <w:rsid w:val="000119D8"/>
    <w:rsid w:val="00011F35"/>
    <w:rsid w:val="00012074"/>
    <w:rsid w:val="000122F3"/>
    <w:rsid w:val="0001242C"/>
    <w:rsid w:val="00012F60"/>
    <w:rsid w:val="00013402"/>
    <w:rsid w:val="00013A9C"/>
    <w:rsid w:val="00013AB0"/>
    <w:rsid w:val="00013E25"/>
    <w:rsid w:val="0001486E"/>
    <w:rsid w:val="0001535A"/>
    <w:rsid w:val="0001570F"/>
    <w:rsid w:val="00016330"/>
    <w:rsid w:val="0001644B"/>
    <w:rsid w:val="0001665A"/>
    <w:rsid w:val="00016A3A"/>
    <w:rsid w:val="00017B43"/>
    <w:rsid w:val="00017E9E"/>
    <w:rsid w:val="00017F39"/>
    <w:rsid w:val="00020A0B"/>
    <w:rsid w:val="00020FD5"/>
    <w:rsid w:val="000227DF"/>
    <w:rsid w:val="00022F73"/>
    <w:rsid w:val="00022FF4"/>
    <w:rsid w:val="000235BB"/>
    <w:rsid w:val="00023B23"/>
    <w:rsid w:val="00024137"/>
    <w:rsid w:val="00024DD6"/>
    <w:rsid w:val="000273A7"/>
    <w:rsid w:val="000274AB"/>
    <w:rsid w:val="000276C7"/>
    <w:rsid w:val="00030373"/>
    <w:rsid w:val="00030D9D"/>
    <w:rsid w:val="00032126"/>
    <w:rsid w:val="0003311C"/>
    <w:rsid w:val="00033631"/>
    <w:rsid w:val="0003416C"/>
    <w:rsid w:val="00034929"/>
    <w:rsid w:val="000357F8"/>
    <w:rsid w:val="00036405"/>
    <w:rsid w:val="00036697"/>
    <w:rsid w:val="00036A5F"/>
    <w:rsid w:val="00036D89"/>
    <w:rsid w:val="00037CE7"/>
    <w:rsid w:val="0004029C"/>
    <w:rsid w:val="00040382"/>
    <w:rsid w:val="00040CF4"/>
    <w:rsid w:val="00041643"/>
    <w:rsid w:val="00041F36"/>
    <w:rsid w:val="00041FDD"/>
    <w:rsid w:val="000420D8"/>
    <w:rsid w:val="0004219D"/>
    <w:rsid w:val="00042214"/>
    <w:rsid w:val="000426C2"/>
    <w:rsid w:val="00042847"/>
    <w:rsid w:val="00042C2E"/>
    <w:rsid w:val="00043A31"/>
    <w:rsid w:val="000457F3"/>
    <w:rsid w:val="00045C05"/>
    <w:rsid w:val="00045FC1"/>
    <w:rsid w:val="00046070"/>
    <w:rsid w:val="0004697F"/>
    <w:rsid w:val="00046E05"/>
    <w:rsid w:val="00047D5D"/>
    <w:rsid w:val="00050021"/>
    <w:rsid w:val="0005013E"/>
    <w:rsid w:val="000503A9"/>
    <w:rsid w:val="00050B04"/>
    <w:rsid w:val="00051B48"/>
    <w:rsid w:val="000520A6"/>
    <w:rsid w:val="0005382B"/>
    <w:rsid w:val="00054677"/>
    <w:rsid w:val="0005467E"/>
    <w:rsid w:val="000554D5"/>
    <w:rsid w:val="000557CF"/>
    <w:rsid w:val="00057734"/>
    <w:rsid w:val="000577EC"/>
    <w:rsid w:val="00057D1D"/>
    <w:rsid w:val="0006013C"/>
    <w:rsid w:val="0006082A"/>
    <w:rsid w:val="00060A08"/>
    <w:rsid w:val="00060F09"/>
    <w:rsid w:val="00061144"/>
    <w:rsid w:val="000613C2"/>
    <w:rsid w:val="0006244A"/>
    <w:rsid w:val="00062540"/>
    <w:rsid w:val="00062620"/>
    <w:rsid w:val="00062AA8"/>
    <w:rsid w:val="00062CA5"/>
    <w:rsid w:val="00062EF2"/>
    <w:rsid w:val="000633C1"/>
    <w:rsid w:val="0006351F"/>
    <w:rsid w:val="00063AF2"/>
    <w:rsid w:val="00063DB0"/>
    <w:rsid w:val="0006545C"/>
    <w:rsid w:val="00065468"/>
    <w:rsid w:val="00066031"/>
    <w:rsid w:val="00066731"/>
    <w:rsid w:val="0006694B"/>
    <w:rsid w:val="00066C61"/>
    <w:rsid w:val="00066C88"/>
    <w:rsid w:val="00067CD2"/>
    <w:rsid w:val="00067E87"/>
    <w:rsid w:val="00070095"/>
    <w:rsid w:val="00071883"/>
    <w:rsid w:val="00072D58"/>
    <w:rsid w:val="00072EA8"/>
    <w:rsid w:val="0007375C"/>
    <w:rsid w:val="00073760"/>
    <w:rsid w:val="00073A1C"/>
    <w:rsid w:val="00074ACD"/>
    <w:rsid w:val="00076249"/>
    <w:rsid w:val="000762EC"/>
    <w:rsid w:val="00076783"/>
    <w:rsid w:val="00077549"/>
    <w:rsid w:val="00077D2E"/>
    <w:rsid w:val="00081B40"/>
    <w:rsid w:val="00081E18"/>
    <w:rsid w:val="00083D69"/>
    <w:rsid w:val="000842CF"/>
    <w:rsid w:val="0008433C"/>
    <w:rsid w:val="000851B2"/>
    <w:rsid w:val="0008530E"/>
    <w:rsid w:val="00085645"/>
    <w:rsid w:val="000857B4"/>
    <w:rsid w:val="00085E95"/>
    <w:rsid w:val="0008657A"/>
    <w:rsid w:val="0008673D"/>
    <w:rsid w:val="00086C41"/>
    <w:rsid w:val="00086C90"/>
    <w:rsid w:val="00086FCA"/>
    <w:rsid w:val="0009047A"/>
    <w:rsid w:val="00090BC8"/>
    <w:rsid w:val="00090C73"/>
    <w:rsid w:val="00090D7D"/>
    <w:rsid w:val="00090EC6"/>
    <w:rsid w:val="00091E66"/>
    <w:rsid w:val="00092480"/>
    <w:rsid w:val="00092A0F"/>
    <w:rsid w:val="00092B9F"/>
    <w:rsid w:val="000942EE"/>
    <w:rsid w:val="000945CF"/>
    <w:rsid w:val="00094F6C"/>
    <w:rsid w:val="00094FD4"/>
    <w:rsid w:val="00095738"/>
    <w:rsid w:val="00095800"/>
    <w:rsid w:val="000958D7"/>
    <w:rsid w:val="00095A67"/>
    <w:rsid w:val="00096A8C"/>
    <w:rsid w:val="00096EAE"/>
    <w:rsid w:val="000971A4"/>
    <w:rsid w:val="00097617"/>
    <w:rsid w:val="00097749"/>
    <w:rsid w:val="000977FD"/>
    <w:rsid w:val="000A09FC"/>
    <w:rsid w:val="000A119F"/>
    <w:rsid w:val="000A13F5"/>
    <w:rsid w:val="000A1A2B"/>
    <w:rsid w:val="000A2470"/>
    <w:rsid w:val="000A2684"/>
    <w:rsid w:val="000A2A5C"/>
    <w:rsid w:val="000A2F6F"/>
    <w:rsid w:val="000A345B"/>
    <w:rsid w:val="000A3C79"/>
    <w:rsid w:val="000A4586"/>
    <w:rsid w:val="000A49BF"/>
    <w:rsid w:val="000A4DAA"/>
    <w:rsid w:val="000A5FDC"/>
    <w:rsid w:val="000A76D9"/>
    <w:rsid w:val="000A7D8D"/>
    <w:rsid w:val="000B080D"/>
    <w:rsid w:val="000B136E"/>
    <w:rsid w:val="000B13E0"/>
    <w:rsid w:val="000B14AF"/>
    <w:rsid w:val="000B2446"/>
    <w:rsid w:val="000B29EF"/>
    <w:rsid w:val="000B31C6"/>
    <w:rsid w:val="000B3285"/>
    <w:rsid w:val="000B370E"/>
    <w:rsid w:val="000B3958"/>
    <w:rsid w:val="000B478E"/>
    <w:rsid w:val="000B4CEC"/>
    <w:rsid w:val="000B5751"/>
    <w:rsid w:val="000B590E"/>
    <w:rsid w:val="000B5BE5"/>
    <w:rsid w:val="000B5C27"/>
    <w:rsid w:val="000B66F1"/>
    <w:rsid w:val="000B77EF"/>
    <w:rsid w:val="000B7EC6"/>
    <w:rsid w:val="000B7F10"/>
    <w:rsid w:val="000C007A"/>
    <w:rsid w:val="000C1875"/>
    <w:rsid w:val="000C26D1"/>
    <w:rsid w:val="000C339B"/>
    <w:rsid w:val="000C4309"/>
    <w:rsid w:val="000C45F3"/>
    <w:rsid w:val="000C467D"/>
    <w:rsid w:val="000C49E3"/>
    <w:rsid w:val="000C4AC0"/>
    <w:rsid w:val="000C4C8E"/>
    <w:rsid w:val="000C5065"/>
    <w:rsid w:val="000C509D"/>
    <w:rsid w:val="000C51C5"/>
    <w:rsid w:val="000C6F00"/>
    <w:rsid w:val="000C6FF6"/>
    <w:rsid w:val="000C7247"/>
    <w:rsid w:val="000C76B6"/>
    <w:rsid w:val="000C7F39"/>
    <w:rsid w:val="000D066D"/>
    <w:rsid w:val="000D1393"/>
    <w:rsid w:val="000D16F4"/>
    <w:rsid w:val="000D2C67"/>
    <w:rsid w:val="000D3095"/>
    <w:rsid w:val="000D3C11"/>
    <w:rsid w:val="000D3C24"/>
    <w:rsid w:val="000D4F31"/>
    <w:rsid w:val="000D5345"/>
    <w:rsid w:val="000D53DB"/>
    <w:rsid w:val="000D6034"/>
    <w:rsid w:val="000D652C"/>
    <w:rsid w:val="000D6905"/>
    <w:rsid w:val="000D703B"/>
    <w:rsid w:val="000D758B"/>
    <w:rsid w:val="000E0B99"/>
    <w:rsid w:val="000E0C67"/>
    <w:rsid w:val="000E15C9"/>
    <w:rsid w:val="000E1A96"/>
    <w:rsid w:val="000E1D21"/>
    <w:rsid w:val="000E29A4"/>
    <w:rsid w:val="000E368C"/>
    <w:rsid w:val="000E3C40"/>
    <w:rsid w:val="000E43D7"/>
    <w:rsid w:val="000E47FE"/>
    <w:rsid w:val="000E4BD4"/>
    <w:rsid w:val="000E508E"/>
    <w:rsid w:val="000E6447"/>
    <w:rsid w:val="000E661D"/>
    <w:rsid w:val="000E6FF4"/>
    <w:rsid w:val="000F060C"/>
    <w:rsid w:val="000F1D43"/>
    <w:rsid w:val="000F2B96"/>
    <w:rsid w:val="000F3093"/>
    <w:rsid w:val="000F3799"/>
    <w:rsid w:val="000F42C1"/>
    <w:rsid w:val="000F46C6"/>
    <w:rsid w:val="000F4FA7"/>
    <w:rsid w:val="000F51D6"/>
    <w:rsid w:val="000F543F"/>
    <w:rsid w:val="000F5555"/>
    <w:rsid w:val="000F58DF"/>
    <w:rsid w:val="000F5AF6"/>
    <w:rsid w:val="000F642E"/>
    <w:rsid w:val="000F68DE"/>
    <w:rsid w:val="000F6AA8"/>
    <w:rsid w:val="000F6DB1"/>
    <w:rsid w:val="000F790D"/>
    <w:rsid w:val="00100D53"/>
    <w:rsid w:val="00100E59"/>
    <w:rsid w:val="00101503"/>
    <w:rsid w:val="00101E88"/>
    <w:rsid w:val="00101FC6"/>
    <w:rsid w:val="001034CA"/>
    <w:rsid w:val="00104503"/>
    <w:rsid w:val="001045CA"/>
    <w:rsid w:val="00105AFD"/>
    <w:rsid w:val="00106C6C"/>
    <w:rsid w:val="00106EE4"/>
    <w:rsid w:val="0010794F"/>
    <w:rsid w:val="00107D0B"/>
    <w:rsid w:val="001101D7"/>
    <w:rsid w:val="00110892"/>
    <w:rsid w:val="00110938"/>
    <w:rsid w:val="001112B8"/>
    <w:rsid w:val="00111686"/>
    <w:rsid w:val="00111A76"/>
    <w:rsid w:val="001129DB"/>
    <w:rsid w:val="00112C4D"/>
    <w:rsid w:val="00113678"/>
    <w:rsid w:val="00113692"/>
    <w:rsid w:val="00113AB4"/>
    <w:rsid w:val="00114280"/>
    <w:rsid w:val="001144E0"/>
    <w:rsid w:val="00115FCF"/>
    <w:rsid w:val="00116274"/>
    <w:rsid w:val="0011672E"/>
    <w:rsid w:val="0011691E"/>
    <w:rsid w:val="0011712A"/>
    <w:rsid w:val="00117982"/>
    <w:rsid w:val="001179F7"/>
    <w:rsid w:val="00121855"/>
    <w:rsid w:val="00121DDC"/>
    <w:rsid w:val="0012202A"/>
    <w:rsid w:val="001223B0"/>
    <w:rsid w:val="001227CF"/>
    <w:rsid w:val="00122EE1"/>
    <w:rsid w:val="00123367"/>
    <w:rsid w:val="00123C64"/>
    <w:rsid w:val="00124189"/>
    <w:rsid w:val="001254CC"/>
    <w:rsid w:val="001255A5"/>
    <w:rsid w:val="0012597C"/>
    <w:rsid w:val="0012620D"/>
    <w:rsid w:val="0012637F"/>
    <w:rsid w:val="001267FD"/>
    <w:rsid w:val="001276BA"/>
    <w:rsid w:val="00127EFD"/>
    <w:rsid w:val="00127F6F"/>
    <w:rsid w:val="0013028F"/>
    <w:rsid w:val="00130A37"/>
    <w:rsid w:val="00131118"/>
    <w:rsid w:val="0013140B"/>
    <w:rsid w:val="001320C7"/>
    <w:rsid w:val="00132486"/>
    <w:rsid w:val="0013280D"/>
    <w:rsid w:val="00132868"/>
    <w:rsid w:val="00133389"/>
    <w:rsid w:val="00134271"/>
    <w:rsid w:val="001353D0"/>
    <w:rsid w:val="0013550C"/>
    <w:rsid w:val="00135C10"/>
    <w:rsid w:val="001370BD"/>
    <w:rsid w:val="00137192"/>
    <w:rsid w:val="0013772D"/>
    <w:rsid w:val="00137741"/>
    <w:rsid w:val="00137DC9"/>
    <w:rsid w:val="0014031C"/>
    <w:rsid w:val="001404FF"/>
    <w:rsid w:val="00141A37"/>
    <w:rsid w:val="00142808"/>
    <w:rsid w:val="00143701"/>
    <w:rsid w:val="00143E5B"/>
    <w:rsid w:val="00143E6D"/>
    <w:rsid w:val="00144447"/>
    <w:rsid w:val="0014457E"/>
    <w:rsid w:val="00145364"/>
    <w:rsid w:val="00145728"/>
    <w:rsid w:val="00145C8A"/>
    <w:rsid w:val="00145ECF"/>
    <w:rsid w:val="00146857"/>
    <w:rsid w:val="001468AC"/>
    <w:rsid w:val="00146B74"/>
    <w:rsid w:val="00146CBD"/>
    <w:rsid w:val="00146CD7"/>
    <w:rsid w:val="001475AF"/>
    <w:rsid w:val="001478E7"/>
    <w:rsid w:val="00147B5B"/>
    <w:rsid w:val="00147E27"/>
    <w:rsid w:val="00151B9B"/>
    <w:rsid w:val="00152730"/>
    <w:rsid w:val="0015320A"/>
    <w:rsid w:val="0015362B"/>
    <w:rsid w:val="001538A4"/>
    <w:rsid w:val="00153971"/>
    <w:rsid w:val="001564B6"/>
    <w:rsid w:val="001577A9"/>
    <w:rsid w:val="0016098D"/>
    <w:rsid w:val="001609F9"/>
    <w:rsid w:val="00160B3A"/>
    <w:rsid w:val="0016184C"/>
    <w:rsid w:val="00162E78"/>
    <w:rsid w:val="001630FA"/>
    <w:rsid w:val="0016454F"/>
    <w:rsid w:val="00164A49"/>
    <w:rsid w:val="00164B78"/>
    <w:rsid w:val="00164D68"/>
    <w:rsid w:val="00164E7A"/>
    <w:rsid w:val="00164FFB"/>
    <w:rsid w:val="001650A1"/>
    <w:rsid w:val="001656F8"/>
    <w:rsid w:val="00165F0C"/>
    <w:rsid w:val="00165FDB"/>
    <w:rsid w:val="00166CA8"/>
    <w:rsid w:val="00166D97"/>
    <w:rsid w:val="00170455"/>
    <w:rsid w:val="00171533"/>
    <w:rsid w:val="001720BD"/>
    <w:rsid w:val="0017277A"/>
    <w:rsid w:val="00172AA2"/>
    <w:rsid w:val="001756D8"/>
    <w:rsid w:val="0017626F"/>
    <w:rsid w:val="001773B7"/>
    <w:rsid w:val="00177EEA"/>
    <w:rsid w:val="00180319"/>
    <w:rsid w:val="00180A76"/>
    <w:rsid w:val="00181F6C"/>
    <w:rsid w:val="001834A4"/>
    <w:rsid w:val="00183532"/>
    <w:rsid w:val="00183AD3"/>
    <w:rsid w:val="00183CBC"/>
    <w:rsid w:val="00183D5B"/>
    <w:rsid w:val="00183FD9"/>
    <w:rsid w:val="00184BED"/>
    <w:rsid w:val="00184CD2"/>
    <w:rsid w:val="00185271"/>
    <w:rsid w:val="00185708"/>
    <w:rsid w:val="00186CF6"/>
    <w:rsid w:val="00190048"/>
    <w:rsid w:val="001909E6"/>
    <w:rsid w:val="0019122A"/>
    <w:rsid w:val="0019177A"/>
    <w:rsid w:val="00191B79"/>
    <w:rsid w:val="00191DB6"/>
    <w:rsid w:val="00192203"/>
    <w:rsid w:val="0019295E"/>
    <w:rsid w:val="0019375C"/>
    <w:rsid w:val="00193BA2"/>
    <w:rsid w:val="00193FCD"/>
    <w:rsid w:val="0019444B"/>
    <w:rsid w:val="00194D63"/>
    <w:rsid w:val="0019677F"/>
    <w:rsid w:val="001A0E08"/>
    <w:rsid w:val="001A168A"/>
    <w:rsid w:val="001A1C0B"/>
    <w:rsid w:val="001A1CFA"/>
    <w:rsid w:val="001A250B"/>
    <w:rsid w:val="001A2651"/>
    <w:rsid w:val="001A2A0B"/>
    <w:rsid w:val="001A2FF6"/>
    <w:rsid w:val="001A3907"/>
    <w:rsid w:val="001A3A45"/>
    <w:rsid w:val="001A3ECA"/>
    <w:rsid w:val="001A3EDE"/>
    <w:rsid w:val="001A4947"/>
    <w:rsid w:val="001A4BA1"/>
    <w:rsid w:val="001A4E63"/>
    <w:rsid w:val="001A6C2F"/>
    <w:rsid w:val="001A79CF"/>
    <w:rsid w:val="001A7AAC"/>
    <w:rsid w:val="001B01CD"/>
    <w:rsid w:val="001B0684"/>
    <w:rsid w:val="001B06B5"/>
    <w:rsid w:val="001B0BCC"/>
    <w:rsid w:val="001B0E7F"/>
    <w:rsid w:val="001B11FC"/>
    <w:rsid w:val="001B1C20"/>
    <w:rsid w:val="001B1FD7"/>
    <w:rsid w:val="001B2479"/>
    <w:rsid w:val="001B258C"/>
    <w:rsid w:val="001B3BEB"/>
    <w:rsid w:val="001B5233"/>
    <w:rsid w:val="001B6376"/>
    <w:rsid w:val="001B69AD"/>
    <w:rsid w:val="001B6AFA"/>
    <w:rsid w:val="001B6B07"/>
    <w:rsid w:val="001B7090"/>
    <w:rsid w:val="001B7472"/>
    <w:rsid w:val="001B760A"/>
    <w:rsid w:val="001B7731"/>
    <w:rsid w:val="001C0F8B"/>
    <w:rsid w:val="001C1DB2"/>
    <w:rsid w:val="001C1E66"/>
    <w:rsid w:val="001C1F12"/>
    <w:rsid w:val="001C3A02"/>
    <w:rsid w:val="001C3D42"/>
    <w:rsid w:val="001C42EE"/>
    <w:rsid w:val="001C43BB"/>
    <w:rsid w:val="001C49B8"/>
    <w:rsid w:val="001C4B20"/>
    <w:rsid w:val="001C53A2"/>
    <w:rsid w:val="001C54AB"/>
    <w:rsid w:val="001C59DB"/>
    <w:rsid w:val="001C6204"/>
    <w:rsid w:val="001C69F4"/>
    <w:rsid w:val="001C7271"/>
    <w:rsid w:val="001D0F73"/>
    <w:rsid w:val="001D22AD"/>
    <w:rsid w:val="001D25BC"/>
    <w:rsid w:val="001D27E5"/>
    <w:rsid w:val="001D2A06"/>
    <w:rsid w:val="001D4C4A"/>
    <w:rsid w:val="001D4CA4"/>
    <w:rsid w:val="001D5235"/>
    <w:rsid w:val="001D5852"/>
    <w:rsid w:val="001D5E8F"/>
    <w:rsid w:val="001D60F6"/>
    <w:rsid w:val="001D6F31"/>
    <w:rsid w:val="001E110E"/>
    <w:rsid w:val="001E1617"/>
    <w:rsid w:val="001E25FA"/>
    <w:rsid w:val="001E26F3"/>
    <w:rsid w:val="001E2952"/>
    <w:rsid w:val="001E2B5B"/>
    <w:rsid w:val="001E2DED"/>
    <w:rsid w:val="001E33FE"/>
    <w:rsid w:val="001E4E14"/>
    <w:rsid w:val="001E63B6"/>
    <w:rsid w:val="001E6CFF"/>
    <w:rsid w:val="001E72B3"/>
    <w:rsid w:val="001E73E0"/>
    <w:rsid w:val="001E7D5F"/>
    <w:rsid w:val="001F07E2"/>
    <w:rsid w:val="001F08AB"/>
    <w:rsid w:val="001F08B5"/>
    <w:rsid w:val="001F0EAF"/>
    <w:rsid w:val="001F1BD5"/>
    <w:rsid w:val="001F2466"/>
    <w:rsid w:val="001F28B6"/>
    <w:rsid w:val="001F294C"/>
    <w:rsid w:val="001F363F"/>
    <w:rsid w:val="001F428F"/>
    <w:rsid w:val="001F4A4B"/>
    <w:rsid w:val="001F4CBC"/>
    <w:rsid w:val="001F5012"/>
    <w:rsid w:val="001F54F6"/>
    <w:rsid w:val="001F5B9E"/>
    <w:rsid w:val="001F5C70"/>
    <w:rsid w:val="001F608D"/>
    <w:rsid w:val="001F6098"/>
    <w:rsid w:val="001F6C4C"/>
    <w:rsid w:val="001F7441"/>
    <w:rsid w:val="002006B8"/>
    <w:rsid w:val="00200B02"/>
    <w:rsid w:val="002015C8"/>
    <w:rsid w:val="002017DC"/>
    <w:rsid w:val="00201BE2"/>
    <w:rsid w:val="00201F16"/>
    <w:rsid w:val="00202215"/>
    <w:rsid w:val="002022D2"/>
    <w:rsid w:val="002031EE"/>
    <w:rsid w:val="0020456E"/>
    <w:rsid w:val="00205382"/>
    <w:rsid w:val="00205808"/>
    <w:rsid w:val="0020585F"/>
    <w:rsid w:val="0020655C"/>
    <w:rsid w:val="00206BA3"/>
    <w:rsid w:val="00206D41"/>
    <w:rsid w:val="002079B0"/>
    <w:rsid w:val="00207ECF"/>
    <w:rsid w:val="00210051"/>
    <w:rsid w:val="002107F3"/>
    <w:rsid w:val="00210D30"/>
    <w:rsid w:val="00210D7A"/>
    <w:rsid w:val="0021142F"/>
    <w:rsid w:val="00211695"/>
    <w:rsid w:val="002131FC"/>
    <w:rsid w:val="00213C0E"/>
    <w:rsid w:val="00213CE5"/>
    <w:rsid w:val="00214118"/>
    <w:rsid w:val="0021435A"/>
    <w:rsid w:val="00214E0A"/>
    <w:rsid w:val="002151AC"/>
    <w:rsid w:val="00215603"/>
    <w:rsid w:val="00215820"/>
    <w:rsid w:val="00215843"/>
    <w:rsid w:val="00215A07"/>
    <w:rsid w:val="00215DD1"/>
    <w:rsid w:val="00215F81"/>
    <w:rsid w:val="0021608C"/>
    <w:rsid w:val="00216B01"/>
    <w:rsid w:val="0021720E"/>
    <w:rsid w:val="00217363"/>
    <w:rsid w:val="002179B2"/>
    <w:rsid w:val="002200C2"/>
    <w:rsid w:val="002208F0"/>
    <w:rsid w:val="00221BFA"/>
    <w:rsid w:val="002220FE"/>
    <w:rsid w:val="0022225E"/>
    <w:rsid w:val="002222B7"/>
    <w:rsid w:val="00222E7B"/>
    <w:rsid w:val="00223187"/>
    <w:rsid w:val="0022326B"/>
    <w:rsid w:val="00223360"/>
    <w:rsid w:val="00223FAE"/>
    <w:rsid w:val="00224320"/>
    <w:rsid w:val="002250E9"/>
    <w:rsid w:val="0022586C"/>
    <w:rsid w:val="00225E8D"/>
    <w:rsid w:val="00230C82"/>
    <w:rsid w:val="00230F6B"/>
    <w:rsid w:val="00231962"/>
    <w:rsid w:val="00232952"/>
    <w:rsid w:val="00232D47"/>
    <w:rsid w:val="00233EF5"/>
    <w:rsid w:val="002345BD"/>
    <w:rsid w:val="0023486E"/>
    <w:rsid w:val="00234C11"/>
    <w:rsid w:val="00234D9D"/>
    <w:rsid w:val="00236041"/>
    <w:rsid w:val="00236190"/>
    <w:rsid w:val="00236543"/>
    <w:rsid w:val="00237096"/>
    <w:rsid w:val="00240642"/>
    <w:rsid w:val="00240E94"/>
    <w:rsid w:val="00241944"/>
    <w:rsid w:val="00242879"/>
    <w:rsid w:val="00244799"/>
    <w:rsid w:val="00245F00"/>
    <w:rsid w:val="00246553"/>
    <w:rsid w:val="00246764"/>
    <w:rsid w:val="00247355"/>
    <w:rsid w:val="00247589"/>
    <w:rsid w:val="002477EE"/>
    <w:rsid w:val="0025013B"/>
    <w:rsid w:val="00250428"/>
    <w:rsid w:val="002514C4"/>
    <w:rsid w:val="00251CE4"/>
    <w:rsid w:val="00252655"/>
    <w:rsid w:val="00252AEA"/>
    <w:rsid w:val="00252E05"/>
    <w:rsid w:val="00252FB5"/>
    <w:rsid w:val="0025305F"/>
    <w:rsid w:val="0025311A"/>
    <w:rsid w:val="00253269"/>
    <w:rsid w:val="002532E1"/>
    <w:rsid w:val="00253A3C"/>
    <w:rsid w:val="0025410F"/>
    <w:rsid w:val="002541C0"/>
    <w:rsid w:val="00254694"/>
    <w:rsid w:val="00256826"/>
    <w:rsid w:val="00256C1E"/>
    <w:rsid w:val="00257DA0"/>
    <w:rsid w:val="00261E42"/>
    <w:rsid w:val="00262B78"/>
    <w:rsid w:val="00263C09"/>
    <w:rsid w:val="00264788"/>
    <w:rsid w:val="00264B8F"/>
    <w:rsid w:val="00264C61"/>
    <w:rsid w:val="00264D73"/>
    <w:rsid w:val="002651D6"/>
    <w:rsid w:val="002654F1"/>
    <w:rsid w:val="00265BFB"/>
    <w:rsid w:val="00265DCF"/>
    <w:rsid w:val="00265FA4"/>
    <w:rsid w:val="0026623E"/>
    <w:rsid w:val="002668BA"/>
    <w:rsid w:val="00266F68"/>
    <w:rsid w:val="00267471"/>
    <w:rsid w:val="00267961"/>
    <w:rsid w:val="00267EE2"/>
    <w:rsid w:val="002701E2"/>
    <w:rsid w:val="00270887"/>
    <w:rsid w:val="00271285"/>
    <w:rsid w:val="00271B05"/>
    <w:rsid w:val="0027205B"/>
    <w:rsid w:val="00272F05"/>
    <w:rsid w:val="0027303E"/>
    <w:rsid w:val="002736D7"/>
    <w:rsid w:val="0027423C"/>
    <w:rsid w:val="00274F51"/>
    <w:rsid w:val="0027734B"/>
    <w:rsid w:val="002774DB"/>
    <w:rsid w:val="00277A64"/>
    <w:rsid w:val="00277CA0"/>
    <w:rsid w:val="0028000F"/>
    <w:rsid w:val="00280425"/>
    <w:rsid w:val="0028089A"/>
    <w:rsid w:val="00280C5C"/>
    <w:rsid w:val="00281563"/>
    <w:rsid w:val="0028217C"/>
    <w:rsid w:val="002821BF"/>
    <w:rsid w:val="00283845"/>
    <w:rsid w:val="00284004"/>
    <w:rsid w:val="0028502E"/>
    <w:rsid w:val="00285597"/>
    <w:rsid w:val="00285822"/>
    <w:rsid w:val="00285EF0"/>
    <w:rsid w:val="00286C34"/>
    <w:rsid w:val="00287594"/>
    <w:rsid w:val="002875B0"/>
    <w:rsid w:val="00287626"/>
    <w:rsid w:val="002876F0"/>
    <w:rsid w:val="00287740"/>
    <w:rsid w:val="00287916"/>
    <w:rsid w:val="002879DE"/>
    <w:rsid w:val="00287B42"/>
    <w:rsid w:val="00287BFF"/>
    <w:rsid w:val="002910A1"/>
    <w:rsid w:val="00291A96"/>
    <w:rsid w:val="00291DB6"/>
    <w:rsid w:val="00292395"/>
    <w:rsid w:val="00295448"/>
    <w:rsid w:val="00295802"/>
    <w:rsid w:val="0029592E"/>
    <w:rsid w:val="00296566"/>
    <w:rsid w:val="0029681B"/>
    <w:rsid w:val="002974AE"/>
    <w:rsid w:val="00297A3D"/>
    <w:rsid w:val="002A0ADA"/>
    <w:rsid w:val="002A11EA"/>
    <w:rsid w:val="002A1375"/>
    <w:rsid w:val="002A1957"/>
    <w:rsid w:val="002A1CEE"/>
    <w:rsid w:val="002A203B"/>
    <w:rsid w:val="002A32E0"/>
    <w:rsid w:val="002A35FE"/>
    <w:rsid w:val="002A50C2"/>
    <w:rsid w:val="002A556A"/>
    <w:rsid w:val="002A58E2"/>
    <w:rsid w:val="002A5D4E"/>
    <w:rsid w:val="002A6E71"/>
    <w:rsid w:val="002A726B"/>
    <w:rsid w:val="002A73E5"/>
    <w:rsid w:val="002A7543"/>
    <w:rsid w:val="002B066F"/>
    <w:rsid w:val="002B0EA0"/>
    <w:rsid w:val="002B1027"/>
    <w:rsid w:val="002B14D6"/>
    <w:rsid w:val="002B1686"/>
    <w:rsid w:val="002B1C3E"/>
    <w:rsid w:val="002B221C"/>
    <w:rsid w:val="002B2AB9"/>
    <w:rsid w:val="002B3245"/>
    <w:rsid w:val="002B39E9"/>
    <w:rsid w:val="002B4591"/>
    <w:rsid w:val="002B4949"/>
    <w:rsid w:val="002B5821"/>
    <w:rsid w:val="002B5870"/>
    <w:rsid w:val="002B5925"/>
    <w:rsid w:val="002B5948"/>
    <w:rsid w:val="002B5C3A"/>
    <w:rsid w:val="002B5DF2"/>
    <w:rsid w:val="002B6575"/>
    <w:rsid w:val="002B662C"/>
    <w:rsid w:val="002B665C"/>
    <w:rsid w:val="002B683D"/>
    <w:rsid w:val="002B686D"/>
    <w:rsid w:val="002B6915"/>
    <w:rsid w:val="002C0A46"/>
    <w:rsid w:val="002C1031"/>
    <w:rsid w:val="002C2037"/>
    <w:rsid w:val="002C2A59"/>
    <w:rsid w:val="002C2E65"/>
    <w:rsid w:val="002C35B3"/>
    <w:rsid w:val="002C36FD"/>
    <w:rsid w:val="002C3A8F"/>
    <w:rsid w:val="002C571D"/>
    <w:rsid w:val="002C5A61"/>
    <w:rsid w:val="002C5EE2"/>
    <w:rsid w:val="002C6019"/>
    <w:rsid w:val="002C6620"/>
    <w:rsid w:val="002C69CC"/>
    <w:rsid w:val="002C6AEB"/>
    <w:rsid w:val="002C7093"/>
    <w:rsid w:val="002C7212"/>
    <w:rsid w:val="002C7578"/>
    <w:rsid w:val="002C767B"/>
    <w:rsid w:val="002C7B3E"/>
    <w:rsid w:val="002C7CA4"/>
    <w:rsid w:val="002D0031"/>
    <w:rsid w:val="002D1385"/>
    <w:rsid w:val="002D1410"/>
    <w:rsid w:val="002D1429"/>
    <w:rsid w:val="002D1788"/>
    <w:rsid w:val="002D2267"/>
    <w:rsid w:val="002D24CF"/>
    <w:rsid w:val="002D24FA"/>
    <w:rsid w:val="002D2AD2"/>
    <w:rsid w:val="002D2ADD"/>
    <w:rsid w:val="002D2C57"/>
    <w:rsid w:val="002D42D3"/>
    <w:rsid w:val="002D4A92"/>
    <w:rsid w:val="002D557D"/>
    <w:rsid w:val="002D55DF"/>
    <w:rsid w:val="002D59A5"/>
    <w:rsid w:val="002D622E"/>
    <w:rsid w:val="002D686B"/>
    <w:rsid w:val="002D6938"/>
    <w:rsid w:val="002D6AA4"/>
    <w:rsid w:val="002E03F4"/>
    <w:rsid w:val="002E0A05"/>
    <w:rsid w:val="002E0A32"/>
    <w:rsid w:val="002E126F"/>
    <w:rsid w:val="002E12C7"/>
    <w:rsid w:val="002E1A7E"/>
    <w:rsid w:val="002E2C82"/>
    <w:rsid w:val="002E3547"/>
    <w:rsid w:val="002E3E7D"/>
    <w:rsid w:val="002E4BF9"/>
    <w:rsid w:val="002E5391"/>
    <w:rsid w:val="002E5579"/>
    <w:rsid w:val="002E67B5"/>
    <w:rsid w:val="002E70D2"/>
    <w:rsid w:val="002F0708"/>
    <w:rsid w:val="002F1433"/>
    <w:rsid w:val="002F14AF"/>
    <w:rsid w:val="002F167D"/>
    <w:rsid w:val="002F1FD8"/>
    <w:rsid w:val="002F222A"/>
    <w:rsid w:val="002F24AA"/>
    <w:rsid w:val="002F29D1"/>
    <w:rsid w:val="002F2BC9"/>
    <w:rsid w:val="002F327A"/>
    <w:rsid w:val="002F3E0E"/>
    <w:rsid w:val="002F4750"/>
    <w:rsid w:val="002F5A5C"/>
    <w:rsid w:val="002F60D1"/>
    <w:rsid w:val="002F61F0"/>
    <w:rsid w:val="002F7A86"/>
    <w:rsid w:val="00300933"/>
    <w:rsid w:val="00300B92"/>
    <w:rsid w:val="00301047"/>
    <w:rsid w:val="00301378"/>
    <w:rsid w:val="00301B9A"/>
    <w:rsid w:val="00301D68"/>
    <w:rsid w:val="003020E4"/>
    <w:rsid w:val="003021AD"/>
    <w:rsid w:val="0030249C"/>
    <w:rsid w:val="003026A5"/>
    <w:rsid w:val="00302897"/>
    <w:rsid w:val="00303432"/>
    <w:rsid w:val="003036E9"/>
    <w:rsid w:val="003046D5"/>
    <w:rsid w:val="00304A15"/>
    <w:rsid w:val="00304DA9"/>
    <w:rsid w:val="00304DF7"/>
    <w:rsid w:val="00305D57"/>
    <w:rsid w:val="00305F74"/>
    <w:rsid w:val="00306A96"/>
    <w:rsid w:val="00307340"/>
    <w:rsid w:val="00307E87"/>
    <w:rsid w:val="00310DE4"/>
    <w:rsid w:val="003119D9"/>
    <w:rsid w:val="003124D6"/>
    <w:rsid w:val="00312B5F"/>
    <w:rsid w:val="00312E3D"/>
    <w:rsid w:val="0031311E"/>
    <w:rsid w:val="0031372C"/>
    <w:rsid w:val="00313B96"/>
    <w:rsid w:val="00314524"/>
    <w:rsid w:val="00314CC2"/>
    <w:rsid w:val="0031545D"/>
    <w:rsid w:val="00315D92"/>
    <w:rsid w:val="00316F0D"/>
    <w:rsid w:val="003170C9"/>
    <w:rsid w:val="0031716E"/>
    <w:rsid w:val="00317753"/>
    <w:rsid w:val="00317ADF"/>
    <w:rsid w:val="003202A0"/>
    <w:rsid w:val="003204A2"/>
    <w:rsid w:val="0032086E"/>
    <w:rsid w:val="0032088F"/>
    <w:rsid w:val="003213A1"/>
    <w:rsid w:val="00321B8E"/>
    <w:rsid w:val="00322606"/>
    <w:rsid w:val="00322A3D"/>
    <w:rsid w:val="00322A80"/>
    <w:rsid w:val="0032386E"/>
    <w:rsid w:val="00323BA3"/>
    <w:rsid w:val="00323D51"/>
    <w:rsid w:val="0032491B"/>
    <w:rsid w:val="0032636F"/>
    <w:rsid w:val="003263C6"/>
    <w:rsid w:val="00326971"/>
    <w:rsid w:val="00326CA7"/>
    <w:rsid w:val="00327702"/>
    <w:rsid w:val="00327BA9"/>
    <w:rsid w:val="00327BEA"/>
    <w:rsid w:val="00330CAD"/>
    <w:rsid w:val="00330CE7"/>
    <w:rsid w:val="0033106C"/>
    <w:rsid w:val="00331CCD"/>
    <w:rsid w:val="003323FA"/>
    <w:rsid w:val="00332F41"/>
    <w:rsid w:val="00333679"/>
    <w:rsid w:val="00333CBB"/>
    <w:rsid w:val="00334227"/>
    <w:rsid w:val="00334951"/>
    <w:rsid w:val="00334960"/>
    <w:rsid w:val="00334B0E"/>
    <w:rsid w:val="00334F0B"/>
    <w:rsid w:val="003350FC"/>
    <w:rsid w:val="003358A7"/>
    <w:rsid w:val="00335C47"/>
    <w:rsid w:val="00335DFC"/>
    <w:rsid w:val="00336924"/>
    <w:rsid w:val="0033716E"/>
    <w:rsid w:val="00337637"/>
    <w:rsid w:val="00337D14"/>
    <w:rsid w:val="0034077A"/>
    <w:rsid w:val="00341D6E"/>
    <w:rsid w:val="0034205F"/>
    <w:rsid w:val="003423BA"/>
    <w:rsid w:val="0034280B"/>
    <w:rsid w:val="00342C36"/>
    <w:rsid w:val="003430AD"/>
    <w:rsid w:val="003439DF"/>
    <w:rsid w:val="003447CE"/>
    <w:rsid w:val="00344CA5"/>
    <w:rsid w:val="0034506A"/>
    <w:rsid w:val="003455C9"/>
    <w:rsid w:val="00345B11"/>
    <w:rsid w:val="00346013"/>
    <w:rsid w:val="003461C3"/>
    <w:rsid w:val="00346546"/>
    <w:rsid w:val="00347947"/>
    <w:rsid w:val="0035009B"/>
    <w:rsid w:val="00350F62"/>
    <w:rsid w:val="00351071"/>
    <w:rsid w:val="003519E7"/>
    <w:rsid w:val="00351E2B"/>
    <w:rsid w:val="00351F59"/>
    <w:rsid w:val="00352119"/>
    <w:rsid w:val="003521EA"/>
    <w:rsid w:val="0035263A"/>
    <w:rsid w:val="00352862"/>
    <w:rsid w:val="00352DDB"/>
    <w:rsid w:val="0035373C"/>
    <w:rsid w:val="003545FB"/>
    <w:rsid w:val="003548E7"/>
    <w:rsid w:val="003559E9"/>
    <w:rsid w:val="0035606E"/>
    <w:rsid w:val="003568D2"/>
    <w:rsid w:val="00357385"/>
    <w:rsid w:val="00357774"/>
    <w:rsid w:val="00357D5C"/>
    <w:rsid w:val="00360233"/>
    <w:rsid w:val="0036028E"/>
    <w:rsid w:val="0036091C"/>
    <w:rsid w:val="0036102E"/>
    <w:rsid w:val="00361309"/>
    <w:rsid w:val="0036130C"/>
    <w:rsid w:val="00362B20"/>
    <w:rsid w:val="00363373"/>
    <w:rsid w:val="003634B3"/>
    <w:rsid w:val="003643FB"/>
    <w:rsid w:val="0036471A"/>
    <w:rsid w:val="00364748"/>
    <w:rsid w:val="00364DDC"/>
    <w:rsid w:val="00364FB7"/>
    <w:rsid w:val="00365205"/>
    <w:rsid w:val="00365BA7"/>
    <w:rsid w:val="00366ED8"/>
    <w:rsid w:val="00367061"/>
    <w:rsid w:val="0036776D"/>
    <w:rsid w:val="00367C46"/>
    <w:rsid w:val="00367E81"/>
    <w:rsid w:val="00370C00"/>
    <w:rsid w:val="00370D36"/>
    <w:rsid w:val="003713CE"/>
    <w:rsid w:val="00371A18"/>
    <w:rsid w:val="00371C4D"/>
    <w:rsid w:val="00372C2D"/>
    <w:rsid w:val="003731AA"/>
    <w:rsid w:val="00373697"/>
    <w:rsid w:val="003739E6"/>
    <w:rsid w:val="00374E13"/>
    <w:rsid w:val="00375AC2"/>
    <w:rsid w:val="00375C42"/>
    <w:rsid w:val="00375F5A"/>
    <w:rsid w:val="00376166"/>
    <w:rsid w:val="0037617E"/>
    <w:rsid w:val="00376193"/>
    <w:rsid w:val="0037688B"/>
    <w:rsid w:val="00376B2D"/>
    <w:rsid w:val="00376F4B"/>
    <w:rsid w:val="00376FDE"/>
    <w:rsid w:val="00380575"/>
    <w:rsid w:val="00381626"/>
    <w:rsid w:val="00381C38"/>
    <w:rsid w:val="00381D4B"/>
    <w:rsid w:val="003827A9"/>
    <w:rsid w:val="003828BC"/>
    <w:rsid w:val="00382E5F"/>
    <w:rsid w:val="0038423E"/>
    <w:rsid w:val="00384870"/>
    <w:rsid w:val="0038506B"/>
    <w:rsid w:val="003854A9"/>
    <w:rsid w:val="003864A6"/>
    <w:rsid w:val="0038674D"/>
    <w:rsid w:val="003876E9"/>
    <w:rsid w:val="00387CEA"/>
    <w:rsid w:val="0039021B"/>
    <w:rsid w:val="00390B90"/>
    <w:rsid w:val="00391355"/>
    <w:rsid w:val="003915E8"/>
    <w:rsid w:val="0039212F"/>
    <w:rsid w:val="00392D0C"/>
    <w:rsid w:val="003930D0"/>
    <w:rsid w:val="003937C4"/>
    <w:rsid w:val="00393B1B"/>
    <w:rsid w:val="00393BD4"/>
    <w:rsid w:val="003953C7"/>
    <w:rsid w:val="003959A3"/>
    <w:rsid w:val="00396D87"/>
    <w:rsid w:val="00397193"/>
    <w:rsid w:val="00397DC1"/>
    <w:rsid w:val="00397F6D"/>
    <w:rsid w:val="003A0B00"/>
    <w:rsid w:val="003A15A4"/>
    <w:rsid w:val="003A15E1"/>
    <w:rsid w:val="003A1799"/>
    <w:rsid w:val="003A2378"/>
    <w:rsid w:val="003A2BC4"/>
    <w:rsid w:val="003A2FA7"/>
    <w:rsid w:val="003A371E"/>
    <w:rsid w:val="003A3CAD"/>
    <w:rsid w:val="003A5B5A"/>
    <w:rsid w:val="003A5C68"/>
    <w:rsid w:val="003A631F"/>
    <w:rsid w:val="003A6448"/>
    <w:rsid w:val="003A6D12"/>
    <w:rsid w:val="003A7637"/>
    <w:rsid w:val="003B074C"/>
    <w:rsid w:val="003B13BC"/>
    <w:rsid w:val="003B1449"/>
    <w:rsid w:val="003B1869"/>
    <w:rsid w:val="003B1D23"/>
    <w:rsid w:val="003B2E0F"/>
    <w:rsid w:val="003B31FE"/>
    <w:rsid w:val="003B32A3"/>
    <w:rsid w:val="003B3A43"/>
    <w:rsid w:val="003B3BF4"/>
    <w:rsid w:val="003B409E"/>
    <w:rsid w:val="003B43CC"/>
    <w:rsid w:val="003B491D"/>
    <w:rsid w:val="003B509F"/>
    <w:rsid w:val="003B51E1"/>
    <w:rsid w:val="003B5572"/>
    <w:rsid w:val="003B55B1"/>
    <w:rsid w:val="003B621B"/>
    <w:rsid w:val="003B62F7"/>
    <w:rsid w:val="003B6911"/>
    <w:rsid w:val="003B709B"/>
    <w:rsid w:val="003B71CF"/>
    <w:rsid w:val="003B739A"/>
    <w:rsid w:val="003B7A31"/>
    <w:rsid w:val="003B7C4B"/>
    <w:rsid w:val="003B7D3A"/>
    <w:rsid w:val="003C103C"/>
    <w:rsid w:val="003C1726"/>
    <w:rsid w:val="003C1930"/>
    <w:rsid w:val="003C1978"/>
    <w:rsid w:val="003C1FEF"/>
    <w:rsid w:val="003C224D"/>
    <w:rsid w:val="003C23A7"/>
    <w:rsid w:val="003C25A7"/>
    <w:rsid w:val="003C2868"/>
    <w:rsid w:val="003C3102"/>
    <w:rsid w:val="003C3336"/>
    <w:rsid w:val="003C38A7"/>
    <w:rsid w:val="003C396B"/>
    <w:rsid w:val="003C3BDC"/>
    <w:rsid w:val="003C436B"/>
    <w:rsid w:val="003C4F78"/>
    <w:rsid w:val="003C5161"/>
    <w:rsid w:val="003C5685"/>
    <w:rsid w:val="003C5737"/>
    <w:rsid w:val="003C5E36"/>
    <w:rsid w:val="003C6037"/>
    <w:rsid w:val="003C65B0"/>
    <w:rsid w:val="003C6F4F"/>
    <w:rsid w:val="003C707C"/>
    <w:rsid w:val="003C70DD"/>
    <w:rsid w:val="003C770B"/>
    <w:rsid w:val="003D0D12"/>
    <w:rsid w:val="003D15A0"/>
    <w:rsid w:val="003D247B"/>
    <w:rsid w:val="003D2BBF"/>
    <w:rsid w:val="003D32D8"/>
    <w:rsid w:val="003D396E"/>
    <w:rsid w:val="003D4B4B"/>
    <w:rsid w:val="003D5E14"/>
    <w:rsid w:val="003D6070"/>
    <w:rsid w:val="003D61A1"/>
    <w:rsid w:val="003D628F"/>
    <w:rsid w:val="003D6500"/>
    <w:rsid w:val="003D6A23"/>
    <w:rsid w:val="003D6C8A"/>
    <w:rsid w:val="003D6FAE"/>
    <w:rsid w:val="003D70D2"/>
    <w:rsid w:val="003D7789"/>
    <w:rsid w:val="003D7DDF"/>
    <w:rsid w:val="003E0933"/>
    <w:rsid w:val="003E1CBB"/>
    <w:rsid w:val="003E265C"/>
    <w:rsid w:val="003E3C7D"/>
    <w:rsid w:val="003E3D64"/>
    <w:rsid w:val="003E44AC"/>
    <w:rsid w:val="003E52AE"/>
    <w:rsid w:val="003E5B05"/>
    <w:rsid w:val="003E5FA3"/>
    <w:rsid w:val="003E61C0"/>
    <w:rsid w:val="003E64B3"/>
    <w:rsid w:val="003E69CE"/>
    <w:rsid w:val="003E6FB5"/>
    <w:rsid w:val="003F23D6"/>
    <w:rsid w:val="003F28B1"/>
    <w:rsid w:val="003F2E41"/>
    <w:rsid w:val="003F517E"/>
    <w:rsid w:val="003F68EE"/>
    <w:rsid w:val="003F6C17"/>
    <w:rsid w:val="003F7126"/>
    <w:rsid w:val="003F7252"/>
    <w:rsid w:val="003F7DCF"/>
    <w:rsid w:val="00400064"/>
    <w:rsid w:val="004008D1"/>
    <w:rsid w:val="004010D8"/>
    <w:rsid w:val="0040127F"/>
    <w:rsid w:val="00401A0A"/>
    <w:rsid w:val="0040245D"/>
    <w:rsid w:val="00402639"/>
    <w:rsid w:val="00402858"/>
    <w:rsid w:val="004031A5"/>
    <w:rsid w:val="00403234"/>
    <w:rsid w:val="004032E1"/>
    <w:rsid w:val="0040372A"/>
    <w:rsid w:val="00403806"/>
    <w:rsid w:val="00403AF8"/>
    <w:rsid w:val="00403DC6"/>
    <w:rsid w:val="004040DD"/>
    <w:rsid w:val="004061EA"/>
    <w:rsid w:val="00406420"/>
    <w:rsid w:val="004067A1"/>
    <w:rsid w:val="00407676"/>
    <w:rsid w:val="00407F0F"/>
    <w:rsid w:val="004108E5"/>
    <w:rsid w:val="00411053"/>
    <w:rsid w:val="00412267"/>
    <w:rsid w:val="004126F8"/>
    <w:rsid w:val="004131EB"/>
    <w:rsid w:val="004135D5"/>
    <w:rsid w:val="00414534"/>
    <w:rsid w:val="00414921"/>
    <w:rsid w:val="004149E8"/>
    <w:rsid w:val="00414DDB"/>
    <w:rsid w:val="00415778"/>
    <w:rsid w:val="00415E50"/>
    <w:rsid w:val="00415FCD"/>
    <w:rsid w:val="004160E4"/>
    <w:rsid w:val="00416E4C"/>
    <w:rsid w:val="004179C5"/>
    <w:rsid w:val="00417E0B"/>
    <w:rsid w:val="00417E1F"/>
    <w:rsid w:val="00420D14"/>
    <w:rsid w:val="00421708"/>
    <w:rsid w:val="004222C1"/>
    <w:rsid w:val="004229E2"/>
    <w:rsid w:val="00422DEA"/>
    <w:rsid w:val="004240EE"/>
    <w:rsid w:val="0042486F"/>
    <w:rsid w:val="00424FBB"/>
    <w:rsid w:val="00425A3E"/>
    <w:rsid w:val="00425A8C"/>
    <w:rsid w:val="00426776"/>
    <w:rsid w:val="004269D7"/>
    <w:rsid w:val="00426E87"/>
    <w:rsid w:val="00427CCB"/>
    <w:rsid w:val="00430308"/>
    <w:rsid w:val="00431900"/>
    <w:rsid w:val="00433B49"/>
    <w:rsid w:val="0043422C"/>
    <w:rsid w:val="004343AE"/>
    <w:rsid w:val="00434E9C"/>
    <w:rsid w:val="0043575C"/>
    <w:rsid w:val="00435777"/>
    <w:rsid w:val="004366F6"/>
    <w:rsid w:val="00436B13"/>
    <w:rsid w:val="00437EB3"/>
    <w:rsid w:val="004407F0"/>
    <w:rsid w:val="00440F58"/>
    <w:rsid w:val="0044116A"/>
    <w:rsid w:val="0044169C"/>
    <w:rsid w:val="0044213E"/>
    <w:rsid w:val="00442421"/>
    <w:rsid w:val="004434D0"/>
    <w:rsid w:val="00443EA3"/>
    <w:rsid w:val="00444694"/>
    <w:rsid w:val="00444FED"/>
    <w:rsid w:val="00445033"/>
    <w:rsid w:val="004459C7"/>
    <w:rsid w:val="00445AA8"/>
    <w:rsid w:val="00446409"/>
    <w:rsid w:val="0044703C"/>
    <w:rsid w:val="0044745A"/>
    <w:rsid w:val="0045148E"/>
    <w:rsid w:val="004514FD"/>
    <w:rsid w:val="00452AAF"/>
    <w:rsid w:val="0045327C"/>
    <w:rsid w:val="004533C8"/>
    <w:rsid w:val="00453F08"/>
    <w:rsid w:val="00454089"/>
    <w:rsid w:val="00454BB4"/>
    <w:rsid w:val="004557D1"/>
    <w:rsid w:val="00455875"/>
    <w:rsid w:val="00455964"/>
    <w:rsid w:val="00455CCD"/>
    <w:rsid w:val="00456704"/>
    <w:rsid w:val="00456CDA"/>
    <w:rsid w:val="004575FD"/>
    <w:rsid w:val="00457BAA"/>
    <w:rsid w:val="004604F5"/>
    <w:rsid w:val="0046185D"/>
    <w:rsid w:val="00461B27"/>
    <w:rsid w:val="00461DF2"/>
    <w:rsid w:val="00462B70"/>
    <w:rsid w:val="00464591"/>
    <w:rsid w:val="00464B28"/>
    <w:rsid w:val="004654EA"/>
    <w:rsid w:val="0046558A"/>
    <w:rsid w:val="004660FA"/>
    <w:rsid w:val="004666D3"/>
    <w:rsid w:val="00466772"/>
    <w:rsid w:val="004667B4"/>
    <w:rsid w:val="00466B7A"/>
    <w:rsid w:val="004670CC"/>
    <w:rsid w:val="00467EA1"/>
    <w:rsid w:val="004700DF"/>
    <w:rsid w:val="00470162"/>
    <w:rsid w:val="0047043B"/>
    <w:rsid w:val="00470DD4"/>
    <w:rsid w:val="0047106F"/>
    <w:rsid w:val="004713F6"/>
    <w:rsid w:val="004731C8"/>
    <w:rsid w:val="0047347F"/>
    <w:rsid w:val="004738B7"/>
    <w:rsid w:val="00473A42"/>
    <w:rsid w:val="00474121"/>
    <w:rsid w:val="004741FD"/>
    <w:rsid w:val="00474655"/>
    <w:rsid w:val="004756EB"/>
    <w:rsid w:val="0047591F"/>
    <w:rsid w:val="00475C0E"/>
    <w:rsid w:val="00476619"/>
    <w:rsid w:val="00476852"/>
    <w:rsid w:val="00476EF9"/>
    <w:rsid w:val="0048014F"/>
    <w:rsid w:val="00480D6F"/>
    <w:rsid w:val="00480EFF"/>
    <w:rsid w:val="00481171"/>
    <w:rsid w:val="00481293"/>
    <w:rsid w:val="00481649"/>
    <w:rsid w:val="00481880"/>
    <w:rsid w:val="00481C17"/>
    <w:rsid w:val="004831AE"/>
    <w:rsid w:val="004835B5"/>
    <w:rsid w:val="00484F56"/>
    <w:rsid w:val="00485097"/>
    <w:rsid w:val="004851EE"/>
    <w:rsid w:val="00485A1F"/>
    <w:rsid w:val="00485BC5"/>
    <w:rsid w:val="00486475"/>
    <w:rsid w:val="004867FE"/>
    <w:rsid w:val="00487C9D"/>
    <w:rsid w:val="00487F7B"/>
    <w:rsid w:val="00490008"/>
    <w:rsid w:val="004906E1"/>
    <w:rsid w:val="004907A7"/>
    <w:rsid w:val="00490E97"/>
    <w:rsid w:val="00491025"/>
    <w:rsid w:val="004915F2"/>
    <w:rsid w:val="004923C1"/>
    <w:rsid w:val="004924EE"/>
    <w:rsid w:val="0049256E"/>
    <w:rsid w:val="00492827"/>
    <w:rsid w:val="00492B0A"/>
    <w:rsid w:val="00492CF8"/>
    <w:rsid w:val="00492EA6"/>
    <w:rsid w:val="0049372E"/>
    <w:rsid w:val="00493E31"/>
    <w:rsid w:val="00494942"/>
    <w:rsid w:val="00494EE0"/>
    <w:rsid w:val="00495789"/>
    <w:rsid w:val="00495891"/>
    <w:rsid w:val="004959A0"/>
    <w:rsid w:val="00496A4D"/>
    <w:rsid w:val="00496CB4"/>
    <w:rsid w:val="00496D87"/>
    <w:rsid w:val="004977DC"/>
    <w:rsid w:val="004A044B"/>
    <w:rsid w:val="004A06DC"/>
    <w:rsid w:val="004A0ED7"/>
    <w:rsid w:val="004A1685"/>
    <w:rsid w:val="004A19DA"/>
    <w:rsid w:val="004A26C3"/>
    <w:rsid w:val="004A3012"/>
    <w:rsid w:val="004A3521"/>
    <w:rsid w:val="004A3E34"/>
    <w:rsid w:val="004A3E84"/>
    <w:rsid w:val="004A4234"/>
    <w:rsid w:val="004A4696"/>
    <w:rsid w:val="004A472F"/>
    <w:rsid w:val="004A5FE9"/>
    <w:rsid w:val="004A6217"/>
    <w:rsid w:val="004A6A4A"/>
    <w:rsid w:val="004A6B0B"/>
    <w:rsid w:val="004B0EEE"/>
    <w:rsid w:val="004B15B5"/>
    <w:rsid w:val="004B174C"/>
    <w:rsid w:val="004B2186"/>
    <w:rsid w:val="004B2722"/>
    <w:rsid w:val="004B2941"/>
    <w:rsid w:val="004B2E3C"/>
    <w:rsid w:val="004B30DA"/>
    <w:rsid w:val="004B3345"/>
    <w:rsid w:val="004B3815"/>
    <w:rsid w:val="004B3892"/>
    <w:rsid w:val="004B3A40"/>
    <w:rsid w:val="004B3CE7"/>
    <w:rsid w:val="004B4880"/>
    <w:rsid w:val="004B4C90"/>
    <w:rsid w:val="004B4D74"/>
    <w:rsid w:val="004B52FD"/>
    <w:rsid w:val="004B55AD"/>
    <w:rsid w:val="004B69DA"/>
    <w:rsid w:val="004B6B02"/>
    <w:rsid w:val="004B6E7B"/>
    <w:rsid w:val="004B7091"/>
    <w:rsid w:val="004B7590"/>
    <w:rsid w:val="004C0525"/>
    <w:rsid w:val="004C08F7"/>
    <w:rsid w:val="004C0D6A"/>
    <w:rsid w:val="004C16D9"/>
    <w:rsid w:val="004C180D"/>
    <w:rsid w:val="004C197D"/>
    <w:rsid w:val="004C2727"/>
    <w:rsid w:val="004C272D"/>
    <w:rsid w:val="004C2815"/>
    <w:rsid w:val="004C2CD6"/>
    <w:rsid w:val="004C33BC"/>
    <w:rsid w:val="004C4753"/>
    <w:rsid w:val="004C551E"/>
    <w:rsid w:val="004C56A9"/>
    <w:rsid w:val="004C5C64"/>
    <w:rsid w:val="004C67C1"/>
    <w:rsid w:val="004C7068"/>
    <w:rsid w:val="004D08C1"/>
    <w:rsid w:val="004D0E75"/>
    <w:rsid w:val="004D1162"/>
    <w:rsid w:val="004D1192"/>
    <w:rsid w:val="004D1224"/>
    <w:rsid w:val="004D1AD6"/>
    <w:rsid w:val="004D1E7C"/>
    <w:rsid w:val="004D1F05"/>
    <w:rsid w:val="004D2268"/>
    <w:rsid w:val="004D24EA"/>
    <w:rsid w:val="004D2BF1"/>
    <w:rsid w:val="004D32FD"/>
    <w:rsid w:val="004D3939"/>
    <w:rsid w:val="004D3B6C"/>
    <w:rsid w:val="004D40A6"/>
    <w:rsid w:val="004D446F"/>
    <w:rsid w:val="004D4610"/>
    <w:rsid w:val="004D4D6A"/>
    <w:rsid w:val="004D58DA"/>
    <w:rsid w:val="004D5F79"/>
    <w:rsid w:val="004D6514"/>
    <w:rsid w:val="004D6700"/>
    <w:rsid w:val="004D70FB"/>
    <w:rsid w:val="004E04EE"/>
    <w:rsid w:val="004E0526"/>
    <w:rsid w:val="004E0E1E"/>
    <w:rsid w:val="004E10AA"/>
    <w:rsid w:val="004E14B9"/>
    <w:rsid w:val="004E1579"/>
    <w:rsid w:val="004E173A"/>
    <w:rsid w:val="004E2DBF"/>
    <w:rsid w:val="004E3A64"/>
    <w:rsid w:val="004E4475"/>
    <w:rsid w:val="004E4BF0"/>
    <w:rsid w:val="004E520D"/>
    <w:rsid w:val="004E589C"/>
    <w:rsid w:val="004E58E4"/>
    <w:rsid w:val="004E5CE8"/>
    <w:rsid w:val="004E6182"/>
    <w:rsid w:val="004E6250"/>
    <w:rsid w:val="004E6C6B"/>
    <w:rsid w:val="004E6CE0"/>
    <w:rsid w:val="004E710E"/>
    <w:rsid w:val="004E775B"/>
    <w:rsid w:val="004E78A5"/>
    <w:rsid w:val="004E7AB7"/>
    <w:rsid w:val="004E7B4B"/>
    <w:rsid w:val="004E7C6A"/>
    <w:rsid w:val="004E7CFE"/>
    <w:rsid w:val="004F0204"/>
    <w:rsid w:val="004F0651"/>
    <w:rsid w:val="004F1280"/>
    <w:rsid w:val="004F1F84"/>
    <w:rsid w:val="004F262F"/>
    <w:rsid w:val="004F26DC"/>
    <w:rsid w:val="004F27A6"/>
    <w:rsid w:val="004F383E"/>
    <w:rsid w:val="004F39DD"/>
    <w:rsid w:val="004F4361"/>
    <w:rsid w:val="004F4775"/>
    <w:rsid w:val="004F6A1E"/>
    <w:rsid w:val="004F7654"/>
    <w:rsid w:val="004F7747"/>
    <w:rsid w:val="004F7C00"/>
    <w:rsid w:val="004F7EFD"/>
    <w:rsid w:val="00500A09"/>
    <w:rsid w:val="00502582"/>
    <w:rsid w:val="00503607"/>
    <w:rsid w:val="00503AAB"/>
    <w:rsid w:val="00503EE9"/>
    <w:rsid w:val="00503F2D"/>
    <w:rsid w:val="00504BA3"/>
    <w:rsid w:val="00505363"/>
    <w:rsid w:val="0050700F"/>
    <w:rsid w:val="0050724B"/>
    <w:rsid w:val="00507347"/>
    <w:rsid w:val="005073AA"/>
    <w:rsid w:val="00507924"/>
    <w:rsid w:val="005079D6"/>
    <w:rsid w:val="005103B9"/>
    <w:rsid w:val="0051243D"/>
    <w:rsid w:val="00512595"/>
    <w:rsid w:val="0051284A"/>
    <w:rsid w:val="00512ACD"/>
    <w:rsid w:val="00512ED7"/>
    <w:rsid w:val="0051375C"/>
    <w:rsid w:val="00513ABE"/>
    <w:rsid w:val="00513E23"/>
    <w:rsid w:val="005144C8"/>
    <w:rsid w:val="00514F66"/>
    <w:rsid w:val="00515073"/>
    <w:rsid w:val="00515A86"/>
    <w:rsid w:val="005162FA"/>
    <w:rsid w:val="005171AF"/>
    <w:rsid w:val="00517AF5"/>
    <w:rsid w:val="00520326"/>
    <w:rsid w:val="00520A71"/>
    <w:rsid w:val="00520B41"/>
    <w:rsid w:val="00520CFB"/>
    <w:rsid w:val="0052127F"/>
    <w:rsid w:val="00521595"/>
    <w:rsid w:val="00522C7D"/>
    <w:rsid w:val="00522DD4"/>
    <w:rsid w:val="00522F02"/>
    <w:rsid w:val="00523293"/>
    <w:rsid w:val="0052373B"/>
    <w:rsid w:val="00524088"/>
    <w:rsid w:val="00524317"/>
    <w:rsid w:val="00524BB7"/>
    <w:rsid w:val="005255E5"/>
    <w:rsid w:val="005259AE"/>
    <w:rsid w:val="005261F7"/>
    <w:rsid w:val="00526565"/>
    <w:rsid w:val="005266FF"/>
    <w:rsid w:val="005269EF"/>
    <w:rsid w:val="00526C23"/>
    <w:rsid w:val="00527C0E"/>
    <w:rsid w:val="00530F6B"/>
    <w:rsid w:val="00532056"/>
    <w:rsid w:val="0053277B"/>
    <w:rsid w:val="00532BA2"/>
    <w:rsid w:val="00532EC8"/>
    <w:rsid w:val="005341B2"/>
    <w:rsid w:val="00534839"/>
    <w:rsid w:val="00534AD4"/>
    <w:rsid w:val="00534E94"/>
    <w:rsid w:val="005351FB"/>
    <w:rsid w:val="0053563A"/>
    <w:rsid w:val="005358FB"/>
    <w:rsid w:val="005363F2"/>
    <w:rsid w:val="00537541"/>
    <w:rsid w:val="00537760"/>
    <w:rsid w:val="00540411"/>
    <w:rsid w:val="00541C26"/>
    <w:rsid w:val="005429CB"/>
    <w:rsid w:val="00543111"/>
    <w:rsid w:val="005431F6"/>
    <w:rsid w:val="005437F5"/>
    <w:rsid w:val="00543DB4"/>
    <w:rsid w:val="00544371"/>
    <w:rsid w:val="00544A57"/>
    <w:rsid w:val="005463E1"/>
    <w:rsid w:val="0054703D"/>
    <w:rsid w:val="00547388"/>
    <w:rsid w:val="00547833"/>
    <w:rsid w:val="00550819"/>
    <w:rsid w:val="005508D8"/>
    <w:rsid w:val="00550A77"/>
    <w:rsid w:val="00552B36"/>
    <w:rsid w:val="00552E70"/>
    <w:rsid w:val="0055316E"/>
    <w:rsid w:val="005532AB"/>
    <w:rsid w:val="00553818"/>
    <w:rsid w:val="00553F97"/>
    <w:rsid w:val="0055443D"/>
    <w:rsid w:val="00554B15"/>
    <w:rsid w:val="0055530F"/>
    <w:rsid w:val="005555FB"/>
    <w:rsid w:val="0055564B"/>
    <w:rsid w:val="00555744"/>
    <w:rsid w:val="005566EF"/>
    <w:rsid w:val="005568AA"/>
    <w:rsid w:val="00557CAC"/>
    <w:rsid w:val="0056007E"/>
    <w:rsid w:val="0056027E"/>
    <w:rsid w:val="005607CD"/>
    <w:rsid w:val="00560959"/>
    <w:rsid w:val="0056160E"/>
    <w:rsid w:val="00561A1A"/>
    <w:rsid w:val="00562216"/>
    <w:rsid w:val="00562402"/>
    <w:rsid w:val="005626C8"/>
    <w:rsid w:val="00563A0D"/>
    <w:rsid w:val="00564ECD"/>
    <w:rsid w:val="005652B6"/>
    <w:rsid w:val="0056579D"/>
    <w:rsid w:val="005659AB"/>
    <w:rsid w:val="00566627"/>
    <w:rsid w:val="005667AF"/>
    <w:rsid w:val="0056680C"/>
    <w:rsid w:val="00566D31"/>
    <w:rsid w:val="005670C2"/>
    <w:rsid w:val="00567158"/>
    <w:rsid w:val="0056765C"/>
    <w:rsid w:val="00570781"/>
    <w:rsid w:val="00570ACB"/>
    <w:rsid w:val="005714FB"/>
    <w:rsid w:val="0057154D"/>
    <w:rsid w:val="00571A7C"/>
    <w:rsid w:val="00572058"/>
    <w:rsid w:val="005726C0"/>
    <w:rsid w:val="00572A76"/>
    <w:rsid w:val="00572FA3"/>
    <w:rsid w:val="005736BC"/>
    <w:rsid w:val="0057382D"/>
    <w:rsid w:val="005748C8"/>
    <w:rsid w:val="00574972"/>
    <w:rsid w:val="00574A1A"/>
    <w:rsid w:val="00574FFB"/>
    <w:rsid w:val="0057588B"/>
    <w:rsid w:val="005759E3"/>
    <w:rsid w:val="00575D66"/>
    <w:rsid w:val="00575FC7"/>
    <w:rsid w:val="005772AA"/>
    <w:rsid w:val="00577F77"/>
    <w:rsid w:val="005805C1"/>
    <w:rsid w:val="00582246"/>
    <w:rsid w:val="0058269D"/>
    <w:rsid w:val="00582D0F"/>
    <w:rsid w:val="005834C4"/>
    <w:rsid w:val="00584942"/>
    <w:rsid w:val="00585947"/>
    <w:rsid w:val="005865E5"/>
    <w:rsid w:val="00586606"/>
    <w:rsid w:val="005866CC"/>
    <w:rsid w:val="0058680E"/>
    <w:rsid w:val="005878DD"/>
    <w:rsid w:val="00587BF0"/>
    <w:rsid w:val="005909D2"/>
    <w:rsid w:val="00590C62"/>
    <w:rsid w:val="00591318"/>
    <w:rsid w:val="00591E3D"/>
    <w:rsid w:val="00592A04"/>
    <w:rsid w:val="005930D9"/>
    <w:rsid w:val="00593116"/>
    <w:rsid w:val="005939FB"/>
    <w:rsid w:val="00593BE4"/>
    <w:rsid w:val="00593BFB"/>
    <w:rsid w:val="0059437B"/>
    <w:rsid w:val="0059445F"/>
    <w:rsid w:val="005946AB"/>
    <w:rsid w:val="005947AF"/>
    <w:rsid w:val="0059535F"/>
    <w:rsid w:val="005958E3"/>
    <w:rsid w:val="00595B26"/>
    <w:rsid w:val="0059657B"/>
    <w:rsid w:val="00596B8C"/>
    <w:rsid w:val="00597345"/>
    <w:rsid w:val="005A0522"/>
    <w:rsid w:val="005A091D"/>
    <w:rsid w:val="005A0B90"/>
    <w:rsid w:val="005A0E6C"/>
    <w:rsid w:val="005A0F87"/>
    <w:rsid w:val="005A16C9"/>
    <w:rsid w:val="005A1757"/>
    <w:rsid w:val="005A1E94"/>
    <w:rsid w:val="005A257F"/>
    <w:rsid w:val="005A2794"/>
    <w:rsid w:val="005A2C69"/>
    <w:rsid w:val="005A2CA7"/>
    <w:rsid w:val="005A2FF0"/>
    <w:rsid w:val="005A35BE"/>
    <w:rsid w:val="005A3E76"/>
    <w:rsid w:val="005A471D"/>
    <w:rsid w:val="005A4765"/>
    <w:rsid w:val="005A4A4A"/>
    <w:rsid w:val="005A4D8E"/>
    <w:rsid w:val="005A5CEE"/>
    <w:rsid w:val="005A5D50"/>
    <w:rsid w:val="005A743D"/>
    <w:rsid w:val="005A7945"/>
    <w:rsid w:val="005A7AC7"/>
    <w:rsid w:val="005B0FB6"/>
    <w:rsid w:val="005B23A3"/>
    <w:rsid w:val="005B2C3F"/>
    <w:rsid w:val="005B36E3"/>
    <w:rsid w:val="005B3751"/>
    <w:rsid w:val="005B38F2"/>
    <w:rsid w:val="005B3FCE"/>
    <w:rsid w:val="005B452D"/>
    <w:rsid w:val="005B6270"/>
    <w:rsid w:val="005B6457"/>
    <w:rsid w:val="005B6A08"/>
    <w:rsid w:val="005B6C48"/>
    <w:rsid w:val="005B6E2F"/>
    <w:rsid w:val="005B77A2"/>
    <w:rsid w:val="005B7C06"/>
    <w:rsid w:val="005B7F41"/>
    <w:rsid w:val="005C13CA"/>
    <w:rsid w:val="005C18A0"/>
    <w:rsid w:val="005C3491"/>
    <w:rsid w:val="005C36E0"/>
    <w:rsid w:val="005C43F0"/>
    <w:rsid w:val="005C579A"/>
    <w:rsid w:val="005C5EB2"/>
    <w:rsid w:val="005C67DC"/>
    <w:rsid w:val="005C6966"/>
    <w:rsid w:val="005C6B99"/>
    <w:rsid w:val="005C723B"/>
    <w:rsid w:val="005C775D"/>
    <w:rsid w:val="005C7924"/>
    <w:rsid w:val="005C7B6E"/>
    <w:rsid w:val="005D0332"/>
    <w:rsid w:val="005D058B"/>
    <w:rsid w:val="005D05DB"/>
    <w:rsid w:val="005D0A41"/>
    <w:rsid w:val="005D0EDD"/>
    <w:rsid w:val="005D121D"/>
    <w:rsid w:val="005D1616"/>
    <w:rsid w:val="005D1754"/>
    <w:rsid w:val="005D230C"/>
    <w:rsid w:val="005D3570"/>
    <w:rsid w:val="005D3E51"/>
    <w:rsid w:val="005D405C"/>
    <w:rsid w:val="005D513C"/>
    <w:rsid w:val="005D591E"/>
    <w:rsid w:val="005D5BFA"/>
    <w:rsid w:val="005D6672"/>
    <w:rsid w:val="005D686D"/>
    <w:rsid w:val="005D7819"/>
    <w:rsid w:val="005D79BE"/>
    <w:rsid w:val="005E09A7"/>
    <w:rsid w:val="005E0B8D"/>
    <w:rsid w:val="005E1B1D"/>
    <w:rsid w:val="005E209D"/>
    <w:rsid w:val="005E2196"/>
    <w:rsid w:val="005E3E13"/>
    <w:rsid w:val="005E41D4"/>
    <w:rsid w:val="005E4415"/>
    <w:rsid w:val="005E4C63"/>
    <w:rsid w:val="005E5BCB"/>
    <w:rsid w:val="005E64AA"/>
    <w:rsid w:val="005E68DA"/>
    <w:rsid w:val="005E7243"/>
    <w:rsid w:val="005F01EA"/>
    <w:rsid w:val="005F03F6"/>
    <w:rsid w:val="005F0BDF"/>
    <w:rsid w:val="005F1326"/>
    <w:rsid w:val="005F30A2"/>
    <w:rsid w:val="005F31DD"/>
    <w:rsid w:val="005F4619"/>
    <w:rsid w:val="005F49C8"/>
    <w:rsid w:val="005F5FC5"/>
    <w:rsid w:val="005F61FB"/>
    <w:rsid w:val="005F6620"/>
    <w:rsid w:val="00600233"/>
    <w:rsid w:val="00600DC5"/>
    <w:rsid w:val="0060116B"/>
    <w:rsid w:val="00601497"/>
    <w:rsid w:val="00601ABD"/>
    <w:rsid w:val="00603A99"/>
    <w:rsid w:val="0060434E"/>
    <w:rsid w:val="0060478F"/>
    <w:rsid w:val="00605637"/>
    <w:rsid w:val="006056B0"/>
    <w:rsid w:val="00605FBD"/>
    <w:rsid w:val="006060E6"/>
    <w:rsid w:val="00606277"/>
    <w:rsid w:val="0060687D"/>
    <w:rsid w:val="00606E39"/>
    <w:rsid w:val="00607A9E"/>
    <w:rsid w:val="00607ADD"/>
    <w:rsid w:val="00607C67"/>
    <w:rsid w:val="006109EE"/>
    <w:rsid w:val="006116AE"/>
    <w:rsid w:val="00613333"/>
    <w:rsid w:val="0061436D"/>
    <w:rsid w:val="00614C17"/>
    <w:rsid w:val="006167E9"/>
    <w:rsid w:val="00616F75"/>
    <w:rsid w:val="00616F9E"/>
    <w:rsid w:val="0061728B"/>
    <w:rsid w:val="0061731C"/>
    <w:rsid w:val="00617A58"/>
    <w:rsid w:val="00620218"/>
    <w:rsid w:val="00620341"/>
    <w:rsid w:val="00620C63"/>
    <w:rsid w:val="0062137C"/>
    <w:rsid w:val="00622225"/>
    <w:rsid w:val="0062300E"/>
    <w:rsid w:val="00623483"/>
    <w:rsid w:val="00623655"/>
    <w:rsid w:val="00623B53"/>
    <w:rsid w:val="00625BC3"/>
    <w:rsid w:val="00625DA8"/>
    <w:rsid w:val="006271A3"/>
    <w:rsid w:val="0062779A"/>
    <w:rsid w:val="00627B4F"/>
    <w:rsid w:val="00630E67"/>
    <w:rsid w:val="00632057"/>
    <w:rsid w:val="00632131"/>
    <w:rsid w:val="006326DF"/>
    <w:rsid w:val="00632D03"/>
    <w:rsid w:val="00632E0D"/>
    <w:rsid w:val="0063305F"/>
    <w:rsid w:val="006337D8"/>
    <w:rsid w:val="00633F04"/>
    <w:rsid w:val="00634288"/>
    <w:rsid w:val="00634671"/>
    <w:rsid w:val="00634A88"/>
    <w:rsid w:val="00634E85"/>
    <w:rsid w:val="006351DD"/>
    <w:rsid w:val="00635D8D"/>
    <w:rsid w:val="00636222"/>
    <w:rsid w:val="0063638C"/>
    <w:rsid w:val="006379F9"/>
    <w:rsid w:val="00637A3C"/>
    <w:rsid w:val="00637D52"/>
    <w:rsid w:val="0064002B"/>
    <w:rsid w:val="00640AB5"/>
    <w:rsid w:val="00640F65"/>
    <w:rsid w:val="006411C6"/>
    <w:rsid w:val="00641985"/>
    <w:rsid w:val="00642730"/>
    <w:rsid w:val="00642833"/>
    <w:rsid w:val="00642B5B"/>
    <w:rsid w:val="00642C89"/>
    <w:rsid w:val="00642CC7"/>
    <w:rsid w:val="00643D81"/>
    <w:rsid w:val="00645215"/>
    <w:rsid w:val="0064553F"/>
    <w:rsid w:val="00645FFD"/>
    <w:rsid w:val="0064602B"/>
    <w:rsid w:val="00646211"/>
    <w:rsid w:val="00646792"/>
    <w:rsid w:val="006468EE"/>
    <w:rsid w:val="00646C38"/>
    <w:rsid w:val="006470AA"/>
    <w:rsid w:val="0064737A"/>
    <w:rsid w:val="00647481"/>
    <w:rsid w:val="00647814"/>
    <w:rsid w:val="00647D00"/>
    <w:rsid w:val="00647E04"/>
    <w:rsid w:val="006502E5"/>
    <w:rsid w:val="00650F63"/>
    <w:rsid w:val="00651043"/>
    <w:rsid w:val="00651559"/>
    <w:rsid w:val="00651A07"/>
    <w:rsid w:val="00651B1E"/>
    <w:rsid w:val="0065204C"/>
    <w:rsid w:val="006526E8"/>
    <w:rsid w:val="0065316E"/>
    <w:rsid w:val="006538F5"/>
    <w:rsid w:val="00654110"/>
    <w:rsid w:val="00654287"/>
    <w:rsid w:val="00655279"/>
    <w:rsid w:val="006555E3"/>
    <w:rsid w:val="00655874"/>
    <w:rsid w:val="00655A14"/>
    <w:rsid w:val="00655A9A"/>
    <w:rsid w:val="006560A9"/>
    <w:rsid w:val="006566FF"/>
    <w:rsid w:val="00657271"/>
    <w:rsid w:val="00660596"/>
    <w:rsid w:val="00660EB1"/>
    <w:rsid w:val="00661098"/>
    <w:rsid w:val="006613E7"/>
    <w:rsid w:val="006614E1"/>
    <w:rsid w:val="00662661"/>
    <w:rsid w:val="00665195"/>
    <w:rsid w:val="0066575D"/>
    <w:rsid w:val="00665791"/>
    <w:rsid w:val="00665C2E"/>
    <w:rsid w:val="00665E11"/>
    <w:rsid w:val="006662D8"/>
    <w:rsid w:val="00666A23"/>
    <w:rsid w:val="00667B63"/>
    <w:rsid w:val="00670515"/>
    <w:rsid w:val="0067069D"/>
    <w:rsid w:val="00670A76"/>
    <w:rsid w:val="00670B9F"/>
    <w:rsid w:val="00670E1C"/>
    <w:rsid w:val="00672775"/>
    <w:rsid w:val="0067305E"/>
    <w:rsid w:val="006739F7"/>
    <w:rsid w:val="00673DA9"/>
    <w:rsid w:val="00674074"/>
    <w:rsid w:val="00674703"/>
    <w:rsid w:val="0067665D"/>
    <w:rsid w:val="00676836"/>
    <w:rsid w:val="00676F9A"/>
    <w:rsid w:val="006774F3"/>
    <w:rsid w:val="00677558"/>
    <w:rsid w:val="0068019C"/>
    <w:rsid w:val="00681143"/>
    <w:rsid w:val="00681520"/>
    <w:rsid w:val="00682BC2"/>
    <w:rsid w:val="00683C94"/>
    <w:rsid w:val="00684943"/>
    <w:rsid w:val="00685640"/>
    <w:rsid w:val="00685794"/>
    <w:rsid w:val="00685878"/>
    <w:rsid w:val="00685C33"/>
    <w:rsid w:val="00686C30"/>
    <w:rsid w:val="0068702A"/>
    <w:rsid w:val="00687277"/>
    <w:rsid w:val="0068767F"/>
    <w:rsid w:val="006879C3"/>
    <w:rsid w:val="00690D2A"/>
    <w:rsid w:val="00691038"/>
    <w:rsid w:val="0069199C"/>
    <w:rsid w:val="006926FE"/>
    <w:rsid w:val="00693A5E"/>
    <w:rsid w:val="00693F52"/>
    <w:rsid w:val="00694167"/>
    <w:rsid w:val="006946A9"/>
    <w:rsid w:val="00694B51"/>
    <w:rsid w:val="006955CC"/>
    <w:rsid w:val="0069696D"/>
    <w:rsid w:val="00696A9C"/>
    <w:rsid w:val="006974E5"/>
    <w:rsid w:val="00697825"/>
    <w:rsid w:val="006979ED"/>
    <w:rsid w:val="00697AE0"/>
    <w:rsid w:val="006A0765"/>
    <w:rsid w:val="006A07E6"/>
    <w:rsid w:val="006A1538"/>
    <w:rsid w:val="006A22F7"/>
    <w:rsid w:val="006A2525"/>
    <w:rsid w:val="006A277A"/>
    <w:rsid w:val="006A2FF9"/>
    <w:rsid w:val="006A3088"/>
    <w:rsid w:val="006A3135"/>
    <w:rsid w:val="006A383A"/>
    <w:rsid w:val="006A3872"/>
    <w:rsid w:val="006A4170"/>
    <w:rsid w:val="006A45B1"/>
    <w:rsid w:val="006A46D1"/>
    <w:rsid w:val="006A488B"/>
    <w:rsid w:val="006A4E4D"/>
    <w:rsid w:val="006A4F15"/>
    <w:rsid w:val="006A5099"/>
    <w:rsid w:val="006A511B"/>
    <w:rsid w:val="006A52D9"/>
    <w:rsid w:val="006A5339"/>
    <w:rsid w:val="006A55A4"/>
    <w:rsid w:val="006A5AF9"/>
    <w:rsid w:val="006A6133"/>
    <w:rsid w:val="006A6C76"/>
    <w:rsid w:val="006A7151"/>
    <w:rsid w:val="006A746D"/>
    <w:rsid w:val="006A7E4E"/>
    <w:rsid w:val="006A7FEC"/>
    <w:rsid w:val="006B036F"/>
    <w:rsid w:val="006B052A"/>
    <w:rsid w:val="006B064A"/>
    <w:rsid w:val="006B0E9A"/>
    <w:rsid w:val="006B2278"/>
    <w:rsid w:val="006B2605"/>
    <w:rsid w:val="006B3751"/>
    <w:rsid w:val="006B3C87"/>
    <w:rsid w:val="006B4237"/>
    <w:rsid w:val="006B4296"/>
    <w:rsid w:val="006B5051"/>
    <w:rsid w:val="006B5124"/>
    <w:rsid w:val="006B523E"/>
    <w:rsid w:val="006B5571"/>
    <w:rsid w:val="006B6D43"/>
    <w:rsid w:val="006B7358"/>
    <w:rsid w:val="006B772D"/>
    <w:rsid w:val="006B7797"/>
    <w:rsid w:val="006B7A2D"/>
    <w:rsid w:val="006C022B"/>
    <w:rsid w:val="006C0386"/>
    <w:rsid w:val="006C0AEC"/>
    <w:rsid w:val="006C0D0C"/>
    <w:rsid w:val="006C0D5A"/>
    <w:rsid w:val="006C1F5F"/>
    <w:rsid w:val="006C2A39"/>
    <w:rsid w:val="006C387C"/>
    <w:rsid w:val="006C46F2"/>
    <w:rsid w:val="006C5843"/>
    <w:rsid w:val="006C584A"/>
    <w:rsid w:val="006C5CFC"/>
    <w:rsid w:val="006C5D20"/>
    <w:rsid w:val="006C64E5"/>
    <w:rsid w:val="006C673F"/>
    <w:rsid w:val="006C6BB7"/>
    <w:rsid w:val="006C6FE9"/>
    <w:rsid w:val="006C778C"/>
    <w:rsid w:val="006C7E56"/>
    <w:rsid w:val="006D02A4"/>
    <w:rsid w:val="006D1202"/>
    <w:rsid w:val="006D17EA"/>
    <w:rsid w:val="006D1B3E"/>
    <w:rsid w:val="006D3619"/>
    <w:rsid w:val="006D3F79"/>
    <w:rsid w:val="006D4724"/>
    <w:rsid w:val="006D49BD"/>
    <w:rsid w:val="006D52AC"/>
    <w:rsid w:val="006D53B2"/>
    <w:rsid w:val="006D54B3"/>
    <w:rsid w:val="006D5777"/>
    <w:rsid w:val="006D5DCD"/>
    <w:rsid w:val="006D6329"/>
    <w:rsid w:val="006D6725"/>
    <w:rsid w:val="006D68C3"/>
    <w:rsid w:val="006E045B"/>
    <w:rsid w:val="006E0A09"/>
    <w:rsid w:val="006E0F39"/>
    <w:rsid w:val="006E118B"/>
    <w:rsid w:val="006E130B"/>
    <w:rsid w:val="006E19AD"/>
    <w:rsid w:val="006E1ABF"/>
    <w:rsid w:val="006E25AB"/>
    <w:rsid w:val="006E2B03"/>
    <w:rsid w:val="006E2C3E"/>
    <w:rsid w:val="006E3269"/>
    <w:rsid w:val="006E34B6"/>
    <w:rsid w:val="006E36E8"/>
    <w:rsid w:val="006E3AC1"/>
    <w:rsid w:val="006E444E"/>
    <w:rsid w:val="006E58A4"/>
    <w:rsid w:val="006E6256"/>
    <w:rsid w:val="006E69F3"/>
    <w:rsid w:val="006E6A6F"/>
    <w:rsid w:val="006E6C4A"/>
    <w:rsid w:val="006E7344"/>
    <w:rsid w:val="006E74DA"/>
    <w:rsid w:val="006E7B71"/>
    <w:rsid w:val="006E7EE1"/>
    <w:rsid w:val="006F1312"/>
    <w:rsid w:val="006F1776"/>
    <w:rsid w:val="006F1C8B"/>
    <w:rsid w:val="006F1F52"/>
    <w:rsid w:val="006F21D8"/>
    <w:rsid w:val="006F2DB5"/>
    <w:rsid w:val="006F2E92"/>
    <w:rsid w:val="006F35F0"/>
    <w:rsid w:val="006F3CBF"/>
    <w:rsid w:val="006F4802"/>
    <w:rsid w:val="006F5379"/>
    <w:rsid w:val="006F57B8"/>
    <w:rsid w:val="006F5D4D"/>
    <w:rsid w:val="006F5FBB"/>
    <w:rsid w:val="006F623C"/>
    <w:rsid w:val="006F63E4"/>
    <w:rsid w:val="006F70EB"/>
    <w:rsid w:val="006F72B5"/>
    <w:rsid w:val="006F735D"/>
    <w:rsid w:val="006F751C"/>
    <w:rsid w:val="006F7C95"/>
    <w:rsid w:val="006F7E52"/>
    <w:rsid w:val="007001DD"/>
    <w:rsid w:val="00700338"/>
    <w:rsid w:val="00700704"/>
    <w:rsid w:val="007012B4"/>
    <w:rsid w:val="00702000"/>
    <w:rsid w:val="00702519"/>
    <w:rsid w:val="00702DBB"/>
    <w:rsid w:val="007041A0"/>
    <w:rsid w:val="0070425D"/>
    <w:rsid w:val="00704703"/>
    <w:rsid w:val="00704755"/>
    <w:rsid w:val="00706C0F"/>
    <w:rsid w:val="00707F42"/>
    <w:rsid w:val="0071020C"/>
    <w:rsid w:val="00710817"/>
    <w:rsid w:val="00710F42"/>
    <w:rsid w:val="00711353"/>
    <w:rsid w:val="007130B0"/>
    <w:rsid w:val="00713443"/>
    <w:rsid w:val="0071385C"/>
    <w:rsid w:val="00713CCF"/>
    <w:rsid w:val="0071494D"/>
    <w:rsid w:val="00714D0D"/>
    <w:rsid w:val="00714D80"/>
    <w:rsid w:val="00714E5F"/>
    <w:rsid w:val="00715530"/>
    <w:rsid w:val="00715985"/>
    <w:rsid w:val="00715C43"/>
    <w:rsid w:val="00716B26"/>
    <w:rsid w:val="00716CF2"/>
    <w:rsid w:val="00717873"/>
    <w:rsid w:val="00717F5B"/>
    <w:rsid w:val="00720270"/>
    <w:rsid w:val="007210A0"/>
    <w:rsid w:val="007213DB"/>
    <w:rsid w:val="00721B81"/>
    <w:rsid w:val="00722591"/>
    <w:rsid w:val="007237B9"/>
    <w:rsid w:val="00723963"/>
    <w:rsid w:val="00723DC8"/>
    <w:rsid w:val="007249E0"/>
    <w:rsid w:val="00724A1B"/>
    <w:rsid w:val="00726D56"/>
    <w:rsid w:val="0072726A"/>
    <w:rsid w:val="007273A3"/>
    <w:rsid w:val="00727415"/>
    <w:rsid w:val="0072744D"/>
    <w:rsid w:val="00727673"/>
    <w:rsid w:val="00727821"/>
    <w:rsid w:val="0073020C"/>
    <w:rsid w:val="00731B17"/>
    <w:rsid w:val="00731B43"/>
    <w:rsid w:val="00731C7C"/>
    <w:rsid w:val="0073209E"/>
    <w:rsid w:val="0073211C"/>
    <w:rsid w:val="00732507"/>
    <w:rsid w:val="007326D7"/>
    <w:rsid w:val="0073275A"/>
    <w:rsid w:val="00732F80"/>
    <w:rsid w:val="00733369"/>
    <w:rsid w:val="007349B8"/>
    <w:rsid w:val="0073546A"/>
    <w:rsid w:val="00735E50"/>
    <w:rsid w:val="00735FB3"/>
    <w:rsid w:val="00736109"/>
    <w:rsid w:val="00736C5D"/>
    <w:rsid w:val="007371FC"/>
    <w:rsid w:val="00737475"/>
    <w:rsid w:val="00737843"/>
    <w:rsid w:val="00737AD9"/>
    <w:rsid w:val="00737E4C"/>
    <w:rsid w:val="00737FE2"/>
    <w:rsid w:val="00740038"/>
    <w:rsid w:val="007407E0"/>
    <w:rsid w:val="00740AFF"/>
    <w:rsid w:val="00740CB5"/>
    <w:rsid w:val="007416B7"/>
    <w:rsid w:val="007417F0"/>
    <w:rsid w:val="00741C4A"/>
    <w:rsid w:val="007429CF"/>
    <w:rsid w:val="00742BD8"/>
    <w:rsid w:val="00742F48"/>
    <w:rsid w:val="00743742"/>
    <w:rsid w:val="00743D60"/>
    <w:rsid w:val="00743F9E"/>
    <w:rsid w:val="00744732"/>
    <w:rsid w:val="0074529F"/>
    <w:rsid w:val="0074546A"/>
    <w:rsid w:val="00745BA5"/>
    <w:rsid w:val="00745D47"/>
    <w:rsid w:val="00745D7C"/>
    <w:rsid w:val="007468E1"/>
    <w:rsid w:val="007476AD"/>
    <w:rsid w:val="007502DA"/>
    <w:rsid w:val="00750D67"/>
    <w:rsid w:val="00750F0E"/>
    <w:rsid w:val="00751210"/>
    <w:rsid w:val="007518C6"/>
    <w:rsid w:val="00752C3A"/>
    <w:rsid w:val="007532DA"/>
    <w:rsid w:val="007541BC"/>
    <w:rsid w:val="00754626"/>
    <w:rsid w:val="007549AC"/>
    <w:rsid w:val="00756878"/>
    <w:rsid w:val="00756B9A"/>
    <w:rsid w:val="00756BBA"/>
    <w:rsid w:val="007571CB"/>
    <w:rsid w:val="007572AD"/>
    <w:rsid w:val="00760DC9"/>
    <w:rsid w:val="00761A84"/>
    <w:rsid w:val="00761C1A"/>
    <w:rsid w:val="00761E8C"/>
    <w:rsid w:val="00762389"/>
    <w:rsid w:val="007626D5"/>
    <w:rsid w:val="007629C9"/>
    <w:rsid w:val="00762EC2"/>
    <w:rsid w:val="007633C1"/>
    <w:rsid w:val="00763A0C"/>
    <w:rsid w:val="00763AA8"/>
    <w:rsid w:val="00764978"/>
    <w:rsid w:val="00764B3E"/>
    <w:rsid w:val="00764F8F"/>
    <w:rsid w:val="007650D7"/>
    <w:rsid w:val="00765134"/>
    <w:rsid w:val="00765322"/>
    <w:rsid w:val="00765550"/>
    <w:rsid w:val="00765AC2"/>
    <w:rsid w:val="00765C15"/>
    <w:rsid w:val="00766009"/>
    <w:rsid w:val="0076624A"/>
    <w:rsid w:val="00766307"/>
    <w:rsid w:val="007664AD"/>
    <w:rsid w:val="00766C19"/>
    <w:rsid w:val="007703F7"/>
    <w:rsid w:val="0077059A"/>
    <w:rsid w:val="00770A14"/>
    <w:rsid w:val="00771B9A"/>
    <w:rsid w:val="007729F5"/>
    <w:rsid w:val="00772B39"/>
    <w:rsid w:val="00772C86"/>
    <w:rsid w:val="00773057"/>
    <w:rsid w:val="00773ABF"/>
    <w:rsid w:val="0077563E"/>
    <w:rsid w:val="00775C60"/>
    <w:rsid w:val="0077749D"/>
    <w:rsid w:val="007774BB"/>
    <w:rsid w:val="00777D35"/>
    <w:rsid w:val="00777F5D"/>
    <w:rsid w:val="0078002B"/>
    <w:rsid w:val="0078071F"/>
    <w:rsid w:val="00780DDC"/>
    <w:rsid w:val="00781C4A"/>
    <w:rsid w:val="00781DFE"/>
    <w:rsid w:val="00781F9D"/>
    <w:rsid w:val="007824D1"/>
    <w:rsid w:val="00782978"/>
    <w:rsid w:val="00783153"/>
    <w:rsid w:val="007839D0"/>
    <w:rsid w:val="007849BD"/>
    <w:rsid w:val="00784CA4"/>
    <w:rsid w:val="00784CBD"/>
    <w:rsid w:val="00785608"/>
    <w:rsid w:val="007867C7"/>
    <w:rsid w:val="00787FC9"/>
    <w:rsid w:val="00790FE4"/>
    <w:rsid w:val="00792803"/>
    <w:rsid w:val="00792D72"/>
    <w:rsid w:val="0079332F"/>
    <w:rsid w:val="00793669"/>
    <w:rsid w:val="007936A0"/>
    <w:rsid w:val="0079391E"/>
    <w:rsid w:val="00795BF3"/>
    <w:rsid w:val="00795D93"/>
    <w:rsid w:val="00795F29"/>
    <w:rsid w:val="00796B78"/>
    <w:rsid w:val="00797C23"/>
    <w:rsid w:val="00797C9F"/>
    <w:rsid w:val="007A08C5"/>
    <w:rsid w:val="007A0A16"/>
    <w:rsid w:val="007A0AFE"/>
    <w:rsid w:val="007A185D"/>
    <w:rsid w:val="007A1C3D"/>
    <w:rsid w:val="007A21DF"/>
    <w:rsid w:val="007A2B14"/>
    <w:rsid w:val="007A2C59"/>
    <w:rsid w:val="007A2E8D"/>
    <w:rsid w:val="007A2E9F"/>
    <w:rsid w:val="007A2F11"/>
    <w:rsid w:val="007A35A8"/>
    <w:rsid w:val="007A39EA"/>
    <w:rsid w:val="007A3C0F"/>
    <w:rsid w:val="007A3DA1"/>
    <w:rsid w:val="007A4053"/>
    <w:rsid w:val="007A4173"/>
    <w:rsid w:val="007A4396"/>
    <w:rsid w:val="007A46BC"/>
    <w:rsid w:val="007A5B9C"/>
    <w:rsid w:val="007A64D1"/>
    <w:rsid w:val="007A651A"/>
    <w:rsid w:val="007A7FC2"/>
    <w:rsid w:val="007B003A"/>
    <w:rsid w:val="007B1507"/>
    <w:rsid w:val="007B169D"/>
    <w:rsid w:val="007B2457"/>
    <w:rsid w:val="007B26C9"/>
    <w:rsid w:val="007B2C29"/>
    <w:rsid w:val="007B2F68"/>
    <w:rsid w:val="007B32B4"/>
    <w:rsid w:val="007B32D3"/>
    <w:rsid w:val="007B3957"/>
    <w:rsid w:val="007B4AFD"/>
    <w:rsid w:val="007B5875"/>
    <w:rsid w:val="007B62AB"/>
    <w:rsid w:val="007B648B"/>
    <w:rsid w:val="007B6799"/>
    <w:rsid w:val="007B6A78"/>
    <w:rsid w:val="007B6E5F"/>
    <w:rsid w:val="007B7384"/>
    <w:rsid w:val="007B7BD3"/>
    <w:rsid w:val="007B7D8D"/>
    <w:rsid w:val="007C00CB"/>
    <w:rsid w:val="007C0124"/>
    <w:rsid w:val="007C01CE"/>
    <w:rsid w:val="007C09D4"/>
    <w:rsid w:val="007C173C"/>
    <w:rsid w:val="007C1F79"/>
    <w:rsid w:val="007C2779"/>
    <w:rsid w:val="007C3C4B"/>
    <w:rsid w:val="007C42CE"/>
    <w:rsid w:val="007C44D3"/>
    <w:rsid w:val="007C49F4"/>
    <w:rsid w:val="007C4E6A"/>
    <w:rsid w:val="007C5010"/>
    <w:rsid w:val="007C5346"/>
    <w:rsid w:val="007C565D"/>
    <w:rsid w:val="007C5DE1"/>
    <w:rsid w:val="007C6169"/>
    <w:rsid w:val="007C62F2"/>
    <w:rsid w:val="007C63B4"/>
    <w:rsid w:val="007C6D65"/>
    <w:rsid w:val="007C6F00"/>
    <w:rsid w:val="007C76C8"/>
    <w:rsid w:val="007C7823"/>
    <w:rsid w:val="007C7D06"/>
    <w:rsid w:val="007C7FB2"/>
    <w:rsid w:val="007D004A"/>
    <w:rsid w:val="007D042D"/>
    <w:rsid w:val="007D1269"/>
    <w:rsid w:val="007D2A96"/>
    <w:rsid w:val="007D3145"/>
    <w:rsid w:val="007D33F7"/>
    <w:rsid w:val="007D34E4"/>
    <w:rsid w:val="007D395B"/>
    <w:rsid w:val="007D3D6A"/>
    <w:rsid w:val="007D424D"/>
    <w:rsid w:val="007D47FA"/>
    <w:rsid w:val="007D528D"/>
    <w:rsid w:val="007D5FC0"/>
    <w:rsid w:val="007D63F7"/>
    <w:rsid w:val="007D6581"/>
    <w:rsid w:val="007D660F"/>
    <w:rsid w:val="007D6F50"/>
    <w:rsid w:val="007D7156"/>
    <w:rsid w:val="007D7696"/>
    <w:rsid w:val="007D7C91"/>
    <w:rsid w:val="007E001F"/>
    <w:rsid w:val="007E099B"/>
    <w:rsid w:val="007E2928"/>
    <w:rsid w:val="007E2D4C"/>
    <w:rsid w:val="007E2E79"/>
    <w:rsid w:val="007E390F"/>
    <w:rsid w:val="007E4A89"/>
    <w:rsid w:val="007E4D62"/>
    <w:rsid w:val="007E55B4"/>
    <w:rsid w:val="007E5659"/>
    <w:rsid w:val="007E56A8"/>
    <w:rsid w:val="007E56CB"/>
    <w:rsid w:val="007E6072"/>
    <w:rsid w:val="007E60B2"/>
    <w:rsid w:val="007E6388"/>
    <w:rsid w:val="007E7361"/>
    <w:rsid w:val="007F01FC"/>
    <w:rsid w:val="007F07CB"/>
    <w:rsid w:val="007F1102"/>
    <w:rsid w:val="007F1E07"/>
    <w:rsid w:val="007F1F8C"/>
    <w:rsid w:val="007F346C"/>
    <w:rsid w:val="007F37E7"/>
    <w:rsid w:val="007F3D56"/>
    <w:rsid w:val="007F46BE"/>
    <w:rsid w:val="007F4D8C"/>
    <w:rsid w:val="007F501D"/>
    <w:rsid w:val="007F5089"/>
    <w:rsid w:val="007F5092"/>
    <w:rsid w:val="007F510F"/>
    <w:rsid w:val="007F5225"/>
    <w:rsid w:val="007F5450"/>
    <w:rsid w:val="007F5EC8"/>
    <w:rsid w:val="007F6531"/>
    <w:rsid w:val="007F719C"/>
    <w:rsid w:val="007F722D"/>
    <w:rsid w:val="00800807"/>
    <w:rsid w:val="00800882"/>
    <w:rsid w:val="00801057"/>
    <w:rsid w:val="00801D20"/>
    <w:rsid w:val="00801F10"/>
    <w:rsid w:val="00802491"/>
    <w:rsid w:val="00802BF4"/>
    <w:rsid w:val="00803802"/>
    <w:rsid w:val="00803F69"/>
    <w:rsid w:val="00803F72"/>
    <w:rsid w:val="00803FB5"/>
    <w:rsid w:val="00804487"/>
    <w:rsid w:val="00804589"/>
    <w:rsid w:val="00805241"/>
    <w:rsid w:val="00805415"/>
    <w:rsid w:val="00805BCC"/>
    <w:rsid w:val="00805C1F"/>
    <w:rsid w:val="00806142"/>
    <w:rsid w:val="008063D0"/>
    <w:rsid w:val="008068EE"/>
    <w:rsid w:val="00806E8F"/>
    <w:rsid w:val="00810600"/>
    <w:rsid w:val="00810788"/>
    <w:rsid w:val="00810F80"/>
    <w:rsid w:val="00811773"/>
    <w:rsid w:val="00811787"/>
    <w:rsid w:val="00811BC7"/>
    <w:rsid w:val="00812E49"/>
    <w:rsid w:val="00812FCC"/>
    <w:rsid w:val="00813F4B"/>
    <w:rsid w:val="00815693"/>
    <w:rsid w:val="00815A2C"/>
    <w:rsid w:val="00815B1F"/>
    <w:rsid w:val="008166C3"/>
    <w:rsid w:val="008168E7"/>
    <w:rsid w:val="0081762D"/>
    <w:rsid w:val="00817CB1"/>
    <w:rsid w:val="00817F7D"/>
    <w:rsid w:val="00820438"/>
    <w:rsid w:val="00820623"/>
    <w:rsid w:val="00820F19"/>
    <w:rsid w:val="008210DB"/>
    <w:rsid w:val="00821208"/>
    <w:rsid w:val="008212BF"/>
    <w:rsid w:val="00821873"/>
    <w:rsid w:val="00821BE4"/>
    <w:rsid w:val="008222EE"/>
    <w:rsid w:val="00822823"/>
    <w:rsid w:val="00823827"/>
    <w:rsid w:val="00823B52"/>
    <w:rsid w:val="00824861"/>
    <w:rsid w:val="00824BBB"/>
    <w:rsid w:val="008253D9"/>
    <w:rsid w:val="00825420"/>
    <w:rsid w:val="00826C37"/>
    <w:rsid w:val="008279CF"/>
    <w:rsid w:val="008308F6"/>
    <w:rsid w:val="00830AD2"/>
    <w:rsid w:val="008317AF"/>
    <w:rsid w:val="008317E4"/>
    <w:rsid w:val="00831B2B"/>
    <w:rsid w:val="00831CF7"/>
    <w:rsid w:val="00831EF3"/>
    <w:rsid w:val="0083210F"/>
    <w:rsid w:val="00832BEA"/>
    <w:rsid w:val="00832F7A"/>
    <w:rsid w:val="00833450"/>
    <w:rsid w:val="00833AAB"/>
    <w:rsid w:val="00833D07"/>
    <w:rsid w:val="00833F21"/>
    <w:rsid w:val="00834657"/>
    <w:rsid w:val="0083465B"/>
    <w:rsid w:val="00834E67"/>
    <w:rsid w:val="00835744"/>
    <w:rsid w:val="0083590B"/>
    <w:rsid w:val="00835A11"/>
    <w:rsid w:val="00836082"/>
    <w:rsid w:val="008362E5"/>
    <w:rsid w:val="0083680C"/>
    <w:rsid w:val="00836BB3"/>
    <w:rsid w:val="00836C7D"/>
    <w:rsid w:val="00840138"/>
    <w:rsid w:val="008405A6"/>
    <w:rsid w:val="0084077D"/>
    <w:rsid w:val="008407BA"/>
    <w:rsid w:val="008408A9"/>
    <w:rsid w:val="00840D66"/>
    <w:rsid w:val="0084179B"/>
    <w:rsid w:val="00841A5A"/>
    <w:rsid w:val="00841FF1"/>
    <w:rsid w:val="0084296A"/>
    <w:rsid w:val="0084396D"/>
    <w:rsid w:val="008439A9"/>
    <w:rsid w:val="00844A1C"/>
    <w:rsid w:val="00844CA2"/>
    <w:rsid w:val="008451FD"/>
    <w:rsid w:val="008457B7"/>
    <w:rsid w:val="00845D64"/>
    <w:rsid w:val="00846CB3"/>
    <w:rsid w:val="00846D99"/>
    <w:rsid w:val="00846DE2"/>
    <w:rsid w:val="00847966"/>
    <w:rsid w:val="00850800"/>
    <w:rsid w:val="00850C21"/>
    <w:rsid w:val="00851A3D"/>
    <w:rsid w:val="00851B3B"/>
    <w:rsid w:val="00851BBA"/>
    <w:rsid w:val="0085209F"/>
    <w:rsid w:val="00852760"/>
    <w:rsid w:val="0085385B"/>
    <w:rsid w:val="00853D3F"/>
    <w:rsid w:val="00853FD5"/>
    <w:rsid w:val="00854068"/>
    <w:rsid w:val="008553B2"/>
    <w:rsid w:val="00855524"/>
    <w:rsid w:val="00855DD2"/>
    <w:rsid w:val="00855DD5"/>
    <w:rsid w:val="00855FBB"/>
    <w:rsid w:val="00856368"/>
    <w:rsid w:val="0085694C"/>
    <w:rsid w:val="008569BC"/>
    <w:rsid w:val="00856B9D"/>
    <w:rsid w:val="008575C9"/>
    <w:rsid w:val="00857709"/>
    <w:rsid w:val="0086053E"/>
    <w:rsid w:val="008609A8"/>
    <w:rsid w:val="008612AF"/>
    <w:rsid w:val="00861C88"/>
    <w:rsid w:val="008624D1"/>
    <w:rsid w:val="00862E7C"/>
    <w:rsid w:val="008630AD"/>
    <w:rsid w:val="008632F0"/>
    <w:rsid w:val="008632F2"/>
    <w:rsid w:val="00863428"/>
    <w:rsid w:val="00863453"/>
    <w:rsid w:val="008635AE"/>
    <w:rsid w:val="00863CCA"/>
    <w:rsid w:val="0086422A"/>
    <w:rsid w:val="00864255"/>
    <w:rsid w:val="008645E6"/>
    <w:rsid w:val="00864629"/>
    <w:rsid w:val="008650DA"/>
    <w:rsid w:val="00865B08"/>
    <w:rsid w:val="008662EB"/>
    <w:rsid w:val="0086677F"/>
    <w:rsid w:val="008679F0"/>
    <w:rsid w:val="00870AE1"/>
    <w:rsid w:val="00870E5C"/>
    <w:rsid w:val="00871823"/>
    <w:rsid w:val="00871C70"/>
    <w:rsid w:val="00871DF3"/>
    <w:rsid w:val="0087218E"/>
    <w:rsid w:val="00872760"/>
    <w:rsid w:val="008731D8"/>
    <w:rsid w:val="008731EA"/>
    <w:rsid w:val="00873310"/>
    <w:rsid w:val="008733CC"/>
    <w:rsid w:val="008735A6"/>
    <w:rsid w:val="00876729"/>
    <w:rsid w:val="00876FED"/>
    <w:rsid w:val="008772BE"/>
    <w:rsid w:val="00877741"/>
    <w:rsid w:val="008777AD"/>
    <w:rsid w:val="008778BA"/>
    <w:rsid w:val="00877C4B"/>
    <w:rsid w:val="00880367"/>
    <w:rsid w:val="00880607"/>
    <w:rsid w:val="00880621"/>
    <w:rsid w:val="00880767"/>
    <w:rsid w:val="00880A62"/>
    <w:rsid w:val="00880B70"/>
    <w:rsid w:val="00880F99"/>
    <w:rsid w:val="008822AA"/>
    <w:rsid w:val="008837A3"/>
    <w:rsid w:val="00884EDD"/>
    <w:rsid w:val="00884FF2"/>
    <w:rsid w:val="008852EB"/>
    <w:rsid w:val="00885580"/>
    <w:rsid w:val="008859B7"/>
    <w:rsid w:val="0088608D"/>
    <w:rsid w:val="0088613B"/>
    <w:rsid w:val="00886384"/>
    <w:rsid w:val="0088641E"/>
    <w:rsid w:val="00886F8C"/>
    <w:rsid w:val="00887DBF"/>
    <w:rsid w:val="0089386B"/>
    <w:rsid w:val="00893FE7"/>
    <w:rsid w:val="008947E4"/>
    <w:rsid w:val="008950F3"/>
    <w:rsid w:val="00895619"/>
    <w:rsid w:val="0089578E"/>
    <w:rsid w:val="00896BC7"/>
    <w:rsid w:val="008A0D2C"/>
    <w:rsid w:val="008A17B4"/>
    <w:rsid w:val="008A1E44"/>
    <w:rsid w:val="008A28FF"/>
    <w:rsid w:val="008A33AA"/>
    <w:rsid w:val="008A34DC"/>
    <w:rsid w:val="008A3835"/>
    <w:rsid w:val="008A499F"/>
    <w:rsid w:val="008A52E3"/>
    <w:rsid w:val="008A546C"/>
    <w:rsid w:val="008A54FE"/>
    <w:rsid w:val="008A5EF2"/>
    <w:rsid w:val="008A6036"/>
    <w:rsid w:val="008A6F74"/>
    <w:rsid w:val="008A7DA2"/>
    <w:rsid w:val="008B069E"/>
    <w:rsid w:val="008B12A4"/>
    <w:rsid w:val="008B1350"/>
    <w:rsid w:val="008B18FC"/>
    <w:rsid w:val="008B2868"/>
    <w:rsid w:val="008B3B9E"/>
    <w:rsid w:val="008B3E84"/>
    <w:rsid w:val="008B5054"/>
    <w:rsid w:val="008B5AC8"/>
    <w:rsid w:val="008B5AE9"/>
    <w:rsid w:val="008B6240"/>
    <w:rsid w:val="008B6AEB"/>
    <w:rsid w:val="008B6D33"/>
    <w:rsid w:val="008B7265"/>
    <w:rsid w:val="008B79FB"/>
    <w:rsid w:val="008C0BB3"/>
    <w:rsid w:val="008C14D6"/>
    <w:rsid w:val="008C1DC2"/>
    <w:rsid w:val="008C225D"/>
    <w:rsid w:val="008C2C28"/>
    <w:rsid w:val="008C2D23"/>
    <w:rsid w:val="008C2FC1"/>
    <w:rsid w:val="008C380B"/>
    <w:rsid w:val="008C3B92"/>
    <w:rsid w:val="008C439C"/>
    <w:rsid w:val="008C5355"/>
    <w:rsid w:val="008C5A45"/>
    <w:rsid w:val="008C5ADD"/>
    <w:rsid w:val="008C6DE5"/>
    <w:rsid w:val="008C7431"/>
    <w:rsid w:val="008C76C4"/>
    <w:rsid w:val="008C7840"/>
    <w:rsid w:val="008C7CB3"/>
    <w:rsid w:val="008D07F6"/>
    <w:rsid w:val="008D188E"/>
    <w:rsid w:val="008D1C3A"/>
    <w:rsid w:val="008D2D83"/>
    <w:rsid w:val="008D38E0"/>
    <w:rsid w:val="008D4F13"/>
    <w:rsid w:val="008D514D"/>
    <w:rsid w:val="008D5981"/>
    <w:rsid w:val="008D6275"/>
    <w:rsid w:val="008D63C9"/>
    <w:rsid w:val="008D6BD4"/>
    <w:rsid w:val="008D7117"/>
    <w:rsid w:val="008D72D9"/>
    <w:rsid w:val="008D7383"/>
    <w:rsid w:val="008D75D5"/>
    <w:rsid w:val="008D75DC"/>
    <w:rsid w:val="008D7924"/>
    <w:rsid w:val="008E05CC"/>
    <w:rsid w:val="008E07D2"/>
    <w:rsid w:val="008E0EB5"/>
    <w:rsid w:val="008E1CA9"/>
    <w:rsid w:val="008E2751"/>
    <w:rsid w:val="008E3A20"/>
    <w:rsid w:val="008E4208"/>
    <w:rsid w:val="008E5289"/>
    <w:rsid w:val="008E5BFA"/>
    <w:rsid w:val="008E5C62"/>
    <w:rsid w:val="008E60CE"/>
    <w:rsid w:val="008E659F"/>
    <w:rsid w:val="008E6DEB"/>
    <w:rsid w:val="008E6FE2"/>
    <w:rsid w:val="008E71AD"/>
    <w:rsid w:val="008E783E"/>
    <w:rsid w:val="008E79A2"/>
    <w:rsid w:val="008F04B9"/>
    <w:rsid w:val="008F1017"/>
    <w:rsid w:val="008F163E"/>
    <w:rsid w:val="008F1D26"/>
    <w:rsid w:val="008F3F04"/>
    <w:rsid w:val="008F4176"/>
    <w:rsid w:val="008F464D"/>
    <w:rsid w:val="008F5015"/>
    <w:rsid w:val="008F6E12"/>
    <w:rsid w:val="008F6E89"/>
    <w:rsid w:val="008F7F74"/>
    <w:rsid w:val="009008B1"/>
    <w:rsid w:val="00900EA4"/>
    <w:rsid w:val="009028C1"/>
    <w:rsid w:val="00903D67"/>
    <w:rsid w:val="00903D85"/>
    <w:rsid w:val="00903F2A"/>
    <w:rsid w:val="00904319"/>
    <w:rsid w:val="00906221"/>
    <w:rsid w:val="00906793"/>
    <w:rsid w:val="00906922"/>
    <w:rsid w:val="00907043"/>
    <w:rsid w:val="0090760B"/>
    <w:rsid w:val="00907962"/>
    <w:rsid w:val="009106BC"/>
    <w:rsid w:val="00911B87"/>
    <w:rsid w:val="009123C3"/>
    <w:rsid w:val="00912445"/>
    <w:rsid w:val="009125F6"/>
    <w:rsid w:val="00912AE3"/>
    <w:rsid w:val="009137CB"/>
    <w:rsid w:val="00913C69"/>
    <w:rsid w:val="009147D6"/>
    <w:rsid w:val="00915159"/>
    <w:rsid w:val="0091545D"/>
    <w:rsid w:val="00915470"/>
    <w:rsid w:val="009158E3"/>
    <w:rsid w:val="0091788D"/>
    <w:rsid w:val="00917CF2"/>
    <w:rsid w:val="00920748"/>
    <w:rsid w:val="009216C1"/>
    <w:rsid w:val="00923485"/>
    <w:rsid w:val="00923B75"/>
    <w:rsid w:val="00923F8C"/>
    <w:rsid w:val="00924911"/>
    <w:rsid w:val="00925DE4"/>
    <w:rsid w:val="009267CC"/>
    <w:rsid w:val="00926A36"/>
    <w:rsid w:val="00926A7D"/>
    <w:rsid w:val="009277EA"/>
    <w:rsid w:val="009301EF"/>
    <w:rsid w:val="009307A7"/>
    <w:rsid w:val="00932784"/>
    <w:rsid w:val="00932BCC"/>
    <w:rsid w:val="00933059"/>
    <w:rsid w:val="009338D2"/>
    <w:rsid w:val="00934A55"/>
    <w:rsid w:val="00934A74"/>
    <w:rsid w:val="00935B0E"/>
    <w:rsid w:val="0093668E"/>
    <w:rsid w:val="009366E7"/>
    <w:rsid w:val="00936D8A"/>
    <w:rsid w:val="00937334"/>
    <w:rsid w:val="0093774B"/>
    <w:rsid w:val="00937954"/>
    <w:rsid w:val="00940192"/>
    <w:rsid w:val="009407D6"/>
    <w:rsid w:val="00940A6A"/>
    <w:rsid w:val="0094179E"/>
    <w:rsid w:val="00941CEC"/>
    <w:rsid w:val="00942057"/>
    <w:rsid w:val="00942182"/>
    <w:rsid w:val="00942DEE"/>
    <w:rsid w:val="00943E07"/>
    <w:rsid w:val="009441F9"/>
    <w:rsid w:val="00944402"/>
    <w:rsid w:val="00944B9C"/>
    <w:rsid w:val="00944C87"/>
    <w:rsid w:val="00944C9D"/>
    <w:rsid w:val="00945D90"/>
    <w:rsid w:val="0094647A"/>
    <w:rsid w:val="00947472"/>
    <w:rsid w:val="00947F4A"/>
    <w:rsid w:val="00947F5C"/>
    <w:rsid w:val="00950C53"/>
    <w:rsid w:val="00950DB5"/>
    <w:rsid w:val="00950E6E"/>
    <w:rsid w:val="00951013"/>
    <w:rsid w:val="00951511"/>
    <w:rsid w:val="00951A4A"/>
    <w:rsid w:val="00951B14"/>
    <w:rsid w:val="009520FC"/>
    <w:rsid w:val="0095257B"/>
    <w:rsid w:val="0095335B"/>
    <w:rsid w:val="00953C30"/>
    <w:rsid w:val="009544A5"/>
    <w:rsid w:val="00955182"/>
    <w:rsid w:val="00955C77"/>
    <w:rsid w:val="00956D7D"/>
    <w:rsid w:val="00957779"/>
    <w:rsid w:val="00960F61"/>
    <w:rsid w:val="00961BF3"/>
    <w:rsid w:val="0096219A"/>
    <w:rsid w:val="00962361"/>
    <w:rsid w:val="009624C0"/>
    <w:rsid w:val="00962E07"/>
    <w:rsid w:val="009639AD"/>
    <w:rsid w:val="00963FAF"/>
    <w:rsid w:val="0096463A"/>
    <w:rsid w:val="0096471F"/>
    <w:rsid w:val="009647FF"/>
    <w:rsid w:val="009650F2"/>
    <w:rsid w:val="00965440"/>
    <w:rsid w:val="00965653"/>
    <w:rsid w:val="00965CED"/>
    <w:rsid w:val="0096715B"/>
    <w:rsid w:val="00967E48"/>
    <w:rsid w:val="00967E64"/>
    <w:rsid w:val="009705AB"/>
    <w:rsid w:val="00970CAB"/>
    <w:rsid w:val="00971117"/>
    <w:rsid w:val="00972323"/>
    <w:rsid w:val="00972717"/>
    <w:rsid w:val="009738AF"/>
    <w:rsid w:val="009738ED"/>
    <w:rsid w:val="00973D12"/>
    <w:rsid w:val="00973E97"/>
    <w:rsid w:val="009745A5"/>
    <w:rsid w:val="00974ED5"/>
    <w:rsid w:val="009750C0"/>
    <w:rsid w:val="009759FA"/>
    <w:rsid w:val="00975B07"/>
    <w:rsid w:val="00977225"/>
    <w:rsid w:val="00977A65"/>
    <w:rsid w:val="0098001A"/>
    <w:rsid w:val="00980259"/>
    <w:rsid w:val="009807AD"/>
    <w:rsid w:val="00980EC1"/>
    <w:rsid w:val="00981170"/>
    <w:rsid w:val="0098148D"/>
    <w:rsid w:val="00981BE7"/>
    <w:rsid w:val="00982113"/>
    <w:rsid w:val="0098278B"/>
    <w:rsid w:val="0098294F"/>
    <w:rsid w:val="00982D2C"/>
    <w:rsid w:val="0098417E"/>
    <w:rsid w:val="00984FEA"/>
    <w:rsid w:val="00985043"/>
    <w:rsid w:val="00985094"/>
    <w:rsid w:val="009850CF"/>
    <w:rsid w:val="0098536D"/>
    <w:rsid w:val="009869DE"/>
    <w:rsid w:val="00986ED2"/>
    <w:rsid w:val="009872CC"/>
    <w:rsid w:val="00987454"/>
    <w:rsid w:val="00990313"/>
    <w:rsid w:val="009906DF"/>
    <w:rsid w:val="00990A07"/>
    <w:rsid w:val="009910C5"/>
    <w:rsid w:val="009913C6"/>
    <w:rsid w:val="009914B4"/>
    <w:rsid w:val="009918F7"/>
    <w:rsid w:val="00991C59"/>
    <w:rsid w:val="00992149"/>
    <w:rsid w:val="009921C5"/>
    <w:rsid w:val="00993A0E"/>
    <w:rsid w:val="00994710"/>
    <w:rsid w:val="00994A76"/>
    <w:rsid w:val="00994D36"/>
    <w:rsid w:val="00994DC7"/>
    <w:rsid w:val="00994E7F"/>
    <w:rsid w:val="00996329"/>
    <w:rsid w:val="0099670B"/>
    <w:rsid w:val="0099693C"/>
    <w:rsid w:val="00996E02"/>
    <w:rsid w:val="009977FC"/>
    <w:rsid w:val="009A1BE2"/>
    <w:rsid w:val="009A26D4"/>
    <w:rsid w:val="009A2CE2"/>
    <w:rsid w:val="009A31AA"/>
    <w:rsid w:val="009A5CA6"/>
    <w:rsid w:val="009A636F"/>
    <w:rsid w:val="009A67A6"/>
    <w:rsid w:val="009A67CC"/>
    <w:rsid w:val="009A77D2"/>
    <w:rsid w:val="009A7E90"/>
    <w:rsid w:val="009A7F73"/>
    <w:rsid w:val="009B0234"/>
    <w:rsid w:val="009B0255"/>
    <w:rsid w:val="009B06E5"/>
    <w:rsid w:val="009B0BA7"/>
    <w:rsid w:val="009B1CF6"/>
    <w:rsid w:val="009B1EF5"/>
    <w:rsid w:val="009B24DD"/>
    <w:rsid w:val="009B2A3C"/>
    <w:rsid w:val="009B2AED"/>
    <w:rsid w:val="009B2D89"/>
    <w:rsid w:val="009B34F8"/>
    <w:rsid w:val="009B3BF8"/>
    <w:rsid w:val="009B4EE3"/>
    <w:rsid w:val="009B53A0"/>
    <w:rsid w:val="009B550C"/>
    <w:rsid w:val="009B5891"/>
    <w:rsid w:val="009B660A"/>
    <w:rsid w:val="009B7055"/>
    <w:rsid w:val="009B77C5"/>
    <w:rsid w:val="009C0A29"/>
    <w:rsid w:val="009C16AA"/>
    <w:rsid w:val="009C16AE"/>
    <w:rsid w:val="009C172D"/>
    <w:rsid w:val="009C17EC"/>
    <w:rsid w:val="009C199D"/>
    <w:rsid w:val="009C1D4F"/>
    <w:rsid w:val="009C1F0B"/>
    <w:rsid w:val="009C31F9"/>
    <w:rsid w:val="009C39FB"/>
    <w:rsid w:val="009C3A1D"/>
    <w:rsid w:val="009C3AA2"/>
    <w:rsid w:val="009C44C7"/>
    <w:rsid w:val="009C458F"/>
    <w:rsid w:val="009C5C21"/>
    <w:rsid w:val="009C6375"/>
    <w:rsid w:val="009C6628"/>
    <w:rsid w:val="009C7452"/>
    <w:rsid w:val="009C77D7"/>
    <w:rsid w:val="009C7B64"/>
    <w:rsid w:val="009C7BF4"/>
    <w:rsid w:val="009C7F92"/>
    <w:rsid w:val="009D16AE"/>
    <w:rsid w:val="009D1E62"/>
    <w:rsid w:val="009D2705"/>
    <w:rsid w:val="009D27B4"/>
    <w:rsid w:val="009D2DE7"/>
    <w:rsid w:val="009D3260"/>
    <w:rsid w:val="009D45AA"/>
    <w:rsid w:val="009D4D95"/>
    <w:rsid w:val="009D56B8"/>
    <w:rsid w:val="009D5AF0"/>
    <w:rsid w:val="009D5D2A"/>
    <w:rsid w:val="009D5E55"/>
    <w:rsid w:val="009D66C9"/>
    <w:rsid w:val="009D6B47"/>
    <w:rsid w:val="009D73BF"/>
    <w:rsid w:val="009D764B"/>
    <w:rsid w:val="009D7C0C"/>
    <w:rsid w:val="009E1222"/>
    <w:rsid w:val="009E157A"/>
    <w:rsid w:val="009E1F2D"/>
    <w:rsid w:val="009E226B"/>
    <w:rsid w:val="009E2DD1"/>
    <w:rsid w:val="009E335D"/>
    <w:rsid w:val="009E3A66"/>
    <w:rsid w:val="009E3E8C"/>
    <w:rsid w:val="009E4061"/>
    <w:rsid w:val="009E5180"/>
    <w:rsid w:val="009E54E4"/>
    <w:rsid w:val="009E732A"/>
    <w:rsid w:val="009E7622"/>
    <w:rsid w:val="009E7D1D"/>
    <w:rsid w:val="009F06C8"/>
    <w:rsid w:val="009F0759"/>
    <w:rsid w:val="009F15E1"/>
    <w:rsid w:val="009F16AC"/>
    <w:rsid w:val="009F250A"/>
    <w:rsid w:val="009F2D9C"/>
    <w:rsid w:val="009F3A7B"/>
    <w:rsid w:val="009F3F1D"/>
    <w:rsid w:val="009F4DF9"/>
    <w:rsid w:val="009F5927"/>
    <w:rsid w:val="009F6A9D"/>
    <w:rsid w:val="009F6CD2"/>
    <w:rsid w:val="009F7085"/>
    <w:rsid w:val="009F77E0"/>
    <w:rsid w:val="009F79D1"/>
    <w:rsid w:val="00A001D5"/>
    <w:rsid w:val="00A006AD"/>
    <w:rsid w:val="00A01AE5"/>
    <w:rsid w:val="00A027CC"/>
    <w:rsid w:val="00A0291C"/>
    <w:rsid w:val="00A02F5A"/>
    <w:rsid w:val="00A035D0"/>
    <w:rsid w:val="00A03B31"/>
    <w:rsid w:val="00A03D5E"/>
    <w:rsid w:val="00A04324"/>
    <w:rsid w:val="00A043F0"/>
    <w:rsid w:val="00A047AF"/>
    <w:rsid w:val="00A0497C"/>
    <w:rsid w:val="00A0504D"/>
    <w:rsid w:val="00A055CC"/>
    <w:rsid w:val="00A05673"/>
    <w:rsid w:val="00A0567C"/>
    <w:rsid w:val="00A05BC4"/>
    <w:rsid w:val="00A066E7"/>
    <w:rsid w:val="00A06BE6"/>
    <w:rsid w:val="00A0759D"/>
    <w:rsid w:val="00A078FB"/>
    <w:rsid w:val="00A07C13"/>
    <w:rsid w:val="00A07E96"/>
    <w:rsid w:val="00A1009A"/>
    <w:rsid w:val="00A1015E"/>
    <w:rsid w:val="00A1021F"/>
    <w:rsid w:val="00A10424"/>
    <w:rsid w:val="00A10547"/>
    <w:rsid w:val="00A107FC"/>
    <w:rsid w:val="00A126BC"/>
    <w:rsid w:val="00A131D2"/>
    <w:rsid w:val="00A13F17"/>
    <w:rsid w:val="00A13F5B"/>
    <w:rsid w:val="00A140BB"/>
    <w:rsid w:val="00A14D50"/>
    <w:rsid w:val="00A15835"/>
    <w:rsid w:val="00A15D0B"/>
    <w:rsid w:val="00A16A51"/>
    <w:rsid w:val="00A16CB7"/>
    <w:rsid w:val="00A1754A"/>
    <w:rsid w:val="00A17CF9"/>
    <w:rsid w:val="00A204E7"/>
    <w:rsid w:val="00A20748"/>
    <w:rsid w:val="00A227A1"/>
    <w:rsid w:val="00A22988"/>
    <w:rsid w:val="00A22C8D"/>
    <w:rsid w:val="00A2422B"/>
    <w:rsid w:val="00A24E3A"/>
    <w:rsid w:val="00A252C4"/>
    <w:rsid w:val="00A261E1"/>
    <w:rsid w:val="00A27067"/>
    <w:rsid w:val="00A27140"/>
    <w:rsid w:val="00A279BB"/>
    <w:rsid w:val="00A27C2B"/>
    <w:rsid w:val="00A27CF5"/>
    <w:rsid w:val="00A30701"/>
    <w:rsid w:val="00A317CB"/>
    <w:rsid w:val="00A31920"/>
    <w:rsid w:val="00A3351D"/>
    <w:rsid w:val="00A3369C"/>
    <w:rsid w:val="00A34349"/>
    <w:rsid w:val="00A34D05"/>
    <w:rsid w:val="00A35123"/>
    <w:rsid w:val="00A35FB1"/>
    <w:rsid w:val="00A35FBE"/>
    <w:rsid w:val="00A36C76"/>
    <w:rsid w:val="00A37301"/>
    <w:rsid w:val="00A379C2"/>
    <w:rsid w:val="00A379F2"/>
    <w:rsid w:val="00A37B55"/>
    <w:rsid w:val="00A37BB1"/>
    <w:rsid w:val="00A37E03"/>
    <w:rsid w:val="00A410D6"/>
    <w:rsid w:val="00A41666"/>
    <w:rsid w:val="00A41CFB"/>
    <w:rsid w:val="00A42C29"/>
    <w:rsid w:val="00A43655"/>
    <w:rsid w:val="00A43B7A"/>
    <w:rsid w:val="00A4473C"/>
    <w:rsid w:val="00A500A0"/>
    <w:rsid w:val="00A50657"/>
    <w:rsid w:val="00A5148E"/>
    <w:rsid w:val="00A51A61"/>
    <w:rsid w:val="00A51DFF"/>
    <w:rsid w:val="00A5201D"/>
    <w:rsid w:val="00A5315D"/>
    <w:rsid w:val="00A53181"/>
    <w:rsid w:val="00A531C3"/>
    <w:rsid w:val="00A53B94"/>
    <w:rsid w:val="00A53C3D"/>
    <w:rsid w:val="00A53E77"/>
    <w:rsid w:val="00A540C6"/>
    <w:rsid w:val="00A54CF5"/>
    <w:rsid w:val="00A551B1"/>
    <w:rsid w:val="00A56101"/>
    <w:rsid w:val="00A5717D"/>
    <w:rsid w:val="00A57523"/>
    <w:rsid w:val="00A61221"/>
    <w:rsid w:val="00A613DE"/>
    <w:rsid w:val="00A61585"/>
    <w:rsid w:val="00A61699"/>
    <w:rsid w:val="00A61C62"/>
    <w:rsid w:val="00A62E2B"/>
    <w:rsid w:val="00A6333C"/>
    <w:rsid w:val="00A63D59"/>
    <w:rsid w:val="00A63F13"/>
    <w:rsid w:val="00A65D70"/>
    <w:rsid w:val="00A66AE3"/>
    <w:rsid w:val="00A70069"/>
    <w:rsid w:val="00A701DA"/>
    <w:rsid w:val="00A70600"/>
    <w:rsid w:val="00A70A02"/>
    <w:rsid w:val="00A70D26"/>
    <w:rsid w:val="00A72444"/>
    <w:rsid w:val="00A724DF"/>
    <w:rsid w:val="00A729F1"/>
    <w:rsid w:val="00A72B2B"/>
    <w:rsid w:val="00A735BB"/>
    <w:rsid w:val="00A73775"/>
    <w:rsid w:val="00A73C3A"/>
    <w:rsid w:val="00A74656"/>
    <w:rsid w:val="00A74D20"/>
    <w:rsid w:val="00A7515E"/>
    <w:rsid w:val="00A75BA6"/>
    <w:rsid w:val="00A75EE3"/>
    <w:rsid w:val="00A762AC"/>
    <w:rsid w:val="00A7634F"/>
    <w:rsid w:val="00A76B6C"/>
    <w:rsid w:val="00A77737"/>
    <w:rsid w:val="00A800B5"/>
    <w:rsid w:val="00A8099C"/>
    <w:rsid w:val="00A80CC7"/>
    <w:rsid w:val="00A80D2C"/>
    <w:rsid w:val="00A813F4"/>
    <w:rsid w:val="00A82306"/>
    <w:rsid w:val="00A82583"/>
    <w:rsid w:val="00A826AE"/>
    <w:rsid w:val="00A82814"/>
    <w:rsid w:val="00A829EA"/>
    <w:rsid w:val="00A82FB4"/>
    <w:rsid w:val="00A83600"/>
    <w:rsid w:val="00A83FD5"/>
    <w:rsid w:val="00A850C8"/>
    <w:rsid w:val="00A850FE"/>
    <w:rsid w:val="00A851DD"/>
    <w:rsid w:val="00A854D9"/>
    <w:rsid w:val="00A85D11"/>
    <w:rsid w:val="00A85DB7"/>
    <w:rsid w:val="00A861EA"/>
    <w:rsid w:val="00A86E26"/>
    <w:rsid w:val="00A87927"/>
    <w:rsid w:val="00A87982"/>
    <w:rsid w:val="00A87D74"/>
    <w:rsid w:val="00A903D8"/>
    <w:rsid w:val="00A90F7D"/>
    <w:rsid w:val="00A91486"/>
    <w:rsid w:val="00A916ED"/>
    <w:rsid w:val="00A91F2A"/>
    <w:rsid w:val="00A92561"/>
    <w:rsid w:val="00A927BE"/>
    <w:rsid w:val="00A929ED"/>
    <w:rsid w:val="00A92A86"/>
    <w:rsid w:val="00A942E6"/>
    <w:rsid w:val="00A94502"/>
    <w:rsid w:val="00A94CFA"/>
    <w:rsid w:val="00A95605"/>
    <w:rsid w:val="00A968DE"/>
    <w:rsid w:val="00A96FBF"/>
    <w:rsid w:val="00A97103"/>
    <w:rsid w:val="00AA02A6"/>
    <w:rsid w:val="00AA091C"/>
    <w:rsid w:val="00AA127C"/>
    <w:rsid w:val="00AA1A7B"/>
    <w:rsid w:val="00AA1EDA"/>
    <w:rsid w:val="00AA26F6"/>
    <w:rsid w:val="00AA27F7"/>
    <w:rsid w:val="00AA2967"/>
    <w:rsid w:val="00AA3F39"/>
    <w:rsid w:val="00AA4233"/>
    <w:rsid w:val="00AA5067"/>
    <w:rsid w:val="00AA511F"/>
    <w:rsid w:val="00AB040C"/>
    <w:rsid w:val="00AB0A0E"/>
    <w:rsid w:val="00AB25F3"/>
    <w:rsid w:val="00AB4AEF"/>
    <w:rsid w:val="00AB5504"/>
    <w:rsid w:val="00AB5A28"/>
    <w:rsid w:val="00AB632F"/>
    <w:rsid w:val="00AB65A5"/>
    <w:rsid w:val="00AB69BC"/>
    <w:rsid w:val="00AB700A"/>
    <w:rsid w:val="00AB7116"/>
    <w:rsid w:val="00AC0556"/>
    <w:rsid w:val="00AC0749"/>
    <w:rsid w:val="00AC1332"/>
    <w:rsid w:val="00AC34DD"/>
    <w:rsid w:val="00AC3C56"/>
    <w:rsid w:val="00AC41B4"/>
    <w:rsid w:val="00AC48F6"/>
    <w:rsid w:val="00AC4947"/>
    <w:rsid w:val="00AC59DF"/>
    <w:rsid w:val="00AC5F64"/>
    <w:rsid w:val="00AC6493"/>
    <w:rsid w:val="00AC6C62"/>
    <w:rsid w:val="00AC7407"/>
    <w:rsid w:val="00AC7C2E"/>
    <w:rsid w:val="00AC7E00"/>
    <w:rsid w:val="00AD1BB5"/>
    <w:rsid w:val="00AD21A3"/>
    <w:rsid w:val="00AD2463"/>
    <w:rsid w:val="00AD2985"/>
    <w:rsid w:val="00AD318F"/>
    <w:rsid w:val="00AD4948"/>
    <w:rsid w:val="00AD557B"/>
    <w:rsid w:val="00AD56C0"/>
    <w:rsid w:val="00AD7416"/>
    <w:rsid w:val="00AD7640"/>
    <w:rsid w:val="00AD76C6"/>
    <w:rsid w:val="00AD7817"/>
    <w:rsid w:val="00AD7E28"/>
    <w:rsid w:val="00AE1450"/>
    <w:rsid w:val="00AE180A"/>
    <w:rsid w:val="00AE1DB7"/>
    <w:rsid w:val="00AE2050"/>
    <w:rsid w:val="00AE4728"/>
    <w:rsid w:val="00AE57B4"/>
    <w:rsid w:val="00AE6CA7"/>
    <w:rsid w:val="00AF031C"/>
    <w:rsid w:val="00AF045B"/>
    <w:rsid w:val="00AF05AA"/>
    <w:rsid w:val="00AF06C7"/>
    <w:rsid w:val="00AF1041"/>
    <w:rsid w:val="00AF137B"/>
    <w:rsid w:val="00AF1543"/>
    <w:rsid w:val="00AF1C18"/>
    <w:rsid w:val="00AF211E"/>
    <w:rsid w:val="00AF2AA9"/>
    <w:rsid w:val="00AF2D52"/>
    <w:rsid w:val="00AF34F6"/>
    <w:rsid w:val="00AF3625"/>
    <w:rsid w:val="00AF400A"/>
    <w:rsid w:val="00AF5538"/>
    <w:rsid w:val="00AF56C4"/>
    <w:rsid w:val="00AF66F9"/>
    <w:rsid w:val="00AF6745"/>
    <w:rsid w:val="00AF6C23"/>
    <w:rsid w:val="00AF7568"/>
    <w:rsid w:val="00AF7F1B"/>
    <w:rsid w:val="00B00B35"/>
    <w:rsid w:val="00B00F8B"/>
    <w:rsid w:val="00B00FC9"/>
    <w:rsid w:val="00B01571"/>
    <w:rsid w:val="00B01827"/>
    <w:rsid w:val="00B01960"/>
    <w:rsid w:val="00B02596"/>
    <w:rsid w:val="00B02D9C"/>
    <w:rsid w:val="00B03D7F"/>
    <w:rsid w:val="00B03E5E"/>
    <w:rsid w:val="00B03F5D"/>
    <w:rsid w:val="00B04422"/>
    <w:rsid w:val="00B049A6"/>
    <w:rsid w:val="00B05046"/>
    <w:rsid w:val="00B0569F"/>
    <w:rsid w:val="00B057D5"/>
    <w:rsid w:val="00B05D6D"/>
    <w:rsid w:val="00B05E0A"/>
    <w:rsid w:val="00B064DF"/>
    <w:rsid w:val="00B070BE"/>
    <w:rsid w:val="00B07591"/>
    <w:rsid w:val="00B076E3"/>
    <w:rsid w:val="00B10C81"/>
    <w:rsid w:val="00B10DEA"/>
    <w:rsid w:val="00B10F0E"/>
    <w:rsid w:val="00B10F57"/>
    <w:rsid w:val="00B1103C"/>
    <w:rsid w:val="00B118D2"/>
    <w:rsid w:val="00B1211B"/>
    <w:rsid w:val="00B12745"/>
    <w:rsid w:val="00B12B7F"/>
    <w:rsid w:val="00B139D3"/>
    <w:rsid w:val="00B13C95"/>
    <w:rsid w:val="00B143B1"/>
    <w:rsid w:val="00B14650"/>
    <w:rsid w:val="00B147E9"/>
    <w:rsid w:val="00B14C4A"/>
    <w:rsid w:val="00B15339"/>
    <w:rsid w:val="00B156E7"/>
    <w:rsid w:val="00B15C49"/>
    <w:rsid w:val="00B1658A"/>
    <w:rsid w:val="00B166A6"/>
    <w:rsid w:val="00B16AB1"/>
    <w:rsid w:val="00B20B5E"/>
    <w:rsid w:val="00B21A71"/>
    <w:rsid w:val="00B21E45"/>
    <w:rsid w:val="00B21F9A"/>
    <w:rsid w:val="00B23781"/>
    <w:rsid w:val="00B25570"/>
    <w:rsid w:val="00B25A3E"/>
    <w:rsid w:val="00B26973"/>
    <w:rsid w:val="00B26AF2"/>
    <w:rsid w:val="00B27697"/>
    <w:rsid w:val="00B27BB2"/>
    <w:rsid w:val="00B302CB"/>
    <w:rsid w:val="00B307EB"/>
    <w:rsid w:val="00B30AC6"/>
    <w:rsid w:val="00B31797"/>
    <w:rsid w:val="00B31BC3"/>
    <w:rsid w:val="00B31CA9"/>
    <w:rsid w:val="00B32064"/>
    <w:rsid w:val="00B322A4"/>
    <w:rsid w:val="00B330B1"/>
    <w:rsid w:val="00B332C7"/>
    <w:rsid w:val="00B334F5"/>
    <w:rsid w:val="00B33D13"/>
    <w:rsid w:val="00B33E0D"/>
    <w:rsid w:val="00B34319"/>
    <w:rsid w:val="00B34E38"/>
    <w:rsid w:val="00B35CCE"/>
    <w:rsid w:val="00B35D33"/>
    <w:rsid w:val="00B35F67"/>
    <w:rsid w:val="00B36222"/>
    <w:rsid w:val="00B36B3A"/>
    <w:rsid w:val="00B37786"/>
    <w:rsid w:val="00B37FB4"/>
    <w:rsid w:val="00B40111"/>
    <w:rsid w:val="00B40149"/>
    <w:rsid w:val="00B407F1"/>
    <w:rsid w:val="00B409DA"/>
    <w:rsid w:val="00B4147F"/>
    <w:rsid w:val="00B41991"/>
    <w:rsid w:val="00B41B37"/>
    <w:rsid w:val="00B41FA8"/>
    <w:rsid w:val="00B424FB"/>
    <w:rsid w:val="00B455BD"/>
    <w:rsid w:val="00B45F5C"/>
    <w:rsid w:val="00B46C4B"/>
    <w:rsid w:val="00B5015E"/>
    <w:rsid w:val="00B5017A"/>
    <w:rsid w:val="00B518E0"/>
    <w:rsid w:val="00B51A1C"/>
    <w:rsid w:val="00B51E92"/>
    <w:rsid w:val="00B5237A"/>
    <w:rsid w:val="00B5325E"/>
    <w:rsid w:val="00B53776"/>
    <w:rsid w:val="00B53F69"/>
    <w:rsid w:val="00B540B4"/>
    <w:rsid w:val="00B54DB2"/>
    <w:rsid w:val="00B5547A"/>
    <w:rsid w:val="00B557C1"/>
    <w:rsid w:val="00B563EF"/>
    <w:rsid w:val="00B56578"/>
    <w:rsid w:val="00B567EC"/>
    <w:rsid w:val="00B5765C"/>
    <w:rsid w:val="00B604EA"/>
    <w:rsid w:val="00B61083"/>
    <w:rsid w:val="00B61837"/>
    <w:rsid w:val="00B619E8"/>
    <w:rsid w:val="00B61E0C"/>
    <w:rsid w:val="00B62151"/>
    <w:rsid w:val="00B621B1"/>
    <w:rsid w:val="00B626C3"/>
    <w:rsid w:val="00B62D98"/>
    <w:rsid w:val="00B633EE"/>
    <w:rsid w:val="00B63A06"/>
    <w:rsid w:val="00B63B16"/>
    <w:rsid w:val="00B64166"/>
    <w:rsid w:val="00B649C8"/>
    <w:rsid w:val="00B64C8A"/>
    <w:rsid w:val="00B712FD"/>
    <w:rsid w:val="00B7202E"/>
    <w:rsid w:val="00B72054"/>
    <w:rsid w:val="00B725CF"/>
    <w:rsid w:val="00B7267B"/>
    <w:rsid w:val="00B72862"/>
    <w:rsid w:val="00B73CDF"/>
    <w:rsid w:val="00B74B19"/>
    <w:rsid w:val="00B74B23"/>
    <w:rsid w:val="00B763A2"/>
    <w:rsid w:val="00B7682E"/>
    <w:rsid w:val="00B76832"/>
    <w:rsid w:val="00B7697A"/>
    <w:rsid w:val="00B770F1"/>
    <w:rsid w:val="00B80361"/>
    <w:rsid w:val="00B81D5A"/>
    <w:rsid w:val="00B82AF0"/>
    <w:rsid w:val="00B82FA8"/>
    <w:rsid w:val="00B83E35"/>
    <w:rsid w:val="00B84190"/>
    <w:rsid w:val="00B843B0"/>
    <w:rsid w:val="00B8557F"/>
    <w:rsid w:val="00B857B9"/>
    <w:rsid w:val="00B85C1B"/>
    <w:rsid w:val="00B8633D"/>
    <w:rsid w:val="00B86B37"/>
    <w:rsid w:val="00B86E49"/>
    <w:rsid w:val="00B86F1B"/>
    <w:rsid w:val="00B8719A"/>
    <w:rsid w:val="00B9006A"/>
    <w:rsid w:val="00B901C2"/>
    <w:rsid w:val="00B90909"/>
    <w:rsid w:val="00B90D92"/>
    <w:rsid w:val="00B91332"/>
    <w:rsid w:val="00B92184"/>
    <w:rsid w:val="00B92411"/>
    <w:rsid w:val="00B93224"/>
    <w:rsid w:val="00B94BCE"/>
    <w:rsid w:val="00B9546E"/>
    <w:rsid w:val="00B959B4"/>
    <w:rsid w:val="00B95C3F"/>
    <w:rsid w:val="00B9615A"/>
    <w:rsid w:val="00B96161"/>
    <w:rsid w:val="00B968EC"/>
    <w:rsid w:val="00B9709E"/>
    <w:rsid w:val="00B973ED"/>
    <w:rsid w:val="00B97C42"/>
    <w:rsid w:val="00B97EEB"/>
    <w:rsid w:val="00BA0511"/>
    <w:rsid w:val="00BA0709"/>
    <w:rsid w:val="00BA0BFE"/>
    <w:rsid w:val="00BA1142"/>
    <w:rsid w:val="00BA12A2"/>
    <w:rsid w:val="00BA138A"/>
    <w:rsid w:val="00BA1466"/>
    <w:rsid w:val="00BA1B27"/>
    <w:rsid w:val="00BA1BA2"/>
    <w:rsid w:val="00BA1BC4"/>
    <w:rsid w:val="00BA1DCF"/>
    <w:rsid w:val="00BA226F"/>
    <w:rsid w:val="00BA2A4B"/>
    <w:rsid w:val="00BA3360"/>
    <w:rsid w:val="00BA377F"/>
    <w:rsid w:val="00BA37DF"/>
    <w:rsid w:val="00BA3D86"/>
    <w:rsid w:val="00BA4069"/>
    <w:rsid w:val="00BA5CE4"/>
    <w:rsid w:val="00BA5FC1"/>
    <w:rsid w:val="00BA67D8"/>
    <w:rsid w:val="00BA79A0"/>
    <w:rsid w:val="00BB0006"/>
    <w:rsid w:val="00BB0222"/>
    <w:rsid w:val="00BB04D1"/>
    <w:rsid w:val="00BB0627"/>
    <w:rsid w:val="00BB1447"/>
    <w:rsid w:val="00BB1A5D"/>
    <w:rsid w:val="00BB2279"/>
    <w:rsid w:val="00BB28E7"/>
    <w:rsid w:val="00BB3183"/>
    <w:rsid w:val="00BB3587"/>
    <w:rsid w:val="00BB387E"/>
    <w:rsid w:val="00BB396F"/>
    <w:rsid w:val="00BB3991"/>
    <w:rsid w:val="00BB3C7F"/>
    <w:rsid w:val="00BB4265"/>
    <w:rsid w:val="00BB5BB8"/>
    <w:rsid w:val="00BB6406"/>
    <w:rsid w:val="00BB695E"/>
    <w:rsid w:val="00BB79B5"/>
    <w:rsid w:val="00BB7B42"/>
    <w:rsid w:val="00BC069F"/>
    <w:rsid w:val="00BC0A98"/>
    <w:rsid w:val="00BC0FB8"/>
    <w:rsid w:val="00BC14F6"/>
    <w:rsid w:val="00BC217E"/>
    <w:rsid w:val="00BC22D0"/>
    <w:rsid w:val="00BC28C4"/>
    <w:rsid w:val="00BC3542"/>
    <w:rsid w:val="00BC3ADE"/>
    <w:rsid w:val="00BC4929"/>
    <w:rsid w:val="00BC4CF8"/>
    <w:rsid w:val="00BC508B"/>
    <w:rsid w:val="00BC5224"/>
    <w:rsid w:val="00BC53CF"/>
    <w:rsid w:val="00BC5699"/>
    <w:rsid w:val="00BC5FFC"/>
    <w:rsid w:val="00BC6D7C"/>
    <w:rsid w:val="00BC74B5"/>
    <w:rsid w:val="00BC74B8"/>
    <w:rsid w:val="00BD0014"/>
    <w:rsid w:val="00BD034F"/>
    <w:rsid w:val="00BD0965"/>
    <w:rsid w:val="00BD0B6D"/>
    <w:rsid w:val="00BD0CE7"/>
    <w:rsid w:val="00BD0E68"/>
    <w:rsid w:val="00BD1B5E"/>
    <w:rsid w:val="00BD1E51"/>
    <w:rsid w:val="00BD22D9"/>
    <w:rsid w:val="00BD2CC5"/>
    <w:rsid w:val="00BD3433"/>
    <w:rsid w:val="00BD37D2"/>
    <w:rsid w:val="00BD3AA2"/>
    <w:rsid w:val="00BD4776"/>
    <w:rsid w:val="00BD575A"/>
    <w:rsid w:val="00BD6056"/>
    <w:rsid w:val="00BD6079"/>
    <w:rsid w:val="00BD6722"/>
    <w:rsid w:val="00BD752F"/>
    <w:rsid w:val="00BD756B"/>
    <w:rsid w:val="00BD7EA6"/>
    <w:rsid w:val="00BE0294"/>
    <w:rsid w:val="00BE1856"/>
    <w:rsid w:val="00BE2372"/>
    <w:rsid w:val="00BE268F"/>
    <w:rsid w:val="00BE3E6C"/>
    <w:rsid w:val="00BE4168"/>
    <w:rsid w:val="00BE455B"/>
    <w:rsid w:val="00BE4AF1"/>
    <w:rsid w:val="00BE4B47"/>
    <w:rsid w:val="00BE5D4F"/>
    <w:rsid w:val="00BE640F"/>
    <w:rsid w:val="00BF0070"/>
    <w:rsid w:val="00BF012E"/>
    <w:rsid w:val="00BF01C7"/>
    <w:rsid w:val="00BF107D"/>
    <w:rsid w:val="00BF122D"/>
    <w:rsid w:val="00BF141D"/>
    <w:rsid w:val="00BF1684"/>
    <w:rsid w:val="00BF3094"/>
    <w:rsid w:val="00BF31F0"/>
    <w:rsid w:val="00BF3E82"/>
    <w:rsid w:val="00BF3F4C"/>
    <w:rsid w:val="00BF4F87"/>
    <w:rsid w:val="00BF5F4B"/>
    <w:rsid w:val="00BF685D"/>
    <w:rsid w:val="00BF7859"/>
    <w:rsid w:val="00BF7F71"/>
    <w:rsid w:val="00C0002F"/>
    <w:rsid w:val="00C000CE"/>
    <w:rsid w:val="00C00AF7"/>
    <w:rsid w:val="00C011A5"/>
    <w:rsid w:val="00C017D1"/>
    <w:rsid w:val="00C0198F"/>
    <w:rsid w:val="00C02CF2"/>
    <w:rsid w:val="00C03994"/>
    <w:rsid w:val="00C039AA"/>
    <w:rsid w:val="00C039EB"/>
    <w:rsid w:val="00C03C54"/>
    <w:rsid w:val="00C03D31"/>
    <w:rsid w:val="00C046EA"/>
    <w:rsid w:val="00C0479A"/>
    <w:rsid w:val="00C04B07"/>
    <w:rsid w:val="00C04B25"/>
    <w:rsid w:val="00C05067"/>
    <w:rsid w:val="00C051C8"/>
    <w:rsid w:val="00C0570D"/>
    <w:rsid w:val="00C05AD9"/>
    <w:rsid w:val="00C05B50"/>
    <w:rsid w:val="00C05FCF"/>
    <w:rsid w:val="00C061DA"/>
    <w:rsid w:val="00C068B9"/>
    <w:rsid w:val="00C07C1B"/>
    <w:rsid w:val="00C101D5"/>
    <w:rsid w:val="00C10320"/>
    <w:rsid w:val="00C105EF"/>
    <w:rsid w:val="00C108B4"/>
    <w:rsid w:val="00C10AB3"/>
    <w:rsid w:val="00C10FF0"/>
    <w:rsid w:val="00C11950"/>
    <w:rsid w:val="00C124C7"/>
    <w:rsid w:val="00C1276F"/>
    <w:rsid w:val="00C12A6C"/>
    <w:rsid w:val="00C12B07"/>
    <w:rsid w:val="00C12E94"/>
    <w:rsid w:val="00C12EBA"/>
    <w:rsid w:val="00C12FCF"/>
    <w:rsid w:val="00C130C4"/>
    <w:rsid w:val="00C13BF5"/>
    <w:rsid w:val="00C13D17"/>
    <w:rsid w:val="00C142AC"/>
    <w:rsid w:val="00C157D8"/>
    <w:rsid w:val="00C17179"/>
    <w:rsid w:val="00C1732B"/>
    <w:rsid w:val="00C17422"/>
    <w:rsid w:val="00C17C56"/>
    <w:rsid w:val="00C17D82"/>
    <w:rsid w:val="00C2040D"/>
    <w:rsid w:val="00C20B13"/>
    <w:rsid w:val="00C21160"/>
    <w:rsid w:val="00C211D7"/>
    <w:rsid w:val="00C21360"/>
    <w:rsid w:val="00C217D3"/>
    <w:rsid w:val="00C22961"/>
    <w:rsid w:val="00C2356C"/>
    <w:rsid w:val="00C2491E"/>
    <w:rsid w:val="00C252A5"/>
    <w:rsid w:val="00C25FF9"/>
    <w:rsid w:val="00C26BC5"/>
    <w:rsid w:val="00C3027F"/>
    <w:rsid w:val="00C308EC"/>
    <w:rsid w:val="00C32453"/>
    <w:rsid w:val="00C32513"/>
    <w:rsid w:val="00C325FB"/>
    <w:rsid w:val="00C3367B"/>
    <w:rsid w:val="00C3403D"/>
    <w:rsid w:val="00C342E3"/>
    <w:rsid w:val="00C345AD"/>
    <w:rsid w:val="00C35889"/>
    <w:rsid w:val="00C359E1"/>
    <w:rsid w:val="00C360EC"/>
    <w:rsid w:val="00C3627C"/>
    <w:rsid w:val="00C36F46"/>
    <w:rsid w:val="00C37635"/>
    <w:rsid w:val="00C40771"/>
    <w:rsid w:val="00C40C45"/>
    <w:rsid w:val="00C40F4A"/>
    <w:rsid w:val="00C423D6"/>
    <w:rsid w:val="00C42A39"/>
    <w:rsid w:val="00C42BF1"/>
    <w:rsid w:val="00C430ED"/>
    <w:rsid w:val="00C43991"/>
    <w:rsid w:val="00C4413F"/>
    <w:rsid w:val="00C455F2"/>
    <w:rsid w:val="00C45E55"/>
    <w:rsid w:val="00C461B5"/>
    <w:rsid w:val="00C46300"/>
    <w:rsid w:val="00C47A90"/>
    <w:rsid w:val="00C47D96"/>
    <w:rsid w:val="00C5013A"/>
    <w:rsid w:val="00C507C8"/>
    <w:rsid w:val="00C5087A"/>
    <w:rsid w:val="00C51986"/>
    <w:rsid w:val="00C51BDF"/>
    <w:rsid w:val="00C51DCC"/>
    <w:rsid w:val="00C524C2"/>
    <w:rsid w:val="00C52ED5"/>
    <w:rsid w:val="00C53B80"/>
    <w:rsid w:val="00C541A4"/>
    <w:rsid w:val="00C54201"/>
    <w:rsid w:val="00C54368"/>
    <w:rsid w:val="00C543C6"/>
    <w:rsid w:val="00C54450"/>
    <w:rsid w:val="00C54B32"/>
    <w:rsid w:val="00C54C56"/>
    <w:rsid w:val="00C55ECC"/>
    <w:rsid w:val="00C56753"/>
    <w:rsid w:val="00C56EA0"/>
    <w:rsid w:val="00C57174"/>
    <w:rsid w:val="00C57291"/>
    <w:rsid w:val="00C57DF3"/>
    <w:rsid w:val="00C60347"/>
    <w:rsid w:val="00C60AC0"/>
    <w:rsid w:val="00C60BE7"/>
    <w:rsid w:val="00C61B07"/>
    <w:rsid w:val="00C61BC7"/>
    <w:rsid w:val="00C623C4"/>
    <w:rsid w:val="00C62D24"/>
    <w:rsid w:val="00C645C1"/>
    <w:rsid w:val="00C649C5"/>
    <w:rsid w:val="00C65D88"/>
    <w:rsid w:val="00C65E0C"/>
    <w:rsid w:val="00C6685B"/>
    <w:rsid w:val="00C668C9"/>
    <w:rsid w:val="00C66D38"/>
    <w:rsid w:val="00C673A7"/>
    <w:rsid w:val="00C6783F"/>
    <w:rsid w:val="00C704CA"/>
    <w:rsid w:val="00C70B4D"/>
    <w:rsid w:val="00C71911"/>
    <w:rsid w:val="00C73140"/>
    <w:rsid w:val="00C73855"/>
    <w:rsid w:val="00C73ABE"/>
    <w:rsid w:val="00C74260"/>
    <w:rsid w:val="00C74263"/>
    <w:rsid w:val="00C74367"/>
    <w:rsid w:val="00C7488E"/>
    <w:rsid w:val="00C74ACB"/>
    <w:rsid w:val="00C74DA6"/>
    <w:rsid w:val="00C750E2"/>
    <w:rsid w:val="00C753C2"/>
    <w:rsid w:val="00C7594F"/>
    <w:rsid w:val="00C75EC7"/>
    <w:rsid w:val="00C76476"/>
    <w:rsid w:val="00C76AC7"/>
    <w:rsid w:val="00C774E0"/>
    <w:rsid w:val="00C77643"/>
    <w:rsid w:val="00C77EAD"/>
    <w:rsid w:val="00C8086A"/>
    <w:rsid w:val="00C80B68"/>
    <w:rsid w:val="00C81131"/>
    <w:rsid w:val="00C811D2"/>
    <w:rsid w:val="00C81896"/>
    <w:rsid w:val="00C81DE9"/>
    <w:rsid w:val="00C82454"/>
    <w:rsid w:val="00C827D9"/>
    <w:rsid w:val="00C82C83"/>
    <w:rsid w:val="00C82D95"/>
    <w:rsid w:val="00C830D9"/>
    <w:rsid w:val="00C84193"/>
    <w:rsid w:val="00C850AF"/>
    <w:rsid w:val="00C854AC"/>
    <w:rsid w:val="00C854E5"/>
    <w:rsid w:val="00C8595F"/>
    <w:rsid w:val="00C8642E"/>
    <w:rsid w:val="00C876F8"/>
    <w:rsid w:val="00C9022E"/>
    <w:rsid w:val="00C90A6B"/>
    <w:rsid w:val="00C90F90"/>
    <w:rsid w:val="00C9145D"/>
    <w:rsid w:val="00C91540"/>
    <w:rsid w:val="00C91A3F"/>
    <w:rsid w:val="00C92130"/>
    <w:rsid w:val="00C92701"/>
    <w:rsid w:val="00C92C33"/>
    <w:rsid w:val="00C9327D"/>
    <w:rsid w:val="00C93682"/>
    <w:rsid w:val="00C943E1"/>
    <w:rsid w:val="00C94F81"/>
    <w:rsid w:val="00C9524F"/>
    <w:rsid w:val="00C964AD"/>
    <w:rsid w:val="00C971AF"/>
    <w:rsid w:val="00C97827"/>
    <w:rsid w:val="00C97964"/>
    <w:rsid w:val="00C97C71"/>
    <w:rsid w:val="00CA06D3"/>
    <w:rsid w:val="00CA0C22"/>
    <w:rsid w:val="00CA0D1A"/>
    <w:rsid w:val="00CA0D96"/>
    <w:rsid w:val="00CA1316"/>
    <w:rsid w:val="00CA21B4"/>
    <w:rsid w:val="00CA2D30"/>
    <w:rsid w:val="00CA2D7D"/>
    <w:rsid w:val="00CA4367"/>
    <w:rsid w:val="00CA48F1"/>
    <w:rsid w:val="00CA4D8F"/>
    <w:rsid w:val="00CA4E70"/>
    <w:rsid w:val="00CA5371"/>
    <w:rsid w:val="00CA5B43"/>
    <w:rsid w:val="00CA5CD2"/>
    <w:rsid w:val="00CA6606"/>
    <w:rsid w:val="00CA6F7D"/>
    <w:rsid w:val="00CA7122"/>
    <w:rsid w:val="00CA75D8"/>
    <w:rsid w:val="00CB0596"/>
    <w:rsid w:val="00CB0E7C"/>
    <w:rsid w:val="00CB186E"/>
    <w:rsid w:val="00CB22F6"/>
    <w:rsid w:val="00CB27DB"/>
    <w:rsid w:val="00CB2B5B"/>
    <w:rsid w:val="00CB2BC0"/>
    <w:rsid w:val="00CB4045"/>
    <w:rsid w:val="00CB44BA"/>
    <w:rsid w:val="00CB46CF"/>
    <w:rsid w:val="00CB479D"/>
    <w:rsid w:val="00CB47E9"/>
    <w:rsid w:val="00CB52A3"/>
    <w:rsid w:val="00CB5899"/>
    <w:rsid w:val="00CB6298"/>
    <w:rsid w:val="00CB6663"/>
    <w:rsid w:val="00CB67FB"/>
    <w:rsid w:val="00CB6C54"/>
    <w:rsid w:val="00CB7A12"/>
    <w:rsid w:val="00CB7BDC"/>
    <w:rsid w:val="00CC00D8"/>
    <w:rsid w:val="00CC0719"/>
    <w:rsid w:val="00CC0D71"/>
    <w:rsid w:val="00CC1A4A"/>
    <w:rsid w:val="00CC2EF2"/>
    <w:rsid w:val="00CC34DB"/>
    <w:rsid w:val="00CC3915"/>
    <w:rsid w:val="00CC3C3B"/>
    <w:rsid w:val="00CC5DAA"/>
    <w:rsid w:val="00CC623B"/>
    <w:rsid w:val="00CC62ED"/>
    <w:rsid w:val="00CC6423"/>
    <w:rsid w:val="00CC728B"/>
    <w:rsid w:val="00CC75A4"/>
    <w:rsid w:val="00CD0696"/>
    <w:rsid w:val="00CD1130"/>
    <w:rsid w:val="00CD14B2"/>
    <w:rsid w:val="00CD21AD"/>
    <w:rsid w:val="00CD248F"/>
    <w:rsid w:val="00CD2851"/>
    <w:rsid w:val="00CD2936"/>
    <w:rsid w:val="00CD2DC4"/>
    <w:rsid w:val="00CD3E51"/>
    <w:rsid w:val="00CD6177"/>
    <w:rsid w:val="00CD6540"/>
    <w:rsid w:val="00CD72B6"/>
    <w:rsid w:val="00CD77B8"/>
    <w:rsid w:val="00CE0BD4"/>
    <w:rsid w:val="00CE0CCB"/>
    <w:rsid w:val="00CE0F37"/>
    <w:rsid w:val="00CE139F"/>
    <w:rsid w:val="00CE19FD"/>
    <w:rsid w:val="00CE1C38"/>
    <w:rsid w:val="00CE2AC7"/>
    <w:rsid w:val="00CE2ED3"/>
    <w:rsid w:val="00CE36EB"/>
    <w:rsid w:val="00CE38B6"/>
    <w:rsid w:val="00CE394A"/>
    <w:rsid w:val="00CE40E3"/>
    <w:rsid w:val="00CE4508"/>
    <w:rsid w:val="00CE4672"/>
    <w:rsid w:val="00CE5C18"/>
    <w:rsid w:val="00CE6764"/>
    <w:rsid w:val="00CE6E16"/>
    <w:rsid w:val="00CE6E37"/>
    <w:rsid w:val="00CE7AA9"/>
    <w:rsid w:val="00CE7DAE"/>
    <w:rsid w:val="00CF03C3"/>
    <w:rsid w:val="00CF14A1"/>
    <w:rsid w:val="00CF170A"/>
    <w:rsid w:val="00CF1970"/>
    <w:rsid w:val="00CF1DE7"/>
    <w:rsid w:val="00CF3A27"/>
    <w:rsid w:val="00CF3B54"/>
    <w:rsid w:val="00CF459B"/>
    <w:rsid w:val="00CF5085"/>
    <w:rsid w:val="00CF51DA"/>
    <w:rsid w:val="00CF5647"/>
    <w:rsid w:val="00CF5953"/>
    <w:rsid w:val="00CF600D"/>
    <w:rsid w:val="00CF62F0"/>
    <w:rsid w:val="00CF69B8"/>
    <w:rsid w:val="00CF6A15"/>
    <w:rsid w:val="00CF6AB7"/>
    <w:rsid w:val="00CF6D5A"/>
    <w:rsid w:val="00CF713E"/>
    <w:rsid w:val="00CF75B6"/>
    <w:rsid w:val="00CF766D"/>
    <w:rsid w:val="00CF78E3"/>
    <w:rsid w:val="00CF7ADA"/>
    <w:rsid w:val="00D00ADB"/>
    <w:rsid w:val="00D00BF2"/>
    <w:rsid w:val="00D00FC2"/>
    <w:rsid w:val="00D013D7"/>
    <w:rsid w:val="00D01708"/>
    <w:rsid w:val="00D01C89"/>
    <w:rsid w:val="00D01DC1"/>
    <w:rsid w:val="00D02199"/>
    <w:rsid w:val="00D02244"/>
    <w:rsid w:val="00D02869"/>
    <w:rsid w:val="00D02D96"/>
    <w:rsid w:val="00D03DC1"/>
    <w:rsid w:val="00D04119"/>
    <w:rsid w:val="00D043E5"/>
    <w:rsid w:val="00D045CB"/>
    <w:rsid w:val="00D04671"/>
    <w:rsid w:val="00D047D4"/>
    <w:rsid w:val="00D047F6"/>
    <w:rsid w:val="00D052C6"/>
    <w:rsid w:val="00D053B8"/>
    <w:rsid w:val="00D05530"/>
    <w:rsid w:val="00D06082"/>
    <w:rsid w:val="00D0656F"/>
    <w:rsid w:val="00D06BE5"/>
    <w:rsid w:val="00D06EF2"/>
    <w:rsid w:val="00D10691"/>
    <w:rsid w:val="00D1078E"/>
    <w:rsid w:val="00D10FBF"/>
    <w:rsid w:val="00D11B5E"/>
    <w:rsid w:val="00D12480"/>
    <w:rsid w:val="00D1274C"/>
    <w:rsid w:val="00D12C08"/>
    <w:rsid w:val="00D12D4C"/>
    <w:rsid w:val="00D158F8"/>
    <w:rsid w:val="00D15B74"/>
    <w:rsid w:val="00D161C0"/>
    <w:rsid w:val="00D173D2"/>
    <w:rsid w:val="00D17767"/>
    <w:rsid w:val="00D17ABD"/>
    <w:rsid w:val="00D17B78"/>
    <w:rsid w:val="00D2030E"/>
    <w:rsid w:val="00D2059D"/>
    <w:rsid w:val="00D20ADA"/>
    <w:rsid w:val="00D20E94"/>
    <w:rsid w:val="00D20F3F"/>
    <w:rsid w:val="00D20F55"/>
    <w:rsid w:val="00D219C7"/>
    <w:rsid w:val="00D21C0C"/>
    <w:rsid w:val="00D220D8"/>
    <w:rsid w:val="00D22886"/>
    <w:rsid w:val="00D22B69"/>
    <w:rsid w:val="00D22EB3"/>
    <w:rsid w:val="00D22FF5"/>
    <w:rsid w:val="00D23817"/>
    <w:rsid w:val="00D23A7B"/>
    <w:rsid w:val="00D23CDD"/>
    <w:rsid w:val="00D23D9C"/>
    <w:rsid w:val="00D246D0"/>
    <w:rsid w:val="00D24AF9"/>
    <w:rsid w:val="00D2505B"/>
    <w:rsid w:val="00D25E16"/>
    <w:rsid w:val="00D2616A"/>
    <w:rsid w:val="00D27AA8"/>
    <w:rsid w:val="00D27C83"/>
    <w:rsid w:val="00D301AC"/>
    <w:rsid w:val="00D302DF"/>
    <w:rsid w:val="00D3034B"/>
    <w:rsid w:val="00D30ED5"/>
    <w:rsid w:val="00D3157F"/>
    <w:rsid w:val="00D31899"/>
    <w:rsid w:val="00D319D2"/>
    <w:rsid w:val="00D31D45"/>
    <w:rsid w:val="00D31DA7"/>
    <w:rsid w:val="00D32ABC"/>
    <w:rsid w:val="00D330DB"/>
    <w:rsid w:val="00D3372F"/>
    <w:rsid w:val="00D33BC8"/>
    <w:rsid w:val="00D346A3"/>
    <w:rsid w:val="00D34D2F"/>
    <w:rsid w:val="00D361D5"/>
    <w:rsid w:val="00D36A79"/>
    <w:rsid w:val="00D3776B"/>
    <w:rsid w:val="00D37DC0"/>
    <w:rsid w:val="00D4031A"/>
    <w:rsid w:val="00D4082B"/>
    <w:rsid w:val="00D408B4"/>
    <w:rsid w:val="00D41091"/>
    <w:rsid w:val="00D4178E"/>
    <w:rsid w:val="00D41AFF"/>
    <w:rsid w:val="00D41C8C"/>
    <w:rsid w:val="00D421F3"/>
    <w:rsid w:val="00D424C6"/>
    <w:rsid w:val="00D43DEC"/>
    <w:rsid w:val="00D43E85"/>
    <w:rsid w:val="00D4401A"/>
    <w:rsid w:val="00D44828"/>
    <w:rsid w:val="00D45602"/>
    <w:rsid w:val="00D47072"/>
    <w:rsid w:val="00D47D37"/>
    <w:rsid w:val="00D47FCA"/>
    <w:rsid w:val="00D521BD"/>
    <w:rsid w:val="00D534CB"/>
    <w:rsid w:val="00D535F1"/>
    <w:rsid w:val="00D53802"/>
    <w:rsid w:val="00D53A67"/>
    <w:rsid w:val="00D54052"/>
    <w:rsid w:val="00D546EF"/>
    <w:rsid w:val="00D5473A"/>
    <w:rsid w:val="00D548D9"/>
    <w:rsid w:val="00D54C43"/>
    <w:rsid w:val="00D54EFF"/>
    <w:rsid w:val="00D55614"/>
    <w:rsid w:val="00D572D5"/>
    <w:rsid w:val="00D57997"/>
    <w:rsid w:val="00D57C41"/>
    <w:rsid w:val="00D57F7C"/>
    <w:rsid w:val="00D57F92"/>
    <w:rsid w:val="00D6122C"/>
    <w:rsid w:val="00D61295"/>
    <w:rsid w:val="00D615A7"/>
    <w:rsid w:val="00D61892"/>
    <w:rsid w:val="00D61E0B"/>
    <w:rsid w:val="00D6332A"/>
    <w:rsid w:val="00D63E4E"/>
    <w:rsid w:val="00D63F85"/>
    <w:rsid w:val="00D64002"/>
    <w:rsid w:val="00D6490A"/>
    <w:rsid w:val="00D64BE2"/>
    <w:rsid w:val="00D656C6"/>
    <w:rsid w:val="00D66190"/>
    <w:rsid w:val="00D661A2"/>
    <w:rsid w:val="00D665EE"/>
    <w:rsid w:val="00D67E42"/>
    <w:rsid w:val="00D701E8"/>
    <w:rsid w:val="00D702CE"/>
    <w:rsid w:val="00D7031D"/>
    <w:rsid w:val="00D70411"/>
    <w:rsid w:val="00D704C2"/>
    <w:rsid w:val="00D7062D"/>
    <w:rsid w:val="00D71378"/>
    <w:rsid w:val="00D7196C"/>
    <w:rsid w:val="00D71995"/>
    <w:rsid w:val="00D71C17"/>
    <w:rsid w:val="00D7262A"/>
    <w:rsid w:val="00D73A9D"/>
    <w:rsid w:val="00D73D8E"/>
    <w:rsid w:val="00D74FF8"/>
    <w:rsid w:val="00D7500A"/>
    <w:rsid w:val="00D756B1"/>
    <w:rsid w:val="00D757E8"/>
    <w:rsid w:val="00D758CE"/>
    <w:rsid w:val="00D75B38"/>
    <w:rsid w:val="00D764A5"/>
    <w:rsid w:val="00D76BA1"/>
    <w:rsid w:val="00D77FFB"/>
    <w:rsid w:val="00D80DBD"/>
    <w:rsid w:val="00D8113C"/>
    <w:rsid w:val="00D81212"/>
    <w:rsid w:val="00D815B5"/>
    <w:rsid w:val="00D816BF"/>
    <w:rsid w:val="00D81973"/>
    <w:rsid w:val="00D81DAB"/>
    <w:rsid w:val="00D821B4"/>
    <w:rsid w:val="00D82422"/>
    <w:rsid w:val="00D82C97"/>
    <w:rsid w:val="00D83013"/>
    <w:rsid w:val="00D834BC"/>
    <w:rsid w:val="00D83A1C"/>
    <w:rsid w:val="00D83A4E"/>
    <w:rsid w:val="00D8464D"/>
    <w:rsid w:val="00D85BE1"/>
    <w:rsid w:val="00D85E77"/>
    <w:rsid w:val="00D876B0"/>
    <w:rsid w:val="00D87711"/>
    <w:rsid w:val="00D87810"/>
    <w:rsid w:val="00D8793A"/>
    <w:rsid w:val="00D8799B"/>
    <w:rsid w:val="00D87D56"/>
    <w:rsid w:val="00D909F1"/>
    <w:rsid w:val="00D90AD5"/>
    <w:rsid w:val="00D911E6"/>
    <w:rsid w:val="00D91989"/>
    <w:rsid w:val="00D92660"/>
    <w:rsid w:val="00D92B72"/>
    <w:rsid w:val="00D93187"/>
    <w:rsid w:val="00D937FE"/>
    <w:rsid w:val="00D944C1"/>
    <w:rsid w:val="00D94B05"/>
    <w:rsid w:val="00D95AD4"/>
    <w:rsid w:val="00D95CC8"/>
    <w:rsid w:val="00D97D83"/>
    <w:rsid w:val="00DA00AB"/>
    <w:rsid w:val="00DA0C4F"/>
    <w:rsid w:val="00DA1022"/>
    <w:rsid w:val="00DA12B5"/>
    <w:rsid w:val="00DA1A1C"/>
    <w:rsid w:val="00DA2A94"/>
    <w:rsid w:val="00DA3D26"/>
    <w:rsid w:val="00DA4556"/>
    <w:rsid w:val="00DA4678"/>
    <w:rsid w:val="00DA4CA7"/>
    <w:rsid w:val="00DA5593"/>
    <w:rsid w:val="00DA56CD"/>
    <w:rsid w:val="00DA5DB8"/>
    <w:rsid w:val="00DA7202"/>
    <w:rsid w:val="00DA72B2"/>
    <w:rsid w:val="00DA72BA"/>
    <w:rsid w:val="00DB066B"/>
    <w:rsid w:val="00DB0A2D"/>
    <w:rsid w:val="00DB1712"/>
    <w:rsid w:val="00DB1750"/>
    <w:rsid w:val="00DB1893"/>
    <w:rsid w:val="00DB194D"/>
    <w:rsid w:val="00DB200D"/>
    <w:rsid w:val="00DB3268"/>
    <w:rsid w:val="00DB3517"/>
    <w:rsid w:val="00DB36C4"/>
    <w:rsid w:val="00DB3D37"/>
    <w:rsid w:val="00DB3ED8"/>
    <w:rsid w:val="00DB3F45"/>
    <w:rsid w:val="00DB412A"/>
    <w:rsid w:val="00DB450C"/>
    <w:rsid w:val="00DB4806"/>
    <w:rsid w:val="00DB4E5B"/>
    <w:rsid w:val="00DB5819"/>
    <w:rsid w:val="00DB5A12"/>
    <w:rsid w:val="00DB6E48"/>
    <w:rsid w:val="00DC090E"/>
    <w:rsid w:val="00DC0A9B"/>
    <w:rsid w:val="00DC1018"/>
    <w:rsid w:val="00DC10F1"/>
    <w:rsid w:val="00DC19E9"/>
    <w:rsid w:val="00DC2A89"/>
    <w:rsid w:val="00DC2F09"/>
    <w:rsid w:val="00DC30B4"/>
    <w:rsid w:val="00DC33F3"/>
    <w:rsid w:val="00DC39C3"/>
    <w:rsid w:val="00DC3B2B"/>
    <w:rsid w:val="00DC4179"/>
    <w:rsid w:val="00DC531C"/>
    <w:rsid w:val="00DC5577"/>
    <w:rsid w:val="00DC5912"/>
    <w:rsid w:val="00DC5B57"/>
    <w:rsid w:val="00DC603C"/>
    <w:rsid w:val="00DC632F"/>
    <w:rsid w:val="00DC6401"/>
    <w:rsid w:val="00DC70E0"/>
    <w:rsid w:val="00DC72D5"/>
    <w:rsid w:val="00DC7B98"/>
    <w:rsid w:val="00DC7D73"/>
    <w:rsid w:val="00DD10F0"/>
    <w:rsid w:val="00DD1817"/>
    <w:rsid w:val="00DD1DC5"/>
    <w:rsid w:val="00DD22C6"/>
    <w:rsid w:val="00DD23F5"/>
    <w:rsid w:val="00DD2E24"/>
    <w:rsid w:val="00DD3848"/>
    <w:rsid w:val="00DD3B29"/>
    <w:rsid w:val="00DD48BC"/>
    <w:rsid w:val="00DD50ED"/>
    <w:rsid w:val="00DD63CC"/>
    <w:rsid w:val="00DD6723"/>
    <w:rsid w:val="00DD7966"/>
    <w:rsid w:val="00DD79D4"/>
    <w:rsid w:val="00DD7C59"/>
    <w:rsid w:val="00DD7F4E"/>
    <w:rsid w:val="00DE01E7"/>
    <w:rsid w:val="00DE093A"/>
    <w:rsid w:val="00DE0986"/>
    <w:rsid w:val="00DE0BAA"/>
    <w:rsid w:val="00DE1814"/>
    <w:rsid w:val="00DE1C1F"/>
    <w:rsid w:val="00DE2756"/>
    <w:rsid w:val="00DE27B7"/>
    <w:rsid w:val="00DE32CE"/>
    <w:rsid w:val="00DE32F2"/>
    <w:rsid w:val="00DE5B7B"/>
    <w:rsid w:val="00DE715A"/>
    <w:rsid w:val="00DE71FE"/>
    <w:rsid w:val="00DE7437"/>
    <w:rsid w:val="00DE7A6D"/>
    <w:rsid w:val="00DF0054"/>
    <w:rsid w:val="00DF0492"/>
    <w:rsid w:val="00DF06CC"/>
    <w:rsid w:val="00DF0982"/>
    <w:rsid w:val="00DF153C"/>
    <w:rsid w:val="00DF1B1D"/>
    <w:rsid w:val="00DF1FAE"/>
    <w:rsid w:val="00DF1FB1"/>
    <w:rsid w:val="00DF262E"/>
    <w:rsid w:val="00DF277B"/>
    <w:rsid w:val="00DF5A84"/>
    <w:rsid w:val="00DF5E7E"/>
    <w:rsid w:val="00DF674A"/>
    <w:rsid w:val="00DF6815"/>
    <w:rsid w:val="00DF6854"/>
    <w:rsid w:val="00DF68FA"/>
    <w:rsid w:val="00DF6F04"/>
    <w:rsid w:val="00DF7320"/>
    <w:rsid w:val="00DF793B"/>
    <w:rsid w:val="00DF7C25"/>
    <w:rsid w:val="00E0198C"/>
    <w:rsid w:val="00E01A40"/>
    <w:rsid w:val="00E01A9A"/>
    <w:rsid w:val="00E02096"/>
    <w:rsid w:val="00E026CC"/>
    <w:rsid w:val="00E026E6"/>
    <w:rsid w:val="00E032B4"/>
    <w:rsid w:val="00E0337C"/>
    <w:rsid w:val="00E03623"/>
    <w:rsid w:val="00E04198"/>
    <w:rsid w:val="00E04F8C"/>
    <w:rsid w:val="00E0599D"/>
    <w:rsid w:val="00E06341"/>
    <w:rsid w:val="00E06D98"/>
    <w:rsid w:val="00E073D3"/>
    <w:rsid w:val="00E07585"/>
    <w:rsid w:val="00E07667"/>
    <w:rsid w:val="00E07B68"/>
    <w:rsid w:val="00E104AF"/>
    <w:rsid w:val="00E105F8"/>
    <w:rsid w:val="00E1092D"/>
    <w:rsid w:val="00E10FAE"/>
    <w:rsid w:val="00E11405"/>
    <w:rsid w:val="00E114A1"/>
    <w:rsid w:val="00E116B1"/>
    <w:rsid w:val="00E119E9"/>
    <w:rsid w:val="00E1278C"/>
    <w:rsid w:val="00E13551"/>
    <w:rsid w:val="00E14087"/>
    <w:rsid w:val="00E14360"/>
    <w:rsid w:val="00E143E7"/>
    <w:rsid w:val="00E14867"/>
    <w:rsid w:val="00E14C30"/>
    <w:rsid w:val="00E15168"/>
    <w:rsid w:val="00E15230"/>
    <w:rsid w:val="00E155CC"/>
    <w:rsid w:val="00E15B7C"/>
    <w:rsid w:val="00E15C98"/>
    <w:rsid w:val="00E161CE"/>
    <w:rsid w:val="00E16AC1"/>
    <w:rsid w:val="00E16ED0"/>
    <w:rsid w:val="00E17274"/>
    <w:rsid w:val="00E1754C"/>
    <w:rsid w:val="00E1761E"/>
    <w:rsid w:val="00E178B0"/>
    <w:rsid w:val="00E204C9"/>
    <w:rsid w:val="00E20830"/>
    <w:rsid w:val="00E20AC8"/>
    <w:rsid w:val="00E20E27"/>
    <w:rsid w:val="00E213F6"/>
    <w:rsid w:val="00E22024"/>
    <w:rsid w:val="00E22A05"/>
    <w:rsid w:val="00E22F6B"/>
    <w:rsid w:val="00E23F1F"/>
    <w:rsid w:val="00E2436C"/>
    <w:rsid w:val="00E2462F"/>
    <w:rsid w:val="00E24EF1"/>
    <w:rsid w:val="00E25B57"/>
    <w:rsid w:val="00E2742D"/>
    <w:rsid w:val="00E27780"/>
    <w:rsid w:val="00E27E40"/>
    <w:rsid w:val="00E30467"/>
    <w:rsid w:val="00E30786"/>
    <w:rsid w:val="00E31106"/>
    <w:rsid w:val="00E314DD"/>
    <w:rsid w:val="00E32A37"/>
    <w:rsid w:val="00E32BAE"/>
    <w:rsid w:val="00E32CD6"/>
    <w:rsid w:val="00E3310B"/>
    <w:rsid w:val="00E3325C"/>
    <w:rsid w:val="00E334F5"/>
    <w:rsid w:val="00E33AF3"/>
    <w:rsid w:val="00E33C3B"/>
    <w:rsid w:val="00E3401C"/>
    <w:rsid w:val="00E34ED7"/>
    <w:rsid w:val="00E3560C"/>
    <w:rsid w:val="00E356B6"/>
    <w:rsid w:val="00E367D4"/>
    <w:rsid w:val="00E36934"/>
    <w:rsid w:val="00E373C0"/>
    <w:rsid w:val="00E37F64"/>
    <w:rsid w:val="00E4054B"/>
    <w:rsid w:val="00E40C4B"/>
    <w:rsid w:val="00E4104B"/>
    <w:rsid w:val="00E41135"/>
    <w:rsid w:val="00E412DF"/>
    <w:rsid w:val="00E4425F"/>
    <w:rsid w:val="00E44839"/>
    <w:rsid w:val="00E4538B"/>
    <w:rsid w:val="00E45DEA"/>
    <w:rsid w:val="00E5002E"/>
    <w:rsid w:val="00E50A6F"/>
    <w:rsid w:val="00E516EA"/>
    <w:rsid w:val="00E51A12"/>
    <w:rsid w:val="00E51C8C"/>
    <w:rsid w:val="00E52448"/>
    <w:rsid w:val="00E54B25"/>
    <w:rsid w:val="00E54E03"/>
    <w:rsid w:val="00E54F4F"/>
    <w:rsid w:val="00E54F90"/>
    <w:rsid w:val="00E5526F"/>
    <w:rsid w:val="00E55A01"/>
    <w:rsid w:val="00E55F4E"/>
    <w:rsid w:val="00E56A7E"/>
    <w:rsid w:val="00E56C72"/>
    <w:rsid w:val="00E574DD"/>
    <w:rsid w:val="00E5755E"/>
    <w:rsid w:val="00E6029F"/>
    <w:rsid w:val="00E604C6"/>
    <w:rsid w:val="00E615A2"/>
    <w:rsid w:val="00E61614"/>
    <w:rsid w:val="00E61EF5"/>
    <w:rsid w:val="00E62279"/>
    <w:rsid w:val="00E622DE"/>
    <w:rsid w:val="00E625A8"/>
    <w:rsid w:val="00E63E9E"/>
    <w:rsid w:val="00E63FC3"/>
    <w:rsid w:val="00E64750"/>
    <w:rsid w:val="00E648DF"/>
    <w:rsid w:val="00E6518E"/>
    <w:rsid w:val="00E6522C"/>
    <w:rsid w:val="00E65AA5"/>
    <w:rsid w:val="00E65D67"/>
    <w:rsid w:val="00E65D98"/>
    <w:rsid w:val="00E66D0E"/>
    <w:rsid w:val="00E709C8"/>
    <w:rsid w:val="00E71675"/>
    <w:rsid w:val="00E716B0"/>
    <w:rsid w:val="00E71B64"/>
    <w:rsid w:val="00E71E95"/>
    <w:rsid w:val="00E72325"/>
    <w:rsid w:val="00E73255"/>
    <w:rsid w:val="00E7535D"/>
    <w:rsid w:val="00E7571F"/>
    <w:rsid w:val="00E75856"/>
    <w:rsid w:val="00E75922"/>
    <w:rsid w:val="00E76504"/>
    <w:rsid w:val="00E76559"/>
    <w:rsid w:val="00E7655E"/>
    <w:rsid w:val="00E76714"/>
    <w:rsid w:val="00E772DD"/>
    <w:rsid w:val="00E7771D"/>
    <w:rsid w:val="00E77DF4"/>
    <w:rsid w:val="00E80156"/>
    <w:rsid w:val="00E807A3"/>
    <w:rsid w:val="00E80FB6"/>
    <w:rsid w:val="00E819C1"/>
    <w:rsid w:val="00E82C1B"/>
    <w:rsid w:val="00E831E0"/>
    <w:rsid w:val="00E83387"/>
    <w:rsid w:val="00E83A08"/>
    <w:rsid w:val="00E83E66"/>
    <w:rsid w:val="00E84C02"/>
    <w:rsid w:val="00E850F7"/>
    <w:rsid w:val="00E85886"/>
    <w:rsid w:val="00E85963"/>
    <w:rsid w:val="00E859D0"/>
    <w:rsid w:val="00E86073"/>
    <w:rsid w:val="00E8629D"/>
    <w:rsid w:val="00E86B25"/>
    <w:rsid w:val="00E86B44"/>
    <w:rsid w:val="00E90C19"/>
    <w:rsid w:val="00E90F60"/>
    <w:rsid w:val="00E911D4"/>
    <w:rsid w:val="00E93511"/>
    <w:rsid w:val="00E94C96"/>
    <w:rsid w:val="00E954A1"/>
    <w:rsid w:val="00E96263"/>
    <w:rsid w:val="00E96A15"/>
    <w:rsid w:val="00E96B5D"/>
    <w:rsid w:val="00E96D33"/>
    <w:rsid w:val="00E96D75"/>
    <w:rsid w:val="00E96E87"/>
    <w:rsid w:val="00E975A1"/>
    <w:rsid w:val="00E97C7F"/>
    <w:rsid w:val="00EA0274"/>
    <w:rsid w:val="00EA09A2"/>
    <w:rsid w:val="00EA0AB2"/>
    <w:rsid w:val="00EA11B2"/>
    <w:rsid w:val="00EA18FF"/>
    <w:rsid w:val="00EA1A00"/>
    <w:rsid w:val="00EA1D07"/>
    <w:rsid w:val="00EA2CBA"/>
    <w:rsid w:val="00EA2EB4"/>
    <w:rsid w:val="00EA4586"/>
    <w:rsid w:val="00EA4F7E"/>
    <w:rsid w:val="00EA5077"/>
    <w:rsid w:val="00EA50CC"/>
    <w:rsid w:val="00EA55FA"/>
    <w:rsid w:val="00EA5BB4"/>
    <w:rsid w:val="00EA6941"/>
    <w:rsid w:val="00EA6E97"/>
    <w:rsid w:val="00EA7EEE"/>
    <w:rsid w:val="00EA7FED"/>
    <w:rsid w:val="00EB0103"/>
    <w:rsid w:val="00EB0382"/>
    <w:rsid w:val="00EB1166"/>
    <w:rsid w:val="00EB1209"/>
    <w:rsid w:val="00EB186E"/>
    <w:rsid w:val="00EB1B8B"/>
    <w:rsid w:val="00EB1BC7"/>
    <w:rsid w:val="00EB2590"/>
    <w:rsid w:val="00EB25D0"/>
    <w:rsid w:val="00EB2988"/>
    <w:rsid w:val="00EB3DDA"/>
    <w:rsid w:val="00EB4D36"/>
    <w:rsid w:val="00EB56BE"/>
    <w:rsid w:val="00EB584A"/>
    <w:rsid w:val="00EB6519"/>
    <w:rsid w:val="00EB6E40"/>
    <w:rsid w:val="00EB6F5F"/>
    <w:rsid w:val="00EB744D"/>
    <w:rsid w:val="00EB75B1"/>
    <w:rsid w:val="00EC0C81"/>
    <w:rsid w:val="00EC1238"/>
    <w:rsid w:val="00EC13BF"/>
    <w:rsid w:val="00EC1617"/>
    <w:rsid w:val="00EC2D09"/>
    <w:rsid w:val="00EC2DB0"/>
    <w:rsid w:val="00EC3296"/>
    <w:rsid w:val="00EC3612"/>
    <w:rsid w:val="00EC3635"/>
    <w:rsid w:val="00EC38A3"/>
    <w:rsid w:val="00EC3BC2"/>
    <w:rsid w:val="00EC44A3"/>
    <w:rsid w:val="00EC45EE"/>
    <w:rsid w:val="00EC4F96"/>
    <w:rsid w:val="00EC53B1"/>
    <w:rsid w:val="00EC5428"/>
    <w:rsid w:val="00EC5BD6"/>
    <w:rsid w:val="00EC6041"/>
    <w:rsid w:val="00EC65B9"/>
    <w:rsid w:val="00EC6820"/>
    <w:rsid w:val="00EC71B4"/>
    <w:rsid w:val="00ED09EB"/>
    <w:rsid w:val="00ED1E85"/>
    <w:rsid w:val="00ED21F7"/>
    <w:rsid w:val="00ED2F36"/>
    <w:rsid w:val="00ED315A"/>
    <w:rsid w:val="00ED3B77"/>
    <w:rsid w:val="00ED40D1"/>
    <w:rsid w:val="00ED4329"/>
    <w:rsid w:val="00ED462B"/>
    <w:rsid w:val="00ED4784"/>
    <w:rsid w:val="00ED4BB0"/>
    <w:rsid w:val="00ED4CF2"/>
    <w:rsid w:val="00ED53F2"/>
    <w:rsid w:val="00ED618D"/>
    <w:rsid w:val="00ED62B5"/>
    <w:rsid w:val="00ED687E"/>
    <w:rsid w:val="00ED6DF5"/>
    <w:rsid w:val="00ED71D4"/>
    <w:rsid w:val="00ED7C0E"/>
    <w:rsid w:val="00ED7FC0"/>
    <w:rsid w:val="00EE0810"/>
    <w:rsid w:val="00EE17FE"/>
    <w:rsid w:val="00EE1C1F"/>
    <w:rsid w:val="00EE22C7"/>
    <w:rsid w:val="00EE2A7B"/>
    <w:rsid w:val="00EE4289"/>
    <w:rsid w:val="00EE531D"/>
    <w:rsid w:val="00EE5A8D"/>
    <w:rsid w:val="00EE6459"/>
    <w:rsid w:val="00EE6FE4"/>
    <w:rsid w:val="00EE77D6"/>
    <w:rsid w:val="00EF132E"/>
    <w:rsid w:val="00EF136D"/>
    <w:rsid w:val="00EF1554"/>
    <w:rsid w:val="00EF1FEE"/>
    <w:rsid w:val="00EF2A05"/>
    <w:rsid w:val="00EF2D06"/>
    <w:rsid w:val="00EF33DE"/>
    <w:rsid w:val="00EF3A49"/>
    <w:rsid w:val="00EF42B9"/>
    <w:rsid w:val="00EF4639"/>
    <w:rsid w:val="00EF548E"/>
    <w:rsid w:val="00EF6383"/>
    <w:rsid w:val="00EF7188"/>
    <w:rsid w:val="00EF743A"/>
    <w:rsid w:val="00EF74FC"/>
    <w:rsid w:val="00EF7783"/>
    <w:rsid w:val="00EF7846"/>
    <w:rsid w:val="00EF7C66"/>
    <w:rsid w:val="00EF7D8F"/>
    <w:rsid w:val="00F007DF"/>
    <w:rsid w:val="00F00D3C"/>
    <w:rsid w:val="00F01528"/>
    <w:rsid w:val="00F03AFE"/>
    <w:rsid w:val="00F04546"/>
    <w:rsid w:val="00F0486D"/>
    <w:rsid w:val="00F05D84"/>
    <w:rsid w:val="00F06FCF"/>
    <w:rsid w:val="00F0738C"/>
    <w:rsid w:val="00F10976"/>
    <w:rsid w:val="00F11E24"/>
    <w:rsid w:val="00F1213C"/>
    <w:rsid w:val="00F12D8C"/>
    <w:rsid w:val="00F130AF"/>
    <w:rsid w:val="00F134D2"/>
    <w:rsid w:val="00F13507"/>
    <w:rsid w:val="00F13615"/>
    <w:rsid w:val="00F14985"/>
    <w:rsid w:val="00F162FA"/>
    <w:rsid w:val="00F17B36"/>
    <w:rsid w:val="00F206B7"/>
    <w:rsid w:val="00F20FB7"/>
    <w:rsid w:val="00F21056"/>
    <w:rsid w:val="00F21194"/>
    <w:rsid w:val="00F220C1"/>
    <w:rsid w:val="00F227F2"/>
    <w:rsid w:val="00F23B27"/>
    <w:rsid w:val="00F23C94"/>
    <w:rsid w:val="00F24401"/>
    <w:rsid w:val="00F244AE"/>
    <w:rsid w:val="00F245F4"/>
    <w:rsid w:val="00F247B1"/>
    <w:rsid w:val="00F247EB"/>
    <w:rsid w:val="00F25573"/>
    <w:rsid w:val="00F25CCB"/>
    <w:rsid w:val="00F25CED"/>
    <w:rsid w:val="00F263A9"/>
    <w:rsid w:val="00F263C6"/>
    <w:rsid w:val="00F27EE1"/>
    <w:rsid w:val="00F3030A"/>
    <w:rsid w:val="00F31064"/>
    <w:rsid w:val="00F31D66"/>
    <w:rsid w:val="00F3237A"/>
    <w:rsid w:val="00F32434"/>
    <w:rsid w:val="00F3265A"/>
    <w:rsid w:val="00F32C67"/>
    <w:rsid w:val="00F33488"/>
    <w:rsid w:val="00F33F6B"/>
    <w:rsid w:val="00F34006"/>
    <w:rsid w:val="00F341C7"/>
    <w:rsid w:val="00F34918"/>
    <w:rsid w:val="00F35616"/>
    <w:rsid w:val="00F3591C"/>
    <w:rsid w:val="00F372EF"/>
    <w:rsid w:val="00F37648"/>
    <w:rsid w:val="00F37BB5"/>
    <w:rsid w:val="00F37DBB"/>
    <w:rsid w:val="00F40BFD"/>
    <w:rsid w:val="00F40C3A"/>
    <w:rsid w:val="00F40CFB"/>
    <w:rsid w:val="00F40DB4"/>
    <w:rsid w:val="00F40EE1"/>
    <w:rsid w:val="00F41A2F"/>
    <w:rsid w:val="00F41A5B"/>
    <w:rsid w:val="00F426FB"/>
    <w:rsid w:val="00F42A89"/>
    <w:rsid w:val="00F42BAA"/>
    <w:rsid w:val="00F436F7"/>
    <w:rsid w:val="00F43832"/>
    <w:rsid w:val="00F43878"/>
    <w:rsid w:val="00F43953"/>
    <w:rsid w:val="00F43F15"/>
    <w:rsid w:val="00F44087"/>
    <w:rsid w:val="00F44476"/>
    <w:rsid w:val="00F44781"/>
    <w:rsid w:val="00F45744"/>
    <w:rsid w:val="00F458AB"/>
    <w:rsid w:val="00F459F5"/>
    <w:rsid w:val="00F45D32"/>
    <w:rsid w:val="00F45E87"/>
    <w:rsid w:val="00F45FAD"/>
    <w:rsid w:val="00F46135"/>
    <w:rsid w:val="00F461FF"/>
    <w:rsid w:val="00F474AB"/>
    <w:rsid w:val="00F475F0"/>
    <w:rsid w:val="00F4764E"/>
    <w:rsid w:val="00F47F06"/>
    <w:rsid w:val="00F500C3"/>
    <w:rsid w:val="00F50A1A"/>
    <w:rsid w:val="00F515C0"/>
    <w:rsid w:val="00F5174D"/>
    <w:rsid w:val="00F523E9"/>
    <w:rsid w:val="00F52E08"/>
    <w:rsid w:val="00F52F4D"/>
    <w:rsid w:val="00F53C28"/>
    <w:rsid w:val="00F54723"/>
    <w:rsid w:val="00F54843"/>
    <w:rsid w:val="00F54F79"/>
    <w:rsid w:val="00F5506B"/>
    <w:rsid w:val="00F55529"/>
    <w:rsid w:val="00F563CC"/>
    <w:rsid w:val="00F5696E"/>
    <w:rsid w:val="00F56EC2"/>
    <w:rsid w:val="00F60487"/>
    <w:rsid w:val="00F60523"/>
    <w:rsid w:val="00F60906"/>
    <w:rsid w:val="00F60E65"/>
    <w:rsid w:val="00F61119"/>
    <w:rsid w:val="00F61807"/>
    <w:rsid w:val="00F61DA1"/>
    <w:rsid w:val="00F61DF0"/>
    <w:rsid w:val="00F62826"/>
    <w:rsid w:val="00F634EF"/>
    <w:rsid w:val="00F635A7"/>
    <w:rsid w:val="00F638B1"/>
    <w:rsid w:val="00F63E7E"/>
    <w:rsid w:val="00F64187"/>
    <w:rsid w:val="00F645A7"/>
    <w:rsid w:val="00F648C7"/>
    <w:rsid w:val="00F64E41"/>
    <w:rsid w:val="00F65E96"/>
    <w:rsid w:val="00F66842"/>
    <w:rsid w:val="00F67A42"/>
    <w:rsid w:val="00F67BA7"/>
    <w:rsid w:val="00F67D35"/>
    <w:rsid w:val="00F700BC"/>
    <w:rsid w:val="00F71C01"/>
    <w:rsid w:val="00F7289E"/>
    <w:rsid w:val="00F72A74"/>
    <w:rsid w:val="00F72DC7"/>
    <w:rsid w:val="00F73961"/>
    <w:rsid w:val="00F74C22"/>
    <w:rsid w:val="00F756AB"/>
    <w:rsid w:val="00F75FE0"/>
    <w:rsid w:val="00F7604E"/>
    <w:rsid w:val="00F76A81"/>
    <w:rsid w:val="00F76C85"/>
    <w:rsid w:val="00F76FCC"/>
    <w:rsid w:val="00F77790"/>
    <w:rsid w:val="00F77807"/>
    <w:rsid w:val="00F77F12"/>
    <w:rsid w:val="00F808DA"/>
    <w:rsid w:val="00F80F65"/>
    <w:rsid w:val="00F811C5"/>
    <w:rsid w:val="00F81EE2"/>
    <w:rsid w:val="00F81F20"/>
    <w:rsid w:val="00F82A73"/>
    <w:rsid w:val="00F833E0"/>
    <w:rsid w:val="00F83CCE"/>
    <w:rsid w:val="00F83D50"/>
    <w:rsid w:val="00F843EA"/>
    <w:rsid w:val="00F8532B"/>
    <w:rsid w:val="00F85A4D"/>
    <w:rsid w:val="00F86301"/>
    <w:rsid w:val="00F868F4"/>
    <w:rsid w:val="00F86985"/>
    <w:rsid w:val="00F87F7A"/>
    <w:rsid w:val="00F9026C"/>
    <w:rsid w:val="00F90EDD"/>
    <w:rsid w:val="00F91146"/>
    <w:rsid w:val="00F912C4"/>
    <w:rsid w:val="00F91938"/>
    <w:rsid w:val="00F91FCE"/>
    <w:rsid w:val="00F9356C"/>
    <w:rsid w:val="00F94265"/>
    <w:rsid w:val="00F94722"/>
    <w:rsid w:val="00F94A15"/>
    <w:rsid w:val="00F95A4B"/>
    <w:rsid w:val="00F97653"/>
    <w:rsid w:val="00FA0396"/>
    <w:rsid w:val="00FA1F41"/>
    <w:rsid w:val="00FA20DD"/>
    <w:rsid w:val="00FA2432"/>
    <w:rsid w:val="00FA250D"/>
    <w:rsid w:val="00FA265A"/>
    <w:rsid w:val="00FA2E61"/>
    <w:rsid w:val="00FA3094"/>
    <w:rsid w:val="00FA3846"/>
    <w:rsid w:val="00FA49F3"/>
    <w:rsid w:val="00FA4FD4"/>
    <w:rsid w:val="00FA5431"/>
    <w:rsid w:val="00FA54F3"/>
    <w:rsid w:val="00FA5D38"/>
    <w:rsid w:val="00FA5F78"/>
    <w:rsid w:val="00FA63D4"/>
    <w:rsid w:val="00FA6493"/>
    <w:rsid w:val="00FA64C1"/>
    <w:rsid w:val="00FA66D0"/>
    <w:rsid w:val="00FA6E6B"/>
    <w:rsid w:val="00FA771C"/>
    <w:rsid w:val="00FA7BF8"/>
    <w:rsid w:val="00FB0CED"/>
    <w:rsid w:val="00FB17C3"/>
    <w:rsid w:val="00FB3244"/>
    <w:rsid w:val="00FB361C"/>
    <w:rsid w:val="00FB416D"/>
    <w:rsid w:val="00FB4676"/>
    <w:rsid w:val="00FB52EB"/>
    <w:rsid w:val="00FB5A21"/>
    <w:rsid w:val="00FB62CF"/>
    <w:rsid w:val="00FB64F8"/>
    <w:rsid w:val="00FB765E"/>
    <w:rsid w:val="00FB781B"/>
    <w:rsid w:val="00FB798F"/>
    <w:rsid w:val="00FB7FCC"/>
    <w:rsid w:val="00FC012F"/>
    <w:rsid w:val="00FC05A3"/>
    <w:rsid w:val="00FC0DB0"/>
    <w:rsid w:val="00FC1F59"/>
    <w:rsid w:val="00FC2541"/>
    <w:rsid w:val="00FC25B9"/>
    <w:rsid w:val="00FC4021"/>
    <w:rsid w:val="00FC4B81"/>
    <w:rsid w:val="00FC54C4"/>
    <w:rsid w:val="00FC5C42"/>
    <w:rsid w:val="00FC628A"/>
    <w:rsid w:val="00FC6438"/>
    <w:rsid w:val="00FC67E9"/>
    <w:rsid w:val="00FC6DF4"/>
    <w:rsid w:val="00FC6E85"/>
    <w:rsid w:val="00FC733E"/>
    <w:rsid w:val="00FC78FE"/>
    <w:rsid w:val="00FC7F89"/>
    <w:rsid w:val="00FD0192"/>
    <w:rsid w:val="00FD0210"/>
    <w:rsid w:val="00FD05E1"/>
    <w:rsid w:val="00FD0905"/>
    <w:rsid w:val="00FD0E3C"/>
    <w:rsid w:val="00FD1487"/>
    <w:rsid w:val="00FD1550"/>
    <w:rsid w:val="00FD196B"/>
    <w:rsid w:val="00FD3BF5"/>
    <w:rsid w:val="00FD47E2"/>
    <w:rsid w:val="00FD5125"/>
    <w:rsid w:val="00FD512F"/>
    <w:rsid w:val="00FD5850"/>
    <w:rsid w:val="00FD6964"/>
    <w:rsid w:val="00FD6E46"/>
    <w:rsid w:val="00FD71C4"/>
    <w:rsid w:val="00FD77F4"/>
    <w:rsid w:val="00FE03A3"/>
    <w:rsid w:val="00FE0A60"/>
    <w:rsid w:val="00FE1E8D"/>
    <w:rsid w:val="00FE23EA"/>
    <w:rsid w:val="00FE2F98"/>
    <w:rsid w:val="00FE3C55"/>
    <w:rsid w:val="00FE3D56"/>
    <w:rsid w:val="00FE4088"/>
    <w:rsid w:val="00FE4611"/>
    <w:rsid w:val="00FE4682"/>
    <w:rsid w:val="00FE46A9"/>
    <w:rsid w:val="00FE4D1A"/>
    <w:rsid w:val="00FE518D"/>
    <w:rsid w:val="00FE5CAA"/>
    <w:rsid w:val="00FE630D"/>
    <w:rsid w:val="00FE6536"/>
    <w:rsid w:val="00FE67A0"/>
    <w:rsid w:val="00FE6AE2"/>
    <w:rsid w:val="00FE6FD9"/>
    <w:rsid w:val="00FE736D"/>
    <w:rsid w:val="00FE7656"/>
    <w:rsid w:val="00FE7FD8"/>
    <w:rsid w:val="00FF014A"/>
    <w:rsid w:val="00FF0BFE"/>
    <w:rsid w:val="00FF0E16"/>
    <w:rsid w:val="00FF1547"/>
    <w:rsid w:val="00FF17FD"/>
    <w:rsid w:val="00FF251E"/>
    <w:rsid w:val="00FF28E1"/>
    <w:rsid w:val="00FF2991"/>
    <w:rsid w:val="00FF2BE2"/>
    <w:rsid w:val="00FF3545"/>
    <w:rsid w:val="00FF3F99"/>
    <w:rsid w:val="00FF54DB"/>
    <w:rsid w:val="00FF6833"/>
    <w:rsid w:val="00FF71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AB194DB"/>
  <w14:defaultImageDpi w14:val="0"/>
  <w15:docId w15:val="{56F1731F-DF27-412F-A498-8C9F3E7C6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n-AU" w:eastAsia="en-AU"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annotation text" w:uiPriority="0"/>
    <w:lsdException w:name="header" w:locked="1"/>
    <w:lsdException w:name="caption" w:locked="1" w:semiHidden="1" w:uiPriority="0" w:unhideWhenUsed="1" w:qFormat="1"/>
    <w:lsdException w:name="annotation reference" w:uiPriority="0"/>
    <w:lsdException w:name="page number" w:locked="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1"/>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22" w:qFormat="1"/>
    <w:lsdException w:name="Emphasis" w:locked="1" w:uiPriority="20"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F6C4C"/>
    <w:pPr>
      <w:spacing w:after="200" w:line="276" w:lineRule="auto"/>
    </w:pPr>
    <w:rPr>
      <w:rFonts w:cs="Times New Roman"/>
      <w:sz w:val="22"/>
      <w:szCs w:val="22"/>
      <w:lang w:eastAsia="en-US"/>
    </w:rPr>
  </w:style>
  <w:style w:type="paragraph" w:styleId="Heading1">
    <w:name w:val="heading 1"/>
    <w:basedOn w:val="Normal"/>
    <w:next w:val="Normal"/>
    <w:link w:val="Heading1Char"/>
    <w:uiPriority w:val="9"/>
    <w:qFormat/>
    <w:locked/>
    <w:rsid w:val="008C225D"/>
    <w:pPr>
      <w:keepNext/>
      <w:keepLines/>
      <w:spacing w:before="120" w:after="120" w:line="240" w:lineRule="auto"/>
      <w:outlineLvl w:val="0"/>
    </w:pPr>
    <w:rPr>
      <w:rFonts w:ascii="Arial" w:eastAsiaTheme="majorEastAsia" w:hAnsi="Arial"/>
      <w:b/>
      <w:bCs/>
      <w:sz w:val="28"/>
      <w:szCs w:val="28"/>
    </w:rPr>
  </w:style>
  <w:style w:type="paragraph" w:styleId="Heading2">
    <w:name w:val="heading 2"/>
    <w:basedOn w:val="Normal"/>
    <w:next w:val="Normal"/>
    <w:link w:val="Heading2Char"/>
    <w:unhideWhenUsed/>
    <w:qFormat/>
    <w:locked/>
    <w:rsid w:val="008C225D"/>
    <w:pPr>
      <w:keepNext/>
      <w:keepLines/>
      <w:spacing w:before="120" w:after="120" w:line="240" w:lineRule="auto"/>
      <w:outlineLvl w:val="1"/>
    </w:pPr>
    <w:rPr>
      <w:rFonts w:ascii="Arial" w:eastAsiaTheme="majorEastAsia" w:hAnsi="Arial" w:cstheme="majorBidi"/>
      <w:b/>
      <w:sz w:val="24"/>
      <w:szCs w:val="26"/>
    </w:rPr>
  </w:style>
  <w:style w:type="paragraph" w:styleId="Heading3">
    <w:name w:val="heading 3"/>
    <w:basedOn w:val="Normal"/>
    <w:next w:val="Normal"/>
    <w:link w:val="Heading3Char"/>
    <w:unhideWhenUsed/>
    <w:qFormat/>
    <w:locked/>
    <w:rsid w:val="00C65E0C"/>
    <w:pPr>
      <w:keepNext/>
      <w:keepLines/>
      <w:spacing w:before="240" w:after="240" w:line="240" w:lineRule="auto"/>
      <w:outlineLvl w:val="2"/>
    </w:pPr>
    <w:rPr>
      <w:rFonts w:ascii="Arial" w:eastAsiaTheme="majorEastAsia" w:hAnsi="Arial" w:cstheme="majorBidi"/>
      <w:b/>
      <w:sz w:val="24"/>
      <w:szCs w:val="24"/>
    </w:rPr>
  </w:style>
  <w:style w:type="paragraph" w:styleId="Heading4">
    <w:name w:val="heading 4"/>
    <w:basedOn w:val="Normal"/>
    <w:next w:val="Normal"/>
    <w:link w:val="Heading4Char"/>
    <w:semiHidden/>
    <w:unhideWhenUsed/>
    <w:qFormat/>
    <w:locked/>
    <w:rsid w:val="00E574DD"/>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8">
    <w:name w:val="heading 8"/>
    <w:basedOn w:val="Normal"/>
    <w:next w:val="Normal"/>
    <w:link w:val="Heading8Char"/>
    <w:uiPriority w:val="99"/>
    <w:qFormat/>
    <w:rsid w:val="00852760"/>
    <w:pPr>
      <w:keepNext/>
      <w:widowControl w:val="0"/>
      <w:spacing w:after="0" w:line="240" w:lineRule="auto"/>
      <w:jc w:val="right"/>
      <w:outlineLvl w:val="7"/>
    </w:pPr>
    <w:rPr>
      <w:rFonts w:ascii="Times New Roman" w:hAnsi="Times New Roman"/>
      <w:b/>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8C225D"/>
    <w:rPr>
      <w:rFonts w:ascii="Arial" w:eastAsiaTheme="majorEastAsia" w:hAnsi="Arial" w:cs="Times New Roman"/>
      <w:b/>
      <w:bCs/>
      <w:sz w:val="28"/>
      <w:szCs w:val="28"/>
      <w:lang w:eastAsia="en-US"/>
    </w:rPr>
  </w:style>
  <w:style w:type="character" w:customStyle="1" w:styleId="Heading8Char">
    <w:name w:val="Heading 8 Char"/>
    <w:basedOn w:val="DefaultParagraphFont"/>
    <w:link w:val="Heading8"/>
    <w:uiPriority w:val="99"/>
    <w:locked/>
    <w:rsid w:val="00852760"/>
    <w:rPr>
      <w:rFonts w:ascii="Times New Roman" w:hAnsi="Times New Roman" w:cs="Times New Roman"/>
      <w:b/>
      <w:sz w:val="24"/>
      <w:szCs w:val="24"/>
      <w:lang w:val="en-US" w:eastAsia="x-none"/>
    </w:rPr>
  </w:style>
  <w:style w:type="paragraph" w:styleId="Header">
    <w:name w:val="header"/>
    <w:basedOn w:val="Normal"/>
    <w:link w:val="HeaderChar"/>
    <w:uiPriority w:val="99"/>
    <w:rsid w:val="00852760"/>
    <w:pPr>
      <w:widowControl w:val="0"/>
      <w:tabs>
        <w:tab w:val="center" w:pos="4320"/>
        <w:tab w:val="right" w:pos="8640"/>
      </w:tabs>
      <w:spacing w:after="0" w:line="240" w:lineRule="auto"/>
    </w:pPr>
    <w:rPr>
      <w:rFonts w:ascii="Times New Roman" w:hAnsi="Times New Roman"/>
      <w:sz w:val="24"/>
      <w:szCs w:val="20"/>
      <w:lang w:val="en-GB"/>
    </w:rPr>
  </w:style>
  <w:style w:type="character" w:customStyle="1" w:styleId="HeaderChar">
    <w:name w:val="Header Char"/>
    <w:basedOn w:val="DefaultParagraphFont"/>
    <w:link w:val="Header"/>
    <w:uiPriority w:val="99"/>
    <w:locked/>
    <w:rsid w:val="00852760"/>
    <w:rPr>
      <w:rFonts w:ascii="Times New Roman" w:hAnsi="Times New Roman" w:cs="Times New Roman"/>
      <w:sz w:val="20"/>
      <w:szCs w:val="20"/>
      <w:lang w:val="en-GB" w:eastAsia="x-none"/>
    </w:rPr>
  </w:style>
  <w:style w:type="paragraph" w:styleId="Footer">
    <w:name w:val="footer"/>
    <w:basedOn w:val="Normal"/>
    <w:link w:val="FooterChar"/>
    <w:uiPriority w:val="99"/>
    <w:rsid w:val="00852760"/>
    <w:pPr>
      <w:spacing w:before="120" w:after="60" w:line="240" w:lineRule="exact"/>
    </w:pPr>
    <w:rPr>
      <w:rFonts w:ascii="Arial" w:hAnsi="Arial"/>
      <w:sz w:val="18"/>
      <w:szCs w:val="20"/>
    </w:rPr>
  </w:style>
  <w:style w:type="character" w:customStyle="1" w:styleId="FooterChar">
    <w:name w:val="Footer Char"/>
    <w:basedOn w:val="DefaultParagraphFont"/>
    <w:link w:val="Footer"/>
    <w:uiPriority w:val="99"/>
    <w:locked/>
    <w:rsid w:val="00852760"/>
    <w:rPr>
      <w:rFonts w:ascii="Arial" w:hAnsi="Arial" w:cs="Times New Roman"/>
      <w:sz w:val="20"/>
      <w:szCs w:val="20"/>
    </w:rPr>
  </w:style>
  <w:style w:type="paragraph" w:customStyle="1" w:styleId="HeaderEven">
    <w:name w:val="HeaderEven"/>
    <w:basedOn w:val="Normal"/>
    <w:uiPriority w:val="99"/>
    <w:rsid w:val="00852760"/>
    <w:pPr>
      <w:spacing w:after="0" w:line="240" w:lineRule="auto"/>
    </w:pPr>
    <w:rPr>
      <w:rFonts w:ascii="Arial" w:hAnsi="Arial"/>
      <w:sz w:val="18"/>
      <w:szCs w:val="20"/>
    </w:rPr>
  </w:style>
  <w:style w:type="paragraph" w:customStyle="1" w:styleId="HeaderEven6">
    <w:name w:val="HeaderEven6"/>
    <w:basedOn w:val="HeaderEven"/>
    <w:uiPriority w:val="99"/>
    <w:rsid w:val="00852760"/>
    <w:pPr>
      <w:spacing w:before="120" w:after="60"/>
    </w:pPr>
  </w:style>
  <w:style w:type="paragraph" w:customStyle="1" w:styleId="N-9pt">
    <w:name w:val="N-9pt"/>
    <w:basedOn w:val="Normal"/>
    <w:next w:val="Normal"/>
    <w:uiPriority w:val="99"/>
    <w:rsid w:val="00852760"/>
    <w:pPr>
      <w:keepNext/>
      <w:tabs>
        <w:tab w:val="right" w:pos="7707"/>
      </w:tabs>
      <w:spacing w:before="120" w:after="20" w:line="240" w:lineRule="auto"/>
      <w:jc w:val="both"/>
    </w:pPr>
    <w:rPr>
      <w:rFonts w:ascii="Arial" w:hAnsi="Arial"/>
      <w:sz w:val="18"/>
      <w:szCs w:val="20"/>
    </w:rPr>
  </w:style>
  <w:style w:type="character" w:styleId="PageNumber">
    <w:name w:val="page number"/>
    <w:basedOn w:val="DefaultParagraphFont"/>
    <w:uiPriority w:val="99"/>
    <w:rsid w:val="00852760"/>
    <w:rPr>
      <w:rFonts w:cs="Times New Roman"/>
    </w:rPr>
  </w:style>
  <w:style w:type="paragraph" w:customStyle="1" w:styleId="Status">
    <w:name w:val="Status"/>
    <w:basedOn w:val="Normal"/>
    <w:uiPriority w:val="99"/>
    <w:rsid w:val="00852760"/>
    <w:pPr>
      <w:spacing w:before="280" w:after="0" w:line="240" w:lineRule="auto"/>
      <w:jc w:val="center"/>
    </w:pPr>
    <w:rPr>
      <w:rFonts w:ascii="Arial" w:hAnsi="Arial"/>
      <w:sz w:val="14"/>
      <w:szCs w:val="20"/>
    </w:rPr>
  </w:style>
  <w:style w:type="paragraph" w:styleId="ListParagraph">
    <w:name w:val="List Paragraph"/>
    <w:aliases w:val="List Paragraph1,List Paragraph11,Recommendation,Bullet point,L,List Paragraph111,F5 List Paragraph,Dot pt,CV text,Table text,Medium Grid 1 - Accent 21,Numbered Paragraph,List Paragraph2,NFP GP Bulleted List,FooterText,numbered,列出段,列出,列"/>
    <w:basedOn w:val="Normal"/>
    <w:link w:val="ListParagraphChar"/>
    <w:uiPriority w:val="34"/>
    <w:qFormat/>
    <w:rsid w:val="00852760"/>
    <w:pPr>
      <w:spacing w:after="0" w:line="240" w:lineRule="auto"/>
      <w:ind w:left="720"/>
    </w:pPr>
    <w:rPr>
      <w:rFonts w:cs="Calibri"/>
      <w:lang w:eastAsia="en-AU"/>
    </w:rPr>
  </w:style>
  <w:style w:type="character" w:styleId="CommentReference">
    <w:name w:val="annotation reference"/>
    <w:basedOn w:val="DefaultParagraphFont"/>
    <w:semiHidden/>
    <w:rsid w:val="008609A8"/>
    <w:rPr>
      <w:rFonts w:cs="Times New Roman"/>
      <w:sz w:val="16"/>
      <w:szCs w:val="16"/>
    </w:rPr>
  </w:style>
  <w:style w:type="paragraph" w:styleId="CommentText">
    <w:name w:val="annotation text"/>
    <w:basedOn w:val="Normal"/>
    <w:link w:val="CommentTextChar"/>
    <w:semiHidden/>
    <w:rsid w:val="008609A8"/>
    <w:rPr>
      <w:sz w:val="20"/>
      <w:szCs w:val="20"/>
    </w:rPr>
  </w:style>
  <w:style w:type="character" w:customStyle="1" w:styleId="CommentTextChar">
    <w:name w:val="Comment Text Char"/>
    <w:basedOn w:val="DefaultParagraphFont"/>
    <w:link w:val="CommentText"/>
    <w:semiHidden/>
    <w:locked/>
    <w:rsid w:val="008609A8"/>
    <w:rPr>
      <w:rFonts w:cs="Times New Roman"/>
      <w:lang w:val="x-none" w:eastAsia="en-US"/>
    </w:rPr>
  </w:style>
  <w:style w:type="paragraph" w:styleId="CommentSubject">
    <w:name w:val="annotation subject"/>
    <w:basedOn w:val="CommentText"/>
    <w:next w:val="CommentText"/>
    <w:link w:val="CommentSubjectChar"/>
    <w:uiPriority w:val="99"/>
    <w:semiHidden/>
    <w:rsid w:val="008609A8"/>
    <w:rPr>
      <w:b/>
      <w:bCs/>
    </w:rPr>
  </w:style>
  <w:style w:type="character" w:customStyle="1" w:styleId="CommentSubjectChar">
    <w:name w:val="Comment Subject Char"/>
    <w:basedOn w:val="CommentTextChar"/>
    <w:link w:val="CommentSubject"/>
    <w:uiPriority w:val="99"/>
    <w:semiHidden/>
    <w:locked/>
    <w:rsid w:val="008609A8"/>
    <w:rPr>
      <w:rFonts w:cs="Times New Roman"/>
      <w:b/>
      <w:bCs/>
      <w:lang w:val="x-none" w:eastAsia="en-US"/>
    </w:rPr>
  </w:style>
  <w:style w:type="paragraph" w:styleId="BalloonText">
    <w:name w:val="Balloon Text"/>
    <w:basedOn w:val="Normal"/>
    <w:link w:val="BalloonTextChar"/>
    <w:uiPriority w:val="99"/>
    <w:semiHidden/>
    <w:rsid w:val="008609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609A8"/>
    <w:rPr>
      <w:rFonts w:ascii="Tahoma" w:hAnsi="Tahoma" w:cs="Tahoma"/>
      <w:sz w:val="16"/>
      <w:szCs w:val="16"/>
      <w:lang w:val="x-none" w:eastAsia="en-US"/>
    </w:rPr>
  </w:style>
  <w:style w:type="paragraph" w:customStyle="1" w:styleId="Normaltextnumbered">
    <w:name w:val="Normal text numbered"/>
    <w:basedOn w:val="Header"/>
    <w:uiPriority w:val="99"/>
    <w:rsid w:val="00D1078E"/>
    <w:pPr>
      <w:widowControl/>
      <w:tabs>
        <w:tab w:val="clear" w:pos="4320"/>
        <w:tab w:val="clear" w:pos="8640"/>
      </w:tabs>
      <w:spacing w:line="360" w:lineRule="auto"/>
    </w:pPr>
    <w:rPr>
      <w:rFonts w:ascii="Arial" w:hAnsi="Arial" w:cs="Arial"/>
      <w:szCs w:val="24"/>
      <w:lang w:val="en-AU"/>
    </w:rPr>
  </w:style>
  <w:style w:type="paragraph" w:styleId="NoSpacing">
    <w:name w:val="No Spacing"/>
    <w:uiPriority w:val="1"/>
    <w:qFormat/>
    <w:rsid w:val="00D1078E"/>
    <w:rPr>
      <w:rFonts w:cs="Times New Roman"/>
      <w:sz w:val="22"/>
      <w:szCs w:val="22"/>
      <w:lang w:eastAsia="en-US"/>
    </w:rPr>
  </w:style>
  <w:style w:type="paragraph" w:customStyle="1" w:styleId="Amainreturn">
    <w:name w:val="A main return"/>
    <w:basedOn w:val="Normal"/>
    <w:link w:val="AmainreturnChar"/>
    <w:rsid w:val="00B147E9"/>
    <w:pPr>
      <w:spacing w:before="140" w:after="0" w:line="240" w:lineRule="auto"/>
      <w:ind w:left="1100"/>
      <w:jc w:val="both"/>
    </w:pPr>
    <w:rPr>
      <w:rFonts w:ascii="Times New Roman" w:hAnsi="Times New Roman"/>
      <w:sz w:val="24"/>
      <w:szCs w:val="20"/>
    </w:rPr>
  </w:style>
  <w:style w:type="paragraph" w:customStyle="1" w:styleId="Apara">
    <w:name w:val="A para"/>
    <w:basedOn w:val="Normal"/>
    <w:link w:val="AparaChar"/>
    <w:uiPriority w:val="99"/>
    <w:rsid w:val="00B147E9"/>
    <w:pPr>
      <w:tabs>
        <w:tab w:val="right" w:pos="1400"/>
        <w:tab w:val="left" w:pos="1600"/>
      </w:tabs>
      <w:spacing w:before="140" w:after="0" w:line="240" w:lineRule="auto"/>
      <w:ind w:left="1600" w:hanging="1600"/>
      <w:jc w:val="both"/>
      <w:outlineLvl w:val="6"/>
    </w:pPr>
    <w:rPr>
      <w:rFonts w:ascii="Times New Roman" w:hAnsi="Times New Roman"/>
      <w:sz w:val="24"/>
      <w:szCs w:val="20"/>
    </w:rPr>
  </w:style>
  <w:style w:type="paragraph" w:styleId="FootnoteText">
    <w:name w:val="footnote text"/>
    <w:basedOn w:val="Normal"/>
    <w:link w:val="FootnoteTextChar"/>
    <w:uiPriority w:val="99"/>
    <w:rsid w:val="00205382"/>
    <w:pPr>
      <w:widowControl w:val="0"/>
      <w:spacing w:after="60" w:line="240" w:lineRule="auto"/>
    </w:pPr>
    <w:rPr>
      <w:rFonts w:ascii="Times New Roman" w:hAnsi="Times New Roman"/>
      <w:sz w:val="20"/>
      <w:szCs w:val="20"/>
      <w:lang w:val="en-GB"/>
    </w:rPr>
  </w:style>
  <w:style w:type="character" w:customStyle="1" w:styleId="FootnoteTextChar">
    <w:name w:val="Footnote Text Char"/>
    <w:basedOn w:val="DefaultParagraphFont"/>
    <w:link w:val="FootnoteText"/>
    <w:uiPriority w:val="99"/>
    <w:locked/>
    <w:rsid w:val="00205382"/>
    <w:rPr>
      <w:rFonts w:ascii="Times New Roman" w:hAnsi="Times New Roman" w:cs="Times New Roman"/>
      <w:lang w:val="en-GB" w:eastAsia="en-US"/>
    </w:rPr>
  </w:style>
  <w:style w:type="character" w:styleId="FootnoteReference">
    <w:name w:val="footnote reference"/>
    <w:aliases w:val="Footnote number,Footnotes refss"/>
    <w:basedOn w:val="DefaultParagraphFont"/>
    <w:uiPriority w:val="99"/>
    <w:rsid w:val="00205382"/>
    <w:rPr>
      <w:rFonts w:cs="Times New Roman"/>
      <w:vertAlign w:val="superscript"/>
    </w:rPr>
  </w:style>
  <w:style w:type="paragraph" w:customStyle="1" w:styleId="aDef">
    <w:name w:val="aDef"/>
    <w:basedOn w:val="Normal"/>
    <w:link w:val="aDefChar"/>
    <w:rsid w:val="00DD3B29"/>
    <w:pPr>
      <w:spacing w:before="140" w:after="0" w:line="240" w:lineRule="auto"/>
      <w:ind w:left="1100"/>
      <w:jc w:val="both"/>
    </w:pPr>
    <w:rPr>
      <w:rFonts w:ascii="Times New Roman" w:hAnsi="Times New Roman"/>
      <w:sz w:val="24"/>
      <w:szCs w:val="20"/>
    </w:rPr>
  </w:style>
  <w:style w:type="paragraph" w:customStyle="1" w:styleId="aDefpara">
    <w:name w:val="aDef para"/>
    <w:basedOn w:val="Apara"/>
    <w:rsid w:val="00DD3B29"/>
  </w:style>
  <w:style w:type="paragraph" w:customStyle="1" w:styleId="aDefsubpara">
    <w:name w:val="aDef subpara"/>
    <w:basedOn w:val="Normal"/>
    <w:rsid w:val="00DD3B29"/>
    <w:pPr>
      <w:tabs>
        <w:tab w:val="right" w:pos="1900"/>
        <w:tab w:val="left" w:pos="2100"/>
      </w:tabs>
      <w:spacing w:before="140" w:after="0" w:line="240" w:lineRule="auto"/>
      <w:ind w:left="2100" w:hanging="2100"/>
      <w:jc w:val="both"/>
      <w:outlineLvl w:val="7"/>
    </w:pPr>
    <w:rPr>
      <w:rFonts w:ascii="Times New Roman" w:hAnsi="Times New Roman"/>
      <w:sz w:val="24"/>
      <w:szCs w:val="20"/>
    </w:rPr>
  </w:style>
  <w:style w:type="character" w:customStyle="1" w:styleId="charBoldItals">
    <w:name w:val="charBoldItals"/>
    <w:basedOn w:val="DefaultParagraphFont"/>
    <w:rsid w:val="00DD3B29"/>
    <w:rPr>
      <w:rFonts w:cs="Times New Roman"/>
      <w:b/>
      <w:i/>
    </w:rPr>
  </w:style>
  <w:style w:type="character" w:customStyle="1" w:styleId="charItals">
    <w:name w:val="charItals"/>
    <w:basedOn w:val="DefaultParagraphFont"/>
    <w:rsid w:val="00DD3B29"/>
    <w:rPr>
      <w:rFonts w:cs="Times New Roman"/>
      <w:i/>
    </w:rPr>
  </w:style>
  <w:style w:type="character" w:customStyle="1" w:styleId="aDefChar">
    <w:name w:val="aDef Char"/>
    <w:basedOn w:val="DefaultParagraphFont"/>
    <w:link w:val="aDef"/>
    <w:locked/>
    <w:rsid w:val="00DD3B29"/>
    <w:rPr>
      <w:rFonts w:ascii="Times New Roman" w:hAnsi="Times New Roman" w:cs="Times New Roman"/>
      <w:sz w:val="24"/>
      <w:lang w:val="x-none" w:eastAsia="en-US"/>
    </w:rPr>
  </w:style>
  <w:style w:type="character" w:customStyle="1" w:styleId="charCitHyperlinkItal">
    <w:name w:val="charCitHyperlinkItal"/>
    <w:basedOn w:val="Hyperlink"/>
    <w:uiPriority w:val="99"/>
    <w:rsid w:val="00DD3B29"/>
    <w:rPr>
      <w:rFonts w:cs="Times New Roman"/>
      <w:i/>
      <w:color w:val="0000FF"/>
      <w:u w:val="none"/>
    </w:rPr>
  </w:style>
  <w:style w:type="character" w:styleId="Hyperlink">
    <w:name w:val="Hyperlink"/>
    <w:basedOn w:val="DefaultParagraphFont"/>
    <w:uiPriority w:val="99"/>
    <w:semiHidden/>
    <w:rsid w:val="00DD3B29"/>
    <w:rPr>
      <w:rFonts w:cs="Times New Roman"/>
      <w:color w:val="0000FF"/>
      <w:u w:val="single"/>
    </w:rPr>
  </w:style>
  <w:style w:type="paragraph" w:customStyle="1" w:styleId="Default">
    <w:name w:val="Default"/>
    <w:rsid w:val="00C000CE"/>
    <w:pPr>
      <w:autoSpaceDE w:val="0"/>
      <w:autoSpaceDN w:val="0"/>
      <w:adjustRightInd w:val="0"/>
    </w:pPr>
    <w:rPr>
      <w:rFonts w:ascii="Times New Roman" w:hAnsi="Times New Roman" w:cs="Times New Roman"/>
      <w:color w:val="000000"/>
      <w:sz w:val="24"/>
      <w:szCs w:val="24"/>
    </w:rPr>
  </w:style>
  <w:style w:type="paragraph" w:customStyle="1" w:styleId="EnactingWords">
    <w:name w:val="EnactingWords"/>
    <w:basedOn w:val="Normal"/>
    <w:uiPriority w:val="99"/>
    <w:rsid w:val="003C6037"/>
    <w:pPr>
      <w:spacing w:before="120" w:after="0" w:line="240" w:lineRule="auto"/>
      <w:jc w:val="both"/>
    </w:pPr>
    <w:rPr>
      <w:rFonts w:ascii="Times New Roman" w:hAnsi="Times New Roman"/>
      <w:sz w:val="24"/>
      <w:szCs w:val="20"/>
    </w:rPr>
  </w:style>
  <w:style w:type="paragraph" w:customStyle="1" w:styleId="Amain">
    <w:name w:val="A main"/>
    <w:basedOn w:val="Normal"/>
    <w:uiPriority w:val="99"/>
    <w:rsid w:val="003C6037"/>
    <w:pPr>
      <w:numPr>
        <w:ilvl w:val="5"/>
        <w:numId w:val="1"/>
      </w:numPr>
      <w:spacing w:before="140" w:after="0" w:line="240" w:lineRule="auto"/>
      <w:jc w:val="both"/>
      <w:outlineLvl w:val="5"/>
    </w:pPr>
    <w:rPr>
      <w:rFonts w:ascii="Times New Roman" w:hAnsi="Times New Roman"/>
      <w:sz w:val="24"/>
      <w:szCs w:val="20"/>
    </w:rPr>
  </w:style>
  <w:style w:type="paragraph" w:customStyle="1" w:styleId="Asubpara">
    <w:name w:val="A subpara"/>
    <w:basedOn w:val="Normal"/>
    <w:uiPriority w:val="99"/>
    <w:rsid w:val="003C6037"/>
    <w:pPr>
      <w:tabs>
        <w:tab w:val="num" w:pos="2140"/>
      </w:tabs>
      <w:spacing w:before="140" w:after="0" w:line="240" w:lineRule="auto"/>
      <w:ind w:left="2140" w:hanging="200"/>
      <w:jc w:val="both"/>
      <w:outlineLvl w:val="7"/>
    </w:pPr>
    <w:rPr>
      <w:rFonts w:ascii="Times New Roman" w:hAnsi="Times New Roman"/>
      <w:sz w:val="24"/>
      <w:szCs w:val="20"/>
    </w:rPr>
  </w:style>
  <w:style w:type="paragraph" w:customStyle="1" w:styleId="Asubsubpara">
    <w:name w:val="A subsubpara"/>
    <w:basedOn w:val="Normal"/>
    <w:uiPriority w:val="99"/>
    <w:rsid w:val="003C6037"/>
    <w:pPr>
      <w:tabs>
        <w:tab w:val="num" w:pos="2660"/>
      </w:tabs>
      <w:spacing w:before="140" w:after="0" w:line="240" w:lineRule="auto"/>
      <w:ind w:left="2660" w:hanging="200"/>
      <w:jc w:val="both"/>
      <w:outlineLvl w:val="8"/>
    </w:pPr>
    <w:rPr>
      <w:rFonts w:ascii="Times New Roman" w:hAnsi="Times New Roman"/>
      <w:sz w:val="24"/>
      <w:szCs w:val="20"/>
    </w:rPr>
  </w:style>
  <w:style w:type="paragraph" w:customStyle="1" w:styleId="AH5Sec">
    <w:name w:val="A H5 Sec"/>
    <w:basedOn w:val="Normal"/>
    <w:next w:val="Amain"/>
    <w:rsid w:val="003C6037"/>
    <w:pPr>
      <w:keepNext/>
      <w:numPr>
        <w:ilvl w:val="4"/>
        <w:numId w:val="1"/>
      </w:numPr>
      <w:spacing w:before="240" w:after="0" w:line="240" w:lineRule="auto"/>
      <w:outlineLvl w:val="4"/>
    </w:pPr>
    <w:rPr>
      <w:rFonts w:ascii="Arial" w:hAnsi="Arial"/>
      <w:b/>
      <w:sz w:val="24"/>
      <w:szCs w:val="20"/>
    </w:rPr>
  </w:style>
  <w:style w:type="character" w:customStyle="1" w:styleId="AparaChar">
    <w:name w:val="A para Char"/>
    <w:basedOn w:val="DefaultParagraphFont"/>
    <w:link w:val="Apara"/>
    <w:uiPriority w:val="99"/>
    <w:locked/>
    <w:rsid w:val="003C6037"/>
    <w:rPr>
      <w:rFonts w:ascii="Times New Roman" w:hAnsi="Times New Roman" w:cs="Times New Roman"/>
      <w:sz w:val="24"/>
      <w:lang w:val="x-none" w:eastAsia="en-US"/>
    </w:rPr>
  </w:style>
  <w:style w:type="character" w:customStyle="1" w:styleId="ListParagraphChar">
    <w:name w:val="List Paragraph Char"/>
    <w:aliases w:val="List Paragraph1 Char,List Paragraph11 Char,Recommendation Char,Bullet point Char,L Char,List Paragraph111 Char,F5 List Paragraph Char,Dot pt Char,CV text Char,Table text Char,Medium Grid 1 - Accent 21 Char,Numbered Paragraph Char"/>
    <w:basedOn w:val="DefaultParagraphFont"/>
    <w:link w:val="ListParagraph"/>
    <w:uiPriority w:val="34"/>
    <w:qFormat/>
    <w:locked/>
    <w:rsid w:val="00F44087"/>
    <w:rPr>
      <w:rFonts w:cs="Calibri"/>
    </w:rPr>
  </w:style>
  <w:style w:type="paragraph" w:styleId="Revision">
    <w:name w:val="Revision"/>
    <w:hidden/>
    <w:uiPriority w:val="99"/>
    <w:semiHidden/>
    <w:rsid w:val="00B37786"/>
    <w:rPr>
      <w:rFonts w:cs="Times New Roman"/>
      <w:sz w:val="22"/>
      <w:szCs w:val="22"/>
      <w:lang w:eastAsia="en-US"/>
    </w:rPr>
  </w:style>
  <w:style w:type="paragraph" w:customStyle="1" w:styleId="aExamss">
    <w:name w:val="aExamss"/>
    <w:basedOn w:val="Normal"/>
    <w:uiPriority w:val="99"/>
    <w:rsid w:val="001650A1"/>
    <w:pPr>
      <w:numPr>
        <w:ilvl w:val="5"/>
        <w:numId w:val="2"/>
      </w:numPr>
      <w:spacing w:after="60" w:line="240" w:lineRule="auto"/>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43422C"/>
    <w:rPr>
      <w:rFonts w:cs="Times New Roman"/>
      <w:color w:val="800080"/>
      <w:u w:val="single"/>
    </w:rPr>
  </w:style>
  <w:style w:type="character" w:customStyle="1" w:styleId="CharPartNo">
    <w:name w:val="CharPartNo"/>
    <w:basedOn w:val="DefaultParagraphFont"/>
    <w:uiPriority w:val="99"/>
    <w:rsid w:val="00754626"/>
    <w:rPr>
      <w:rFonts w:cs="Times New Roman"/>
    </w:rPr>
  </w:style>
  <w:style w:type="character" w:customStyle="1" w:styleId="CharDivNo">
    <w:name w:val="CharDivNo"/>
    <w:basedOn w:val="DefaultParagraphFont"/>
    <w:uiPriority w:val="99"/>
    <w:rsid w:val="00754626"/>
    <w:rPr>
      <w:rFonts w:cs="Times New Roman"/>
    </w:rPr>
  </w:style>
  <w:style w:type="paragraph" w:customStyle="1" w:styleId="Idefsubpara">
    <w:name w:val="I def subpara"/>
    <w:basedOn w:val="Normal"/>
    <w:rsid w:val="000E508E"/>
    <w:pPr>
      <w:spacing w:before="140" w:after="0" w:line="240" w:lineRule="auto"/>
      <w:ind w:left="2140" w:hanging="2140"/>
      <w:jc w:val="both"/>
    </w:pPr>
    <w:rPr>
      <w:rFonts w:ascii="Times New Roman" w:hAnsi="Times New Roman"/>
      <w:sz w:val="24"/>
      <w:szCs w:val="24"/>
      <w:lang w:eastAsia="en-AU"/>
    </w:rPr>
  </w:style>
  <w:style w:type="character" w:styleId="Emphasis">
    <w:name w:val="Emphasis"/>
    <w:basedOn w:val="DefaultParagraphFont"/>
    <w:uiPriority w:val="20"/>
    <w:qFormat/>
    <w:locked/>
    <w:rsid w:val="00850C21"/>
    <w:rPr>
      <w:rFonts w:cs="Times New Roman"/>
      <w:i/>
      <w:iCs/>
    </w:rPr>
  </w:style>
  <w:style w:type="character" w:styleId="Strong">
    <w:name w:val="Strong"/>
    <w:basedOn w:val="DefaultParagraphFont"/>
    <w:uiPriority w:val="22"/>
    <w:qFormat/>
    <w:locked/>
    <w:rsid w:val="00850C21"/>
    <w:rPr>
      <w:rFonts w:cs="Times New Roman"/>
      <w:b/>
      <w:bCs/>
    </w:rPr>
  </w:style>
  <w:style w:type="paragraph" w:customStyle="1" w:styleId="aNote">
    <w:name w:val="aNote"/>
    <w:basedOn w:val="Normal"/>
    <w:link w:val="aNoteChar"/>
    <w:rsid w:val="001101D7"/>
    <w:pPr>
      <w:spacing w:before="140" w:after="0" w:line="240" w:lineRule="auto"/>
      <w:ind w:left="1900" w:hanging="800"/>
      <w:jc w:val="both"/>
    </w:pPr>
    <w:rPr>
      <w:rFonts w:ascii="Times New Roman" w:hAnsi="Times New Roman"/>
      <w:sz w:val="20"/>
      <w:szCs w:val="20"/>
    </w:rPr>
  </w:style>
  <w:style w:type="character" w:customStyle="1" w:styleId="aNoteChar">
    <w:name w:val="aNote Char"/>
    <w:basedOn w:val="DefaultParagraphFont"/>
    <w:link w:val="aNote"/>
    <w:locked/>
    <w:rsid w:val="001101D7"/>
    <w:rPr>
      <w:rFonts w:ascii="Times New Roman" w:hAnsi="Times New Roman" w:cs="Times New Roman"/>
      <w:lang w:val="x-none" w:eastAsia="en-US"/>
    </w:rPr>
  </w:style>
  <w:style w:type="paragraph" w:customStyle="1" w:styleId="aNoteText">
    <w:name w:val="aNoteText"/>
    <w:basedOn w:val="aNote"/>
    <w:rsid w:val="001101D7"/>
    <w:pPr>
      <w:spacing w:before="60"/>
      <w:ind w:firstLine="0"/>
    </w:pPr>
  </w:style>
  <w:style w:type="character" w:customStyle="1" w:styleId="AmainreturnChar">
    <w:name w:val="A main return Char"/>
    <w:basedOn w:val="DefaultParagraphFont"/>
    <w:link w:val="Amainreturn"/>
    <w:locked/>
    <w:rsid w:val="001101D7"/>
    <w:rPr>
      <w:rFonts w:ascii="Times New Roman" w:hAnsi="Times New Roman" w:cs="Times New Roman"/>
      <w:sz w:val="24"/>
      <w:lang w:val="x-none" w:eastAsia="en-US"/>
    </w:rPr>
  </w:style>
  <w:style w:type="character" w:customStyle="1" w:styleId="charCitHyperlinkAbbrev">
    <w:name w:val="charCitHyperlinkAbbrev"/>
    <w:basedOn w:val="Hyperlink"/>
    <w:uiPriority w:val="1"/>
    <w:rsid w:val="001101D7"/>
    <w:rPr>
      <w:rFonts w:cs="Times New Roman"/>
      <w:color w:val="0000FF"/>
      <w:u w:val="none"/>
    </w:rPr>
  </w:style>
  <w:style w:type="paragraph" w:styleId="NormalWeb">
    <w:name w:val="Normal (Web)"/>
    <w:basedOn w:val="Normal"/>
    <w:uiPriority w:val="99"/>
    <w:unhideWhenUsed/>
    <w:rsid w:val="00C76AC7"/>
    <w:pPr>
      <w:spacing w:before="100" w:beforeAutospacing="1" w:after="100" w:afterAutospacing="1" w:line="240" w:lineRule="auto"/>
    </w:pPr>
    <w:rPr>
      <w:rFonts w:ascii="Times New Roman" w:hAnsi="Times New Roman"/>
      <w:sz w:val="24"/>
      <w:szCs w:val="24"/>
      <w:lang w:eastAsia="en-AU"/>
    </w:rPr>
  </w:style>
  <w:style w:type="paragraph" w:customStyle="1" w:styleId="tab1">
    <w:name w:val="tab1"/>
    <w:basedOn w:val="Normal"/>
    <w:rsid w:val="003170C9"/>
    <w:pPr>
      <w:spacing w:before="100" w:beforeAutospacing="1" w:after="100" w:afterAutospacing="1" w:line="240" w:lineRule="auto"/>
    </w:pPr>
    <w:rPr>
      <w:rFonts w:ascii="Times New Roman" w:hAnsi="Times New Roman"/>
      <w:sz w:val="24"/>
      <w:szCs w:val="24"/>
      <w:lang w:eastAsia="en-AU"/>
    </w:rPr>
  </w:style>
  <w:style w:type="character" w:customStyle="1" w:styleId="Calibri12">
    <w:name w:val="Calibri 12"/>
    <w:uiPriority w:val="1"/>
    <w:qFormat/>
    <w:rsid w:val="00032126"/>
    <w:rPr>
      <w:rFonts w:ascii="Calibri" w:hAnsi="Calibri"/>
      <w:sz w:val="24"/>
    </w:rPr>
  </w:style>
  <w:style w:type="character" w:customStyle="1" w:styleId="Heading2Char">
    <w:name w:val="Heading 2 Char"/>
    <w:basedOn w:val="DefaultParagraphFont"/>
    <w:link w:val="Heading2"/>
    <w:rsid w:val="008C225D"/>
    <w:rPr>
      <w:rFonts w:ascii="Arial" w:eastAsiaTheme="majorEastAsia" w:hAnsi="Arial" w:cstheme="majorBidi"/>
      <w:b/>
      <w:sz w:val="24"/>
      <w:szCs w:val="26"/>
      <w:lang w:eastAsia="en-US"/>
    </w:rPr>
  </w:style>
  <w:style w:type="character" w:customStyle="1" w:styleId="Heading3Char">
    <w:name w:val="Heading 3 Char"/>
    <w:basedOn w:val="DefaultParagraphFont"/>
    <w:link w:val="Heading3"/>
    <w:rsid w:val="00C65E0C"/>
    <w:rPr>
      <w:rFonts w:ascii="Arial" w:eastAsiaTheme="majorEastAsia" w:hAnsi="Arial" w:cstheme="majorBidi"/>
      <w:b/>
      <w:sz w:val="24"/>
      <w:szCs w:val="24"/>
      <w:lang w:eastAsia="en-US"/>
    </w:rPr>
  </w:style>
  <w:style w:type="character" w:customStyle="1" w:styleId="Heading4Char">
    <w:name w:val="Heading 4 Char"/>
    <w:basedOn w:val="DefaultParagraphFont"/>
    <w:link w:val="Heading4"/>
    <w:semiHidden/>
    <w:rsid w:val="00E574DD"/>
    <w:rPr>
      <w:rFonts w:asciiTheme="majorHAnsi" w:eastAsiaTheme="majorEastAsia" w:hAnsiTheme="majorHAnsi" w:cstheme="majorBidi"/>
      <w:i/>
      <w:iCs/>
      <w:color w:val="365F91" w:themeColor="accent1" w:themeShade="BF"/>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1974579">
      <w:bodyDiv w:val="1"/>
      <w:marLeft w:val="0"/>
      <w:marRight w:val="0"/>
      <w:marTop w:val="0"/>
      <w:marBottom w:val="0"/>
      <w:divBdr>
        <w:top w:val="none" w:sz="0" w:space="0" w:color="auto"/>
        <w:left w:val="none" w:sz="0" w:space="0" w:color="auto"/>
        <w:bottom w:val="none" w:sz="0" w:space="0" w:color="auto"/>
        <w:right w:val="none" w:sz="0" w:space="0" w:color="auto"/>
      </w:divBdr>
    </w:div>
    <w:div w:id="507060176">
      <w:bodyDiv w:val="1"/>
      <w:marLeft w:val="0"/>
      <w:marRight w:val="0"/>
      <w:marTop w:val="0"/>
      <w:marBottom w:val="0"/>
      <w:divBdr>
        <w:top w:val="none" w:sz="0" w:space="0" w:color="auto"/>
        <w:left w:val="none" w:sz="0" w:space="0" w:color="auto"/>
        <w:bottom w:val="none" w:sz="0" w:space="0" w:color="auto"/>
        <w:right w:val="none" w:sz="0" w:space="0" w:color="auto"/>
      </w:divBdr>
    </w:div>
    <w:div w:id="542446003">
      <w:bodyDiv w:val="1"/>
      <w:marLeft w:val="0"/>
      <w:marRight w:val="0"/>
      <w:marTop w:val="0"/>
      <w:marBottom w:val="0"/>
      <w:divBdr>
        <w:top w:val="none" w:sz="0" w:space="0" w:color="auto"/>
        <w:left w:val="none" w:sz="0" w:space="0" w:color="auto"/>
        <w:bottom w:val="none" w:sz="0" w:space="0" w:color="auto"/>
        <w:right w:val="none" w:sz="0" w:space="0" w:color="auto"/>
      </w:divBdr>
    </w:div>
    <w:div w:id="2003314557">
      <w:marLeft w:val="0"/>
      <w:marRight w:val="0"/>
      <w:marTop w:val="0"/>
      <w:marBottom w:val="0"/>
      <w:divBdr>
        <w:top w:val="none" w:sz="0" w:space="0" w:color="auto"/>
        <w:left w:val="none" w:sz="0" w:space="0" w:color="auto"/>
        <w:bottom w:val="none" w:sz="0" w:space="0" w:color="auto"/>
        <w:right w:val="none" w:sz="0" w:space="0" w:color="auto"/>
      </w:divBdr>
    </w:div>
    <w:div w:id="2003314558">
      <w:marLeft w:val="0"/>
      <w:marRight w:val="0"/>
      <w:marTop w:val="0"/>
      <w:marBottom w:val="0"/>
      <w:divBdr>
        <w:top w:val="none" w:sz="0" w:space="0" w:color="auto"/>
        <w:left w:val="none" w:sz="0" w:space="0" w:color="auto"/>
        <w:bottom w:val="none" w:sz="0" w:space="0" w:color="auto"/>
        <w:right w:val="none" w:sz="0" w:space="0" w:color="auto"/>
      </w:divBdr>
    </w:div>
    <w:div w:id="2003314559">
      <w:marLeft w:val="0"/>
      <w:marRight w:val="0"/>
      <w:marTop w:val="0"/>
      <w:marBottom w:val="0"/>
      <w:divBdr>
        <w:top w:val="none" w:sz="0" w:space="0" w:color="auto"/>
        <w:left w:val="none" w:sz="0" w:space="0" w:color="auto"/>
        <w:bottom w:val="none" w:sz="0" w:space="0" w:color="auto"/>
        <w:right w:val="none" w:sz="0" w:space="0" w:color="auto"/>
      </w:divBdr>
    </w:div>
    <w:div w:id="2003314565">
      <w:marLeft w:val="0"/>
      <w:marRight w:val="0"/>
      <w:marTop w:val="0"/>
      <w:marBottom w:val="0"/>
      <w:divBdr>
        <w:top w:val="none" w:sz="0" w:space="0" w:color="auto"/>
        <w:left w:val="none" w:sz="0" w:space="0" w:color="auto"/>
        <w:bottom w:val="none" w:sz="0" w:space="0" w:color="auto"/>
        <w:right w:val="none" w:sz="0" w:space="0" w:color="auto"/>
      </w:divBdr>
    </w:div>
    <w:div w:id="2003314568">
      <w:marLeft w:val="0"/>
      <w:marRight w:val="0"/>
      <w:marTop w:val="0"/>
      <w:marBottom w:val="0"/>
      <w:divBdr>
        <w:top w:val="none" w:sz="0" w:space="0" w:color="auto"/>
        <w:left w:val="none" w:sz="0" w:space="0" w:color="auto"/>
        <w:bottom w:val="none" w:sz="0" w:space="0" w:color="auto"/>
        <w:right w:val="none" w:sz="0" w:space="0" w:color="auto"/>
      </w:divBdr>
      <w:divsChild>
        <w:div w:id="2003314572">
          <w:marLeft w:val="0"/>
          <w:marRight w:val="0"/>
          <w:marTop w:val="0"/>
          <w:marBottom w:val="0"/>
          <w:divBdr>
            <w:top w:val="none" w:sz="0" w:space="0" w:color="auto"/>
            <w:left w:val="none" w:sz="0" w:space="0" w:color="auto"/>
            <w:bottom w:val="none" w:sz="0" w:space="0" w:color="auto"/>
            <w:right w:val="none" w:sz="0" w:space="0" w:color="auto"/>
          </w:divBdr>
          <w:divsChild>
            <w:div w:id="2003314583">
              <w:marLeft w:val="0"/>
              <w:marRight w:val="0"/>
              <w:marTop w:val="0"/>
              <w:marBottom w:val="0"/>
              <w:divBdr>
                <w:top w:val="none" w:sz="0" w:space="0" w:color="auto"/>
                <w:left w:val="none" w:sz="0" w:space="0" w:color="auto"/>
                <w:bottom w:val="none" w:sz="0" w:space="0" w:color="auto"/>
                <w:right w:val="none" w:sz="0" w:space="0" w:color="auto"/>
              </w:divBdr>
              <w:divsChild>
                <w:div w:id="2003314606">
                  <w:marLeft w:val="0"/>
                  <w:marRight w:val="0"/>
                  <w:marTop w:val="0"/>
                  <w:marBottom w:val="0"/>
                  <w:divBdr>
                    <w:top w:val="none" w:sz="0" w:space="0" w:color="auto"/>
                    <w:left w:val="none" w:sz="0" w:space="0" w:color="auto"/>
                    <w:bottom w:val="none" w:sz="0" w:space="0" w:color="auto"/>
                    <w:right w:val="none" w:sz="0" w:space="0" w:color="auto"/>
                  </w:divBdr>
                  <w:divsChild>
                    <w:div w:id="2003314600">
                      <w:marLeft w:val="0"/>
                      <w:marRight w:val="0"/>
                      <w:marTop w:val="0"/>
                      <w:marBottom w:val="0"/>
                      <w:divBdr>
                        <w:top w:val="none" w:sz="0" w:space="0" w:color="auto"/>
                        <w:left w:val="none" w:sz="0" w:space="0" w:color="auto"/>
                        <w:bottom w:val="none" w:sz="0" w:space="0" w:color="auto"/>
                        <w:right w:val="none" w:sz="0" w:space="0" w:color="auto"/>
                      </w:divBdr>
                      <w:divsChild>
                        <w:div w:id="2003314574">
                          <w:marLeft w:val="0"/>
                          <w:marRight w:val="0"/>
                          <w:marTop w:val="0"/>
                          <w:marBottom w:val="0"/>
                          <w:divBdr>
                            <w:top w:val="none" w:sz="0" w:space="0" w:color="auto"/>
                            <w:left w:val="none" w:sz="0" w:space="0" w:color="auto"/>
                            <w:bottom w:val="none" w:sz="0" w:space="0" w:color="auto"/>
                            <w:right w:val="none" w:sz="0" w:space="0" w:color="auto"/>
                          </w:divBdr>
                          <w:divsChild>
                            <w:div w:id="2003314573">
                              <w:marLeft w:val="0"/>
                              <w:marRight w:val="0"/>
                              <w:marTop w:val="0"/>
                              <w:marBottom w:val="0"/>
                              <w:divBdr>
                                <w:top w:val="none" w:sz="0" w:space="0" w:color="auto"/>
                                <w:left w:val="none" w:sz="0" w:space="0" w:color="auto"/>
                                <w:bottom w:val="none" w:sz="0" w:space="0" w:color="auto"/>
                                <w:right w:val="none" w:sz="0" w:space="0" w:color="auto"/>
                              </w:divBdr>
                              <w:divsChild>
                                <w:div w:id="2003314603">
                                  <w:marLeft w:val="0"/>
                                  <w:marRight w:val="0"/>
                                  <w:marTop w:val="0"/>
                                  <w:marBottom w:val="0"/>
                                  <w:divBdr>
                                    <w:top w:val="none" w:sz="0" w:space="0" w:color="auto"/>
                                    <w:left w:val="none" w:sz="0" w:space="0" w:color="auto"/>
                                    <w:bottom w:val="none" w:sz="0" w:space="0" w:color="auto"/>
                                    <w:right w:val="none" w:sz="0" w:space="0" w:color="auto"/>
                                  </w:divBdr>
                                  <w:divsChild>
                                    <w:div w:id="200331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3314576">
      <w:marLeft w:val="0"/>
      <w:marRight w:val="0"/>
      <w:marTop w:val="0"/>
      <w:marBottom w:val="0"/>
      <w:divBdr>
        <w:top w:val="none" w:sz="0" w:space="0" w:color="auto"/>
        <w:left w:val="none" w:sz="0" w:space="0" w:color="auto"/>
        <w:bottom w:val="none" w:sz="0" w:space="0" w:color="auto"/>
        <w:right w:val="none" w:sz="0" w:space="0" w:color="auto"/>
      </w:divBdr>
      <w:divsChild>
        <w:div w:id="2003314584">
          <w:marLeft w:val="0"/>
          <w:marRight w:val="0"/>
          <w:marTop w:val="0"/>
          <w:marBottom w:val="0"/>
          <w:divBdr>
            <w:top w:val="none" w:sz="0" w:space="0" w:color="auto"/>
            <w:left w:val="none" w:sz="0" w:space="0" w:color="auto"/>
            <w:bottom w:val="none" w:sz="0" w:space="0" w:color="auto"/>
            <w:right w:val="none" w:sz="0" w:space="0" w:color="auto"/>
          </w:divBdr>
          <w:divsChild>
            <w:div w:id="2003314582">
              <w:marLeft w:val="0"/>
              <w:marRight w:val="0"/>
              <w:marTop w:val="0"/>
              <w:marBottom w:val="0"/>
              <w:divBdr>
                <w:top w:val="none" w:sz="0" w:space="0" w:color="auto"/>
                <w:left w:val="none" w:sz="0" w:space="0" w:color="auto"/>
                <w:bottom w:val="none" w:sz="0" w:space="0" w:color="auto"/>
                <w:right w:val="none" w:sz="0" w:space="0" w:color="auto"/>
              </w:divBdr>
              <w:divsChild>
                <w:div w:id="2003314594">
                  <w:marLeft w:val="0"/>
                  <w:marRight w:val="0"/>
                  <w:marTop w:val="0"/>
                  <w:marBottom w:val="0"/>
                  <w:divBdr>
                    <w:top w:val="none" w:sz="0" w:space="0" w:color="auto"/>
                    <w:left w:val="none" w:sz="0" w:space="0" w:color="auto"/>
                    <w:bottom w:val="none" w:sz="0" w:space="0" w:color="auto"/>
                    <w:right w:val="none" w:sz="0" w:space="0" w:color="auto"/>
                  </w:divBdr>
                  <w:divsChild>
                    <w:div w:id="2003314602">
                      <w:marLeft w:val="0"/>
                      <w:marRight w:val="0"/>
                      <w:marTop w:val="0"/>
                      <w:marBottom w:val="0"/>
                      <w:divBdr>
                        <w:top w:val="none" w:sz="0" w:space="0" w:color="auto"/>
                        <w:left w:val="none" w:sz="0" w:space="0" w:color="auto"/>
                        <w:bottom w:val="none" w:sz="0" w:space="0" w:color="auto"/>
                        <w:right w:val="none" w:sz="0" w:space="0" w:color="auto"/>
                      </w:divBdr>
                      <w:divsChild>
                        <w:div w:id="2003314563">
                          <w:marLeft w:val="0"/>
                          <w:marRight w:val="0"/>
                          <w:marTop w:val="0"/>
                          <w:marBottom w:val="0"/>
                          <w:divBdr>
                            <w:top w:val="none" w:sz="0" w:space="0" w:color="auto"/>
                            <w:left w:val="none" w:sz="0" w:space="0" w:color="auto"/>
                            <w:bottom w:val="none" w:sz="0" w:space="0" w:color="auto"/>
                            <w:right w:val="none" w:sz="0" w:space="0" w:color="auto"/>
                          </w:divBdr>
                          <w:divsChild>
                            <w:div w:id="2003314571">
                              <w:marLeft w:val="0"/>
                              <w:marRight w:val="0"/>
                              <w:marTop w:val="0"/>
                              <w:marBottom w:val="0"/>
                              <w:divBdr>
                                <w:top w:val="none" w:sz="0" w:space="0" w:color="auto"/>
                                <w:left w:val="none" w:sz="0" w:space="0" w:color="auto"/>
                                <w:bottom w:val="none" w:sz="0" w:space="0" w:color="auto"/>
                                <w:right w:val="none" w:sz="0" w:space="0" w:color="auto"/>
                              </w:divBdr>
                              <w:divsChild>
                                <w:div w:id="200331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3314578">
      <w:marLeft w:val="0"/>
      <w:marRight w:val="0"/>
      <w:marTop w:val="0"/>
      <w:marBottom w:val="0"/>
      <w:divBdr>
        <w:top w:val="none" w:sz="0" w:space="0" w:color="auto"/>
        <w:left w:val="none" w:sz="0" w:space="0" w:color="auto"/>
        <w:bottom w:val="none" w:sz="0" w:space="0" w:color="auto"/>
        <w:right w:val="none" w:sz="0" w:space="0" w:color="auto"/>
      </w:divBdr>
    </w:div>
    <w:div w:id="2003314581">
      <w:marLeft w:val="0"/>
      <w:marRight w:val="0"/>
      <w:marTop w:val="0"/>
      <w:marBottom w:val="0"/>
      <w:divBdr>
        <w:top w:val="none" w:sz="0" w:space="0" w:color="auto"/>
        <w:left w:val="none" w:sz="0" w:space="0" w:color="auto"/>
        <w:bottom w:val="none" w:sz="0" w:space="0" w:color="auto"/>
        <w:right w:val="none" w:sz="0" w:space="0" w:color="auto"/>
      </w:divBdr>
      <w:divsChild>
        <w:div w:id="2003314561">
          <w:marLeft w:val="0"/>
          <w:marRight w:val="0"/>
          <w:marTop w:val="0"/>
          <w:marBottom w:val="0"/>
          <w:divBdr>
            <w:top w:val="none" w:sz="0" w:space="0" w:color="auto"/>
            <w:left w:val="none" w:sz="0" w:space="0" w:color="auto"/>
            <w:bottom w:val="none" w:sz="0" w:space="0" w:color="auto"/>
            <w:right w:val="none" w:sz="0" w:space="0" w:color="auto"/>
          </w:divBdr>
          <w:divsChild>
            <w:div w:id="2003314570">
              <w:marLeft w:val="0"/>
              <w:marRight w:val="0"/>
              <w:marTop w:val="0"/>
              <w:marBottom w:val="0"/>
              <w:divBdr>
                <w:top w:val="none" w:sz="0" w:space="0" w:color="auto"/>
                <w:left w:val="none" w:sz="0" w:space="0" w:color="auto"/>
                <w:bottom w:val="none" w:sz="0" w:space="0" w:color="auto"/>
                <w:right w:val="none" w:sz="0" w:space="0" w:color="auto"/>
              </w:divBdr>
              <w:divsChild>
                <w:div w:id="200331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314587">
      <w:marLeft w:val="0"/>
      <w:marRight w:val="0"/>
      <w:marTop w:val="0"/>
      <w:marBottom w:val="0"/>
      <w:divBdr>
        <w:top w:val="none" w:sz="0" w:space="0" w:color="auto"/>
        <w:left w:val="none" w:sz="0" w:space="0" w:color="auto"/>
        <w:bottom w:val="none" w:sz="0" w:space="0" w:color="auto"/>
        <w:right w:val="none" w:sz="0" w:space="0" w:color="auto"/>
      </w:divBdr>
      <w:divsChild>
        <w:div w:id="2003314560">
          <w:marLeft w:val="0"/>
          <w:marRight w:val="0"/>
          <w:marTop w:val="0"/>
          <w:marBottom w:val="0"/>
          <w:divBdr>
            <w:top w:val="none" w:sz="0" w:space="0" w:color="auto"/>
            <w:left w:val="none" w:sz="0" w:space="0" w:color="auto"/>
            <w:bottom w:val="none" w:sz="0" w:space="0" w:color="auto"/>
            <w:right w:val="none" w:sz="0" w:space="0" w:color="auto"/>
          </w:divBdr>
          <w:divsChild>
            <w:div w:id="200331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314590">
      <w:marLeft w:val="0"/>
      <w:marRight w:val="0"/>
      <w:marTop w:val="0"/>
      <w:marBottom w:val="0"/>
      <w:divBdr>
        <w:top w:val="none" w:sz="0" w:space="0" w:color="auto"/>
        <w:left w:val="none" w:sz="0" w:space="0" w:color="auto"/>
        <w:bottom w:val="none" w:sz="0" w:space="0" w:color="auto"/>
        <w:right w:val="none" w:sz="0" w:space="0" w:color="auto"/>
      </w:divBdr>
      <w:divsChild>
        <w:div w:id="2003314566">
          <w:marLeft w:val="0"/>
          <w:marRight w:val="0"/>
          <w:marTop w:val="0"/>
          <w:marBottom w:val="0"/>
          <w:divBdr>
            <w:top w:val="none" w:sz="0" w:space="0" w:color="auto"/>
            <w:left w:val="none" w:sz="0" w:space="0" w:color="auto"/>
            <w:bottom w:val="none" w:sz="0" w:space="0" w:color="auto"/>
            <w:right w:val="none" w:sz="0" w:space="0" w:color="auto"/>
          </w:divBdr>
          <w:divsChild>
            <w:div w:id="2003314580">
              <w:marLeft w:val="0"/>
              <w:marRight w:val="0"/>
              <w:marTop w:val="0"/>
              <w:marBottom w:val="0"/>
              <w:divBdr>
                <w:top w:val="none" w:sz="0" w:space="0" w:color="auto"/>
                <w:left w:val="none" w:sz="0" w:space="0" w:color="auto"/>
                <w:bottom w:val="none" w:sz="0" w:space="0" w:color="auto"/>
                <w:right w:val="none" w:sz="0" w:space="0" w:color="auto"/>
              </w:divBdr>
              <w:divsChild>
                <w:div w:id="200331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314591">
      <w:marLeft w:val="0"/>
      <w:marRight w:val="0"/>
      <w:marTop w:val="0"/>
      <w:marBottom w:val="0"/>
      <w:divBdr>
        <w:top w:val="none" w:sz="0" w:space="0" w:color="auto"/>
        <w:left w:val="none" w:sz="0" w:space="0" w:color="auto"/>
        <w:bottom w:val="none" w:sz="0" w:space="0" w:color="auto"/>
        <w:right w:val="none" w:sz="0" w:space="0" w:color="auto"/>
      </w:divBdr>
      <w:divsChild>
        <w:div w:id="2003314586">
          <w:marLeft w:val="0"/>
          <w:marRight w:val="0"/>
          <w:marTop w:val="0"/>
          <w:marBottom w:val="0"/>
          <w:divBdr>
            <w:top w:val="none" w:sz="0" w:space="0" w:color="auto"/>
            <w:left w:val="none" w:sz="0" w:space="0" w:color="auto"/>
            <w:bottom w:val="none" w:sz="0" w:space="0" w:color="auto"/>
            <w:right w:val="none" w:sz="0" w:space="0" w:color="auto"/>
          </w:divBdr>
          <w:divsChild>
            <w:div w:id="2003314562">
              <w:marLeft w:val="0"/>
              <w:marRight w:val="0"/>
              <w:marTop w:val="0"/>
              <w:marBottom w:val="0"/>
              <w:divBdr>
                <w:top w:val="none" w:sz="0" w:space="0" w:color="auto"/>
                <w:left w:val="none" w:sz="0" w:space="0" w:color="auto"/>
                <w:bottom w:val="none" w:sz="0" w:space="0" w:color="auto"/>
                <w:right w:val="none" w:sz="0" w:space="0" w:color="auto"/>
              </w:divBdr>
              <w:divsChild>
                <w:div w:id="2003314579">
                  <w:marLeft w:val="0"/>
                  <w:marRight w:val="0"/>
                  <w:marTop w:val="0"/>
                  <w:marBottom w:val="0"/>
                  <w:divBdr>
                    <w:top w:val="none" w:sz="0" w:space="0" w:color="auto"/>
                    <w:left w:val="none" w:sz="0" w:space="0" w:color="auto"/>
                    <w:bottom w:val="none" w:sz="0" w:space="0" w:color="auto"/>
                    <w:right w:val="none" w:sz="0" w:space="0" w:color="auto"/>
                  </w:divBdr>
                  <w:divsChild>
                    <w:div w:id="2003314569">
                      <w:marLeft w:val="0"/>
                      <w:marRight w:val="0"/>
                      <w:marTop w:val="0"/>
                      <w:marBottom w:val="0"/>
                      <w:divBdr>
                        <w:top w:val="none" w:sz="0" w:space="0" w:color="auto"/>
                        <w:left w:val="none" w:sz="0" w:space="0" w:color="auto"/>
                        <w:bottom w:val="none" w:sz="0" w:space="0" w:color="auto"/>
                        <w:right w:val="none" w:sz="0" w:space="0" w:color="auto"/>
                      </w:divBdr>
                      <w:divsChild>
                        <w:div w:id="2003314601">
                          <w:marLeft w:val="0"/>
                          <w:marRight w:val="0"/>
                          <w:marTop w:val="0"/>
                          <w:marBottom w:val="0"/>
                          <w:divBdr>
                            <w:top w:val="none" w:sz="0" w:space="0" w:color="auto"/>
                            <w:left w:val="none" w:sz="0" w:space="0" w:color="auto"/>
                            <w:bottom w:val="none" w:sz="0" w:space="0" w:color="auto"/>
                            <w:right w:val="none" w:sz="0" w:space="0" w:color="auto"/>
                          </w:divBdr>
                          <w:divsChild>
                            <w:div w:id="2003314597">
                              <w:marLeft w:val="0"/>
                              <w:marRight w:val="0"/>
                              <w:marTop w:val="0"/>
                              <w:marBottom w:val="0"/>
                              <w:divBdr>
                                <w:top w:val="none" w:sz="0" w:space="0" w:color="auto"/>
                                <w:left w:val="none" w:sz="0" w:space="0" w:color="auto"/>
                                <w:bottom w:val="none" w:sz="0" w:space="0" w:color="auto"/>
                                <w:right w:val="none" w:sz="0" w:space="0" w:color="auto"/>
                              </w:divBdr>
                              <w:divsChild>
                                <w:div w:id="200331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3314593">
      <w:marLeft w:val="0"/>
      <w:marRight w:val="0"/>
      <w:marTop w:val="0"/>
      <w:marBottom w:val="0"/>
      <w:divBdr>
        <w:top w:val="none" w:sz="0" w:space="0" w:color="auto"/>
        <w:left w:val="none" w:sz="0" w:space="0" w:color="auto"/>
        <w:bottom w:val="none" w:sz="0" w:space="0" w:color="auto"/>
        <w:right w:val="none" w:sz="0" w:space="0" w:color="auto"/>
      </w:divBdr>
    </w:div>
    <w:div w:id="2003314595">
      <w:marLeft w:val="0"/>
      <w:marRight w:val="0"/>
      <w:marTop w:val="0"/>
      <w:marBottom w:val="0"/>
      <w:divBdr>
        <w:top w:val="none" w:sz="0" w:space="0" w:color="auto"/>
        <w:left w:val="none" w:sz="0" w:space="0" w:color="auto"/>
        <w:bottom w:val="none" w:sz="0" w:space="0" w:color="auto"/>
        <w:right w:val="none" w:sz="0" w:space="0" w:color="auto"/>
      </w:divBdr>
    </w:div>
    <w:div w:id="2003314598">
      <w:marLeft w:val="0"/>
      <w:marRight w:val="0"/>
      <w:marTop w:val="0"/>
      <w:marBottom w:val="0"/>
      <w:divBdr>
        <w:top w:val="none" w:sz="0" w:space="0" w:color="auto"/>
        <w:left w:val="none" w:sz="0" w:space="0" w:color="auto"/>
        <w:bottom w:val="none" w:sz="0" w:space="0" w:color="auto"/>
        <w:right w:val="none" w:sz="0" w:space="0" w:color="auto"/>
      </w:divBdr>
    </w:div>
    <w:div w:id="2003314604">
      <w:marLeft w:val="0"/>
      <w:marRight w:val="0"/>
      <w:marTop w:val="0"/>
      <w:marBottom w:val="0"/>
      <w:divBdr>
        <w:top w:val="none" w:sz="0" w:space="0" w:color="auto"/>
        <w:left w:val="none" w:sz="0" w:space="0" w:color="auto"/>
        <w:bottom w:val="none" w:sz="0" w:space="0" w:color="auto"/>
        <w:right w:val="none" w:sz="0" w:space="0" w:color="auto"/>
      </w:divBdr>
      <w:divsChild>
        <w:div w:id="2003314564">
          <w:marLeft w:val="0"/>
          <w:marRight w:val="0"/>
          <w:marTop w:val="0"/>
          <w:marBottom w:val="0"/>
          <w:divBdr>
            <w:top w:val="none" w:sz="0" w:space="0" w:color="auto"/>
            <w:left w:val="none" w:sz="0" w:space="0" w:color="auto"/>
            <w:bottom w:val="none" w:sz="0" w:space="0" w:color="auto"/>
            <w:right w:val="none" w:sz="0" w:space="0" w:color="auto"/>
          </w:divBdr>
          <w:divsChild>
            <w:div w:id="2003314567">
              <w:marLeft w:val="0"/>
              <w:marRight w:val="0"/>
              <w:marTop w:val="0"/>
              <w:marBottom w:val="0"/>
              <w:divBdr>
                <w:top w:val="none" w:sz="0" w:space="0" w:color="auto"/>
                <w:left w:val="none" w:sz="0" w:space="0" w:color="auto"/>
                <w:bottom w:val="none" w:sz="0" w:space="0" w:color="auto"/>
                <w:right w:val="none" w:sz="0" w:space="0" w:color="auto"/>
              </w:divBdr>
              <w:divsChild>
                <w:div w:id="2003314577">
                  <w:marLeft w:val="0"/>
                  <w:marRight w:val="0"/>
                  <w:marTop w:val="0"/>
                  <w:marBottom w:val="0"/>
                  <w:divBdr>
                    <w:top w:val="none" w:sz="0" w:space="0" w:color="auto"/>
                    <w:left w:val="none" w:sz="0" w:space="0" w:color="auto"/>
                    <w:bottom w:val="none" w:sz="0" w:space="0" w:color="auto"/>
                    <w:right w:val="none" w:sz="0" w:space="0" w:color="auto"/>
                  </w:divBdr>
                  <w:divsChild>
                    <w:div w:id="2003314588">
                      <w:marLeft w:val="0"/>
                      <w:marRight w:val="0"/>
                      <w:marTop w:val="0"/>
                      <w:marBottom w:val="0"/>
                      <w:divBdr>
                        <w:top w:val="none" w:sz="0" w:space="0" w:color="auto"/>
                        <w:left w:val="none" w:sz="0" w:space="0" w:color="auto"/>
                        <w:bottom w:val="none" w:sz="0" w:space="0" w:color="auto"/>
                        <w:right w:val="none" w:sz="0" w:space="0" w:color="auto"/>
                      </w:divBdr>
                      <w:divsChild>
                        <w:div w:id="200331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E4E91E-B776-4716-9B4F-6895BFB3CE25}">
  <ds:schemaRefs>
    <ds:schemaRef ds:uri="http://schemas.openxmlformats.org/officeDocument/2006/bibliography"/>
  </ds:schemaRefs>
</ds:datastoreItem>
</file>

<file path=customXml/itemProps2.xml><?xml version="1.0" encoding="utf-8"?>
<ds:datastoreItem xmlns:ds="http://schemas.openxmlformats.org/officeDocument/2006/customXml" ds:itemID="{9DD64109-E1B4-4793-AB6A-1DA57BF19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12761</Words>
  <Characters>66543</Characters>
  <Application>Microsoft Office Word</Application>
  <DocSecurity>0</DocSecurity>
  <Lines>1193</Lines>
  <Paragraphs>284</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79113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Senior Practitioner Amendment Bill 2019, Senior Practitioner Act 2018, restrictive practice</cp:keywords>
  <dc:description/>
  <cp:lastModifiedBy>PCODCS</cp:lastModifiedBy>
  <cp:revision>4</cp:revision>
  <cp:lastPrinted>2020-02-11T05:08:00Z</cp:lastPrinted>
  <dcterms:created xsi:type="dcterms:W3CDTF">2020-02-12T02:58:00Z</dcterms:created>
  <dcterms:modified xsi:type="dcterms:W3CDTF">2020-02-12T02:58:00Z</dcterms:modified>
</cp:coreProperties>
</file>