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5D70F1" w:rsidRPr="002F1A2A" w:rsidRDefault="003A2B81" w:rsidP="002F1A2A">
      <w:pPr>
        <w:pStyle w:val="Heading1"/>
      </w:pPr>
      <w:r>
        <w:t>Climate Change and Greenhouse Gas Reduction (Greenhouse Gas Emissions Measurement</w:t>
      </w:r>
      <w:r w:rsidR="00E25A42">
        <w:t xml:space="preserve"> Method</w:t>
      </w:r>
      <w:r w:rsidR="005D70F1" w:rsidRPr="002F1A2A">
        <w:t>)</w:t>
      </w:r>
      <w:r w:rsidR="00767778">
        <w:t xml:space="preserve"> Determination 20</w:t>
      </w:r>
      <w:r w:rsidR="003D203C">
        <w:t>20</w:t>
      </w:r>
    </w:p>
    <w:p w:rsidR="005D70F1" w:rsidRDefault="005D70F1" w:rsidP="002F1A2A">
      <w:pPr>
        <w:pStyle w:val="Heading2"/>
      </w:pPr>
      <w:r w:rsidRPr="002F1A2A">
        <w:t>Disallowable instrument DI</w:t>
      </w:r>
      <w:r w:rsidR="00767778">
        <w:t>20</w:t>
      </w:r>
      <w:r w:rsidR="003D203C">
        <w:t>20</w:t>
      </w:r>
      <w:r w:rsidRPr="002F1A2A">
        <w:t>–</w:t>
      </w:r>
      <w:r w:rsidR="00DD73BE">
        <w:t>16</w:t>
      </w:r>
    </w:p>
    <w:p w:rsidR="00CD4DAB" w:rsidRPr="00CD4DAB" w:rsidRDefault="00CD4DAB" w:rsidP="00CD4DAB"/>
    <w:p w:rsidR="005D70F1" w:rsidRDefault="005D70F1">
      <w:pPr>
        <w:pStyle w:val="madeunder"/>
        <w:spacing w:before="240" w:after="120"/>
      </w:pPr>
      <w:r>
        <w:t xml:space="preserve">made under the  </w:t>
      </w:r>
    </w:p>
    <w:p w:rsidR="00871914" w:rsidRDefault="003A2B81">
      <w:pPr>
        <w:pStyle w:val="CoverActName"/>
        <w:jc w:val="left"/>
        <w:rPr>
          <w:rFonts w:cs="Arial"/>
          <w:sz w:val="20"/>
        </w:rPr>
      </w:pPr>
      <w:r>
        <w:rPr>
          <w:rFonts w:cs="Arial"/>
          <w:sz w:val="20"/>
        </w:rPr>
        <w:t>Climate Change and Greenhouse Gas Reduction Act 2010</w:t>
      </w:r>
      <w:r w:rsidR="00082141">
        <w:rPr>
          <w:rFonts w:cs="Arial"/>
          <w:sz w:val="20"/>
        </w:rPr>
        <w:t>,</w:t>
      </w:r>
      <w:r>
        <w:rPr>
          <w:rFonts w:cs="Arial"/>
          <w:sz w:val="20"/>
        </w:rPr>
        <w:t xml:space="preserve"> s 11 (Measuring greenhouse gas emissions – determinations</w:t>
      </w:r>
      <w:r w:rsidR="005D70F1">
        <w:rPr>
          <w:rFonts w:cs="Arial"/>
          <w:sz w:val="20"/>
        </w:rPr>
        <w:t>)</w:t>
      </w:r>
    </w:p>
    <w:p w:rsidR="005D70F1" w:rsidRPr="002F1A2A" w:rsidRDefault="005D70F1" w:rsidP="002F1A2A">
      <w:pPr>
        <w:pStyle w:val="Heading3"/>
      </w:pPr>
      <w:r w:rsidRPr="002F1A2A"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881C95" w:rsidRPr="001502E1" w:rsidRDefault="00881C95" w:rsidP="00881C95">
      <w:pPr>
        <w:rPr>
          <w:i/>
          <w:iCs/>
        </w:rPr>
      </w:pPr>
      <w:r w:rsidRPr="00881C95">
        <w:t xml:space="preserve">This explanatory statement relates to the </w:t>
      </w:r>
      <w:r w:rsidRPr="001502E1">
        <w:rPr>
          <w:i/>
          <w:iCs/>
        </w:rPr>
        <w:t xml:space="preserve">Climate Change and Greenhouse Gas </w:t>
      </w:r>
    </w:p>
    <w:p w:rsidR="00881C95" w:rsidRPr="00881C95" w:rsidRDefault="00881C95" w:rsidP="00881C95">
      <w:r w:rsidRPr="001502E1">
        <w:rPr>
          <w:i/>
          <w:iCs/>
        </w:rPr>
        <w:t>Reduction (Greenhouse Gas Emissions Measurement Method) Determination 20</w:t>
      </w:r>
      <w:r w:rsidR="003D203C" w:rsidRPr="001502E1">
        <w:rPr>
          <w:i/>
          <w:iCs/>
        </w:rPr>
        <w:t>20</w:t>
      </w:r>
      <w:r>
        <w:t xml:space="preserve"> </w:t>
      </w:r>
      <w:r w:rsidRPr="00881C95">
        <w:t>as made by the Minister for Climate Change and Sustainability and presented to the Legislative Assembly. It has been prepared in order to assist the reader of the instrument.</w:t>
      </w:r>
      <w:r>
        <w:t xml:space="preserve"> </w:t>
      </w:r>
      <w:r w:rsidRPr="00881C95">
        <w:t xml:space="preserve">It does not form part of the instrument and has not been endorsed by the </w:t>
      </w:r>
      <w:r>
        <w:t>L</w:t>
      </w:r>
      <w:r w:rsidRPr="00881C95">
        <w:t xml:space="preserve">egislative Assembly. </w:t>
      </w:r>
    </w:p>
    <w:p w:rsidR="00881C95" w:rsidRDefault="00881C95" w:rsidP="00881C95"/>
    <w:p w:rsidR="00881C95" w:rsidRPr="00881C95" w:rsidRDefault="00881C95" w:rsidP="00881C95">
      <w:r w:rsidRPr="00881C95">
        <w:t xml:space="preserve">This explanatory statement must be read in conjunction with the instrument. It is not, </w:t>
      </w:r>
    </w:p>
    <w:p w:rsidR="00881C95" w:rsidRPr="00881C95" w:rsidRDefault="00881C95" w:rsidP="00881C95">
      <w:r w:rsidRPr="00881C95">
        <w:t xml:space="preserve">and is not meant to be, a comprehensive description of the instrument. What is said </w:t>
      </w:r>
    </w:p>
    <w:p w:rsidR="00881C95" w:rsidRPr="00881C95" w:rsidRDefault="00881C95" w:rsidP="00881C95">
      <w:r w:rsidRPr="00881C95">
        <w:t xml:space="preserve">about a provision is not to be taken as an authoritative guide to the meaning of a </w:t>
      </w:r>
    </w:p>
    <w:p w:rsidR="00881C95" w:rsidRPr="00881C95" w:rsidRDefault="00881C95" w:rsidP="00881C95">
      <w:r w:rsidRPr="00881C95">
        <w:t>provision, this being a matter for the courts.</w:t>
      </w:r>
    </w:p>
    <w:p w:rsidR="003D5E11" w:rsidRDefault="003D5E11" w:rsidP="000634A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</w:p>
    <w:p w:rsidR="003D5E11" w:rsidRDefault="003D5E11" w:rsidP="000634A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</w:p>
    <w:p w:rsidR="000634A4" w:rsidRDefault="000634A4" w:rsidP="000634A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t>Overview</w:t>
      </w:r>
    </w:p>
    <w:p w:rsidR="000634A4" w:rsidRDefault="000634A4" w:rsidP="000634A4">
      <w:r w:rsidRPr="000634A4">
        <w:t xml:space="preserve">The </w:t>
      </w:r>
      <w:r w:rsidRPr="000634A4">
        <w:rPr>
          <w:i/>
        </w:rPr>
        <w:t>Climate Change and Greenhouse Gas Reduction Act 2010</w:t>
      </w:r>
      <w:r w:rsidRPr="000634A4">
        <w:t xml:space="preserve"> (the Act) sets targets</w:t>
      </w:r>
      <w:r>
        <w:t xml:space="preserve"> </w:t>
      </w:r>
      <w:r w:rsidRPr="000634A4">
        <w:t>for greenhouse gas (GHG) emission</w:t>
      </w:r>
      <w:r w:rsidR="000F72A6">
        <w:t>s</w:t>
      </w:r>
      <w:r w:rsidRPr="000634A4">
        <w:t xml:space="preserve"> reductions and the </w:t>
      </w:r>
      <w:r w:rsidR="00896C99">
        <w:t>use of renewable electricity in the ACT</w:t>
      </w:r>
      <w:r w:rsidRPr="000634A4">
        <w:t>. It also provides for monitoring and reporting</w:t>
      </w:r>
      <w:r>
        <w:t xml:space="preserve"> </w:t>
      </w:r>
      <w:r w:rsidRPr="000634A4">
        <w:t xml:space="preserve">on progress made in achieving GHG </w:t>
      </w:r>
      <w:r w:rsidR="00896C99">
        <w:t xml:space="preserve">emissions </w:t>
      </w:r>
      <w:r w:rsidRPr="000634A4">
        <w:t>reductions, informs the government’s</w:t>
      </w:r>
      <w:r>
        <w:t xml:space="preserve"> </w:t>
      </w:r>
      <w:r w:rsidRPr="000634A4">
        <w:t>development of policies, and encourages private entities to actively address climate</w:t>
      </w:r>
      <w:r>
        <w:t xml:space="preserve"> </w:t>
      </w:r>
      <w:r w:rsidRPr="000634A4">
        <w:t>change.</w:t>
      </w:r>
    </w:p>
    <w:p w:rsidR="000634A4" w:rsidRPr="000634A4" w:rsidRDefault="000634A4" w:rsidP="000634A4"/>
    <w:p w:rsidR="000634A4" w:rsidRDefault="000634A4" w:rsidP="000634A4">
      <w:r w:rsidRPr="000634A4">
        <w:t>Pursuant to section 12 of the Act</w:t>
      </w:r>
      <w:r w:rsidR="00082141">
        <w:t>,</w:t>
      </w:r>
      <w:r w:rsidRPr="000634A4">
        <w:t xml:space="preserve"> an independent entity must prepare and report</w:t>
      </w:r>
      <w:r>
        <w:t xml:space="preserve"> </w:t>
      </w:r>
      <w:r w:rsidRPr="000634A4">
        <w:t xml:space="preserve">annually on the measured </w:t>
      </w:r>
      <w:r w:rsidR="00896C99">
        <w:t xml:space="preserve">GHG </w:t>
      </w:r>
      <w:r w:rsidRPr="000634A4">
        <w:t>emissio</w:t>
      </w:r>
      <w:r w:rsidR="000F72A6">
        <w:t>ns</w:t>
      </w:r>
      <w:r w:rsidRPr="000634A4">
        <w:t xml:space="preserve"> for the ACT.</w:t>
      </w:r>
      <w:r>
        <w:t xml:space="preserve"> </w:t>
      </w:r>
      <w:r w:rsidRPr="000634A4">
        <w:t>The report must be provided to the Minister</w:t>
      </w:r>
      <w:r>
        <w:t xml:space="preserve"> </w:t>
      </w:r>
      <w:r w:rsidRPr="000634A4">
        <w:t xml:space="preserve">within three months after the end of the </w:t>
      </w:r>
      <w:r w:rsidR="000F72A6">
        <w:t>reporting period</w:t>
      </w:r>
      <w:r w:rsidR="004C4701">
        <w:t xml:space="preserve">; </w:t>
      </w:r>
      <w:r w:rsidR="000F72A6">
        <w:t>that is, by 30 </w:t>
      </w:r>
      <w:r w:rsidRPr="000634A4">
        <w:t>September</w:t>
      </w:r>
      <w:r>
        <w:t xml:space="preserve"> </w:t>
      </w:r>
      <w:r w:rsidRPr="000634A4">
        <w:t>each year</w:t>
      </w:r>
      <w:r w:rsidR="007C0B12">
        <w:t xml:space="preserve"> for the period two years in arrears</w:t>
      </w:r>
      <w:r w:rsidRPr="000634A4">
        <w:t>.</w:t>
      </w:r>
    </w:p>
    <w:p w:rsidR="000634A4" w:rsidRDefault="000634A4" w:rsidP="000634A4"/>
    <w:p w:rsidR="00DD73BE" w:rsidRDefault="00DD73BE">
      <w:pPr>
        <w:rPr>
          <w:rFonts w:ascii="Arial" w:hAnsi="Arial" w:cs="Arial"/>
          <w:b/>
          <w:bCs/>
          <w:sz w:val="22"/>
          <w:szCs w:val="22"/>
          <w:lang w:eastAsia="en-AU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br w:type="page"/>
      </w:r>
    </w:p>
    <w:p w:rsidR="000634A4" w:rsidRDefault="000634A4" w:rsidP="000634A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lastRenderedPageBreak/>
        <w:t>Purpose</w:t>
      </w:r>
    </w:p>
    <w:p w:rsidR="000634A4" w:rsidRDefault="000634A4" w:rsidP="000634A4">
      <w:r w:rsidRPr="000634A4">
        <w:t xml:space="preserve">The purpose of the </w:t>
      </w:r>
      <w:r w:rsidR="00A55149">
        <w:rPr>
          <w:i/>
          <w:iCs/>
        </w:rPr>
        <w:t>Climate Change and Greenhouse Gas Reduction (Greenhouse Gas Emissions Measurement Method) Determination 20</w:t>
      </w:r>
      <w:r w:rsidR="003D203C">
        <w:rPr>
          <w:i/>
          <w:iCs/>
        </w:rPr>
        <w:t>20</w:t>
      </w:r>
      <w:r w:rsidR="00A55149">
        <w:rPr>
          <w:i/>
          <w:iCs/>
        </w:rPr>
        <w:t xml:space="preserve"> </w:t>
      </w:r>
      <w:r w:rsidR="00A55149">
        <w:rPr>
          <w:iCs/>
        </w:rPr>
        <w:t xml:space="preserve">(the </w:t>
      </w:r>
      <w:r w:rsidRPr="000634A4">
        <w:t>Determination</w:t>
      </w:r>
      <w:r w:rsidR="00A55149">
        <w:t>)</w:t>
      </w:r>
      <w:r w:rsidRPr="000634A4">
        <w:t xml:space="preserve"> is to prescribe a method for measuring GHG</w:t>
      </w:r>
      <w:r>
        <w:t xml:space="preserve"> </w:t>
      </w:r>
      <w:r w:rsidRPr="000634A4">
        <w:t>emissions. Under section 11 of the Act</w:t>
      </w:r>
      <w:r w:rsidR="00082141">
        <w:t>,</w:t>
      </w:r>
      <w:r w:rsidRPr="000634A4">
        <w:t xml:space="preserve"> th</w:t>
      </w:r>
      <w:r w:rsidR="000F72A6">
        <w:t xml:space="preserve">e Determination is </w:t>
      </w:r>
      <w:r w:rsidR="00A55149">
        <w:t xml:space="preserve">made </w:t>
      </w:r>
      <w:r w:rsidR="000F72A6">
        <w:t>by way of a D</w:t>
      </w:r>
      <w:r w:rsidRPr="000634A4">
        <w:t>isallowable</w:t>
      </w:r>
      <w:r>
        <w:t xml:space="preserve"> </w:t>
      </w:r>
      <w:r w:rsidR="000F72A6">
        <w:t>I</w:t>
      </w:r>
      <w:r w:rsidRPr="000634A4">
        <w:t>nstrument which must be notified, and presented to the Legislative Assembly, under</w:t>
      </w:r>
      <w:r>
        <w:t xml:space="preserve"> </w:t>
      </w:r>
      <w:r w:rsidRPr="000634A4">
        <w:t xml:space="preserve">the </w:t>
      </w:r>
      <w:r w:rsidRPr="000634A4">
        <w:rPr>
          <w:i/>
        </w:rPr>
        <w:t>Legislation Act 2001</w:t>
      </w:r>
      <w:r w:rsidRPr="000634A4">
        <w:t>.</w:t>
      </w:r>
      <w:r w:rsidR="00896C99">
        <w:t xml:space="preserve"> </w:t>
      </w:r>
      <w:r w:rsidRPr="000634A4">
        <w:t xml:space="preserve">The Determination takes effect </w:t>
      </w:r>
      <w:r w:rsidR="004230BB">
        <w:t xml:space="preserve">on </w:t>
      </w:r>
      <w:r w:rsidRPr="000634A4">
        <w:t xml:space="preserve">the day after </w:t>
      </w:r>
      <w:r w:rsidR="00A55149">
        <w:t xml:space="preserve">its </w:t>
      </w:r>
      <w:r w:rsidRPr="000634A4">
        <w:t>notification</w:t>
      </w:r>
      <w:r w:rsidR="00A55149">
        <w:t xml:space="preserve"> day</w:t>
      </w:r>
      <w:r w:rsidRPr="000634A4">
        <w:t>.</w:t>
      </w:r>
    </w:p>
    <w:p w:rsidR="000634A4" w:rsidRPr="000634A4" w:rsidRDefault="000634A4" w:rsidP="00891901"/>
    <w:p w:rsidR="000009BC" w:rsidRDefault="000634A4" w:rsidP="004C4701">
      <w:pPr>
        <w:spacing w:after="240"/>
      </w:pPr>
      <w:r w:rsidRPr="000634A4">
        <w:t xml:space="preserve">In making the </w:t>
      </w:r>
      <w:r w:rsidR="00720932">
        <w:t>D</w:t>
      </w:r>
      <w:r w:rsidRPr="000634A4">
        <w:t>etermination, the Minister must</w:t>
      </w:r>
      <w:r w:rsidR="00896C99">
        <w:t xml:space="preserve"> (section 11(3) of the Act):</w:t>
      </w:r>
    </w:p>
    <w:p w:rsidR="00896C99" w:rsidRDefault="000634A4" w:rsidP="004C4701">
      <w:pPr>
        <w:pStyle w:val="ListParagraph"/>
        <w:numPr>
          <w:ilvl w:val="0"/>
          <w:numId w:val="16"/>
        </w:numPr>
        <w:spacing w:after="120"/>
        <w:ind w:left="777" w:hanging="357"/>
        <w:contextualSpacing w:val="0"/>
      </w:pPr>
      <w:r w:rsidRPr="000634A4">
        <w:t>seek</w:t>
      </w:r>
      <w:r w:rsidR="00896C99">
        <w:t>,</w:t>
      </w:r>
      <w:r w:rsidRPr="000634A4">
        <w:t xml:space="preserve"> and have regard to</w:t>
      </w:r>
      <w:r w:rsidR="00896C99">
        <w:t>,</w:t>
      </w:r>
      <w:r w:rsidRPr="000634A4">
        <w:t xml:space="preserve"> the</w:t>
      </w:r>
      <w:r>
        <w:t xml:space="preserve"> </w:t>
      </w:r>
      <w:r w:rsidRPr="000634A4">
        <w:t>advice of an independent entity on the method for measuring GHG emissions</w:t>
      </w:r>
      <w:r w:rsidR="00896C99">
        <w:t>;</w:t>
      </w:r>
      <w:r w:rsidRPr="000634A4">
        <w:t xml:space="preserve"> and</w:t>
      </w:r>
      <w:r>
        <w:t xml:space="preserve"> </w:t>
      </w:r>
    </w:p>
    <w:p w:rsidR="00896C99" w:rsidRDefault="000634A4" w:rsidP="004C4701">
      <w:pPr>
        <w:pStyle w:val="ListParagraph"/>
        <w:numPr>
          <w:ilvl w:val="0"/>
          <w:numId w:val="16"/>
        </w:numPr>
        <w:ind w:left="777" w:hanging="357"/>
      </w:pPr>
      <w:r w:rsidRPr="000634A4">
        <w:t>as far as practica</w:t>
      </w:r>
      <w:r w:rsidR="00896C99">
        <w:t>ble</w:t>
      </w:r>
      <w:r w:rsidRPr="000634A4">
        <w:t>, ensure consistency with the best national and international</w:t>
      </w:r>
      <w:r>
        <w:t xml:space="preserve"> </w:t>
      </w:r>
      <w:r w:rsidRPr="000634A4">
        <w:t xml:space="preserve">practices in relation to measuring </w:t>
      </w:r>
      <w:r w:rsidR="00896C99">
        <w:t>GHG</w:t>
      </w:r>
      <w:r w:rsidRPr="000634A4">
        <w:t xml:space="preserve"> emissions. </w:t>
      </w:r>
    </w:p>
    <w:p w:rsidR="00896C99" w:rsidRDefault="00896C99" w:rsidP="004C4701"/>
    <w:p w:rsidR="000634A4" w:rsidRDefault="000634A4" w:rsidP="00891901">
      <w:r w:rsidRPr="000634A4">
        <w:t>Prior to making th</w:t>
      </w:r>
      <w:r w:rsidR="00720932">
        <w:t>e</w:t>
      </w:r>
      <w:r>
        <w:t xml:space="preserve"> </w:t>
      </w:r>
      <w:r w:rsidR="00720932">
        <w:t>D</w:t>
      </w:r>
      <w:r w:rsidRPr="000634A4">
        <w:t>etermination, the Minister sought and h</w:t>
      </w:r>
      <w:r>
        <w:t>ad regard to the advice of the i</w:t>
      </w:r>
      <w:r w:rsidRPr="000634A4">
        <w:t>ndependent</w:t>
      </w:r>
      <w:r>
        <w:t xml:space="preserve"> </w:t>
      </w:r>
      <w:r w:rsidR="00536391">
        <w:t>consultant</w:t>
      </w:r>
      <w:r w:rsidR="00A55149">
        <w:t>,</w:t>
      </w:r>
      <w:r w:rsidR="00536391">
        <w:t xml:space="preserve"> Dr Hugh Saddler</w:t>
      </w:r>
      <w:r w:rsidR="00A55149">
        <w:t>,</w:t>
      </w:r>
      <w:r w:rsidR="00536391">
        <w:t xml:space="preserve"> </w:t>
      </w:r>
      <w:r w:rsidRPr="000634A4">
        <w:t>on the method for</w:t>
      </w:r>
      <w:r>
        <w:t xml:space="preserve"> </w:t>
      </w:r>
      <w:r w:rsidRPr="000634A4">
        <w:t>measuring GHG emissions.</w:t>
      </w:r>
      <w:r w:rsidR="007A0566">
        <w:t xml:space="preserve"> Dr Hugh Saddler is an Honorary Associate Professor at the Crawford School of Public Policy, Australian National University. </w:t>
      </w:r>
    </w:p>
    <w:p w:rsidR="000634A4" w:rsidRDefault="000634A4" w:rsidP="000634A4"/>
    <w:p w:rsidR="00720932" w:rsidRDefault="00720932" w:rsidP="0072093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t>Previous updates made</w:t>
      </w:r>
    </w:p>
    <w:p w:rsidR="00767778" w:rsidRPr="004230BB" w:rsidRDefault="00767778" w:rsidP="0033532F">
      <w:r w:rsidRPr="004230BB">
        <w:t>In 2015</w:t>
      </w:r>
      <w:r w:rsidR="00891901">
        <w:t>,</w:t>
      </w:r>
      <w:r w:rsidRPr="004230BB">
        <w:t xml:space="preserve"> a fundamental review of the methodology was made to align the AC</w:t>
      </w:r>
      <w:r w:rsidR="0033532F" w:rsidRPr="004230BB">
        <w:t xml:space="preserve">T greenhouse gas inventory with </w:t>
      </w:r>
      <w:r w:rsidRPr="004230BB">
        <w:t xml:space="preserve">the publication in 2014 of the </w:t>
      </w:r>
      <w:r w:rsidRPr="004230BB">
        <w:rPr>
          <w:i/>
        </w:rPr>
        <w:t>Global Protocol for Community-Scale Greenhouse Gas Emission Inventories</w:t>
      </w:r>
      <w:r w:rsidRPr="004230BB">
        <w:t>, and</w:t>
      </w:r>
      <w:r w:rsidR="0033532F" w:rsidRPr="004230BB">
        <w:t xml:space="preserve"> </w:t>
      </w:r>
      <w:r w:rsidRPr="004230BB">
        <w:t xml:space="preserve">the use of </w:t>
      </w:r>
      <w:r w:rsidRPr="004230BB">
        <w:rPr>
          <w:rFonts w:eastAsia="AGaramondPro-Regular"/>
          <w:szCs w:val="22"/>
        </w:rPr>
        <w:t xml:space="preserve">the </w:t>
      </w:r>
      <w:r w:rsidRPr="004230BB">
        <w:rPr>
          <w:rFonts w:eastAsia="AGaramondPro-Regular"/>
          <w:i/>
          <w:iCs/>
          <w:szCs w:val="22"/>
        </w:rPr>
        <w:t xml:space="preserve">2006 IPCC </w:t>
      </w:r>
      <w:r w:rsidRPr="004230BB">
        <w:rPr>
          <w:i/>
          <w:iCs/>
        </w:rPr>
        <w:t xml:space="preserve">(Intergovernmental Panel on Climate Change) </w:t>
      </w:r>
      <w:r w:rsidRPr="004230BB">
        <w:rPr>
          <w:rFonts w:eastAsia="AGaramondPro-Regular"/>
          <w:i/>
          <w:iCs/>
          <w:szCs w:val="22"/>
        </w:rPr>
        <w:t xml:space="preserve">Guidelines for National Greenhouse Gas Inventories </w:t>
      </w:r>
      <w:r w:rsidRPr="004230BB">
        <w:rPr>
          <w:szCs w:val="22"/>
        </w:rPr>
        <w:t xml:space="preserve">in the National </w:t>
      </w:r>
      <w:r w:rsidRPr="004230BB">
        <w:t xml:space="preserve">Greenhouse Gas Inventory 2013, published in May 2015. </w:t>
      </w:r>
    </w:p>
    <w:p w:rsidR="0033532F" w:rsidRPr="004230BB" w:rsidRDefault="0033532F" w:rsidP="0033532F"/>
    <w:p w:rsidR="00957D0D" w:rsidRPr="004230BB" w:rsidRDefault="00536391" w:rsidP="004C4701">
      <w:pPr>
        <w:spacing w:after="240"/>
      </w:pPr>
      <w:r w:rsidRPr="004230BB">
        <w:t>In 2016</w:t>
      </w:r>
      <w:r w:rsidR="00891901">
        <w:t>,</w:t>
      </w:r>
      <w:r w:rsidRPr="004230BB">
        <w:t xml:space="preserve"> minor technical amendments were made to the methodology to</w:t>
      </w:r>
      <w:r w:rsidR="00767778" w:rsidRPr="004230BB">
        <w:t>:</w:t>
      </w:r>
    </w:p>
    <w:p w:rsidR="00767778" w:rsidRPr="004230BB" w:rsidRDefault="00536391" w:rsidP="004C4701">
      <w:pPr>
        <w:pStyle w:val="ListParagraph"/>
        <w:numPr>
          <w:ilvl w:val="0"/>
          <w:numId w:val="16"/>
        </w:numPr>
        <w:spacing w:after="120"/>
        <w:ind w:left="777" w:hanging="357"/>
        <w:contextualSpacing w:val="0"/>
      </w:pPr>
      <w:r w:rsidRPr="004230BB">
        <w:t>use</w:t>
      </w:r>
      <w:r w:rsidR="00767778" w:rsidRPr="004230BB">
        <w:t xml:space="preserve"> </w:t>
      </w:r>
      <w:r w:rsidR="00880C51" w:rsidRPr="004230BB">
        <w:t>a</w:t>
      </w:r>
      <w:r w:rsidR="00767778" w:rsidRPr="004230BB">
        <w:t xml:space="preserve"> waste emission</w:t>
      </w:r>
      <w:r w:rsidR="00891901">
        <w:t>s</w:t>
      </w:r>
      <w:r w:rsidR="00767778" w:rsidRPr="004230BB">
        <w:t xml:space="preserve"> model </w:t>
      </w:r>
      <w:r w:rsidR="00880C51" w:rsidRPr="004230BB">
        <w:t xml:space="preserve">that incorporates ACT specific data from landfill sites </w:t>
      </w:r>
      <w:r w:rsidR="00767778" w:rsidRPr="004230BB">
        <w:t>to improve</w:t>
      </w:r>
      <w:r w:rsidR="00880C51" w:rsidRPr="004230BB">
        <w:t xml:space="preserve"> the</w:t>
      </w:r>
      <w:r w:rsidR="00767778" w:rsidRPr="004230BB">
        <w:t xml:space="preserve"> accuracy of </w:t>
      </w:r>
      <w:r w:rsidR="00880C51" w:rsidRPr="004230BB">
        <w:t xml:space="preserve">accounting, while remaining consistent with the methods used in </w:t>
      </w:r>
      <w:r w:rsidR="00767778" w:rsidRPr="004230BB">
        <w:t xml:space="preserve">the National </w:t>
      </w:r>
      <w:r w:rsidR="00880C51" w:rsidRPr="004230BB">
        <w:t xml:space="preserve">GHG </w:t>
      </w:r>
      <w:r w:rsidR="00767778" w:rsidRPr="004230BB">
        <w:t>Inventory</w:t>
      </w:r>
      <w:r w:rsidR="00880C51" w:rsidRPr="004230BB">
        <w:t xml:space="preserve"> and National Greenho</w:t>
      </w:r>
      <w:r w:rsidRPr="004230BB">
        <w:t>use and Energy Reporting system, and</w:t>
      </w:r>
    </w:p>
    <w:p w:rsidR="00767778" w:rsidRPr="004230BB" w:rsidRDefault="00767778" w:rsidP="004C4701">
      <w:pPr>
        <w:pStyle w:val="ListParagraph"/>
        <w:numPr>
          <w:ilvl w:val="0"/>
          <w:numId w:val="16"/>
        </w:numPr>
        <w:spacing w:after="240"/>
        <w:ind w:left="777" w:hanging="357"/>
        <w:contextualSpacing w:val="0"/>
      </w:pPr>
      <w:r w:rsidRPr="004230BB">
        <w:t>use an extrapolation calculation to synthetic gas data as provided by the National Inventory system to better estimate the current years emissions value</w:t>
      </w:r>
      <w:r w:rsidR="00880C51" w:rsidRPr="004230BB">
        <w:t>.</w:t>
      </w:r>
    </w:p>
    <w:p w:rsidR="0033532F" w:rsidRPr="004230BB" w:rsidRDefault="00891901" w:rsidP="004C4701">
      <w:pPr>
        <w:spacing w:after="240"/>
      </w:pPr>
      <w:r>
        <w:t xml:space="preserve">In 2017, </w:t>
      </w:r>
      <w:r w:rsidR="00536391" w:rsidRPr="004230BB">
        <w:t xml:space="preserve">minor technical </w:t>
      </w:r>
      <w:r w:rsidR="004C4701">
        <w:t>amendments</w:t>
      </w:r>
      <w:r>
        <w:t xml:space="preserve"> were made</w:t>
      </w:r>
      <w:r w:rsidR="0033532F" w:rsidRPr="004230BB">
        <w:t xml:space="preserve"> to reflect best practice </w:t>
      </w:r>
      <w:r>
        <w:t>GHG</w:t>
      </w:r>
      <w:r w:rsidR="0033532F" w:rsidRPr="004230BB">
        <w:t xml:space="preserve"> accounting and improve the accuracy of the GHG Inventory. The changes </w:t>
      </w:r>
      <w:r w:rsidR="007A0566">
        <w:t>were</w:t>
      </w:r>
      <w:r w:rsidR="0033532F" w:rsidRPr="004230BB">
        <w:t>:</w:t>
      </w:r>
    </w:p>
    <w:p w:rsidR="0033532F" w:rsidRPr="004230BB" w:rsidRDefault="0033532F" w:rsidP="004C4701">
      <w:pPr>
        <w:pStyle w:val="ListParagraph"/>
        <w:numPr>
          <w:ilvl w:val="0"/>
          <w:numId w:val="16"/>
        </w:numPr>
        <w:spacing w:before="240" w:after="120"/>
        <w:ind w:left="777" w:hanging="357"/>
        <w:contextualSpacing w:val="0"/>
      </w:pPr>
      <w:r w:rsidRPr="004230BB">
        <w:t>includ</w:t>
      </w:r>
      <w:r w:rsidR="007A0566">
        <w:t>ing</w:t>
      </w:r>
      <w:r w:rsidRPr="004230BB">
        <w:t xml:space="preserve"> emissions from commercial composting of biomass materials; and </w:t>
      </w:r>
    </w:p>
    <w:p w:rsidR="0033532F" w:rsidRPr="004230BB" w:rsidRDefault="0033532F" w:rsidP="00720932">
      <w:pPr>
        <w:pStyle w:val="ListParagraph"/>
        <w:numPr>
          <w:ilvl w:val="0"/>
          <w:numId w:val="16"/>
        </w:numPr>
        <w:spacing w:after="240"/>
        <w:ind w:left="777" w:hanging="357"/>
        <w:contextualSpacing w:val="0"/>
      </w:pPr>
      <w:r w:rsidRPr="004230BB">
        <w:t>calculat</w:t>
      </w:r>
      <w:r w:rsidR="007A0566">
        <w:t>ing</w:t>
      </w:r>
      <w:r w:rsidRPr="004230BB">
        <w:t xml:space="preserve"> below-baseline electricity generation on a </w:t>
      </w:r>
      <w:r w:rsidR="004C4701" w:rsidRPr="004230BB">
        <w:t>5-year</w:t>
      </w:r>
      <w:r w:rsidRPr="004230BB">
        <w:t xml:space="preserve"> rolling average. </w:t>
      </w:r>
    </w:p>
    <w:p w:rsidR="00720932" w:rsidRDefault="00720932" w:rsidP="00720932">
      <w:pPr>
        <w:autoSpaceDE w:val="0"/>
        <w:autoSpaceDN w:val="0"/>
        <w:adjustRightInd w:val="0"/>
      </w:pPr>
      <w:r w:rsidRPr="00720932">
        <w:rPr>
          <w:rFonts w:ascii="Arial" w:hAnsi="Arial" w:cs="Arial"/>
          <w:b/>
          <w:bCs/>
          <w:sz w:val="22"/>
          <w:szCs w:val="22"/>
          <w:lang w:eastAsia="en-AU"/>
        </w:rPr>
        <w:t>Updates made by this Determination</w:t>
      </w:r>
    </w:p>
    <w:p w:rsidR="004C4701" w:rsidRDefault="00891901" w:rsidP="00720932">
      <w:r>
        <w:t>The amendment</w:t>
      </w:r>
      <w:r w:rsidR="00720932">
        <w:t>s</w:t>
      </w:r>
      <w:r>
        <w:t xml:space="preserve"> in 20</w:t>
      </w:r>
      <w:r w:rsidR="003D203C">
        <w:t>20</w:t>
      </w:r>
      <w:r>
        <w:t xml:space="preserve"> </w:t>
      </w:r>
      <w:r w:rsidR="004C4701">
        <w:t>h</w:t>
      </w:r>
      <w:r w:rsidR="00720932">
        <w:t>ave</w:t>
      </w:r>
      <w:r w:rsidR="004C4701">
        <w:t xml:space="preserve"> been made to reflect changes in the availability of data relating to the ACT’s share of b</w:t>
      </w:r>
      <w:r w:rsidR="004C4701" w:rsidRPr="00D55D31">
        <w:t xml:space="preserve">elow </w:t>
      </w:r>
      <w:r w:rsidR="004C4701">
        <w:t>b</w:t>
      </w:r>
      <w:r w:rsidR="004C4701" w:rsidRPr="00D55D31">
        <w:t>aseline NSW region N</w:t>
      </w:r>
      <w:r w:rsidR="00720932">
        <w:t xml:space="preserve">ational </w:t>
      </w:r>
      <w:r w:rsidR="004C4701" w:rsidRPr="00D55D31">
        <w:t>E</w:t>
      </w:r>
      <w:r w:rsidR="00720932">
        <w:t xml:space="preserve">lectricity </w:t>
      </w:r>
      <w:r w:rsidR="004C4701" w:rsidRPr="00D55D31">
        <w:t>M</w:t>
      </w:r>
      <w:r w:rsidR="00720932">
        <w:t>arket</w:t>
      </w:r>
      <w:r w:rsidR="004C4701" w:rsidRPr="00D55D31">
        <w:t xml:space="preserve"> renewable generation</w:t>
      </w:r>
      <w:r w:rsidR="004C4701">
        <w:t>.</w:t>
      </w:r>
    </w:p>
    <w:p w:rsidR="004C4701" w:rsidRDefault="004C4701" w:rsidP="00957D0D"/>
    <w:p w:rsidR="00720932" w:rsidRPr="00720932" w:rsidRDefault="00720932" w:rsidP="0072093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  <w:r w:rsidRPr="00720932">
        <w:rPr>
          <w:rFonts w:ascii="Arial" w:hAnsi="Arial" w:cs="Arial"/>
          <w:b/>
          <w:bCs/>
          <w:sz w:val="22"/>
          <w:szCs w:val="22"/>
          <w:lang w:eastAsia="en-AU"/>
        </w:rPr>
        <w:lastRenderedPageBreak/>
        <w:t>Other</w:t>
      </w:r>
    </w:p>
    <w:p w:rsidR="00082141" w:rsidRDefault="00082141" w:rsidP="00957D0D">
      <w:r w:rsidRPr="004230BB">
        <w:t xml:space="preserve">The Determination is </w:t>
      </w:r>
      <w:r w:rsidR="00BE0F6E" w:rsidRPr="004230BB">
        <w:t xml:space="preserve">not </w:t>
      </w:r>
      <w:r w:rsidRPr="004230BB">
        <w:t>likely to impose appreciable costs on the community, or part of the community</w:t>
      </w:r>
      <w:r w:rsidR="00BE0F6E" w:rsidRPr="004230BB">
        <w:t xml:space="preserve"> and for this reason</w:t>
      </w:r>
      <w:r w:rsidR="00BE0F6E" w:rsidRPr="0033532F">
        <w:t xml:space="preserve"> a regulatory impact statement is not required consistent with section 34 of the Legislation Act</w:t>
      </w:r>
      <w:r w:rsidRPr="0033532F">
        <w:t xml:space="preserve">. In </w:t>
      </w:r>
      <w:r w:rsidR="00BE0F6E" w:rsidRPr="0033532F">
        <w:t xml:space="preserve">addition, in </w:t>
      </w:r>
      <w:r w:rsidRPr="0033532F">
        <w:t xml:space="preserve">accordance with s36(1)(b) of the </w:t>
      </w:r>
      <w:r w:rsidR="005917F4" w:rsidRPr="0033532F">
        <w:t>Legislation</w:t>
      </w:r>
      <w:r w:rsidR="005917F4" w:rsidRPr="005917F4">
        <w:t xml:space="preserve"> Act</w:t>
      </w:r>
      <w:r w:rsidR="00F02FEA">
        <w:t>,</w:t>
      </w:r>
      <w:r>
        <w:t xml:space="preserve"> a </w:t>
      </w:r>
      <w:r w:rsidR="00BE0F6E">
        <w:t>r</w:t>
      </w:r>
      <w:r>
        <w:t xml:space="preserve">egulatory </w:t>
      </w:r>
      <w:r w:rsidR="00BE0F6E">
        <w:t>i</w:t>
      </w:r>
      <w:r>
        <w:t xml:space="preserve">mpact </w:t>
      </w:r>
      <w:r w:rsidR="00BE0F6E">
        <w:t>s</w:t>
      </w:r>
      <w:r>
        <w:t>tatement is unnecessary as the determination provides a tool to calculate the greenhouse gas emissions in the ACT and does not adversely affect a person’s rights, or impose liabilities on anyone.</w:t>
      </w:r>
    </w:p>
    <w:p w:rsidR="008B6407" w:rsidRDefault="008B6407" w:rsidP="00957D0D"/>
    <w:p w:rsidR="008B6407" w:rsidRPr="008B6407" w:rsidRDefault="008B6407" w:rsidP="00957D0D">
      <w:r>
        <w:t xml:space="preserve">Similarly, as the </w:t>
      </w:r>
      <w:r w:rsidR="00720932">
        <w:t>D</w:t>
      </w:r>
      <w:r>
        <w:t xml:space="preserve">etermination only provides a tool to calculate the </w:t>
      </w:r>
      <w:r w:rsidR="00720932">
        <w:t>GHG</w:t>
      </w:r>
      <w:r>
        <w:t xml:space="preserve"> emissions in the ACT</w:t>
      </w:r>
      <w:r w:rsidR="00720932">
        <w:t>,</w:t>
      </w:r>
      <w:r>
        <w:t xml:space="preserve"> it does not derogate from a right contained in the </w:t>
      </w:r>
      <w:r>
        <w:rPr>
          <w:i/>
        </w:rPr>
        <w:t>Human Rights Act 2004</w:t>
      </w:r>
      <w:r>
        <w:t>.</w:t>
      </w:r>
    </w:p>
    <w:p w:rsidR="00957D0D" w:rsidRDefault="00957D0D" w:rsidP="000634A4"/>
    <w:p w:rsidR="004230BB" w:rsidRDefault="004230BB"/>
    <w:p w:rsidR="00BE0F6E" w:rsidRDefault="004230BB" w:rsidP="000634A4">
      <w:pPr>
        <w:rPr>
          <w:b/>
        </w:rPr>
      </w:pPr>
      <w:r>
        <w:rPr>
          <w:b/>
        </w:rPr>
        <w:t>Outline of Provisions</w:t>
      </w:r>
    </w:p>
    <w:p w:rsidR="004230BB" w:rsidRDefault="004230BB" w:rsidP="000634A4">
      <w:pPr>
        <w:rPr>
          <w:b/>
        </w:rPr>
      </w:pPr>
    </w:p>
    <w:p w:rsidR="004230BB" w:rsidRDefault="004230BB" w:rsidP="000634A4">
      <w:pPr>
        <w:rPr>
          <w:b/>
        </w:rPr>
      </w:pPr>
      <w:r>
        <w:rPr>
          <w:b/>
        </w:rPr>
        <w:t>Clause 1</w:t>
      </w:r>
      <w:r>
        <w:rPr>
          <w:b/>
        </w:rPr>
        <w:tab/>
        <w:t>Name of Instrument</w:t>
      </w:r>
    </w:p>
    <w:p w:rsidR="004230BB" w:rsidRDefault="004230BB" w:rsidP="000634A4">
      <w:pPr>
        <w:rPr>
          <w:i/>
          <w:iCs/>
        </w:rPr>
      </w:pPr>
      <w:r>
        <w:t xml:space="preserve">This clause names the instrument as the </w:t>
      </w:r>
      <w:r w:rsidRPr="00080AE7">
        <w:rPr>
          <w:i/>
          <w:iCs/>
        </w:rPr>
        <w:t>Climate Change and Greenhouse Gas Reduction (Greenhouse Gas Emissions Measurement Method) Determination 20</w:t>
      </w:r>
      <w:r w:rsidR="003D203C">
        <w:rPr>
          <w:i/>
          <w:iCs/>
        </w:rPr>
        <w:t>20</w:t>
      </w:r>
      <w:r>
        <w:rPr>
          <w:i/>
          <w:iCs/>
        </w:rPr>
        <w:t>.</w:t>
      </w:r>
    </w:p>
    <w:p w:rsidR="004230BB" w:rsidRDefault="004230BB" w:rsidP="000634A4">
      <w:pPr>
        <w:rPr>
          <w:i/>
          <w:iCs/>
        </w:rPr>
      </w:pPr>
    </w:p>
    <w:p w:rsidR="004230BB" w:rsidRDefault="004230BB" w:rsidP="000634A4">
      <w:pPr>
        <w:rPr>
          <w:b/>
          <w:iCs/>
        </w:rPr>
      </w:pPr>
      <w:r>
        <w:rPr>
          <w:b/>
          <w:iCs/>
        </w:rPr>
        <w:t>Clause 2</w:t>
      </w:r>
      <w:r>
        <w:rPr>
          <w:b/>
          <w:iCs/>
        </w:rPr>
        <w:tab/>
        <w:t>Commencement</w:t>
      </w:r>
    </w:p>
    <w:p w:rsidR="004230BB" w:rsidRDefault="004230BB" w:rsidP="000634A4">
      <w:pPr>
        <w:rPr>
          <w:iCs/>
        </w:rPr>
      </w:pPr>
      <w:r>
        <w:rPr>
          <w:iCs/>
        </w:rPr>
        <w:t>This clause states that the instrument commences on the day after its notification day.</w:t>
      </w:r>
    </w:p>
    <w:p w:rsidR="004230BB" w:rsidRDefault="004230BB" w:rsidP="000634A4">
      <w:pPr>
        <w:rPr>
          <w:iCs/>
        </w:rPr>
      </w:pPr>
    </w:p>
    <w:p w:rsidR="004230BB" w:rsidRDefault="004230BB" w:rsidP="000634A4">
      <w:pPr>
        <w:rPr>
          <w:b/>
          <w:iCs/>
        </w:rPr>
      </w:pPr>
      <w:r>
        <w:rPr>
          <w:b/>
          <w:iCs/>
        </w:rPr>
        <w:t>Clause 3</w:t>
      </w:r>
      <w:r>
        <w:rPr>
          <w:b/>
          <w:iCs/>
        </w:rPr>
        <w:tab/>
        <w:t>Determination of method for measuring greenhouse gas emissions</w:t>
      </w:r>
    </w:p>
    <w:p w:rsidR="004230BB" w:rsidRDefault="004230BB" w:rsidP="000634A4">
      <w:pPr>
        <w:rPr>
          <w:iCs/>
        </w:rPr>
      </w:pPr>
      <w:r>
        <w:rPr>
          <w:iCs/>
        </w:rPr>
        <w:t>This clause determines the method for measuring the amount of greenhouse gas emission in the Act by reference to the methodology set out in the schedule.</w:t>
      </w:r>
    </w:p>
    <w:p w:rsidR="004230BB" w:rsidRDefault="004230BB" w:rsidP="000634A4">
      <w:pPr>
        <w:rPr>
          <w:iCs/>
        </w:rPr>
      </w:pPr>
    </w:p>
    <w:p w:rsidR="00142400" w:rsidRDefault="004230BB" w:rsidP="000634A4">
      <w:pPr>
        <w:rPr>
          <w:iCs/>
        </w:rPr>
      </w:pPr>
      <w:r>
        <w:rPr>
          <w:iCs/>
        </w:rPr>
        <w:t xml:space="preserve">The schedule to the instrument contains </w:t>
      </w:r>
      <w:r w:rsidR="004C4701">
        <w:rPr>
          <w:iCs/>
        </w:rPr>
        <w:t>several</w:t>
      </w:r>
      <w:r>
        <w:rPr>
          <w:iCs/>
        </w:rPr>
        <w:t xml:space="preserve"> provisions that provide the method for calculating emissions from different energy sources and industries. The schedule includes methods for measuring emissions from</w:t>
      </w:r>
      <w:r w:rsidR="00142400">
        <w:rPr>
          <w:iCs/>
        </w:rPr>
        <w:t xml:space="preserve"> stationary energy including</w:t>
      </w:r>
      <w:r>
        <w:rPr>
          <w:iCs/>
        </w:rPr>
        <w:t xml:space="preserve"> electricity</w:t>
      </w:r>
      <w:r w:rsidR="00142400">
        <w:rPr>
          <w:iCs/>
        </w:rPr>
        <w:t>;</w:t>
      </w:r>
      <w:r>
        <w:rPr>
          <w:iCs/>
        </w:rPr>
        <w:t xml:space="preserve"> natural gas</w:t>
      </w:r>
      <w:r w:rsidR="00142400">
        <w:rPr>
          <w:iCs/>
        </w:rPr>
        <w:t>;</w:t>
      </w:r>
      <w:r>
        <w:rPr>
          <w:iCs/>
        </w:rPr>
        <w:t xml:space="preserve"> LPG stationary combustion</w:t>
      </w:r>
      <w:r w:rsidR="00142400">
        <w:rPr>
          <w:iCs/>
        </w:rPr>
        <w:t>;</w:t>
      </w:r>
      <w:r>
        <w:rPr>
          <w:iCs/>
        </w:rPr>
        <w:t xml:space="preserve"> </w:t>
      </w:r>
      <w:r w:rsidR="00142400">
        <w:rPr>
          <w:iCs/>
        </w:rPr>
        <w:t>fuel oil; wood fuel and</w:t>
      </w:r>
      <w:r>
        <w:rPr>
          <w:iCs/>
        </w:rPr>
        <w:t xml:space="preserve"> fugitive energy emissions: natural gas distribution</w:t>
      </w:r>
      <w:r w:rsidR="00142400">
        <w:rPr>
          <w:iCs/>
        </w:rPr>
        <w:t>. The schedule also includes methods for calculating emissions from transport; industrial processes and product use; agriculture; land use, land-use change and forestry; and waste.</w:t>
      </w:r>
    </w:p>
    <w:p w:rsidR="00142400" w:rsidRDefault="00142400" w:rsidP="000634A4">
      <w:pPr>
        <w:rPr>
          <w:iCs/>
        </w:rPr>
      </w:pPr>
    </w:p>
    <w:p w:rsidR="00142400" w:rsidRDefault="00142400" w:rsidP="00720932">
      <w:pPr>
        <w:rPr>
          <w:b/>
          <w:iCs/>
        </w:rPr>
      </w:pPr>
      <w:r>
        <w:rPr>
          <w:b/>
          <w:iCs/>
        </w:rPr>
        <w:t>Clause 4</w:t>
      </w:r>
      <w:r>
        <w:rPr>
          <w:b/>
          <w:iCs/>
        </w:rPr>
        <w:tab/>
        <w:t>Revocation</w:t>
      </w:r>
    </w:p>
    <w:p w:rsidR="00142400" w:rsidRPr="00080AE7" w:rsidRDefault="00142400" w:rsidP="00720932">
      <w:pPr>
        <w:spacing w:after="60"/>
      </w:pPr>
      <w:r>
        <w:rPr>
          <w:iCs/>
        </w:rPr>
        <w:t xml:space="preserve">This clause provides that the previous disallowable instrument, </w:t>
      </w:r>
      <w:r>
        <w:t>t</w:t>
      </w:r>
      <w:r w:rsidRPr="00080AE7">
        <w:t xml:space="preserve">he </w:t>
      </w:r>
      <w:r w:rsidRPr="00080AE7">
        <w:rPr>
          <w:i/>
        </w:rPr>
        <w:t>Climate Change and Greenhouse Gas Reduction (Greenhouse Gas Emissions Measurement Method) Determination 201</w:t>
      </w:r>
      <w:r w:rsidR="004C4701">
        <w:rPr>
          <w:i/>
        </w:rPr>
        <w:t>7</w:t>
      </w:r>
      <w:r w:rsidRPr="00080AE7">
        <w:rPr>
          <w:i/>
        </w:rPr>
        <w:t xml:space="preserve"> </w:t>
      </w:r>
      <w:r w:rsidRPr="00080AE7">
        <w:t>(DI201</w:t>
      </w:r>
      <w:r w:rsidR="004C4701">
        <w:t>7</w:t>
      </w:r>
      <w:r w:rsidRPr="00080AE7">
        <w:t>-25</w:t>
      </w:r>
      <w:r w:rsidR="004C4701">
        <w:t>0</w:t>
      </w:r>
      <w:r w:rsidRPr="00080AE7">
        <w:t>)</w:t>
      </w:r>
      <w:r>
        <w:t>,</w:t>
      </w:r>
      <w:r w:rsidRPr="00080AE7">
        <w:t xml:space="preserve"> is revoked.</w:t>
      </w:r>
    </w:p>
    <w:p w:rsidR="004230BB" w:rsidRPr="004230BB" w:rsidRDefault="00142400" w:rsidP="000634A4">
      <w:r>
        <w:rPr>
          <w:iCs/>
        </w:rPr>
        <w:t xml:space="preserve"> </w:t>
      </w:r>
    </w:p>
    <w:sectPr w:rsidR="004230BB" w:rsidRPr="004230BB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832" w:rsidRDefault="00E30832">
      <w:r>
        <w:separator/>
      </w:r>
    </w:p>
  </w:endnote>
  <w:endnote w:type="continuationSeparator" w:id="0">
    <w:p w:rsidR="00E30832" w:rsidRDefault="00E3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AAE" w:rsidRDefault="00734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D81" w:rsidRDefault="000821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2400">
      <w:rPr>
        <w:noProof/>
      </w:rPr>
      <w:t>1</w:t>
    </w:r>
    <w:r>
      <w:fldChar w:fldCharType="end"/>
    </w:r>
  </w:p>
  <w:p w:rsidR="00871914" w:rsidRPr="00734AAE" w:rsidRDefault="00734AAE" w:rsidP="00734AAE">
    <w:pPr>
      <w:pStyle w:val="Footer"/>
      <w:jc w:val="center"/>
      <w:rPr>
        <w:rFonts w:cs="Arial"/>
        <w:sz w:val="14"/>
      </w:rPr>
    </w:pPr>
    <w:r w:rsidRPr="00734AA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AAE" w:rsidRDefault="00734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832" w:rsidRDefault="00E30832">
      <w:r>
        <w:separator/>
      </w:r>
    </w:p>
  </w:footnote>
  <w:footnote w:type="continuationSeparator" w:id="0">
    <w:p w:rsidR="00E30832" w:rsidRDefault="00E3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AAE" w:rsidRDefault="00734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AAE" w:rsidRDefault="00734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AAE" w:rsidRDefault="00734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EB27E2"/>
    <w:multiLevelType w:val="hybridMultilevel"/>
    <w:tmpl w:val="A2C87DA4"/>
    <w:lvl w:ilvl="0" w:tplc="0C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335872B8"/>
    <w:multiLevelType w:val="hybridMultilevel"/>
    <w:tmpl w:val="394EDCB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A4D3A96"/>
    <w:multiLevelType w:val="hybridMultilevel"/>
    <w:tmpl w:val="7392404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087F6C"/>
    <w:multiLevelType w:val="hybridMultilevel"/>
    <w:tmpl w:val="93046C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FE62F4"/>
    <w:multiLevelType w:val="multilevel"/>
    <w:tmpl w:val="D4BC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E6E7CC9"/>
    <w:multiLevelType w:val="hybridMultilevel"/>
    <w:tmpl w:val="FA564D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7356BB1"/>
    <w:multiLevelType w:val="hybridMultilevel"/>
    <w:tmpl w:val="FB4AD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35AE9"/>
    <w:multiLevelType w:val="hybridMultilevel"/>
    <w:tmpl w:val="EC4A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75F8A"/>
    <w:multiLevelType w:val="hybridMultilevel"/>
    <w:tmpl w:val="D8E8D4E8"/>
    <w:lvl w:ilvl="0" w:tplc="6EB482FE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15"/>
  </w:num>
  <w:num w:numId="10">
    <w:abstractNumId w:val="14"/>
  </w:num>
  <w:num w:numId="11">
    <w:abstractNumId w:val="11"/>
  </w:num>
  <w:num w:numId="12">
    <w:abstractNumId w:val="9"/>
  </w:num>
  <w:num w:numId="13">
    <w:abstractNumId w:val="5"/>
  </w:num>
  <w:num w:numId="14">
    <w:abstractNumId w:val="10"/>
  </w:num>
  <w:num w:numId="15">
    <w:abstractNumId w:val="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009BC"/>
    <w:rsid w:val="000634A4"/>
    <w:rsid w:val="00080AE7"/>
    <w:rsid w:val="00081CA7"/>
    <w:rsid w:val="00082141"/>
    <w:rsid w:val="000B1BA3"/>
    <w:rsid w:val="000B331B"/>
    <w:rsid w:val="000F72A6"/>
    <w:rsid w:val="00142400"/>
    <w:rsid w:val="001502E1"/>
    <w:rsid w:val="001560DF"/>
    <w:rsid w:val="001632E1"/>
    <w:rsid w:val="00165D2F"/>
    <w:rsid w:val="001723AE"/>
    <w:rsid w:val="00174EF0"/>
    <w:rsid w:val="001A2AC5"/>
    <w:rsid w:val="001E728D"/>
    <w:rsid w:val="002237A1"/>
    <w:rsid w:val="00231EBB"/>
    <w:rsid w:val="002A577A"/>
    <w:rsid w:val="002C11A3"/>
    <w:rsid w:val="002F1A2A"/>
    <w:rsid w:val="0033532F"/>
    <w:rsid w:val="0035603A"/>
    <w:rsid w:val="00380401"/>
    <w:rsid w:val="003A2B81"/>
    <w:rsid w:val="003B4D81"/>
    <w:rsid w:val="003C253D"/>
    <w:rsid w:val="003D203C"/>
    <w:rsid w:val="003D5E11"/>
    <w:rsid w:val="003F381E"/>
    <w:rsid w:val="003F464B"/>
    <w:rsid w:val="004230BB"/>
    <w:rsid w:val="00471C05"/>
    <w:rsid w:val="00474E92"/>
    <w:rsid w:val="004C4701"/>
    <w:rsid w:val="004C4A40"/>
    <w:rsid w:val="005348DF"/>
    <w:rsid w:val="00536391"/>
    <w:rsid w:val="00550787"/>
    <w:rsid w:val="005917F4"/>
    <w:rsid w:val="005D70F1"/>
    <w:rsid w:val="005F2032"/>
    <w:rsid w:val="00645E85"/>
    <w:rsid w:val="00720932"/>
    <w:rsid w:val="00734AAE"/>
    <w:rsid w:val="00767778"/>
    <w:rsid w:val="007772CF"/>
    <w:rsid w:val="007A0566"/>
    <w:rsid w:val="007B3E09"/>
    <w:rsid w:val="007C0B12"/>
    <w:rsid w:val="00802B8F"/>
    <w:rsid w:val="00871914"/>
    <w:rsid w:val="00880C51"/>
    <w:rsid w:val="00881C95"/>
    <w:rsid w:val="00891901"/>
    <w:rsid w:val="0089696E"/>
    <w:rsid w:val="00896C99"/>
    <w:rsid w:val="008B6407"/>
    <w:rsid w:val="00950548"/>
    <w:rsid w:val="009538F8"/>
    <w:rsid w:val="00957D0D"/>
    <w:rsid w:val="009625A2"/>
    <w:rsid w:val="009D7EE7"/>
    <w:rsid w:val="00A07C80"/>
    <w:rsid w:val="00A55149"/>
    <w:rsid w:val="00A87FAD"/>
    <w:rsid w:val="00B36DDD"/>
    <w:rsid w:val="00B54842"/>
    <w:rsid w:val="00BE0F6E"/>
    <w:rsid w:val="00C4252F"/>
    <w:rsid w:val="00C45FCC"/>
    <w:rsid w:val="00C92011"/>
    <w:rsid w:val="00CC4780"/>
    <w:rsid w:val="00CD4DAB"/>
    <w:rsid w:val="00D55D31"/>
    <w:rsid w:val="00D74BE3"/>
    <w:rsid w:val="00D835DC"/>
    <w:rsid w:val="00DB4F80"/>
    <w:rsid w:val="00DC344F"/>
    <w:rsid w:val="00DD73BE"/>
    <w:rsid w:val="00E005EC"/>
    <w:rsid w:val="00E25A42"/>
    <w:rsid w:val="00E30832"/>
    <w:rsid w:val="00F02FEA"/>
    <w:rsid w:val="00F13994"/>
    <w:rsid w:val="00F363E9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552E501-CC31-447E-8CA3-BDFF14AA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92011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201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C9201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C9201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2141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C9201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9201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9201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92011"/>
    <w:pPr>
      <w:spacing w:before="180" w:after="60"/>
      <w:jc w:val="both"/>
    </w:pPr>
  </w:style>
  <w:style w:type="paragraph" w:customStyle="1" w:styleId="CoverActName">
    <w:name w:val="CoverActName"/>
    <w:basedOn w:val="Normal"/>
    <w:rsid w:val="00C9201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92011"/>
    <w:pPr>
      <w:tabs>
        <w:tab w:val="left" w:pos="2880"/>
      </w:tabs>
    </w:pPr>
  </w:style>
  <w:style w:type="paragraph" w:customStyle="1" w:styleId="Apara">
    <w:name w:val="A para"/>
    <w:basedOn w:val="Normal"/>
    <w:rsid w:val="00C92011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92011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92011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9201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C9201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C9201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92011"/>
    <w:rPr>
      <w:rFonts w:cs="Times New Roman"/>
    </w:rPr>
  </w:style>
  <w:style w:type="paragraph" w:customStyle="1" w:styleId="CoverInForce">
    <w:name w:val="CoverInForce"/>
    <w:basedOn w:val="Normal"/>
    <w:rsid w:val="00C9201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9201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9201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C92011"/>
    <w:rPr>
      <w:rFonts w:cs="Times New Roman"/>
    </w:rPr>
  </w:style>
  <w:style w:type="paragraph" w:customStyle="1" w:styleId="Aparabullet">
    <w:name w:val="A para bullet"/>
    <w:basedOn w:val="Normal"/>
    <w:rsid w:val="00C9201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C92011"/>
  </w:style>
  <w:style w:type="paragraph" w:styleId="TOC2">
    <w:name w:val="toc 2"/>
    <w:basedOn w:val="Normal"/>
    <w:next w:val="Normal"/>
    <w:autoRedefine/>
    <w:uiPriority w:val="39"/>
    <w:semiHidden/>
    <w:rsid w:val="00C9201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C9201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C9201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C9201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C9201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C9201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C9201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C92011"/>
    <w:pPr>
      <w:ind w:left="1920"/>
    </w:pPr>
  </w:style>
  <w:style w:type="character" w:styleId="Hyperlink">
    <w:name w:val="Hyperlink"/>
    <w:basedOn w:val="DefaultParagraphFont"/>
    <w:uiPriority w:val="99"/>
    <w:rsid w:val="00C9201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9201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C9201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9201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9201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C9201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C9201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9201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C9201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92011"/>
    <w:rPr>
      <w:rFonts w:cs="Times New Roman"/>
    </w:rPr>
  </w:style>
  <w:style w:type="paragraph" w:styleId="ListParagraph">
    <w:name w:val="List Paragraph"/>
    <w:basedOn w:val="Normal"/>
    <w:uiPriority w:val="34"/>
    <w:qFormat/>
    <w:rsid w:val="00063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082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82141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5354</Characters>
  <Application>Microsoft Office Word</Application>
  <DocSecurity>0</DocSecurity>
  <Lines>121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subject/>
  <dc:creator>ACT Government</dc:creator>
  <cp:keywords/>
  <dc:description/>
  <cp:lastModifiedBy>Moxon, KarenL</cp:lastModifiedBy>
  <cp:revision>2</cp:revision>
  <cp:lastPrinted>2006-03-31T03:28:00Z</cp:lastPrinted>
  <dcterms:created xsi:type="dcterms:W3CDTF">2020-02-17T00:29:00Z</dcterms:created>
  <dcterms:modified xsi:type="dcterms:W3CDTF">2020-02-17T00:29:00Z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A12318066</vt:lpwstr>
  </property>
  <property fmtid="{D5CDD505-2E9C-101B-9397-08002B2CF9AE}" pid="4" name="Objective-Title">
    <vt:lpwstr>16_13947 - Attachment B - Disallowable_instrument_ES</vt:lpwstr>
  </property>
  <property fmtid="{D5CDD505-2E9C-101B-9397-08002B2CF9AE}" pid="5" name="Objective-Comment">
    <vt:lpwstr/>
  </property>
  <property fmtid="{D5CDD505-2E9C-101B-9397-08002B2CF9AE}" pid="6" name="Objective-CreationStamp">
    <vt:filetime>2016-07-18T13:00:00Z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2016-07-28T13:00:00Z</vt:filetime>
  </property>
  <property fmtid="{D5CDD505-2E9C-101B-9397-08002B2CF9AE}" pid="10" name="Objective-ModificationStamp">
    <vt:filetime>2016-07-28T13:00:00Z</vt:filetime>
  </property>
  <property fmtid="{D5CDD505-2E9C-101B-9397-08002B2CF9AE}" pid="11" name="Objective-Owner">
    <vt:lpwstr>Peta Olesen</vt:lpwstr>
  </property>
  <property fmtid="{D5CDD505-2E9C-101B-9397-08002B2CF9AE}" pid="12" name="Objective-Path">
    <vt:lpwstr>Whole of ACT Government:EPD - Environment and Planning Directorate:07. Ministerial, Cabinet and Government Relations:06. Ministerials:2016 - Ministerial and Chief Ministerial Correspondence:Sustainability and Climate Change:SCC - Information Briefs:16/100</vt:lpwstr>
  </property>
  <property fmtid="{D5CDD505-2E9C-101B-9397-08002B2CF9AE}" pid="13" name="Objective-Parent">
    <vt:lpwstr>16/13947 - GHG Methodology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1-2016/13947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