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ED649" w14:textId="77777777" w:rsidR="0079054C" w:rsidRPr="007C25BB" w:rsidRDefault="0079054C">
      <w:pPr>
        <w:pStyle w:val="Heading1"/>
        <w:rPr>
          <w:b w:val="0"/>
          <w:bCs w:val="0"/>
          <w:sz w:val="24"/>
          <w:szCs w:val="24"/>
          <w:lang w:val="en-GB"/>
        </w:rPr>
      </w:pPr>
      <w:bookmarkStart w:id="0" w:name="_GoBack"/>
      <w:bookmarkEnd w:id="0"/>
      <w:r w:rsidRPr="007C25BB">
        <w:rPr>
          <w:b w:val="0"/>
          <w:bCs w:val="0"/>
          <w:sz w:val="24"/>
          <w:szCs w:val="24"/>
          <w:lang w:val="en-GB"/>
        </w:rPr>
        <w:t>Australian Capital Territory</w:t>
      </w:r>
    </w:p>
    <w:p w14:paraId="652FAD5F" w14:textId="77777777" w:rsidR="0079054C" w:rsidRPr="007C25BB" w:rsidRDefault="0079054C">
      <w:pPr>
        <w:jc w:val="center"/>
        <w:rPr>
          <w:b/>
          <w:bCs/>
          <w:sz w:val="26"/>
          <w:szCs w:val="26"/>
          <w:lang w:val="en-GB"/>
        </w:rPr>
      </w:pPr>
    </w:p>
    <w:p w14:paraId="711B0334" w14:textId="77777777" w:rsidR="0079054C" w:rsidRPr="007C25BB" w:rsidRDefault="0079054C">
      <w:pPr>
        <w:jc w:val="center"/>
        <w:rPr>
          <w:b/>
          <w:bCs/>
          <w:sz w:val="26"/>
          <w:szCs w:val="26"/>
          <w:lang w:val="en-GB"/>
        </w:rPr>
      </w:pPr>
    </w:p>
    <w:p w14:paraId="3456DF19" w14:textId="77777777" w:rsidR="0079054C" w:rsidRPr="007C25BB" w:rsidRDefault="0079054C">
      <w:pPr>
        <w:pStyle w:val="Heading3"/>
        <w:jc w:val="left"/>
        <w:rPr>
          <w:sz w:val="40"/>
          <w:szCs w:val="40"/>
          <w:lang w:val="en-GB"/>
        </w:rPr>
      </w:pPr>
      <w:r w:rsidRPr="007C25BB">
        <w:rPr>
          <w:sz w:val="40"/>
          <w:szCs w:val="40"/>
          <w:lang w:val="en-GB"/>
        </w:rPr>
        <w:t>Explanatory Statement</w:t>
      </w:r>
    </w:p>
    <w:p w14:paraId="03B989A4" w14:textId="77777777" w:rsidR="0079054C" w:rsidRPr="007C25BB" w:rsidRDefault="0079054C">
      <w:pPr>
        <w:rPr>
          <w:lang w:val="en-GB"/>
        </w:rPr>
      </w:pPr>
    </w:p>
    <w:p w14:paraId="7FE21DF5" w14:textId="77777777" w:rsidR="0079054C" w:rsidRPr="007C25BB" w:rsidRDefault="0079054C">
      <w:pPr>
        <w:rPr>
          <w:lang w:val="en-GB"/>
        </w:rPr>
      </w:pPr>
    </w:p>
    <w:p w14:paraId="20A447DA" w14:textId="6CF1D41B" w:rsidR="0079054C" w:rsidRPr="007C25BB" w:rsidRDefault="00147BAF">
      <w:pPr>
        <w:pStyle w:val="BodyText2"/>
        <w:rPr>
          <w:rFonts w:ascii="Times New Roman" w:hAnsi="Times New Roman" w:cs="Times New Roman"/>
          <w:b/>
          <w:bCs/>
          <w:lang w:val="en-GB"/>
        </w:rPr>
      </w:pPr>
      <w:bookmarkStart w:id="1" w:name="_Hlk32420764"/>
      <w:r w:rsidRPr="007C25BB">
        <w:rPr>
          <w:rFonts w:ascii="Times New Roman" w:hAnsi="Times New Roman" w:cs="Times New Roman"/>
          <w:b/>
          <w:bCs/>
          <w:lang w:val="en-GB"/>
        </w:rPr>
        <w:t>Public Health (</w:t>
      </w:r>
      <w:r w:rsidR="00785724" w:rsidRPr="007C25BB">
        <w:rPr>
          <w:rFonts w:ascii="Times New Roman" w:hAnsi="Times New Roman" w:cs="Times New Roman"/>
          <w:b/>
          <w:bCs/>
          <w:lang w:val="en-GB"/>
        </w:rPr>
        <w:t>‘COVID</w:t>
      </w:r>
      <w:r w:rsidR="00785724" w:rsidRPr="007C25BB">
        <w:rPr>
          <w:rFonts w:ascii="Times New Roman" w:hAnsi="Times New Roman" w:cs="Times New Roman"/>
          <w:b/>
          <w:bCs/>
          <w:lang w:val="en-GB"/>
        </w:rPr>
        <w:noBreakHyphen/>
        <w:t>19’ AKA ‘</w:t>
      </w:r>
      <w:r w:rsidRPr="007C25BB">
        <w:rPr>
          <w:rFonts w:ascii="Times New Roman" w:hAnsi="Times New Roman" w:cs="Times New Roman"/>
          <w:b/>
          <w:bCs/>
          <w:lang w:val="en-GB"/>
        </w:rPr>
        <w:t>No</w:t>
      </w:r>
      <w:r w:rsidR="00AF5839" w:rsidRPr="007C25BB">
        <w:rPr>
          <w:rFonts w:ascii="Times New Roman" w:hAnsi="Times New Roman" w:cs="Times New Roman"/>
          <w:b/>
          <w:bCs/>
          <w:lang w:val="en-GB"/>
        </w:rPr>
        <w:t>vel Coronavirus</w:t>
      </w:r>
      <w:r w:rsidR="00785724" w:rsidRPr="007C25BB">
        <w:rPr>
          <w:rFonts w:ascii="Times New Roman" w:hAnsi="Times New Roman" w:cs="Times New Roman"/>
          <w:b/>
          <w:bCs/>
          <w:lang w:val="en-GB"/>
        </w:rPr>
        <w:t>’</w:t>
      </w:r>
      <w:r w:rsidR="00AF5839" w:rsidRPr="007C25BB">
        <w:rPr>
          <w:rFonts w:ascii="Times New Roman" w:hAnsi="Times New Roman" w:cs="Times New Roman"/>
          <w:b/>
          <w:bCs/>
          <w:lang w:val="en-GB"/>
        </w:rPr>
        <w:t xml:space="preserve"> – Temporary No</w:t>
      </w:r>
      <w:r w:rsidRPr="007C25BB">
        <w:rPr>
          <w:rFonts w:ascii="Times New Roman" w:hAnsi="Times New Roman" w:cs="Times New Roman"/>
          <w:b/>
          <w:bCs/>
          <w:lang w:val="en-GB"/>
        </w:rPr>
        <w:t>tifiable Condition) Determination</w:t>
      </w:r>
      <w:r w:rsidR="00AF5839" w:rsidRPr="007C25BB">
        <w:rPr>
          <w:rFonts w:ascii="Times New Roman" w:hAnsi="Times New Roman" w:cs="Times New Roman"/>
          <w:b/>
          <w:bCs/>
          <w:lang w:val="en-GB"/>
        </w:rPr>
        <w:t> 20</w:t>
      </w:r>
      <w:r w:rsidRPr="007C25BB">
        <w:rPr>
          <w:rFonts w:ascii="Times New Roman" w:hAnsi="Times New Roman" w:cs="Times New Roman"/>
          <w:b/>
          <w:bCs/>
          <w:lang w:val="en-GB"/>
        </w:rPr>
        <w:t>20</w:t>
      </w:r>
      <w:r w:rsidR="00785724" w:rsidRPr="007C25BB">
        <w:rPr>
          <w:rFonts w:ascii="Times New Roman" w:hAnsi="Times New Roman" w:cs="Times New Roman"/>
          <w:b/>
          <w:bCs/>
          <w:lang w:val="en-GB"/>
        </w:rPr>
        <w:t xml:space="preserve"> (No </w:t>
      </w:r>
      <w:r w:rsidR="00A91B6D">
        <w:rPr>
          <w:rFonts w:ascii="Times New Roman" w:hAnsi="Times New Roman" w:cs="Times New Roman"/>
          <w:b/>
          <w:bCs/>
          <w:lang w:val="en-GB"/>
        </w:rPr>
        <w:t>1</w:t>
      </w:r>
      <w:r w:rsidR="00785724" w:rsidRPr="007C25BB">
        <w:rPr>
          <w:rFonts w:ascii="Times New Roman" w:hAnsi="Times New Roman" w:cs="Times New Roman"/>
          <w:b/>
          <w:bCs/>
          <w:lang w:val="en-GB"/>
        </w:rPr>
        <w:t>)</w:t>
      </w:r>
    </w:p>
    <w:bookmarkEnd w:id="1"/>
    <w:p w14:paraId="596535CF" w14:textId="77777777" w:rsidR="0079054C" w:rsidRPr="007C25BB" w:rsidRDefault="0079054C">
      <w:pPr>
        <w:rPr>
          <w:lang w:val="en-GB"/>
        </w:rPr>
      </w:pPr>
    </w:p>
    <w:p w14:paraId="1ACE2835" w14:textId="77777777" w:rsidR="0079054C" w:rsidRPr="007C25BB" w:rsidRDefault="0079054C">
      <w:pPr>
        <w:rPr>
          <w:lang w:val="en-GB"/>
        </w:rPr>
      </w:pPr>
    </w:p>
    <w:p w14:paraId="71E94335" w14:textId="4CE4DC00" w:rsidR="0079054C" w:rsidRPr="007C25BB" w:rsidRDefault="00240D93">
      <w:pPr>
        <w:pStyle w:val="Heading2"/>
        <w:rPr>
          <w:rFonts w:ascii="Times New Roman" w:hAnsi="Times New Roman" w:cs="Times New Roman"/>
          <w:lang w:val="en-GB"/>
        </w:rPr>
      </w:pPr>
      <w:r w:rsidRPr="007C25BB">
        <w:rPr>
          <w:rFonts w:ascii="Times New Roman" w:hAnsi="Times New Roman" w:cs="Times New Roman"/>
          <w:lang w:val="en-GB"/>
        </w:rPr>
        <w:t>Disallowable Instrument DI20</w:t>
      </w:r>
      <w:r w:rsidR="00AF5839" w:rsidRPr="007C25BB">
        <w:rPr>
          <w:rFonts w:ascii="Times New Roman" w:hAnsi="Times New Roman" w:cs="Times New Roman"/>
          <w:lang w:val="en-GB"/>
        </w:rPr>
        <w:t>2</w:t>
      </w:r>
      <w:r w:rsidR="001951F9" w:rsidRPr="007C25BB">
        <w:rPr>
          <w:rFonts w:ascii="Times New Roman" w:hAnsi="Times New Roman" w:cs="Times New Roman"/>
          <w:lang w:val="en-GB"/>
        </w:rPr>
        <w:t>0</w:t>
      </w:r>
      <w:r w:rsidR="00744D40" w:rsidRPr="007C25BB">
        <w:rPr>
          <w:rFonts w:ascii="Times New Roman" w:hAnsi="Times New Roman" w:cs="Times New Roman"/>
          <w:lang w:val="en-GB"/>
        </w:rPr>
        <w:t>-18</w:t>
      </w:r>
    </w:p>
    <w:p w14:paraId="1CC42CCF" w14:textId="77777777" w:rsidR="0079054C" w:rsidRPr="007C25BB" w:rsidRDefault="0079054C">
      <w:pPr>
        <w:rPr>
          <w:b/>
          <w:bCs/>
          <w:lang w:val="en-GB"/>
        </w:rPr>
      </w:pPr>
    </w:p>
    <w:p w14:paraId="2CF7D20C" w14:textId="77777777" w:rsidR="0079054C" w:rsidRPr="007C25BB" w:rsidRDefault="0079054C">
      <w:pPr>
        <w:rPr>
          <w:b/>
          <w:bCs/>
          <w:lang w:val="en-GB"/>
        </w:rPr>
      </w:pPr>
    </w:p>
    <w:p w14:paraId="3A41EFD3" w14:textId="77777777" w:rsidR="0079054C" w:rsidRPr="007C25BB" w:rsidRDefault="0079054C">
      <w:pPr>
        <w:pStyle w:val="Heading2"/>
        <w:rPr>
          <w:rFonts w:ascii="Times New Roman" w:hAnsi="Times New Roman" w:cs="Times New Roman"/>
          <w:b w:val="0"/>
          <w:bCs w:val="0"/>
          <w:lang w:val="en-GB"/>
        </w:rPr>
      </w:pPr>
      <w:r w:rsidRPr="007C25BB">
        <w:rPr>
          <w:rFonts w:ascii="Times New Roman" w:hAnsi="Times New Roman" w:cs="Times New Roman"/>
          <w:b w:val="0"/>
          <w:bCs w:val="0"/>
          <w:lang w:val="en-GB"/>
        </w:rPr>
        <w:t xml:space="preserve">made under the </w:t>
      </w:r>
    </w:p>
    <w:p w14:paraId="0E9A46D9" w14:textId="77777777" w:rsidR="0079054C" w:rsidRPr="007C25BB" w:rsidRDefault="0079054C">
      <w:pPr>
        <w:jc w:val="center"/>
        <w:rPr>
          <w:b/>
          <w:bCs/>
          <w:lang w:val="en-GB"/>
        </w:rPr>
      </w:pPr>
    </w:p>
    <w:p w14:paraId="4F9CBA76" w14:textId="77777777" w:rsidR="0079054C" w:rsidRPr="007C25BB" w:rsidRDefault="0079054C">
      <w:pPr>
        <w:rPr>
          <w:b/>
          <w:bCs/>
          <w:sz w:val="22"/>
          <w:szCs w:val="22"/>
          <w:lang w:val="en-GB"/>
        </w:rPr>
      </w:pPr>
      <w:r w:rsidRPr="007C25BB">
        <w:rPr>
          <w:b/>
          <w:bCs/>
          <w:sz w:val="22"/>
          <w:szCs w:val="22"/>
          <w:lang w:val="en-GB"/>
        </w:rPr>
        <w:t>Public Health Act 1997, s</w:t>
      </w:r>
      <w:r w:rsidR="00AF5839" w:rsidRPr="007C25BB">
        <w:rPr>
          <w:b/>
          <w:bCs/>
          <w:sz w:val="22"/>
          <w:szCs w:val="22"/>
          <w:lang w:val="en-GB"/>
        </w:rPr>
        <w:t> </w:t>
      </w:r>
      <w:r w:rsidRPr="007C25BB">
        <w:rPr>
          <w:b/>
          <w:bCs/>
          <w:sz w:val="22"/>
          <w:szCs w:val="22"/>
          <w:lang w:val="en-GB"/>
        </w:rPr>
        <w:t>10</w:t>
      </w:r>
      <w:r w:rsidR="00AF5839" w:rsidRPr="007C25BB">
        <w:rPr>
          <w:b/>
          <w:bCs/>
          <w:sz w:val="22"/>
          <w:szCs w:val="22"/>
          <w:lang w:val="en-GB"/>
        </w:rPr>
        <w:t>1</w:t>
      </w:r>
      <w:r w:rsidRPr="007C25BB">
        <w:rPr>
          <w:b/>
          <w:bCs/>
          <w:sz w:val="22"/>
          <w:szCs w:val="22"/>
          <w:lang w:val="en-GB"/>
        </w:rPr>
        <w:t xml:space="preserve"> </w:t>
      </w:r>
      <w:r w:rsidR="008816D4" w:rsidRPr="007C25BB">
        <w:rPr>
          <w:b/>
          <w:bCs/>
          <w:sz w:val="22"/>
          <w:szCs w:val="22"/>
          <w:lang w:val="en-GB"/>
        </w:rPr>
        <w:t xml:space="preserve">(a) and (b) </w:t>
      </w:r>
      <w:r w:rsidRPr="007C25BB">
        <w:rPr>
          <w:b/>
          <w:bCs/>
          <w:sz w:val="22"/>
          <w:szCs w:val="22"/>
          <w:lang w:val="en-GB"/>
        </w:rPr>
        <w:t xml:space="preserve">(Notifiable Conditions – </w:t>
      </w:r>
      <w:r w:rsidR="00AF5839" w:rsidRPr="007C25BB">
        <w:rPr>
          <w:b/>
          <w:bCs/>
          <w:sz w:val="22"/>
          <w:szCs w:val="22"/>
          <w:lang w:val="en-GB"/>
        </w:rPr>
        <w:t>temporary status</w:t>
      </w:r>
      <w:r w:rsidRPr="007C25BB">
        <w:rPr>
          <w:b/>
          <w:bCs/>
          <w:sz w:val="22"/>
          <w:szCs w:val="22"/>
          <w:lang w:val="en-GB"/>
        </w:rPr>
        <w:t>)</w:t>
      </w:r>
    </w:p>
    <w:p w14:paraId="4AAA3395" w14:textId="77777777" w:rsidR="0079054C" w:rsidRPr="007C25BB" w:rsidRDefault="0079054C">
      <w:pPr>
        <w:rPr>
          <w:lang w:val="en-GB"/>
        </w:rPr>
      </w:pPr>
      <w:r w:rsidRPr="007C25BB">
        <w:rPr>
          <w:lang w:val="en-GB"/>
        </w:rPr>
        <w:t>_____________________________________________________________________</w:t>
      </w:r>
    </w:p>
    <w:p w14:paraId="7E89B87C" w14:textId="77777777" w:rsidR="0079054C" w:rsidRPr="007C25BB" w:rsidRDefault="0079054C">
      <w:pPr>
        <w:rPr>
          <w:lang w:val="en-GB"/>
        </w:rPr>
      </w:pPr>
    </w:p>
    <w:p w14:paraId="047779B1" w14:textId="77777777" w:rsidR="0079054C" w:rsidRPr="007C25BB" w:rsidRDefault="0079054C" w:rsidP="00B069F1">
      <w:pPr>
        <w:rPr>
          <w:lang w:val="en-GB"/>
        </w:rPr>
      </w:pPr>
      <w:r w:rsidRPr="007C25BB">
        <w:rPr>
          <w:lang w:val="en-GB"/>
        </w:rPr>
        <w:t>Part</w:t>
      </w:r>
      <w:r w:rsidR="00AF5839" w:rsidRPr="007C25BB">
        <w:rPr>
          <w:lang w:val="en-GB"/>
        </w:rPr>
        <w:t> </w:t>
      </w:r>
      <w:r w:rsidRPr="007C25BB">
        <w:rPr>
          <w:lang w:val="en-GB"/>
        </w:rPr>
        <w:t xml:space="preserve">6 of the </w:t>
      </w:r>
      <w:r w:rsidRPr="007C25BB">
        <w:rPr>
          <w:i/>
          <w:iCs/>
          <w:lang w:val="en-GB"/>
        </w:rPr>
        <w:t>Public Health Act</w:t>
      </w:r>
      <w:r w:rsidR="00AF5839" w:rsidRPr="007C25BB">
        <w:rPr>
          <w:i/>
          <w:iCs/>
          <w:lang w:val="en-GB"/>
        </w:rPr>
        <w:t> </w:t>
      </w:r>
      <w:r w:rsidRPr="007C25BB">
        <w:rPr>
          <w:i/>
          <w:iCs/>
          <w:lang w:val="en-GB"/>
        </w:rPr>
        <w:t>1997</w:t>
      </w:r>
      <w:r w:rsidRPr="007C25BB">
        <w:rPr>
          <w:lang w:val="en-GB"/>
        </w:rPr>
        <w:t xml:space="preserve"> (the Act) provides for the monitoring and investigation of notifiable conditions so that public health action may be carried out in order to minimise the adverse public health effects of such conditions.</w:t>
      </w:r>
    </w:p>
    <w:p w14:paraId="76842C87" w14:textId="77777777" w:rsidR="0079054C" w:rsidRPr="007C25BB" w:rsidRDefault="0079054C" w:rsidP="00B069F1">
      <w:pPr>
        <w:rPr>
          <w:lang w:val="en-GB"/>
        </w:rPr>
      </w:pPr>
    </w:p>
    <w:p w14:paraId="47AD1DD8" w14:textId="77777777" w:rsidR="0079054C" w:rsidRPr="007C25BB" w:rsidRDefault="0079054C" w:rsidP="00B069F1">
      <w:pPr>
        <w:rPr>
          <w:lang w:val="en-GB"/>
        </w:rPr>
      </w:pPr>
      <w:r w:rsidRPr="007C25BB">
        <w:rPr>
          <w:lang w:val="en-GB"/>
        </w:rPr>
        <w:t>Under subsection 10</w:t>
      </w:r>
      <w:r w:rsidR="00AF5839" w:rsidRPr="007C25BB">
        <w:rPr>
          <w:lang w:val="en-GB"/>
        </w:rPr>
        <w:t>1</w:t>
      </w:r>
      <w:r w:rsidRPr="007C25BB">
        <w:rPr>
          <w:lang w:val="en-GB"/>
        </w:rPr>
        <w:t xml:space="preserve"> (1) of the Act</w:t>
      </w:r>
      <w:r w:rsidR="00587AC2" w:rsidRPr="007C25BB">
        <w:rPr>
          <w:lang w:val="en-GB"/>
        </w:rPr>
        <w:t>,</w:t>
      </w:r>
      <w:r w:rsidRPr="007C25BB">
        <w:rPr>
          <w:lang w:val="en-GB"/>
        </w:rPr>
        <w:t xml:space="preserve"> the </w:t>
      </w:r>
      <w:r w:rsidR="00AF5839" w:rsidRPr="007C25BB">
        <w:rPr>
          <w:lang w:val="en-GB"/>
        </w:rPr>
        <w:t xml:space="preserve">Chief Health Officer </w:t>
      </w:r>
      <w:r w:rsidRPr="007C25BB">
        <w:rPr>
          <w:lang w:val="en-GB"/>
        </w:rPr>
        <w:t xml:space="preserve">may </w:t>
      </w:r>
      <w:r w:rsidR="00E85D6C" w:rsidRPr="007C25BB">
        <w:rPr>
          <w:lang w:val="en-GB"/>
        </w:rPr>
        <w:t xml:space="preserve">declare </w:t>
      </w:r>
      <w:r w:rsidRPr="007C25BB">
        <w:rPr>
          <w:lang w:val="en-GB"/>
        </w:rPr>
        <w:t>in writing</w:t>
      </w:r>
      <w:r w:rsidR="00AF5839" w:rsidRPr="007C25BB">
        <w:rPr>
          <w:lang w:val="en-GB"/>
        </w:rPr>
        <w:t xml:space="preserve"> </w:t>
      </w:r>
      <w:r w:rsidRPr="007C25BB">
        <w:rPr>
          <w:lang w:val="en-GB"/>
        </w:rPr>
        <w:t>-</w:t>
      </w:r>
    </w:p>
    <w:p w14:paraId="575EC966" w14:textId="77777777" w:rsidR="0079054C" w:rsidRPr="007C25BB" w:rsidRDefault="0079054C" w:rsidP="00B069F1">
      <w:pPr>
        <w:numPr>
          <w:ilvl w:val="0"/>
          <w:numId w:val="1"/>
        </w:numPr>
        <w:tabs>
          <w:tab w:val="clear" w:pos="1404"/>
          <w:tab w:val="num" w:pos="993"/>
        </w:tabs>
        <w:ind w:left="993" w:hanging="567"/>
        <w:rPr>
          <w:lang w:val="en-GB"/>
        </w:rPr>
      </w:pPr>
      <w:r w:rsidRPr="007C25BB">
        <w:rPr>
          <w:lang w:val="en-GB"/>
        </w:rPr>
        <w:t>a disease or medical condition to be a notifiable condition; and</w:t>
      </w:r>
    </w:p>
    <w:p w14:paraId="6A613767" w14:textId="77777777" w:rsidR="0079054C" w:rsidRPr="007C25BB" w:rsidRDefault="0079054C" w:rsidP="00B069F1">
      <w:pPr>
        <w:pStyle w:val="BodyTextIndent2"/>
        <w:tabs>
          <w:tab w:val="left" w:pos="993"/>
        </w:tabs>
        <w:ind w:left="993" w:hanging="567"/>
        <w:rPr>
          <w:rFonts w:ascii="Times New Roman" w:hAnsi="Times New Roman" w:cs="Times New Roman"/>
          <w:lang w:val="en-GB"/>
        </w:rPr>
      </w:pPr>
      <w:r w:rsidRPr="007C25BB">
        <w:rPr>
          <w:rFonts w:ascii="Times New Roman" w:hAnsi="Times New Roman" w:cs="Times New Roman"/>
          <w:lang w:val="en-GB"/>
        </w:rPr>
        <w:t>(b)</w:t>
      </w:r>
      <w:r w:rsidRPr="007C25BB">
        <w:rPr>
          <w:rFonts w:ascii="Times New Roman" w:hAnsi="Times New Roman" w:cs="Times New Roman"/>
          <w:lang w:val="en-GB"/>
        </w:rPr>
        <w:tab/>
        <w:t xml:space="preserve">a disease referred to in paragraph (a) to be a transmissible notifiable condition. </w:t>
      </w:r>
    </w:p>
    <w:p w14:paraId="2E975318" w14:textId="77777777" w:rsidR="0079054C" w:rsidRPr="007C25BB" w:rsidRDefault="0079054C" w:rsidP="00B069F1">
      <w:pPr>
        <w:rPr>
          <w:lang w:val="en-GB"/>
        </w:rPr>
      </w:pPr>
    </w:p>
    <w:p w14:paraId="7E5B900A" w14:textId="77777777" w:rsidR="00E24EF3" w:rsidRPr="007C25BB" w:rsidRDefault="00E85D6C" w:rsidP="00B069F1">
      <w:pPr>
        <w:rPr>
          <w:lang w:val="en-GB"/>
        </w:rPr>
      </w:pPr>
      <w:r w:rsidRPr="007C25BB">
        <w:rPr>
          <w:lang w:val="en-GB"/>
        </w:rPr>
        <w:t xml:space="preserve">This instrument declares </w:t>
      </w:r>
      <w:r w:rsidR="00785724" w:rsidRPr="007C25BB">
        <w:rPr>
          <w:lang w:val="en-GB"/>
        </w:rPr>
        <w:t>COVID</w:t>
      </w:r>
      <w:r w:rsidR="00785724" w:rsidRPr="007C25BB">
        <w:rPr>
          <w:lang w:val="en-GB"/>
        </w:rPr>
        <w:noBreakHyphen/>
        <w:t xml:space="preserve">19 - </w:t>
      </w:r>
      <w:r w:rsidR="006B3265" w:rsidRPr="007C25BB">
        <w:rPr>
          <w:lang w:val="en-GB"/>
        </w:rPr>
        <w:t>originally</w:t>
      </w:r>
      <w:r w:rsidR="00785724" w:rsidRPr="007C25BB">
        <w:rPr>
          <w:lang w:val="en-GB"/>
        </w:rPr>
        <w:t xml:space="preserve"> known as </w:t>
      </w:r>
      <w:r w:rsidRPr="007C25BB">
        <w:rPr>
          <w:lang w:val="en-GB"/>
        </w:rPr>
        <w:t xml:space="preserve">novel coronavirus (2019-nCoV) </w:t>
      </w:r>
      <w:r w:rsidR="00785724" w:rsidRPr="007C25BB">
        <w:rPr>
          <w:lang w:val="en-GB"/>
        </w:rPr>
        <w:t xml:space="preserve">- </w:t>
      </w:r>
      <w:r w:rsidRPr="007C25BB">
        <w:rPr>
          <w:lang w:val="en-GB"/>
        </w:rPr>
        <w:t xml:space="preserve">to be a transmissible notifiable condition. </w:t>
      </w:r>
      <w:r w:rsidR="007C5F2D" w:rsidRPr="007C25BB">
        <w:rPr>
          <w:lang w:val="en-GB"/>
        </w:rPr>
        <w:t xml:space="preserve">Accordingly, confirmed and suspected cases of </w:t>
      </w:r>
      <w:r w:rsidR="00785724" w:rsidRPr="007C25BB">
        <w:rPr>
          <w:lang w:val="en-GB"/>
        </w:rPr>
        <w:t>COVID</w:t>
      </w:r>
      <w:r w:rsidR="00785724" w:rsidRPr="007C25BB">
        <w:rPr>
          <w:lang w:val="en-GB"/>
        </w:rPr>
        <w:noBreakHyphen/>
        <w:t>19</w:t>
      </w:r>
      <w:r w:rsidR="007C5F2D" w:rsidRPr="007C25BB">
        <w:rPr>
          <w:lang w:val="en-GB"/>
        </w:rPr>
        <w:t xml:space="preserve"> must be notified by persons to whom Division 6.2 of the Act applies.</w:t>
      </w:r>
      <w:r w:rsidR="00E24EF3" w:rsidRPr="007C25BB">
        <w:rPr>
          <w:lang w:val="en-GB"/>
        </w:rPr>
        <w:t xml:space="preserve"> </w:t>
      </w:r>
    </w:p>
    <w:p w14:paraId="19B1C50C" w14:textId="77777777" w:rsidR="00E24EF3" w:rsidRPr="007C25BB" w:rsidRDefault="00E24EF3" w:rsidP="00B069F1">
      <w:pPr>
        <w:rPr>
          <w:lang w:val="en-GB"/>
        </w:rPr>
      </w:pPr>
    </w:p>
    <w:p w14:paraId="53E1291C" w14:textId="77777777" w:rsidR="00E24EF3" w:rsidRPr="007C25BB" w:rsidRDefault="00E24EF3" w:rsidP="00B069F1">
      <w:pPr>
        <w:rPr>
          <w:lang w:val="en-GB"/>
        </w:rPr>
      </w:pPr>
      <w:r w:rsidRPr="007C25BB">
        <w:rPr>
          <w:lang w:val="en-GB"/>
        </w:rPr>
        <w:t xml:space="preserve">In order to prevent uncertainty, the instrument is clear that the </w:t>
      </w:r>
      <w:r w:rsidR="00C50350" w:rsidRPr="007C25BB">
        <w:rPr>
          <w:lang w:val="en-GB"/>
        </w:rPr>
        <w:t>disease</w:t>
      </w:r>
      <w:r w:rsidRPr="007C25BB">
        <w:rPr>
          <w:lang w:val="en-GB"/>
        </w:rPr>
        <w:t xml:space="preserve"> now known as COVID</w:t>
      </w:r>
      <w:r w:rsidRPr="007C25BB">
        <w:rPr>
          <w:lang w:val="en-GB"/>
        </w:rPr>
        <w:noBreakHyphen/>
        <w:t xml:space="preserve">19 is notifiable irrespective of the name or identifier given to it. As such, persons to whom Division 6.2 of the Act applies must notify ACT Health </w:t>
      </w:r>
      <w:r w:rsidR="006F4F41" w:rsidRPr="007C25BB">
        <w:rPr>
          <w:lang w:val="en-GB"/>
        </w:rPr>
        <w:t>regardless of whether the name or identifier is known differently to them or is being referred differently elsewhere. This recognises that although COVID</w:t>
      </w:r>
      <w:r w:rsidR="006F4F41" w:rsidRPr="007C25BB">
        <w:rPr>
          <w:lang w:val="en-GB"/>
        </w:rPr>
        <w:noBreakHyphen/>
        <w:t>19 was previously referred to as novel coronavirus (2019</w:t>
      </w:r>
      <w:r w:rsidR="006F4F41" w:rsidRPr="007C25BB">
        <w:rPr>
          <w:lang w:val="en-GB"/>
        </w:rPr>
        <w:noBreakHyphen/>
        <w:t xml:space="preserve">nCoV), or may at a later stage also be referred to differently, the </w:t>
      </w:r>
      <w:r w:rsidR="00C50350" w:rsidRPr="007C25BB">
        <w:rPr>
          <w:lang w:val="en-GB"/>
        </w:rPr>
        <w:t>disease</w:t>
      </w:r>
      <w:r w:rsidR="006F4F41" w:rsidRPr="007C25BB">
        <w:rPr>
          <w:lang w:val="en-GB"/>
        </w:rPr>
        <w:t xml:space="preserve"> is the same and </w:t>
      </w:r>
      <w:r w:rsidR="00C50350" w:rsidRPr="007C25BB">
        <w:rPr>
          <w:lang w:val="en-GB"/>
        </w:rPr>
        <w:t xml:space="preserve">as such the </w:t>
      </w:r>
      <w:r w:rsidR="006F4F41" w:rsidRPr="007C25BB">
        <w:rPr>
          <w:lang w:val="en-GB"/>
        </w:rPr>
        <w:t xml:space="preserve">notification obligations are the same. </w:t>
      </w:r>
    </w:p>
    <w:p w14:paraId="7FF30982" w14:textId="77777777" w:rsidR="00E24EF3" w:rsidRPr="007C25BB" w:rsidRDefault="00E24EF3" w:rsidP="00B069F1">
      <w:pPr>
        <w:rPr>
          <w:lang w:val="en-GB"/>
        </w:rPr>
      </w:pPr>
    </w:p>
    <w:p w14:paraId="29C0C779" w14:textId="77777777" w:rsidR="00994D82" w:rsidRPr="007C25BB" w:rsidRDefault="002253A6" w:rsidP="00B069F1">
      <w:pPr>
        <w:rPr>
          <w:lang w:val="en-GB"/>
        </w:rPr>
      </w:pPr>
      <w:r w:rsidRPr="007C25BB">
        <w:rPr>
          <w:lang w:val="en-GB"/>
        </w:rPr>
        <w:t xml:space="preserve">Based on information and advice provided by both the </w:t>
      </w:r>
      <w:r w:rsidR="00A12AFC" w:rsidRPr="007C25BB">
        <w:rPr>
          <w:lang w:val="en-GB"/>
        </w:rPr>
        <w:t>World Health Organization (</w:t>
      </w:r>
      <w:r w:rsidRPr="007C25BB">
        <w:rPr>
          <w:lang w:val="en-GB"/>
        </w:rPr>
        <w:t>WHO</w:t>
      </w:r>
      <w:r w:rsidR="00A12AFC" w:rsidRPr="007C25BB">
        <w:rPr>
          <w:lang w:val="en-GB"/>
        </w:rPr>
        <w:t>)</w:t>
      </w:r>
      <w:r w:rsidRPr="007C25BB">
        <w:rPr>
          <w:lang w:val="en-GB"/>
        </w:rPr>
        <w:t xml:space="preserve"> and the Commonwealth Department of Health</w:t>
      </w:r>
      <w:r w:rsidR="00D471E0" w:rsidRPr="007C25BB">
        <w:rPr>
          <w:lang w:val="en-GB"/>
        </w:rPr>
        <w:t>,</w:t>
      </w:r>
      <w:r w:rsidRPr="007C25BB">
        <w:rPr>
          <w:lang w:val="en-GB"/>
        </w:rPr>
        <w:t xml:space="preserve"> the Chief Health Officer has formed the belief that declaration of </w:t>
      </w:r>
      <w:r w:rsidR="00785724" w:rsidRPr="007C25BB">
        <w:rPr>
          <w:lang w:val="en-GB"/>
        </w:rPr>
        <w:t>COVID</w:t>
      </w:r>
      <w:r w:rsidR="00785724" w:rsidRPr="007C25BB">
        <w:rPr>
          <w:lang w:val="en-GB"/>
        </w:rPr>
        <w:noBreakHyphen/>
        <w:t>19</w:t>
      </w:r>
      <w:r w:rsidRPr="007C25BB">
        <w:rPr>
          <w:lang w:val="en-GB"/>
        </w:rPr>
        <w:t xml:space="preserve"> as a transmissible notifiable condition is necessary to protect public health. </w:t>
      </w:r>
    </w:p>
    <w:p w14:paraId="63B1418D" w14:textId="77777777" w:rsidR="000D4D1F" w:rsidRPr="007C25BB" w:rsidRDefault="000D4D1F" w:rsidP="00B069F1">
      <w:pPr>
        <w:rPr>
          <w:lang w:val="en-GB"/>
        </w:rPr>
      </w:pPr>
    </w:p>
    <w:p w14:paraId="222C9AD6" w14:textId="77777777" w:rsidR="00785724" w:rsidRPr="007C25BB" w:rsidRDefault="00785724" w:rsidP="00B069F1">
      <w:pPr>
        <w:rPr>
          <w:lang w:val="en-GB"/>
        </w:rPr>
      </w:pPr>
      <w:r w:rsidRPr="007C25BB">
        <w:rPr>
          <w:lang w:val="en-GB"/>
        </w:rPr>
        <w:lastRenderedPageBreak/>
        <w:t xml:space="preserve">An outbreak of a new strain </w:t>
      </w:r>
      <w:r w:rsidR="00D471E0" w:rsidRPr="007C25BB">
        <w:rPr>
          <w:lang w:val="en-GB"/>
        </w:rPr>
        <w:t>of coronavirus that ha</w:t>
      </w:r>
      <w:r w:rsidRPr="007C25BB">
        <w:rPr>
          <w:lang w:val="en-GB"/>
        </w:rPr>
        <w:t>d</w:t>
      </w:r>
      <w:r w:rsidR="00D471E0" w:rsidRPr="007C25BB">
        <w:rPr>
          <w:lang w:val="en-GB"/>
        </w:rPr>
        <w:t xml:space="preserve"> not been previously identified in humans</w:t>
      </w:r>
      <w:r w:rsidRPr="007C25BB">
        <w:rPr>
          <w:lang w:val="en-GB"/>
        </w:rPr>
        <w:t xml:space="preserve"> </w:t>
      </w:r>
      <w:r w:rsidR="00D471E0" w:rsidRPr="007C25BB">
        <w:rPr>
          <w:lang w:val="en-GB"/>
        </w:rPr>
        <w:t xml:space="preserve">was </w:t>
      </w:r>
      <w:r w:rsidR="00E85D6C" w:rsidRPr="007C25BB">
        <w:rPr>
          <w:lang w:val="en-GB"/>
        </w:rPr>
        <w:t>first identified by Chinese authorities on 7 January 2020</w:t>
      </w:r>
      <w:r w:rsidR="00FC4F6E" w:rsidRPr="007C25BB">
        <w:rPr>
          <w:lang w:val="en-GB"/>
        </w:rPr>
        <w:t xml:space="preserve"> </w:t>
      </w:r>
      <w:r w:rsidR="00D471E0" w:rsidRPr="007C25BB">
        <w:rPr>
          <w:lang w:val="en-GB"/>
        </w:rPr>
        <w:t>in</w:t>
      </w:r>
      <w:r w:rsidR="00FC4F6E" w:rsidRPr="007C25BB">
        <w:rPr>
          <w:lang w:val="en-GB"/>
        </w:rPr>
        <w:t xml:space="preserve"> </w:t>
      </w:r>
      <w:r w:rsidR="00D471E0" w:rsidRPr="007C25BB">
        <w:rPr>
          <w:lang w:val="en-GB"/>
        </w:rPr>
        <w:t>W</w:t>
      </w:r>
      <w:r w:rsidR="00FC4F6E" w:rsidRPr="007C25BB">
        <w:rPr>
          <w:lang w:val="en-GB"/>
        </w:rPr>
        <w:t>uhan City</w:t>
      </w:r>
      <w:r w:rsidR="00D471E0" w:rsidRPr="007C25BB">
        <w:rPr>
          <w:lang w:val="en-GB"/>
        </w:rPr>
        <w:t xml:space="preserve">, Hubei Province, China. </w:t>
      </w:r>
      <w:r w:rsidRPr="007C25BB">
        <w:rPr>
          <w:lang w:val="en-GB"/>
        </w:rPr>
        <w:t xml:space="preserve">In response to the growth of the outbreak the WHO declared the outbreak a Public Health Emergency of International Concern (PHEIC) on 30 January 2020, and on </w:t>
      </w:r>
      <w:r w:rsidR="00C50350" w:rsidRPr="007C25BB">
        <w:rPr>
          <w:lang w:val="en-GB"/>
        </w:rPr>
        <w:t>12</w:t>
      </w:r>
      <w:r w:rsidRPr="007C25BB">
        <w:rPr>
          <w:lang w:val="en-GB"/>
        </w:rPr>
        <w:t xml:space="preserve"> February 2020 </w:t>
      </w:r>
      <w:r w:rsidR="00C50350" w:rsidRPr="007C25BB">
        <w:rPr>
          <w:lang w:val="en-GB"/>
        </w:rPr>
        <w:t xml:space="preserve">the WHO </w:t>
      </w:r>
      <w:r w:rsidRPr="007C25BB">
        <w:rPr>
          <w:lang w:val="en-GB"/>
        </w:rPr>
        <w:t xml:space="preserve">has assigned the </w:t>
      </w:r>
      <w:r w:rsidR="00C50350" w:rsidRPr="007C25BB">
        <w:rPr>
          <w:lang w:val="en-GB"/>
        </w:rPr>
        <w:t>disease</w:t>
      </w:r>
      <w:r w:rsidRPr="007C25BB">
        <w:rPr>
          <w:lang w:val="en-GB"/>
        </w:rPr>
        <w:t xml:space="preserve"> the name COVID</w:t>
      </w:r>
      <w:r w:rsidRPr="007C25BB">
        <w:rPr>
          <w:lang w:val="en-GB"/>
        </w:rPr>
        <w:noBreakHyphen/>
        <w:t>19.</w:t>
      </w:r>
    </w:p>
    <w:p w14:paraId="114EE30E" w14:textId="77777777" w:rsidR="00B069F1" w:rsidRPr="007C25BB" w:rsidRDefault="00B069F1" w:rsidP="00B069F1">
      <w:pPr>
        <w:autoSpaceDE w:val="0"/>
        <w:autoSpaceDN w:val="0"/>
        <w:adjustRightInd w:val="0"/>
        <w:rPr>
          <w:lang w:val="en-GB"/>
        </w:rPr>
      </w:pPr>
    </w:p>
    <w:p w14:paraId="4B390F64" w14:textId="3CF4AAF2" w:rsidR="00EF092F" w:rsidRPr="007C25BB" w:rsidRDefault="00DD7FAB" w:rsidP="00B069F1">
      <w:pPr>
        <w:autoSpaceDE w:val="0"/>
        <w:autoSpaceDN w:val="0"/>
        <w:adjustRightInd w:val="0"/>
        <w:rPr>
          <w:lang w:val="en-GB"/>
        </w:rPr>
      </w:pPr>
      <w:r w:rsidRPr="007C25BB">
        <w:rPr>
          <w:lang w:val="en-GB"/>
        </w:rPr>
        <w:t>Th</w:t>
      </w:r>
      <w:r w:rsidR="00994D82" w:rsidRPr="007C25BB">
        <w:rPr>
          <w:lang w:val="en-GB"/>
        </w:rPr>
        <w:t>e</w:t>
      </w:r>
      <w:r w:rsidRPr="007C25BB">
        <w:rPr>
          <w:lang w:val="en-GB"/>
        </w:rPr>
        <w:t xml:space="preserve"> epidemiology and full clinical picture of </w:t>
      </w:r>
      <w:r w:rsidR="00785724" w:rsidRPr="007C25BB">
        <w:rPr>
          <w:lang w:val="en-GB"/>
        </w:rPr>
        <w:t>COVID</w:t>
      </w:r>
      <w:r w:rsidR="00785724" w:rsidRPr="007C25BB">
        <w:rPr>
          <w:lang w:val="en-GB"/>
        </w:rPr>
        <w:noBreakHyphen/>
        <w:t>19</w:t>
      </w:r>
      <w:r w:rsidRPr="007C25BB">
        <w:rPr>
          <w:lang w:val="en-GB"/>
        </w:rPr>
        <w:t xml:space="preserve"> is </w:t>
      </w:r>
      <w:r w:rsidR="00A9481E" w:rsidRPr="007C25BB">
        <w:rPr>
          <w:lang w:val="en-GB"/>
        </w:rPr>
        <w:t>still emerging. C</w:t>
      </w:r>
      <w:r w:rsidR="009B4F03" w:rsidRPr="007C25BB">
        <w:rPr>
          <w:lang w:val="en-GB"/>
        </w:rPr>
        <w:t>urrent information suggests t</w:t>
      </w:r>
      <w:r w:rsidR="00EF092F" w:rsidRPr="007C25BB">
        <w:rPr>
          <w:lang w:val="en-GB"/>
        </w:rPr>
        <w:t xml:space="preserve">he infection presents </w:t>
      </w:r>
      <w:r w:rsidRPr="007C25BB">
        <w:rPr>
          <w:lang w:val="en-GB"/>
        </w:rPr>
        <w:t xml:space="preserve">with a fever and </w:t>
      </w:r>
      <w:r w:rsidR="00EF092F" w:rsidRPr="007C25BB">
        <w:rPr>
          <w:lang w:val="en-GB"/>
        </w:rPr>
        <w:t>respiratory</w:t>
      </w:r>
      <w:r w:rsidRPr="007C25BB">
        <w:rPr>
          <w:lang w:val="en-GB"/>
        </w:rPr>
        <w:t xml:space="preserve"> </w:t>
      </w:r>
      <w:r w:rsidR="00EF092F" w:rsidRPr="007C25BB">
        <w:rPr>
          <w:lang w:val="en-GB"/>
        </w:rPr>
        <w:t>symptoms</w:t>
      </w:r>
      <w:r w:rsidRPr="007C25BB">
        <w:rPr>
          <w:lang w:val="en-GB"/>
        </w:rPr>
        <w:t xml:space="preserve">, including cough, shortness of </w:t>
      </w:r>
      <w:r w:rsidR="00EF092F" w:rsidRPr="007C25BB">
        <w:rPr>
          <w:lang w:val="en-GB"/>
        </w:rPr>
        <w:t>breath</w:t>
      </w:r>
      <w:r w:rsidR="00994D82" w:rsidRPr="007C25BB">
        <w:rPr>
          <w:lang w:val="en-GB"/>
        </w:rPr>
        <w:t>, and sore throat. Some cases have developed more severe disease</w:t>
      </w:r>
      <w:r w:rsidR="009B4F03" w:rsidRPr="007C25BB">
        <w:rPr>
          <w:lang w:val="en-GB"/>
        </w:rPr>
        <w:t xml:space="preserve"> (</w:t>
      </w:r>
      <w:r w:rsidR="00994D82" w:rsidRPr="007C25BB">
        <w:rPr>
          <w:lang w:val="en-GB"/>
        </w:rPr>
        <w:t>such as pneumonia and severe acute respiratory distress syndrome</w:t>
      </w:r>
      <w:r w:rsidR="009B4F03" w:rsidRPr="007C25BB">
        <w:rPr>
          <w:lang w:val="en-GB"/>
        </w:rPr>
        <w:t>)</w:t>
      </w:r>
      <w:r w:rsidR="00994D82" w:rsidRPr="007C25BB">
        <w:rPr>
          <w:lang w:val="en-GB"/>
        </w:rPr>
        <w:t xml:space="preserve"> requiring hospitalisation</w:t>
      </w:r>
      <w:r w:rsidR="009B4F03" w:rsidRPr="007C25BB">
        <w:rPr>
          <w:lang w:val="en-GB"/>
        </w:rPr>
        <w:t>,</w:t>
      </w:r>
      <w:r w:rsidR="00994D82" w:rsidRPr="007C25BB">
        <w:rPr>
          <w:lang w:val="en-GB"/>
        </w:rPr>
        <w:t xml:space="preserve"> and a </w:t>
      </w:r>
      <w:r w:rsidR="00EF092F" w:rsidRPr="007C25BB">
        <w:rPr>
          <w:lang w:val="en-GB"/>
        </w:rPr>
        <w:t xml:space="preserve">number of cases </w:t>
      </w:r>
      <w:r w:rsidR="00994D82" w:rsidRPr="007C25BB">
        <w:rPr>
          <w:lang w:val="en-GB"/>
        </w:rPr>
        <w:t xml:space="preserve">(predominantly in </w:t>
      </w:r>
      <w:r w:rsidR="0075116B" w:rsidRPr="007C25BB">
        <w:rPr>
          <w:lang w:val="en-GB"/>
        </w:rPr>
        <w:t>mainland China</w:t>
      </w:r>
      <w:r w:rsidR="00994D82" w:rsidRPr="007C25BB">
        <w:rPr>
          <w:lang w:val="en-GB"/>
        </w:rPr>
        <w:t xml:space="preserve">) </w:t>
      </w:r>
      <w:r w:rsidR="00EF092F" w:rsidRPr="007C25BB">
        <w:rPr>
          <w:lang w:val="en-GB"/>
        </w:rPr>
        <w:t>have died</w:t>
      </w:r>
      <w:r w:rsidR="00994D82" w:rsidRPr="007C25BB">
        <w:rPr>
          <w:lang w:val="en-GB"/>
        </w:rPr>
        <w:t>.</w:t>
      </w:r>
      <w:r w:rsidR="009B4F03" w:rsidRPr="007C25BB">
        <w:rPr>
          <w:lang w:val="en-GB"/>
        </w:rPr>
        <w:t xml:space="preserve"> Some cases have also reported a milder clinical illness with no fever.</w:t>
      </w:r>
    </w:p>
    <w:p w14:paraId="520CEB99" w14:textId="77777777" w:rsidR="00B069F1" w:rsidRPr="007C25BB" w:rsidRDefault="00B069F1" w:rsidP="00B069F1">
      <w:pPr>
        <w:autoSpaceDE w:val="0"/>
        <w:autoSpaceDN w:val="0"/>
        <w:adjustRightInd w:val="0"/>
        <w:rPr>
          <w:lang w:val="en-GB"/>
        </w:rPr>
      </w:pPr>
    </w:p>
    <w:p w14:paraId="772A0469" w14:textId="1A693B19" w:rsidR="00AF5839" w:rsidRPr="007C25BB" w:rsidRDefault="009B4F03" w:rsidP="00B069F1">
      <w:pPr>
        <w:autoSpaceDE w:val="0"/>
        <w:autoSpaceDN w:val="0"/>
        <w:adjustRightInd w:val="0"/>
        <w:rPr>
          <w:lang w:val="en-GB"/>
        </w:rPr>
      </w:pPr>
      <w:r w:rsidRPr="007C25BB">
        <w:rPr>
          <w:lang w:val="en-GB"/>
        </w:rPr>
        <w:t xml:space="preserve">The original </w:t>
      </w:r>
      <w:r w:rsidR="00994D82" w:rsidRPr="007C25BB">
        <w:rPr>
          <w:lang w:val="en-GB"/>
        </w:rPr>
        <w:t xml:space="preserve">source of the virus has not yet been definitively </w:t>
      </w:r>
      <w:r w:rsidR="007A3BC7" w:rsidRPr="007C25BB">
        <w:rPr>
          <w:lang w:val="en-GB"/>
        </w:rPr>
        <w:t xml:space="preserve">identified, but it </w:t>
      </w:r>
      <w:r w:rsidRPr="007C25BB">
        <w:rPr>
          <w:lang w:val="en-GB"/>
        </w:rPr>
        <w:t xml:space="preserve">is </w:t>
      </w:r>
      <w:r w:rsidR="00994D82" w:rsidRPr="007C25BB">
        <w:rPr>
          <w:lang w:val="en-GB"/>
        </w:rPr>
        <w:t xml:space="preserve">thought </w:t>
      </w:r>
      <w:r w:rsidRPr="007C25BB">
        <w:rPr>
          <w:lang w:val="en-GB"/>
        </w:rPr>
        <w:t>that</w:t>
      </w:r>
      <w:r w:rsidR="007A3BC7" w:rsidRPr="007C25BB">
        <w:rPr>
          <w:lang w:val="en-GB"/>
        </w:rPr>
        <w:t xml:space="preserve"> </w:t>
      </w:r>
      <w:r w:rsidR="00A9481E" w:rsidRPr="007C25BB">
        <w:rPr>
          <w:lang w:val="en-GB"/>
        </w:rPr>
        <w:t xml:space="preserve">it came from </w:t>
      </w:r>
      <w:r w:rsidRPr="007C25BB">
        <w:rPr>
          <w:lang w:val="en-GB"/>
        </w:rPr>
        <w:t xml:space="preserve">an animal </w:t>
      </w:r>
      <w:r w:rsidR="001729BC" w:rsidRPr="007C25BB">
        <w:rPr>
          <w:lang w:val="en-GB"/>
        </w:rPr>
        <w:t xml:space="preserve">source </w:t>
      </w:r>
      <w:r w:rsidRPr="007C25BB">
        <w:rPr>
          <w:lang w:val="en-GB"/>
        </w:rPr>
        <w:t>at a seafood and live animal market in Wuhan City</w:t>
      </w:r>
      <w:r w:rsidR="0075116B" w:rsidRPr="007C25BB">
        <w:rPr>
          <w:lang w:val="en-GB"/>
        </w:rPr>
        <w:t xml:space="preserve"> in Hubei Province, China</w:t>
      </w:r>
      <w:r w:rsidR="001A7D3B" w:rsidRPr="007C25BB">
        <w:rPr>
          <w:lang w:val="en-GB"/>
        </w:rPr>
        <w:t xml:space="preserve">. </w:t>
      </w:r>
      <w:r w:rsidR="00A12AFC" w:rsidRPr="007C25BB">
        <w:rPr>
          <w:lang w:val="en-GB"/>
        </w:rPr>
        <w:t>P</w:t>
      </w:r>
      <w:r w:rsidRPr="007C25BB">
        <w:rPr>
          <w:lang w:val="en-GB"/>
        </w:rPr>
        <w:t xml:space="preserve">erson-to-person transmission via respiratory droplets is now occurring.  </w:t>
      </w:r>
    </w:p>
    <w:p w14:paraId="1204A681" w14:textId="77777777" w:rsidR="00B069F1" w:rsidRPr="007C25BB" w:rsidRDefault="00B069F1" w:rsidP="00B069F1">
      <w:pPr>
        <w:rPr>
          <w:lang w:val="en-GB"/>
        </w:rPr>
      </w:pPr>
    </w:p>
    <w:p w14:paraId="480AA799" w14:textId="54B72B4A" w:rsidR="001A7D3B" w:rsidRPr="007C25BB" w:rsidRDefault="007A3BC7" w:rsidP="00B069F1">
      <w:pPr>
        <w:rPr>
          <w:lang w:val="en-GB"/>
        </w:rPr>
      </w:pPr>
      <w:r w:rsidRPr="007C25BB">
        <w:rPr>
          <w:lang w:val="en-GB"/>
        </w:rPr>
        <w:t xml:space="preserve">There is currently no vaccine and no treatment for </w:t>
      </w:r>
      <w:r w:rsidR="00785724" w:rsidRPr="007C25BB">
        <w:rPr>
          <w:lang w:val="en-GB"/>
        </w:rPr>
        <w:t>COVID</w:t>
      </w:r>
      <w:r w:rsidR="00785724" w:rsidRPr="007C25BB">
        <w:rPr>
          <w:lang w:val="en-GB"/>
        </w:rPr>
        <w:noBreakHyphen/>
        <w:t>19</w:t>
      </w:r>
      <w:r w:rsidRPr="007C25BB">
        <w:rPr>
          <w:lang w:val="en-GB"/>
        </w:rPr>
        <w:t>. Standard disease control measures for respiratory viruses,</w:t>
      </w:r>
      <w:r w:rsidRPr="007C25BB">
        <w:rPr>
          <w:rFonts w:ascii="Segoe UI" w:hAnsi="Segoe UI" w:cs="Segoe UI"/>
          <w:color w:val="000000"/>
          <w:sz w:val="26"/>
          <w:szCs w:val="26"/>
          <w:shd w:val="clear" w:color="auto" w:fill="FFFFFF"/>
          <w:lang w:val="en-GB"/>
        </w:rPr>
        <w:t xml:space="preserve"> </w:t>
      </w:r>
      <w:r w:rsidRPr="007C25BB">
        <w:rPr>
          <w:lang w:val="en-GB"/>
        </w:rPr>
        <w:t xml:space="preserve">such as </w:t>
      </w:r>
      <w:r w:rsidR="00DE7936" w:rsidRPr="007C25BB">
        <w:rPr>
          <w:lang w:val="en-GB"/>
        </w:rPr>
        <w:t xml:space="preserve">hand washing, </w:t>
      </w:r>
      <w:r w:rsidRPr="007C25BB">
        <w:rPr>
          <w:lang w:val="en-GB"/>
        </w:rPr>
        <w:t>cov</w:t>
      </w:r>
      <w:r w:rsidR="00DE7936" w:rsidRPr="007C25BB">
        <w:rPr>
          <w:lang w:val="en-GB"/>
        </w:rPr>
        <w:t xml:space="preserve">ering mouth and nose when coughing and </w:t>
      </w:r>
      <w:r w:rsidRPr="007C25BB">
        <w:rPr>
          <w:lang w:val="en-GB"/>
        </w:rPr>
        <w:t>sneezing</w:t>
      </w:r>
      <w:r w:rsidR="00A9481E" w:rsidRPr="007C25BB">
        <w:rPr>
          <w:lang w:val="en-GB"/>
        </w:rPr>
        <w:t>,</w:t>
      </w:r>
      <w:r w:rsidRPr="007C25BB">
        <w:rPr>
          <w:lang w:val="en-GB"/>
        </w:rPr>
        <w:t xml:space="preserve"> and staying home when unwell are general recommendations for preventing the spread of the disease. </w:t>
      </w:r>
    </w:p>
    <w:p w14:paraId="5BCC74BE" w14:textId="77777777" w:rsidR="001A7D3B" w:rsidRPr="007C25BB" w:rsidRDefault="001A7D3B" w:rsidP="00B069F1">
      <w:pPr>
        <w:rPr>
          <w:lang w:val="en-GB"/>
        </w:rPr>
      </w:pPr>
    </w:p>
    <w:p w14:paraId="4DA786E6" w14:textId="77777777" w:rsidR="001A7D3B" w:rsidRPr="007C25BB" w:rsidRDefault="001A7D3B" w:rsidP="00B069F1">
      <w:pPr>
        <w:rPr>
          <w:lang w:val="en-GB"/>
        </w:rPr>
      </w:pPr>
      <w:r w:rsidRPr="007C25BB">
        <w:rPr>
          <w:lang w:val="en-GB"/>
        </w:rPr>
        <w:t xml:space="preserve">Notification of </w:t>
      </w:r>
      <w:r w:rsidR="00785724" w:rsidRPr="007C25BB">
        <w:rPr>
          <w:lang w:val="en-GB"/>
        </w:rPr>
        <w:t>COVID</w:t>
      </w:r>
      <w:r w:rsidR="00785724" w:rsidRPr="007C25BB">
        <w:rPr>
          <w:lang w:val="en-GB"/>
        </w:rPr>
        <w:noBreakHyphen/>
        <w:t>19</w:t>
      </w:r>
      <w:r w:rsidRPr="007C25BB">
        <w:rPr>
          <w:lang w:val="en-GB"/>
        </w:rPr>
        <w:t xml:space="preserve"> will allow identification and implementation of disease control measure</w:t>
      </w:r>
      <w:r w:rsidR="00587AC2" w:rsidRPr="007C25BB">
        <w:rPr>
          <w:lang w:val="en-GB"/>
        </w:rPr>
        <w:t>s</w:t>
      </w:r>
      <w:r w:rsidRPr="007C25BB">
        <w:rPr>
          <w:lang w:val="en-GB"/>
        </w:rPr>
        <w:t xml:space="preserve"> to contain the spread of the disease</w:t>
      </w:r>
      <w:r w:rsidR="001729BC" w:rsidRPr="007C25BB">
        <w:rPr>
          <w:lang w:val="en-GB"/>
        </w:rPr>
        <w:t xml:space="preserve"> in the absence of </w:t>
      </w:r>
      <w:r w:rsidR="00587AC2" w:rsidRPr="007C25BB">
        <w:rPr>
          <w:lang w:val="en-GB"/>
        </w:rPr>
        <w:t xml:space="preserve">an </w:t>
      </w:r>
      <w:r w:rsidR="001729BC" w:rsidRPr="007C25BB">
        <w:rPr>
          <w:lang w:val="en-GB"/>
        </w:rPr>
        <w:t>effective vaccine or treatment</w:t>
      </w:r>
      <w:r w:rsidRPr="007C25BB">
        <w:rPr>
          <w:lang w:val="en-GB"/>
        </w:rPr>
        <w:t xml:space="preserve">. </w:t>
      </w:r>
    </w:p>
    <w:p w14:paraId="2EEEF248" w14:textId="77777777" w:rsidR="001A7D3B" w:rsidRPr="007C25BB" w:rsidRDefault="001A7D3B" w:rsidP="00B069F1">
      <w:pPr>
        <w:rPr>
          <w:lang w:val="en-GB"/>
        </w:rPr>
      </w:pPr>
    </w:p>
    <w:p w14:paraId="1FD18DFF" w14:textId="77777777" w:rsidR="00DE7936" w:rsidRPr="007C25BB" w:rsidRDefault="00DE7936" w:rsidP="00B069F1">
      <w:pPr>
        <w:rPr>
          <w:lang w:val="en-GB"/>
        </w:rPr>
      </w:pPr>
      <w:r w:rsidRPr="007C25BB">
        <w:rPr>
          <w:lang w:val="en-GB"/>
        </w:rPr>
        <w:t>DI2017</w:t>
      </w:r>
      <w:r w:rsidRPr="007C25BB">
        <w:rPr>
          <w:lang w:val="en-GB"/>
        </w:rPr>
        <w:noBreakHyphen/>
        <w:t xml:space="preserve">211 on the ACT Legislation Register is the </w:t>
      </w:r>
      <w:r w:rsidR="00EC61A9" w:rsidRPr="007C25BB">
        <w:rPr>
          <w:lang w:val="en-GB"/>
        </w:rPr>
        <w:t>Public Health (Reporting of Notifiable Conditions) Code of Practice 2017 (the Code of Practice</w:t>
      </w:r>
      <w:r w:rsidR="003A6082" w:rsidRPr="007C25BB">
        <w:rPr>
          <w:lang w:val="en-GB"/>
        </w:rPr>
        <w:t>)</w:t>
      </w:r>
      <w:r w:rsidR="00EC61A9" w:rsidRPr="007C25BB">
        <w:rPr>
          <w:lang w:val="en-GB"/>
        </w:rPr>
        <w:t xml:space="preserve">. </w:t>
      </w:r>
      <w:r w:rsidRPr="007C25BB">
        <w:rPr>
          <w:lang w:val="en-GB"/>
        </w:rPr>
        <w:t xml:space="preserve">That Code of Practice sets out by when, to whom, and how notifications of notifiable conditions are to occur. The Code of Practice sorts notifiable conditions into two groups, with those in ‘Group A’ needing to be notified immediately by telephone and then followed </w:t>
      </w:r>
      <w:r w:rsidR="00587AC2" w:rsidRPr="007C25BB">
        <w:rPr>
          <w:lang w:val="en-GB"/>
        </w:rPr>
        <w:t>by</w:t>
      </w:r>
      <w:r w:rsidR="004F1CA6" w:rsidRPr="007C25BB">
        <w:rPr>
          <w:lang w:val="en-GB"/>
        </w:rPr>
        <w:t xml:space="preserve"> </w:t>
      </w:r>
      <w:r w:rsidRPr="007C25BB">
        <w:rPr>
          <w:lang w:val="en-GB"/>
        </w:rPr>
        <w:t>writ</w:t>
      </w:r>
      <w:r w:rsidR="00587AC2" w:rsidRPr="007C25BB">
        <w:rPr>
          <w:lang w:val="en-GB"/>
        </w:rPr>
        <w:t>ten notification</w:t>
      </w:r>
      <w:r w:rsidRPr="007C25BB">
        <w:rPr>
          <w:lang w:val="en-GB"/>
        </w:rPr>
        <w:t xml:space="preserve"> within five days. </w:t>
      </w:r>
    </w:p>
    <w:p w14:paraId="4541414F" w14:textId="77777777" w:rsidR="00DE7936" w:rsidRPr="007C25BB" w:rsidRDefault="00DE7936" w:rsidP="00B069F1">
      <w:pPr>
        <w:rPr>
          <w:lang w:val="en-GB"/>
        </w:rPr>
      </w:pPr>
    </w:p>
    <w:p w14:paraId="73734D16" w14:textId="77777777" w:rsidR="00DE7936" w:rsidRPr="007C25BB" w:rsidRDefault="00DE7936" w:rsidP="00B069F1">
      <w:pPr>
        <w:rPr>
          <w:lang w:val="en-GB"/>
        </w:rPr>
      </w:pPr>
      <w:r w:rsidRPr="007C25BB">
        <w:rPr>
          <w:lang w:val="en-GB"/>
        </w:rPr>
        <w:t xml:space="preserve">Clause 4 of this instrument confirms that notifications of </w:t>
      </w:r>
      <w:r w:rsidR="00785724" w:rsidRPr="007C25BB">
        <w:rPr>
          <w:lang w:val="en-GB"/>
        </w:rPr>
        <w:t>COVID</w:t>
      </w:r>
      <w:r w:rsidR="00785724" w:rsidRPr="007C25BB">
        <w:rPr>
          <w:lang w:val="en-GB"/>
        </w:rPr>
        <w:noBreakHyphen/>
        <w:t xml:space="preserve">19 </w:t>
      </w:r>
      <w:r w:rsidRPr="007C25BB">
        <w:rPr>
          <w:lang w:val="en-GB"/>
        </w:rPr>
        <w:t xml:space="preserve">will, for the period that this declaration is in operation, be subject to the same notification obligations and arrangements as ‘Group A’ notifiable conditions in the Code of Practice. </w:t>
      </w:r>
    </w:p>
    <w:p w14:paraId="29613995" w14:textId="77777777" w:rsidR="00615BAE" w:rsidRPr="007C25BB" w:rsidRDefault="00615BAE" w:rsidP="00B069F1">
      <w:pPr>
        <w:rPr>
          <w:lang w:val="en-GB"/>
        </w:rPr>
      </w:pPr>
    </w:p>
    <w:p w14:paraId="11EAD4E2" w14:textId="77777777" w:rsidR="006F4F41" w:rsidRPr="007C25BB" w:rsidRDefault="00592E75" w:rsidP="00B069F1">
      <w:pPr>
        <w:rPr>
          <w:lang w:val="en-GB"/>
        </w:rPr>
      </w:pPr>
      <w:r w:rsidRPr="007C25BB">
        <w:rPr>
          <w:lang w:val="en-GB"/>
        </w:rPr>
        <w:t xml:space="preserve">Due to the change of </w:t>
      </w:r>
      <w:r w:rsidR="00C50350" w:rsidRPr="007C25BB">
        <w:rPr>
          <w:lang w:val="en-GB"/>
        </w:rPr>
        <w:t xml:space="preserve">disease </w:t>
      </w:r>
      <w:r w:rsidRPr="007C25BB">
        <w:rPr>
          <w:lang w:val="en-GB"/>
        </w:rPr>
        <w:t>name from novel coronavirus (2019</w:t>
      </w:r>
      <w:r w:rsidRPr="007C25BB">
        <w:rPr>
          <w:lang w:val="en-GB"/>
        </w:rPr>
        <w:noBreakHyphen/>
        <w:t>nCoV) to COVID</w:t>
      </w:r>
      <w:r w:rsidRPr="007C25BB">
        <w:rPr>
          <w:lang w:val="en-GB"/>
        </w:rPr>
        <w:noBreakHyphen/>
        <w:t>19 t</w:t>
      </w:r>
      <w:r w:rsidR="006F4F41" w:rsidRPr="007C25BB">
        <w:rPr>
          <w:lang w:val="en-GB"/>
        </w:rPr>
        <w:t xml:space="preserve">his instrument </w:t>
      </w:r>
      <w:r w:rsidRPr="007C25BB">
        <w:rPr>
          <w:lang w:val="en-GB"/>
        </w:rPr>
        <w:t xml:space="preserve">has been prepared to replace </w:t>
      </w:r>
      <w:r w:rsidR="00587AC2" w:rsidRPr="007C25BB">
        <w:rPr>
          <w:lang w:val="en-GB"/>
        </w:rPr>
        <w:t>D</w:t>
      </w:r>
      <w:r w:rsidRPr="007C25BB">
        <w:rPr>
          <w:lang w:val="en-GB"/>
        </w:rPr>
        <w:t>I2020</w:t>
      </w:r>
      <w:r w:rsidRPr="007C25BB">
        <w:rPr>
          <w:lang w:val="en-GB"/>
        </w:rPr>
        <w:noBreakHyphen/>
        <w:t xml:space="preserve">14. In doing so it will revoke </w:t>
      </w:r>
      <w:r w:rsidR="00587AC2" w:rsidRPr="007C25BB">
        <w:rPr>
          <w:lang w:val="en-GB"/>
        </w:rPr>
        <w:t>D</w:t>
      </w:r>
      <w:r w:rsidRPr="007C25BB">
        <w:rPr>
          <w:lang w:val="en-GB"/>
        </w:rPr>
        <w:t>I2020</w:t>
      </w:r>
      <w:r w:rsidRPr="007C25BB">
        <w:rPr>
          <w:lang w:val="en-GB"/>
        </w:rPr>
        <w:noBreakHyphen/>
        <w:t>14</w:t>
      </w:r>
      <w:r w:rsidR="00C50350" w:rsidRPr="007C25BB">
        <w:rPr>
          <w:lang w:val="en-GB"/>
        </w:rPr>
        <w:t xml:space="preserve"> upon commencement</w:t>
      </w:r>
      <w:r w:rsidRPr="007C25BB">
        <w:rPr>
          <w:lang w:val="en-GB"/>
        </w:rPr>
        <w:t>. However, as the instrument</w:t>
      </w:r>
      <w:r w:rsidR="00C50350" w:rsidRPr="007C25BB">
        <w:rPr>
          <w:lang w:val="en-GB"/>
        </w:rPr>
        <w:t>s</w:t>
      </w:r>
      <w:r w:rsidRPr="007C25BB">
        <w:rPr>
          <w:lang w:val="en-GB"/>
        </w:rPr>
        <w:t xml:space="preserve"> are essentially identical in operation and substance this instrument is effective only until 3 August 2020, which is when </w:t>
      </w:r>
      <w:r w:rsidR="00587AC2" w:rsidRPr="007C25BB">
        <w:rPr>
          <w:lang w:val="en-GB"/>
        </w:rPr>
        <w:t>D</w:t>
      </w:r>
      <w:r w:rsidRPr="007C25BB">
        <w:rPr>
          <w:lang w:val="en-GB"/>
        </w:rPr>
        <w:t>I2020</w:t>
      </w:r>
      <w:r w:rsidRPr="007C25BB">
        <w:rPr>
          <w:lang w:val="en-GB"/>
        </w:rPr>
        <w:noBreakHyphen/>
        <w:t>14 would have expired.</w:t>
      </w:r>
    </w:p>
    <w:p w14:paraId="04241627" w14:textId="77777777" w:rsidR="006F4F41" w:rsidRPr="007C25BB" w:rsidRDefault="006F4F41" w:rsidP="00B069F1">
      <w:pPr>
        <w:rPr>
          <w:lang w:val="en-GB"/>
        </w:rPr>
      </w:pPr>
    </w:p>
    <w:p w14:paraId="2529B8E4" w14:textId="77777777" w:rsidR="00B069F1" w:rsidRPr="007C25BB" w:rsidRDefault="00B069F1">
      <w:pPr>
        <w:spacing w:after="200" w:line="276" w:lineRule="auto"/>
        <w:rPr>
          <w:lang w:val="en-GB"/>
        </w:rPr>
      </w:pPr>
      <w:r w:rsidRPr="007C25BB">
        <w:rPr>
          <w:lang w:val="en-GB"/>
        </w:rPr>
        <w:br w:type="page"/>
      </w:r>
    </w:p>
    <w:p w14:paraId="77728465" w14:textId="57745690" w:rsidR="00BD7813" w:rsidRPr="007C25BB" w:rsidRDefault="00BD7813" w:rsidP="00B069F1">
      <w:pPr>
        <w:rPr>
          <w:lang w:val="en-GB"/>
        </w:rPr>
      </w:pPr>
      <w:r w:rsidRPr="007C25BB">
        <w:rPr>
          <w:lang w:val="en-GB"/>
        </w:rPr>
        <w:lastRenderedPageBreak/>
        <w:t xml:space="preserve">The determination is a disallowable instrument for the purposes of the </w:t>
      </w:r>
      <w:r w:rsidRPr="007C25BB">
        <w:rPr>
          <w:i/>
          <w:iCs/>
          <w:lang w:val="en-GB"/>
        </w:rPr>
        <w:t>Legislation Act 2001</w:t>
      </w:r>
      <w:r w:rsidRPr="007C25BB">
        <w:rPr>
          <w:lang w:val="en-GB"/>
        </w:rPr>
        <w:t>. A decision was made not to set an expiration period or period of operation in the instrument. Instead the instrument relies upon section 101(3)(b)(ii) of the Act, which means that this instrument will remain in force for 6 months beginning on its notification date.</w:t>
      </w:r>
    </w:p>
    <w:p w14:paraId="7F4E19AA" w14:textId="77777777" w:rsidR="00BD7813" w:rsidRPr="007C25BB" w:rsidRDefault="00BD7813" w:rsidP="00B069F1">
      <w:pPr>
        <w:rPr>
          <w:lang w:val="en-GB"/>
        </w:rPr>
      </w:pPr>
    </w:p>
    <w:p w14:paraId="723B7C13" w14:textId="77777777" w:rsidR="00615BAE" w:rsidRPr="007C25BB" w:rsidRDefault="00615BAE" w:rsidP="00B069F1">
      <w:pPr>
        <w:rPr>
          <w:lang w:val="en-GB"/>
        </w:rPr>
      </w:pPr>
    </w:p>
    <w:sectPr w:rsidR="00615BAE" w:rsidRPr="007C25BB" w:rsidSect="008D4ABF">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ABCA" w14:textId="77777777" w:rsidR="0026178B" w:rsidRDefault="0026178B">
      <w:r>
        <w:separator/>
      </w:r>
    </w:p>
  </w:endnote>
  <w:endnote w:type="continuationSeparator" w:id="0">
    <w:p w14:paraId="619E7364" w14:textId="77777777" w:rsidR="0026178B" w:rsidRDefault="002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03EF" w14:textId="77777777" w:rsidR="00324057" w:rsidRDefault="0032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3DDE" w14:textId="4089D2C5" w:rsidR="001C6D9B" w:rsidRDefault="001C6D9B">
    <w:pPr>
      <w:pStyle w:val="Footer"/>
      <w:jc w:val="right"/>
      <w:rPr>
        <w:b/>
      </w:rPr>
    </w:pPr>
    <w:r>
      <w:t xml:space="preserve">Page </w:t>
    </w:r>
    <w:r>
      <w:rPr>
        <w:b/>
      </w:rPr>
      <w:fldChar w:fldCharType="begin"/>
    </w:r>
    <w:r>
      <w:rPr>
        <w:b/>
      </w:rPr>
      <w:instrText xml:space="preserve"> PAGE </w:instrText>
    </w:r>
    <w:r>
      <w:rPr>
        <w:b/>
      </w:rPr>
      <w:fldChar w:fldCharType="separate"/>
    </w:r>
    <w:r w:rsidR="00AB4A2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B4A2B">
      <w:rPr>
        <w:b/>
        <w:noProof/>
      </w:rPr>
      <w:t>1</w:t>
    </w:r>
    <w:r>
      <w:rPr>
        <w:b/>
      </w:rPr>
      <w:fldChar w:fldCharType="end"/>
    </w:r>
  </w:p>
  <w:p w14:paraId="0267A13E" w14:textId="5CA17A8C" w:rsidR="00F536AD" w:rsidRPr="00F536AD" w:rsidRDefault="00F536AD" w:rsidP="00F536AD">
    <w:pPr>
      <w:pStyle w:val="Footer"/>
      <w:jc w:val="center"/>
      <w:rPr>
        <w:rFonts w:ascii="Arial" w:hAnsi="Arial" w:cs="Arial"/>
        <w:sz w:val="14"/>
      </w:rPr>
    </w:pPr>
    <w:r w:rsidRPr="00F536A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A9E5" w14:textId="77777777" w:rsidR="00324057" w:rsidRDefault="0032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E5B4" w14:textId="77777777" w:rsidR="0026178B" w:rsidRDefault="0026178B">
      <w:r>
        <w:separator/>
      </w:r>
    </w:p>
  </w:footnote>
  <w:footnote w:type="continuationSeparator" w:id="0">
    <w:p w14:paraId="24F38D25" w14:textId="77777777" w:rsidR="0026178B" w:rsidRDefault="0026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1272" w14:textId="77777777" w:rsidR="00324057" w:rsidRDefault="0032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6E8F" w14:textId="77777777" w:rsidR="00324057" w:rsidRDefault="0032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DA76" w14:textId="77777777" w:rsidR="00324057" w:rsidRDefault="00324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6D8C"/>
    <w:multiLevelType w:val="hybridMultilevel"/>
    <w:tmpl w:val="D3D64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7F7876"/>
    <w:multiLevelType w:val="hybridMultilevel"/>
    <w:tmpl w:val="1E6C7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184D6F"/>
    <w:multiLevelType w:val="hybridMultilevel"/>
    <w:tmpl w:val="D28A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296211"/>
    <w:multiLevelType w:val="hybridMultilevel"/>
    <w:tmpl w:val="E0EE9B72"/>
    <w:lvl w:ilvl="0" w:tplc="7646F670">
      <w:start w:val="1"/>
      <w:numFmt w:val="lowerLetter"/>
      <w:lvlText w:val="(%1)"/>
      <w:lvlJc w:val="left"/>
      <w:pPr>
        <w:tabs>
          <w:tab w:val="num" w:pos="1404"/>
        </w:tabs>
        <w:ind w:left="1404" w:hanging="360"/>
      </w:pPr>
      <w:rPr>
        <w:rFonts w:cs="Times New Roman" w:hint="default"/>
      </w:rPr>
    </w:lvl>
    <w:lvl w:ilvl="1" w:tplc="04090019">
      <w:start w:val="1"/>
      <w:numFmt w:val="lowerLetter"/>
      <w:lvlText w:val="%2."/>
      <w:lvlJc w:val="left"/>
      <w:pPr>
        <w:tabs>
          <w:tab w:val="num" w:pos="2124"/>
        </w:tabs>
        <w:ind w:left="2124" w:hanging="360"/>
      </w:pPr>
      <w:rPr>
        <w:rFonts w:cs="Times New Roman"/>
      </w:rPr>
    </w:lvl>
    <w:lvl w:ilvl="2" w:tplc="0409001B">
      <w:start w:val="1"/>
      <w:numFmt w:val="lowerRoman"/>
      <w:lvlText w:val="%3."/>
      <w:lvlJc w:val="right"/>
      <w:pPr>
        <w:tabs>
          <w:tab w:val="num" w:pos="2844"/>
        </w:tabs>
        <w:ind w:left="2844" w:hanging="180"/>
      </w:pPr>
      <w:rPr>
        <w:rFonts w:cs="Times New Roman"/>
      </w:rPr>
    </w:lvl>
    <w:lvl w:ilvl="3" w:tplc="0409000F">
      <w:start w:val="1"/>
      <w:numFmt w:val="decimal"/>
      <w:lvlText w:val="%4."/>
      <w:lvlJc w:val="left"/>
      <w:pPr>
        <w:tabs>
          <w:tab w:val="num" w:pos="3564"/>
        </w:tabs>
        <w:ind w:left="3564" w:hanging="360"/>
      </w:pPr>
      <w:rPr>
        <w:rFonts w:cs="Times New Roman"/>
      </w:rPr>
    </w:lvl>
    <w:lvl w:ilvl="4" w:tplc="04090019">
      <w:start w:val="1"/>
      <w:numFmt w:val="lowerLetter"/>
      <w:lvlText w:val="%5."/>
      <w:lvlJc w:val="left"/>
      <w:pPr>
        <w:tabs>
          <w:tab w:val="num" w:pos="4284"/>
        </w:tabs>
        <w:ind w:left="4284" w:hanging="360"/>
      </w:pPr>
      <w:rPr>
        <w:rFonts w:cs="Times New Roman"/>
      </w:rPr>
    </w:lvl>
    <w:lvl w:ilvl="5" w:tplc="0409001B">
      <w:start w:val="1"/>
      <w:numFmt w:val="lowerRoman"/>
      <w:lvlText w:val="%6."/>
      <w:lvlJc w:val="right"/>
      <w:pPr>
        <w:tabs>
          <w:tab w:val="num" w:pos="5004"/>
        </w:tabs>
        <w:ind w:left="5004" w:hanging="180"/>
      </w:pPr>
      <w:rPr>
        <w:rFonts w:cs="Times New Roman"/>
      </w:rPr>
    </w:lvl>
    <w:lvl w:ilvl="6" w:tplc="0409000F">
      <w:start w:val="1"/>
      <w:numFmt w:val="decimal"/>
      <w:lvlText w:val="%7."/>
      <w:lvlJc w:val="left"/>
      <w:pPr>
        <w:tabs>
          <w:tab w:val="num" w:pos="5724"/>
        </w:tabs>
        <w:ind w:left="5724" w:hanging="360"/>
      </w:pPr>
      <w:rPr>
        <w:rFonts w:cs="Times New Roman"/>
      </w:rPr>
    </w:lvl>
    <w:lvl w:ilvl="7" w:tplc="04090019">
      <w:start w:val="1"/>
      <w:numFmt w:val="lowerLetter"/>
      <w:lvlText w:val="%8."/>
      <w:lvlJc w:val="left"/>
      <w:pPr>
        <w:tabs>
          <w:tab w:val="num" w:pos="6444"/>
        </w:tabs>
        <w:ind w:left="6444" w:hanging="360"/>
      </w:pPr>
      <w:rPr>
        <w:rFonts w:cs="Times New Roman"/>
      </w:rPr>
    </w:lvl>
    <w:lvl w:ilvl="8" w:tplc="0409001B">
      <w:start w:val="1"/>
      <w:numFmt w:val="lowerRoman"/>
      <w:lvlText w:val="%9."/>
      <w:lvlJc w:val="right"/>
      <w:pPr>
        <w:tabs>
          <w:tab w:val="num" w:pos="7164"/>
        </w:tabs>
        <w:ind w:left="7164" w:hanging="180"/>
      </w:pPr>
      <w:rPr>
        <w:rFonts w:cs="Times New Roman"/>
      </w:rPr>
    </w:lvl>
  </w:abstractNum>
  <w:abstractNum w:abstractNumId="4" w15:restartNumberingAfterBreak="0">
    <w:nsid w:val="5D6D6B2E"/>
    <w:multiLevelType w:val="hybridMultilevel"/>
    <w:tmpl w:val="32E27F92"/>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hint="default"/>
      </w:rPr>
    </w:lvl>
    <w:lvl w:ilvl="2" w:tplc="0C090005">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754950FD"/>
    <w:multiLevelType w:val="hybridMultilevel"/>
    <w:tmpl w:val="93F8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21"/>
    <w:rsid w:val="00041DE4"/>
    <w:rsid w:val="00076484"/>
    <w:rsid w:val="0008006D"/>
    <w:rsid w:val="00081A4F"/>
    <w:rsid w:val="000B0F78"/>
    <w:rsid w:val="000D4D1F"/>
    <w:rsid w:val="00147BAF"/>
    <w:rsid w:val="001729BC"/>
    <w:rsid w:val="001951F9"/>
    <w:rsid w:val="001A1670"/>
    <w:rsid w:val="001A7D3B"/>
    <w:rsid w:val="001C081E"/>
    <w:rsid w:val="001C6D9B"/>
    <w:rsid w:val="00222E84"/>
    <w:rsid w:val="002253A6"/>
    <w:rsid w:val="00240D93"/>
    <w:rsid w:val="0026178B"/>
    <w:rsid w:val="002A167F"/>
    <w:rsid w:val="002A56ED"/>
    <w:rsid w:val="003166AB"/>
    <w:rsid w:val="00324057"/>
    <w:rsid w:val="003A6082"/>
    <w:rsid w:val="003E3A8C"/>
    <w:rsid w:val="00406283"/>
    <w:rsid w:val="00430148"/>
    <w:rsid w:val="0047644B"/>
    <w:rsid w:val="0047761D"/>
    <w:rsid w:val="004F1CA6"/>
    <w:rsid w:val="00587AC2"/>
    <w:rsid w:val="00592E75"/>
    <w:rsid w:val="005B3EA4"/>
    <w:rsid w:val="00614941"/>
    <w:rsid w:val="00615BAE"/>
    <w:rsid w:val="0065583A"/>
    <w:rsid w:val="006B3265"/>
    <w:rsid w:val="006C0462"/>
    <w:rsid w:val="006F0952"/>
    <w:rsid w:val="006F0D66"/>
    <w:rsid w:val="006F4F41"/>
    <w:rsid w:val="00704CB5"/>
    <w:rsid w:val="00744D40"/>
    <w:rsid w:val="0075116B"/>
    <w:rsid w:val="0076130D"/>
    <w:rsid w:val="00770121"/>
    <w:rsid w:val="00785724"/>
    <w:rsid w:val="0079054C"/>
    <w:rsid w:val="007A3BC7"/>
    <w:rsid w:val="007C25BB"/>
    <w:rsid w:val="007C5F2D"/>
    <w:rsid w:val="007E1701"/>
    <w:rsid w:val="007F650A"/>
    <w:rsid w:val="008659D8"/>
    <w:rsid w:val="008816D4"/>
    <w:rsid w:val="008D4ABF"/>
    <w:rsid w:val="008F6175"/>
    <w:rsid w:val="0090506B"/>
    <w:rsid w:val="00981AD8"/>
    <w:rsid w:val="00992DE1"/>
    <w:rsid w:val="00994D82"/>
    <w:rsid w:val="009B4F03"/>
    <w:rsid w:val="00A12AFC"/>
    <w:rsid w:val="00A55DE3"/>
    <w:rsid w:val="00A66DA3"/>
    <w:rsid w:val="00A76FED"/>
    <w:rsid w:val="00A91B6D"/>
    <w:rsid w:val="00A9481E"/>
    <w:rsid w:val="00AB4A2B"/>
    <w:rsid w:val="00AC00EF"/>
    <w:rsid w:val="00AF5839"/>
    <w:rsid w:val="00B069F1"/>
    <w:rsid w:val="00B5328A"/>
    <w:rsid w:val="00BB31F2"/>
    <w:rsid w:val="00BD7813"/>
    <w:rsid w:val="00C377F3"/>
    <w:rsid w:val="00C50350"/>
    <w:rsid w:val="00C82EE1"/>
    <w:rsid w:val="00CE057C"/>
    <w:rsid w:val="00D11511"/>
    <w:rsid w:val="00D471E0"/>
    <w:rsid w:val="00DA7A58"/>
    <w:rsid w:val="00DC39B6"/>
    <w:rsid w:val="00DD7FAB"/>
    <w:rsid w:val="00DE7936"/>
    <w:rsid w:val="00E04DB5"/>
    <w:rsid w:val="00E24EF3"/>
    <w:rsid w:val="00E27860"/>
    <w:rsid w:val="00E67BCB"/>
    <w:rsid w:val="00E85D6C"/>
    <w:rsid w:val="00EC61A9"/>
    <w:rsid w:val="00EF092F"/>
    <w:rsid w:val="00F536AD"/>
    <w:rsid w:val="00FC4F6E"/>
    <w:rsid w:val="00FF0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6BD18"/>
  <w14:defaultImageDpi w14:val="0"/>
  <w15:docId w15:val="{5B59BA0C-114D-446F-B134-054270E5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lsdException w:name="Body Tex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4ABF"/>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8D4ABF"/>
    <w:pPr>
      <w:keepNext/>
      <w:outlineLvl w:val="0"/>
    </w:pPr>
    <w:rPr>
      <w:b/>
      <w:bCs/>
      <w:sz w:val="26"/>
      <w:szCs w:val="26"/>
    </w:rPr>
  </w:style>
  <w:style w:type="paragraph" w:styleId="Heading2">
    <w:name w:val="heading 2"/>
    <w:basedOn w:val="Normal"/>
    <w:next w:val="Normal"/>
    <w:link w:val="Heading2Char"/>
    <w:uiPriority w:val="99"/>
    <w:qFormat/>
    <w:rsid w:val="008D4ABF"/>
    <w:pPr>
      <w:keepNext/>
      <w:outlineLvl w:val="1"/>
    </w:pPr>
    <w:rPr>
      <w:rFonts w:ascii="Arial" w:hAnsi="Arial" w:cs="Arial"/>
      <w:b/>
      <w:bCs/>
    </w:rPr>
  </w:style>
  <w:style w:type="paragraph" w:styleId="Heading3">
    <w:name w:val="heading 3"/>
    <w:basedOn w:val="Normal"/>
    <w:next w:val="Normal"/>
    <w:link w:val="Heading3Char"/>
    <w:uiPriority w:val="99"/>
    <w:qFormat/>
    <w:rsid w:val="008D4ABF"/>
    <w:pPr>
      <w:keepNext/>
      <w:jc w:val="center"/>
      <w:outlineLvl w:val="2"/>
    </w:pPr>
    <w:rPr>
      <w:b/>
      <w:bCs/>
      <w:sz w:val="26"/>
      <w:szCs w:val="26"/>
    </w:rPr>
  </w:style>
  <w:style w:type="paragraph" w:styleId="Heading4">
    <w:name w:val="heading 4"/>
    <w:basedOn w:val="Normal"/>
    <w:next w:val="Normal"/>
    <w:link w:val="Heading4Char"/>
    <w:uiPriority w:val="99"/>
    <w:qFormat/>
    <w:rsid w:val="008D4AB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4ABF"/>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D4ABF"/>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D4ABF"/>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D4ABF"/>
    <w:rPr>
      <w:rFonts w:cs="Times New Roman"/>
      <w:b/>
      <w:bCs/>
      <w:sz w:val="28"/>
      <w:szCs w:val="28"/>
      <w:lang w:val="x-none" w:eastAsia="en-US"/>
    </w:rPr>
  </w:style>
  <w:style w:type="paragraph" w:styleId="BodyText">
    <w:name w:val="Body Text"/>
    <w:basedOn w:val="Normal"/>
    <w:link w:val="BodyTextChar"/>
    <w:uiPriority w:val="99"/>
    <w:rsid w:val="008D4ABF"/>
  </w:style>
  <w:style w:type="character" w:customStyle="1" w:styleId="BodyTextChar">
    <w:name w:val="Body Text Char"/>
    <w:basedOn w:val="DefaultParagraphFont"/>
    <w:link w:val="BodyText"/>
    <w:uiPriority w:val="99"/>
    <w:semiHidden/>
    <w:locked/>
    <w:rsid w:val="008D4ABF"/>
    <w:rPr>
      <w:rFonts w:ascii="Times New Roman" w:hAnsi="Times New Roman" w:cs="Times New Roman"/>
      <w:sz w:val="24"/>
      <w:szCs w:val="24"/>
      <w:lang w:val="x-none" w:eastAsia="en-US"/>
    </w:rPr>
  </w:style>
  <w:style w:type="paragraph" w:styleId="BodyText2">
    <w:name w:val="Body Text 2"/>
    <w:basedOn w:val="Normal"/>
    <w:link w:val="BodyText2Char"/>
    <w:uiPriority w:val="99"/>
    <w:rsid w:val="008D4ABF"/>
    <w:rPr>
      <w:rFonts w:ascii="Arial" w:hAnsi="Arial" w:cs="Arial"/>
      <w:sz w:val="40"/>
      <w:szCs w:val="40"/>
    </w:rPr>
  </w:style>
  <w:style w:type="character" w:customStyle="1" w:styleId="BodyText2Char">
    <w:name w:val="Body Text 2 Char"/>
    <w:basedOn w:val="DefaultParagraphFont"/>
    <w:link w:val="BodyText2"/>
    <w:uiPriority w:val="99"/>
    <w:semiHidden/>
    <w:locked/>
    <w:rsid w:val="008D4ABF"/>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rsid w:val="008D4ABF"/>
    <w:pPr>
      <w:ind w:left="720" w:hanging="294"/>
    </w:pPr>
    <w:rPr>
      <w:rFonts w:ascii="Arial" w:hAnsi="Arial" w:cs="Arial"/>
    </w:rPr>
  </w:style>
  <w:style w:type="character" w:customStyle="1" w:styleId="BodyTextIndent2Char">
    <w:name w:val="Body Text Indent 2 Char"/>
    <w:basedOn w:val="DefaultParagraphFont"/>
    <w:link w:val="BodyTextIndent2"/>
    <w:uiPriority w:val="99"/>
    <w:semiHidden/>
    <w:locked/>
    <w:rsid w:val="008D4ABF"/>
    <w:rPr>
      <w:rFonts w:ascii="Times New Roman" w:hAnsi="Times New Roman" w:cs="Times New Roman"/>
      <w:sz w:val="24"/>
      <w:szCs w:val="24"/>
      <w:lang w:val="x-none" w:eastAsia="en-US"/>
    </w:rPr>
  </w:style>
  <w:style w:type="paragraph" w:styleId="Header">
    <w:name w:val="header"/>
    <w:basedOn w:val="Normal"/>
    <w:link w:val="HeaderChar"/>
    <w:uiPriority w:val="99"/>
    <w:rsid w:val="008D4ABF"/>
    <w:pPr>
      <w:tabs>
        <w:tab w:val="center" w:pos="4153"/>
        <w:tab w:val="right" w:pos="8306"/>
      </w:tabs>
    </w:pPr>
  </w:style>
  <w:style w:type="character" w:customStyle="1" w:styleId="HeaderChar">
    <w:name w:val="Header Char"/>
    <w:basedOn w:val="DefaultParagraphFont"/>
    <w:link w:val="Header"/>
    <w:uiPriority w:val="99"/>
    <w:semiHidden/>
    <w:locked/>
    <w:rsid w:val="008D4ABF"/>
    <w:rPr>
      <w:rFonts w:ascii="Times New Roman" w:hAnsi="Times New Roman" w:cs="Times New Roman"/>
      <w:sz w:val="24"/>
      <w:szCs w:val="24"/>
      <w:lang w:val="x-none" w:eastAsia="en-US"/>
    </w:rPr>
  </w:style>
  <w:style w:type="paragraph" w:customStyle="1" w:styleId="Billname">
    <w:name w:val="Billname"/>
    <w:basedOn w:val="Normal"/>
    <w:uiPriority w:val="99"/>
    <w:rsid w:val="008D4ABF"/>
    <w:pPr>
      <w:tabs>
        <w:tab w:val="left" w:pos="2400"/>
        <w:tab w:val="left" w:pos="2880"/>
      </w:tabs>
      <w:autoSpaceDE w:val="0"/>
      <w:autoSpaceDN w:val="0"/>
      <w:spacing w:before="1220" w:after="100"/>
    </w:pPr>
    <w:rPr>
      <w:rFonts w:ascii="Arial" w:hAnsi="Arial" w:cs="Arial"/>
      <w:b/>
      <w:bCs/>
      <w:sz w:val="40"/>
      <w:szCs w:val="40"/>
    </w:rPr>
  </w:style>
  <w:style w:type="paragraph" w:customStyle="1" w:styleId="madeunder">
    <w:name w:val="made under"/>
    <w:basedOn w:val="Normal"/>
    <w:uiPriority w:val="99"/>
    <w:rsid w:val="008D4ABF"/>
    <w:pPr>
      <w:autoSpaceDE w:val="0"/>
      <w:autoSpaceDN w:val="0"/>
      <w:spacing w:before="180" w:after="60"/>
      <w:jc w:val="both"/>
    </w:pPr>
    <w:rPr>
      <w:sz w:val="20"/>
      <w:szCs w:val="20"/>
    </w:rPr>
  </w:style>
  <w:style w:type="paragraph" w:customStyle="1" w:styleId="CoverActName">
    <w:name w:val="CoverActName"/>
    <w:basedOn w:val="Normal"/>
    <w:uiPriority w:val="99"/>
    <w:rsid w:val="008D4ABF"/>
    <w:pPr>
      <w:tabs>
        <w:tab w:val="left" w:pos="2600"/>
      </w:tabs>
      <w:autoSpaceDE w:val="0"/>
      <w:autoSpaceDN w:val="0"/>
      <w:spacing w:before="200" w:after="60"/>
      <w:jc w:val="both"/>
    </w:pPr>
    <w:rPr>
      <w:rFonts w:ascii="Arial" w:hAnsi="Arial" w:cs="Arial"/>
      <w:b/>
      <w:bCs/>
      <w:sz w:val="20"/>
      <w:szCs w:val="20"/>
    </w:rPr>
  </w:style>
  <w:style w:type="paragraph" w:styleId="Footer">
    <w:name w:val="footer"/>
    <w:basedOn w:val="Normal"/>
    <w:link w:val="FooterChar"/>
    <w:uiPriority w:val="99"/>
    <w:rsid w:val="008D4ABF"/>
    <w:pPr>
      <w:tabs>
        <w:tab w:val="center" w:pos="4153"/>
        <w:tab w:val="right" w:pos="8306"/>
      </w:tabs>
    </w:pPr>
  </w:style>
  <w:style w:type="character" w:customStyle="1" w:styleId="FooterChar">
    <w:name w:val="Footer Char"/>
    <w:basedOn w:val="DefaultParagraphFont"/>
    <w:link w:val="Footer"/>
    <w:uiPriority w:val="99"/>
    <w:locked/>
    <w:rsid w:val="008D4ABF"/>
    <w:rPr>
      <w:rFonts w:ascii="Times New Roman" w:hAnsi="Times New Roman" w:cs="Times New Roman"/>
      <w:sz w:val="24"/>
      <w:szCs w:val="24"/>
      <w:lang w:val="x-none" w:eastAsia="en-US"/>
    </w:rPr>
  </w:style>
  <w:style w:type="paragraph" w:styleId="NormalWeb">
    <w:name w:val="Normal (Web)"/>
    <w:basedOn w:val="Normal"/>
    <w:uiPriority w:val="99"/>
    <w:unhideWhenUsed/>
    <w:rsid w:val="00AF5839"/>
    <w:pPr>
      <w:spacing w:before="100" w:beforeAutospacing="1" w:after="100" w:afterAutospacing="1"/>
    </w:pPr>
    <w:rPr>
      <w:lang w:eastAsia="en-AU"/>
    </w:rPr>
  </w:style>
  <w:style w:type="character" w:styleId="Hyperlink">
    <w:name w:val="Hyperlink"/>
    <w:basedOn w:val="DefaultParagraphFont"/>
    <w:uiPriority w:val="99"/>
    <w:unhideWhenUsed/>
    <w:rsid w:val="00AF5839"/>
    <w:rPr>
      <w:rFonts w:cs="Times New Roman"/>
      <w:color w:val="0000FF"/>
      <w:u w:val="single"/>
    </w:rPr>
  </w:style>
  <w:style w:type="character" w:styleId="CommentReference">
    <w:name w:val="annotation reference"/>
    <w:basedOn w:val="DefaultParagraphFont"/>
    <w:uiPriority w:val="99"/>
    <w:rsid w:val="00E04DB5"/>
    <w:rPr>
      <w:rFonts w:cs="Times New Roman"/>
      <w:sz w:val="16"/>
      <w:szCs w:val="16"/>
    </w:rPr>
  </w:style>
  <w:style w:type="paragraph" w:styleId="CommentText">
    <w:name w:val="annotation text"/>
    <w:basedOn w:val="Normal"/>
    <w:link w:val="CommentTextChar"/>
    <w:uiPriority w:val="99"/>
    <w:rsid w:val="00E04DB5"/>
    <w:rPr>
      <w:sz w:val="20"/>
      <w:szCs w:val="20"/>
    </w:rPr>
  </w:style>
  <w:style w:type="character" w:customStyle="1" w:styleId="CommentTextChar">
    <w:name w:val="Comment Text Char"/>
    <w:basedOn w:val="DefaultParagraphFont"/>
    <w:link w:val="CommentText"/>
    <w:uiPriority w:val="99"/>
    <w:locked/>
    <w:rsid w:val="00E04DB5"/>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rsid w:val="00E04DB5"/>
    <w:rPr>
      <w:b/>
      <w:bCs/>
    </w:rPr>
  </w:style>
  <w:style w:type="character" w:customStyle="1" w:styleId="CommentSubjectChar">
    <w:name w:val="Comment Subject Char"/>
    <w:basedOn w:val="CommentTextChar"/>
    <w:link w:val="CommentSubject"/>
    <w:uiPriority w:val="99"/>
    <w:locked/>
    <w:rsid w:val="00E04DB5"/>
    <w:rPr>
      <w:rFonts w:ascii="Times New Roman" w:hAnsi="Times New Roman" w:cs="Times New Roman"/>
      <w:b/>
      <w:bCs/>
      <w:sz w:val="20"/>
      <w:szCs w:val="20"/>
      <w:lang w:val="x-none" w:eastAsia="en-US"/>
    </w:rPr>
  </w:style>
  <w:style w:type="paragraph" w:styleId="BalloonText">
    <w:name w:val="Balloon Text"/>
    <w:basedOn w:val="Normal"/>
    <w:link w:val="BalloonTextChar"/>
    <w:uiPriority w:val="99"/>
    <w:semiHidden/>
    <w:unhideWhenUsed/>
    <w:rsid w:val="00E04DB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04DB5"/>
    <w:rPr>
      <w:rFonts w:ascii="Segoe UI" w:hAnsi="Segoe UI" w:cs="Segoe UI"/>
      <w:sz w:val="18"/>
      <w:szCs w:val="18"/>
      <w:lang w:val="x-none" w:eastAsia="en-US"/>
    </w:rPr>
  </w:style>
  <w:style w:type="paragraph" w:styleId="ListParagraph">
    <w:name w:val="List Paragraph"/>
    <w:aliases w:val="Recommendation,List Paragraph1,List Paragraph11,FooterText,numbered,Paragraphe de liste1,Bulletr List Paragraph,列出段落,列出段落1,Listeafsnit1,Parágrafo da Lista1,List Paragraph2,List Paragraph21,リスト段落1,Párrafo de lista1,Bullet list,L,Dot pt,列出"/>
    <w:basedOn w:val="Normal"/>
    <w:link w:val="ListParagraphChar"/>
    <w:uiPriority w:val="34"/>
    <w:qFormat/>
    <w:rsid w:val="00E04DB5"/>
    <w:pPr>
      <w:ind w:left="720"/>
      <w:contextualSpacing/>
    </w:pPr>
    <w:rPr>
      <w:rFonts w:ascii="Arial Narrow" w:hAnsi="Arial Narrow"/>
      <w:szCs w:val="20"/>
    </w:rPr>
  </w:style>
  <w:style w:type="character" w:customStyle="1" w:styleId="ListParagraphChar">
    <w:name w:val="List Paragraph Char"/>
    <w:aliases w:val="Recommendation Char,List Paragraph1 Char,List Paragraph11 Char,FooterText Char,numbered Char,Paragraphe de liste1 Char,Bulletr List Paragraph Char,列出段落 Char,列出段落1 Char,Listeafsnit1 Char,Parágrafo da Lista1 Char,List Paragraph2 Char"/>
    <w:basedOn w:val="DefaultParagraphFont"/>
    <w:link w:val="ListParagraph"/>
    <w:uiPriority w:val="34"/>
    <w:locked/>
    <w:rsid w:val="00E04DB5"/>
    <w:rPr>
      <w:rFonts w:ascii="Arial Narrow" w:hAnsi="Arial Narrow"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22322">
      <w:marLeft w:val="0"/>
      <w:marRight w:val="0"/>
      <w:marTop w:val="0"/>
      <w:marBottom w:val="0"/>
      <w:divBdr>
        <w:top w:val="none" w:sz="0" w:space="0" w:color="auto"/>
        <w:left w:val="none" w:sz="0" w:space="0" w:color="auto"/>
        <w:bottom w:val="none" w:sz="0" w:space="0" w:color="auto"/>
        <w:right w:val="none" w:sz="0" w:space="0" w:color="auto"/>
      </w:divBdr>
    </w:div>
    <w:div w:id="1810122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4314</Characters>
  <Application>Microsoft Office Word</Application>
  <DocSecurity>0</DocSecurity>
  <Lines>101</Lines>
  <Paragraphs>23</Paragraphs>
  <ScaleCrop>false</ScaleCrop>
  <HeadingPairs>
    <vt:vector size="2" baseType="variant">
      <vt:variant>
        <vt:lpstr>Title</vt:lpstr>
      </vt:variant>
      <vt:variant>
        <vt:i4>1</vt:i4>
      </vt:variant>
    </vt:vector>
  </HeadingPairs>
  <TitlesOfParts>
    <vt:vector size="1" baseType="lpstr">
      <vt:lpstr>Public Health Act 1997 ES</vt:lpstr>
    </vt:vector>
  </TitlesOfParts>
  <Company>ACT Government</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 ES</dc:title>
  <dc:subject/>
  <dc:creator>ACT Government</dc:creator>
  <cp:keywords>2</cp:keywords>
  <dc:description/>
  <cp:lastModifiedBy>PCODCS</cp:lastModifiedBy>
  <cp:revision>4</cp:revision>
  <cp:lastPrinted>2020-01-23T02:57:00Z</cp:lastPrinted>
  <dcterms:created xsi:type="dcterms:W3CDTF">2020-02-13T05:44:00Z</dcterms:created>
  <dcterms:modified xsi:type="dcterms:W3CDTF">2020-02-13T05:44:00Z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1149973</vt:lpwstr>
  </property>
  <property fmtid="{D5CDD505-2E9C-101B-9397-08002B2CF9AE}" pid="4" name="JMSREQUIREDCHECKIN">
    <vt:lpwstr/>
  </property>
</Properties>
</file>