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2E3A3C40" w:rsidR="00741C4A" w:rsidRPr="00741C4A" w:rsidRDefault="00CC1A4A" w:rsidP="00741C4A">
      <w:pPr>
        <w:spacing w:after="0"/>
        <w:jc w:val="center"/>
        <w:rPr>
          <w:rFonts w:ascii="Arial" w:hAnsi="Arial" w:cs="Arial"/>
          <w:b/>
          <w:bCs/>
          <w:sz w:val="24"/>
          <w:szCs w:val="24"/>
        </w:rPr>
      </w:pPr>
      <w:r>
        <w:rPr>
          <w:rFonts w:ascii="Arial" w:hAnsi="Arial" w:cs="Arial"/>
          <w:b/>
          <w:bCs/>
          <w:sz w:val="24"/>
          <w:szCs w:val="24"/>
        </w:rPr>
        <w:t xml:space="preserve"> </w:t>
      </w:r>
      <w:r w:rsidR="003E79A8">
        <w:rPr>
          <w:rFonts w:ascii="Arial" w:hAnsi="Arial" w:cs="Arial"/>
          <w:b/>
          <w:bCs/>
          <w:sz w:val="24"/>
          <w:szCs w:val="24"/>
        </w:rPr>
        <w:t>GAMING MACHINE AMENDMENT</w:t>
      </w:r>
      <w:r w:rsidR="00741C4A" w:rsidRPr="00741C4A">
        <w:rPr>
          <w:rFonts w:ascii="Arial" w:hAnsi="Arial" w:cs="Arial"/>
          <w:b/>
          <w:bCs/>
          <w:sz w:val="24"/>
          <w:szCs w:val="24"/>
        </w:rPr>
        <w:t xml:space="preserve"> BILL 20</w:t>
      </w:r>
      <w:r w:rsidR="00130A37">
        <w:rPr>
          <w:rFonts w:ascii="Arial" w:hAnsi="Arial" w:cs="Arial"/>
          <w:b/>
          <w:bCs/>
          <w:sz w:val="24"/>
          <w:szCs w:val="24"/>
        </w:rPr>
        <w:t>20</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21E7A29D" w14:textId="76CE18FE" w:rsidR="00BB387E"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p>
    <w:p w14:paraId="65560784" w14:textId="77777777" w:rsidR="004D2767" w:rsidRDefault="004D2767" w:rsidP="004D2767">
      <w:pPr>
        <w:spacing w:after="0"/>
        <w:jc w:val="center"/>
        <w:rPr>
          <w:rFonts w:ascii="Arial" w:hAnsi="Arial" w:cs="Arial"/>
          <w:b/>
          <w:bCs/>
          <w:sz w:val="24"/>
          <w:szCs w:val="24"/>
        </w:rPr>
      </w:pPr>
      <w:r>
        <w:rPr>
          <w:rFonts w:ascii="Arial" w:hAnsi="Arial" w:cs="Arial"/>
          <w:b/>
          <w:bCs/>
          <w:sz w:val="24"/>
          <w:szCs w:val="24"/>
        </w:rPr>
        <w:t>and</w:t>
      </w:r>
    </w:p>
    <w:p w14:paraId="306B3C01" w14:textId="77777777" w:rsidR="004D2767" w:rsidRDefault="004D2767" w:rsidP="004D2767">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1CE9BF2B" w14:textId="77777777" w:rsidR="004D2767" w:rsidRPr="00BB387E" w:rsidRDefault="004D2767" w:rsidP="004D2767">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5BA1B2D2" w14:textId="77777777" w:rsidR="004D2767" w:rsidRPr="00BB387E" w:rsidRDefault="004D2767" w:rsidP="00BB387E">
      <w:pPr>
        <w:spacing w:after="0"/>
        <w:jc w:val="center"/>
        <w:rPr>
          <w:rFonts w:ascii="Arial" w:hAnsi="Arial" w:cs="Arial"/>
          <w:b/>
          <w:sz w:val="24"/>
          <w:szCs w:val="24"/>
        </w:rPr>
      </w:pP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4D2767">
      <w:pPr>
        <w:keepNext/>
        <w:widowControl w:val="0"/>
        <w:spacing w:after="0"/>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7A4190A6" w:rsidR="00BB387E" w:rsidRDefault="003E79A8" w:rsidP="00BB387E">
      <w:pPr>
        <w:spacing w:after="0"/>
        <w:ind w:right="686"/>
        <w:jc w:val="right"/>
        <w:rPr>
          <w:rFonts w:ascii="Arial" w:hAnsi="Arial" w:cs="Arial"/>
          <w:b/>
          <w:bCs/>
          <w:sz w:val="24"/>
          <w:szCs w:val="24"/>
        </w:rPr>
      </w:pPr>
      <w:r>
        <w:rPr>
          <w:rFonts w:ascii="Arial" w:hAnsi="Arial" w:cs="Arial"/>
          <w:b/>
          <w:bCs/>
          <w:sz w:val="24"/>
          <w:szCs w:val="24"/>
        </w:rPr>
        <w:t xml:space="preserve">Gordon Ramsay </w:t>
      </w:r>
      <w:r w:rsidR="00E954A1">
        <w:rPr>
          <w:rFonts w:ascii="Arial" w:hAnsi="Arial" w:cs="Arial"/>
          <w:b/>
          <w:bCs/>
          <w:sz w:val="24"/>
          <w:szCs w:val="24"/>
        </w:rPr>
        <w:t>MLA</w:t>
      </w:r>
    </w:p>
    <w:p w14:paraId="40571A7A" w14:textId="34C98856" w:rsidR="003E79A8" w:rsidRPr="00BB387E" w:rsidRDefault="003E79A8" w:rsidP="00BB387E">
      <w:pPr>
        <w:spacing w:after="0"/>
        <w:ind w:right="686"/>
        <w:jc w:val="right"/>
        <w:rPr>
          <w:rFonts w:ascii="Arial" w:hAnsi="Arial" w:cs="Arial"/>
          <w:b/>
          <w:bCs/>
          <w:sz w:val="24"/>
          <w:szCs w:val="24"/>
        </w:rPr>
      </w:pPr>
      <w:r>
        <w:rPr>
          <w:rFonts w:ascii="Arial" w:hAnsi="Arial" w:cs="Arial"/>
          <w:b/>
          <w:bCs/>
          <w:sz w:val="24"/>
          <w:szCs w:val="24"/>
        </w:rPr>
        <w:t>Attorney-General</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footerReference w:type="default" r:id="rId9"/>
          <w:footerReference w:type="first" r:id="rId10"/>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493D2C50" w:rsidR="00ED3B77" w:rsidRPr="00BB387E" w:rsidRDefault="003E79A8" w:rsidP="008C225D">
      <w:pPr>
        <w:pStyle w:val="Heading1"/>
        <w:jc w:val="center"/>
      </w:pPr>
      <w:r w:rsidRPr="003E79A8">
        <w:lastRenderedPageBreak/>
        <w:t xml:space="preserve">GAMING MACHINE AMENDMENT </w:t>
      </w:r>
      <w:r w:rsidR="00ED3B77" w:rsidRPr="00BB387E">
        <w:t xml:space="preserve">BILL </w:t>
      </w:r>
      <w:r w:rsidR="00130A37" w:rsidRPr="00BB387E">
        <w:t>20</w:t>
      </w:r>
      <w:r w:rsidR="00130A37">
        <w:t>20</w:t>
      </w:r>
    </w:p>
    <w:p w14:paraId="7BD217BF" w14:textId="3EB39482" w:rsidR="00790FE4" w:rsidRDefault="00790FE4" w:rsidP="007F3D56">
      <w:pPr>
        <w:spacing w:after="0"/>
        <w:contextualSpacing/>
        <w:rPr>
          <w:rFonts w:ascii="Arial" w:hAnsi="Arial" w:cs="Arial"/>
          <w:b/>
          <w:sz w:val="24"/>
          <w:szCs w:val="24"/>
          <w:highlight w:val="yellow"/>
        </w:rPr>
      </w:pPr>
    </w:p>
    <w:p w14:paraId="0D3FA4FD" w14:textId="5DA935CE" w:rsidR="001F05AF" w:rsidRPr="001F05AF" w:rsidRDefault="003E79A8" w:rsidP="001F05AF">
      <w:pPr>
        <w:rPr>
          <w:rFonts w:ascii="Arial" w:hAnsi="Arial" w:cs="Arial"/>
          <w:b/>
          <w:sz w:val="24"/>
          <w:szCs w:val="24"/>
        </w:rPr>
      </w:pPr>
      <w:r>
        <w:rPr>
          <w:rFonts w:ascii="Arial" w:hAnsi="Arial" w:cs="Arial"/>
          <w:b/>
          <w:sz w:val="24"/>
          <w:szCs w:val="24"/>
        </w:rPr>
        <w:t>T</w:t>
      </w:r>
      <w:r w:rsidR="003E64B3" w:rsidRPr="006555E3">
        <w:rPr>
          <w:rFonts w:ascii="Arial" w:hAnsi="Arial" w:cs="Arial"/>
          <w:b/>
          <w:sz w:val="24"/>
          <w:szCs w:val="24"/>
        </w:rPr>
        <w:t xml:space="preserve">he bill has </w:t>
      </w:r>
      <w:r>
        <w:rPr>
          <w:rFonts w:ascii="Arial" w:hAnsi="Arial" w:cs="Arial"/>
          <w:b/>
          <w:sz w:val="24"/>
          <w:szCs w:val="24"/>
        </w:rPr>
        <w:t xml:space="preserve">not </w:t>
      </w:r>
      <w:r w:rsidR="003E64B3" w:rsidRPr="006555E3">
        <w:rPr>
          <w:rFonts w:ascii="Arial" w:hAnsi="Arial" w:cs="Arial"/>
          <w:b/>
          <w:sz w:val="24"/>
          <w:szCs w:val="24"/>
        </w:rPr>
        <w:t xml:space="preserve">been </w:t>
      </w:r>
      <w:r w:rsidR="0052127F" w:rsidRPr="006555E3">
        <w:rPr>
          <w:rFonts w:ascii="Arial" w:hAnsi="Arial" w:cs="Arial"/>
          <w:b/>
          <w:sz w:val="24"/>
          <w:szCs w:val="24"/>
        </w:rPr>
        <w:t xml:space="preserve">determined </w:t>
      </w:r>
      <w:r w:rsidR="003E64B3" w:rsidRPr="006555E3">
        <w:rPr>
          <w:rFonts w:ascii="Arial" w:hAnsi="Arial" w:cs="Arial"/>
          <w:b/>
          <w:sz w:val="24"/>
          <w:szCs w:val="24"/>
        </w:rPr>
        <w:t>to be</w:t>
      </w:r>
      <w:r w:rsidR="00750D67" w:rsidRPr="006555E3">
        <w:rPr>
          <w:rFonts w:ascii="Arial" w:hAnsi="Arial" w:cs="Arial"/>
          <w:b/>
          <w:sz w:val="24"/>
          <w:szCs w:val="24"/>
        </w:rPr>
        <w:t xml:space="preserve"> </w:t>
      </w:r>
      <w:r w:rsidR="0052127F" w:rsidRPr="006555E3">
        <w:rPr>
          <w:rFonts w:ascii="Arial" w:hAnsi="Arial" w:cs="Arial"/>
          <w:b/>
          <w:sz w:val="24"/>
          <w:szCs w:val="24"/>
        </w:rPr>
        <w:t>a significant bill</w:t>
      </w:r>
      <w:r>
        <w:rPr>
          <w:rFonts w:ascii="Arial" w:hAnsi="Arial" w:cs="Arial"/>
          <w:b/>
          <w:sz w:val="24"/>
          <w:szCs w:val="24"/>
        </w:rPr>
        <w:t>.</w:t>
      </w:r>
    </w:p>
    <w:p w14:paraId="2141B1A3" w14:textId="208584B7" w:rsidR="00944D20" w:rsidRPr="00944D20" w:rsidRDefault="00944D20" w:rsidP="00944D20">
      <w:pPr>
        <w:rPr>
          <w:rFonts w:ascii="Arial" w:hAnsi="Arial" w:cs="Arial"/>
          <w:iCs/>
          <w:color w:val="000000" w:themeColor="text1"/>
          <w:sz w:val="24"/>
          <w:szCs w:val="24"/>
        </w:rPr>
      </w:pPr>
      <w:r w:rsidRPr="00944D20">
        <w:rPr>
          <w:rFonts w:ascii="Arial" w:hAnsi="Arial" w:cs="Arial"/>
          <w:iCs/>
          <w:color w:val="000000" w:themeColor="text1"/>
          <w:sz w:val="24"/>
          <w:szCs w:val="24"/>
        </w:rPr>
        <w:t xml:space="preserve">This explanatory statement relates to the </w:t>
      </w:r>
      <w:r w:rsidRPr="00944D20">
        <w:rPr>
          <w:rFonts w:ascii="Arial" w:hAnsi="Arial" w:cs="Arial"/>
          <w:i/>
          <w:color w:val="000000" w:themeColor="text1"/>
          <w:sz w:val="24"/>
          <w:szCs w:val="24"/>
        </w:rPr>
        <w:t>Gaming Machine Amendment Bill 2020</w:t>
      </w:r>
      <w:r w:rsidRPr="00944D20">
        <w:rPr>
          <w:rFonts w:ascii="Arial" w:hAnsi="Arial" w:cs="Arial"/>
          <w:iCs/>
          <w:color w:val="000000" w:themeColor="text1"/>
          <w:sz w:val="24"/>
          <w:szCs w:val="24"/>
        </w:rPr>
        <w:t xml:space="preserve"> </w:t>
      </w:r>
      <w:r w:rsidR="00F229AB">
        <w:rPr>
          <w:rFonts w:ascii="Arial" w:hAnsi="Arial" w:cs="Arial"/>
          <w:iCs/>
          <w:color w:val="000000" w:themeColor="text1"/>
          <w:sz w:val="24"/>
          <w:szCs w:val="24"/>
        </w:rPr>
        <w:t xml:space="preserve">(the Bill) </w:t>
      </w:r>
      <w:r w:rsidRPr="00944D20">
        <w:rPr>
          <w:rFonts w:ascii="Arial" w:hAnsi="Arial" w:cs="Arial"/>
          <w:iCs/>
          <w:color w:val="000000" w:themeColor="text1"/>
          <w:sz w:val="24"/>
          <w:szCs w:val="24"/>
        </w:rPr>
        <w:t>as presented to the Legislative Assembly. It has been prepared in order to assist the reader of the Bill and to help inform debate on it. It does not form part of the Bill and has not been endorsed by the Assembly.</w:t>
      </w:r>
    </w:p>
    <w:p w14:paraId="05E87613" w14:textId="12C9496A" w:rsidR="001F05AF" w:rsidRPr="00944D20" w:rsidRDefault="00944D20" w:rsidP="00944D20">
      <w:pPr>
        <w:rPr>
          <w:rFonts w:ascii="Arial" w:hAnsi="Arial" w:cs="Arial"/>
          <w:iCs/>
          <w:color w:val="000000" w:themeColor="text1"/>
          <w:sz w:val="24"/>
          <w:szCs w:val="24"/>
        </w:rPr>
      </w:pPr>
      <w:r w:rsidRPr="00944D20">
        <w:rPr>
          <w:rFonts w:ascii="Arial" w:hAnsi="Arial" w:cs="Arial"/>
          <w:iCs/>
          <w:color w:val="000000" w:themeColor="text1"/>
          <w:sz w:val="24"/>
          <w:szCs w:val="24"/>
        </w:rPr>
        <w:t>The statement is to be read in conjunction with the Bill. It is not, and is not meant to be, a comprehensive description of the Bill. What is said about a provision is not to be taken as an authoritative guide to the meaning of a provision, this being a task for the courts.</w:t>
      </w:r>
    </w:p>
    <w:p w14:paraId="29C29316" w14:textId="6883FE5B" w:rsidR="007B6A78" w:rsidRDefault="005B4FC0" w:rsidP="008C225D">
      <w:pPr>
        <w:pStyle w:val="Heading2"/>
      </w:pPr>
      <w:r>
        <w:t>BACKGROUND</w:t>
      </w:r>
    </w:p>
    <w:p w14:paraId="690E2699" w14:textId="0C449D2B" w:rsidR="00363EEA" w:rsidRDefault="00944D20" w:rsidP="00944D20">
      <w:pPr>
        <w:rPr>
          <w:rFonts w:ascii="Arial" w:hAnsi="Arial" w:cs="Arial"/>
          <w:iCs/>
          <w:color w:val="000000" w:themeColor="text1"/>
          <w:sz w:val="24"/>
          <w:szCs w:val="24"/>
        </w:rPr>
      </w:pPr>
      <w:r w:rsidRPr="00F229AB">
        <w:rPr>
          <w:rFonts w:ascii="Arial" w:hAnsi="Arial" w:cs="Arial"/>
          <w:iCs/>
          <w:color w:val="000000" w:themeColor="text1"/>
          <w:sz w:val="24"/>
          <w:szCs w:val="24"/>
        </w:rPr>
        <w:t xml:space="preserve">The </w:t>
      </w:r>
      <w:r w:rsidRPr="00F229AB">
        <w:rPr>
          <w:rFonts w:ascii="Arial" w:hAnsi="Arial" w:cs="Arial"/>
          <w:i/>
          <w:color w:val="000000" w:themeColor="text1"/>
          <w:sz w:val="24"/>
          <w:szCs w:val="24"/>
        </w:rPr>
        <w:t>Gaming Machine Act 2004</w:t>
      </w:r>
      <w:r w:rsidRPr="00F229AB">
        <w:rPr>
          <w:rFonts w:ascii="Arial" w:hAnsi="Arial" w:cs="Arial"/>
          <w:iCs/>
          <w:color w:val="000000" w:themeColor="text1"/>
          <w:sz w:val="24"/>
          <w:szCs w:val="24"/>
        </w:rPr>
        <w:t xml:space="preserve"> (the Gaming Machine Act) regulates the licensing of gaming machine operators, venues and </w:t>
      </w:r>
      <w:r w:rsidR="00363EEA">
        <w:rPr>
          <w:rFonts w:ascii="Arial" w:hAnsi="Arial" w:cs="Arial"/>
          <w:iCs/>
          <w:color w:val="000000" w:themeColor="text1"/>
          <w:sz w:val="24"/>
          <w:szCs w:val="24"/>
        </w:rPr>
        <w:t xml:space="preserve">all </w:t>
      </w:r>
      <w:r w:rsidRPr="00F229AB">
        <w:rPr>
          <w:rFonts w:ascii="Arial" w:hAnsi="Arial" w:cs="Arial"/>
          <w:iCs/>
          <w:color w:val="000000" w:themeColor="text1"/>
          <w:sz w:val="24"/>
          <w:szCs w:val="24"/>
        </w:rPr>
        <w:t>gaming machines</w:t>
      </w:r>
      <w:r w:rsidR="00363EEA">
        <w:rPr>
          <w:rFonts w:ascii="Arial" w:hAnsi="Arial" w:cs="Arial"/>
          <w:iCs/>
          <w:color w:val="000000" w:themeColor="text1"/>
          <w:sz w:val="24"/>
          <w:szCs w:val="24"/>
        </w:rPr>
        <w:t>.</w:t>
      </w:r>
      <w:r w:rsidRPr="00F229AB">
        <w:rPr>
          <w:rFonts w:ascii="Arial" w:hAnsi="Arial" w:cs="Arial"/>
          <w:iCs/>
          <w:color w:val="000000" w:themeColor="text1"/>
          <w:sz w:val="24"/>
          <w:szCs w:val="24"/>
        </w:rPr>
        <w:t xml:space="preserve"> </w:t>
      </w:r>
      <w:r w:rsidR="00363EEA" w:rsidRPr="00363EEA">
        <w:rPr>
          <w:rFonts w:ascii="Arial" w:hAnsi="Arial" w:cs="Arial"/>
          <w:iCs/>
          <w:color w:val="000000" w:themeColor="text1"/>
          <w:sz w:val="24"/>
          <w:szCs w:val="24"/>
        </w:rPr>
        <w:t xml:space="preserve">For the purposes of the Gaming </w:t>
      </w:r>
      <w:r w:rsidR="00363EEA">
        <w:rPr>
          <w:rFonts w:ascii="Arial" w:hAnsi="Arial" w:cs="Arial"/>
          <w:iCs/>
          <w:color w:val="000000" w:themeColor="text1"/>
          <w:sz w:val="24"/>
          <w:szCs w:val="24"/>
        </w:rPr>
        <w:t xml:space="preserve">Machine </w:t>
      </w:r>
      <w:r w:rsidR="00363EEA" w:rsidRPr="00363EEA">
        <w:rPr>
          <w:rFonts w:ascii="Arial" w:hAnsi="Arial" w:cs="Arial"/>
          <w:iCs/>
          <w:color w:val="000000" w:themeColor="text1"/>
          <w:sz w:val="24"/>
          <w:szCs w:val="24"/>
        </w:rPr>
        <w:t xml:space="preserve">Act, the </w:t>
      </w:r>
      <w:r w:rsidR="00363EEA" w:rsidRPr="00363EEA">
        <w:rPr>
          <w:rFonts w:ascii="Arial" w:hAnsi="Arial" w:cs="Arial"/>
          <w:i/>
          <w:color w:val="000000" w:themeColor="text1"/>
          <w:sz w:val="24"/>
          <w:szCs w:val="24"/>
        </w:rPr>
        <w:t>Gambling and Racing Control Act 1999</w:t>
      </w:r>
      <w:r w:rsidR="00363EEA" w:rsidRPr="00363EEA">
        <w:rPr>
          <w:rFonts w:ascii="Arial" w:hAnsi="Arial" w:cs="Arial"/>
          <w:iCs/>
          <w:color w:val="000000" w:themeColor="text1"/>
          <w:sz w:val="24"/>
          <w:szCs w:val="24"/>
        </w:rPr>
        <w:t xml:space="preserve"> (the Control Act) provides the overarching legislative framework for gambling in the Territory.</w:t>
      </w:r>
    </w:p>
    <w:p w14:paraId="3F4E32BE" w14:textId="417B224B" w:rsidR="00363EEA" w:rsidRDefault="00363EEA" w:rsidP="00944D20">
      <w:pPr>
        <w:rPr>
          <w:rFonts w:ascii="Arial" w:hAnsi="Arial" w:cs="Arial"/>
          <w:iCs/>
          <w:color w:val="000000" w:themeColor="text1"/>
          <w:sz w:val="24"/>
          <w:szCs w:val="24"/>
        </w:rPr>
      </w:pPr>
      <w:r w:rsidRPr="00363EEA">
        <w:rPr>
          <w:rFonts w:ascii="Arial" w:hAnsi="Arial" w:cs="Arial"/>
          <w:iCs/>
          <w:color w:val="000000" w:themeColor="text1"/>
          <w:sz w:val="24"/>
          <w:szCs w:val="24"/>
        </w:rPr>
        <w:t xml:space="preserve">The Control Act establishes the ACT Gambling and Racing Commission (the Commission) with a governing board. The Commission has responsibility for </w:t>
      </w:r>
      <w:r w:rsidR="0007551B">
        <w:rPr>
          <w:rFonts w:ascii="Arial" w:hAnsi="Arial" w:cs="Arial"/>
          <w:iCs/>
          <w:color w:val="000000" w:themeColor="text1"/>
          <w:sz w:val="24"/>
          <w:szCs w:val="24"/>
        </w:rPr>
        <w:t xml:space="preserve">the </w:t>
      </w:r>
      <w:r w:rsidRPr="00363EEA">
        <w:rPr>
          <w:rFonts w:ascii="Arial" w:hAnsi="Arial" w:cs="Arial"/>
          <w:iCs/>
          <w:color w:val="000000" w:themeColor="text1"/>
          <w:sz w:val="24"/>
          <w:szCs w:val="24"/>
        </w:rPr>
        <w:t xml:space="preserve">administration of gaming laws and </w:t>
      </w:r>
      <w:r w:rsidR="0007551B">
        <w:rPr>
          <w:rFonts w:ascii="Arial" w:hAnsi="Arial" w:cs="Arial"/>
          <w:iCs/>
          <w:color w:val="000000" w:themeColor="text1"/>
          <w:sz w:val="24"/>
          <w:szCs w:val="24"/>
        </w:rPr>
        <w:t xml:space="preserve">the </w:t>
      </w:r>
      <w:r w:rsidRPr="00363EEA">
        <w:rPr>
          <w:rFonts w:ascii="Arial" w:hAnsi="Arial" w:cs="Arial"/>
          <w:iCs/>
          <w:color w:val="000000" w:themeColor="text1"/>
          <w:sz w:val="24"/>
          <w:szCs w:val="24"/>
        </w:rPr>
        <w:t>control, supervision and regulation of gaming in the Territory</w:t>
      </w:r>
      <w:r>
        <w:rPr>
          <w:rFonts w:ascii="Arial" w:hAnsi="Arial" w:cs="Arial"/>
          <w:iCs/>
          <w:color w:val="000000" w:themeColor="text1"/>
          <w:sz w:val="24"/>
          <w:szCs w:val="24"/>
        </w:rPr>
        <w:t xml:space="preserve">. </w:t>
      </w:r>
    </w:p>
    <w:p w14:paraId="51A75638" w14:textId="34CA52F1" w:rsidR="00944D20" w:rsidRPr="00F229AB" w:rsidRDefault="00363EEA" w:rsidP="00944D20">
      <w:pPr>
        <w:rPr>
          <w:rFonts w:ascii="Arial" w:hAnsi="Arial" w:cs="Arial"/>
          <w:iCs/>
          <w:color w:val="000000" w:themeColor="text1"/>
          <w:sz w:val="24"/>
          <w:szCs w:val="24"/>
        </w:rPr>
      </w:pPr>
      <w:r w:rsidRPr="00363EEA">
        <w:rPr>
          <w:rFonts w:ascii="Arial" w:hAnsi="Arial" w:cs="Arial"/>
          <w:iCs/>
          <w:color w:val="000000" w:themeColor="text1"/>
          <w:sz w:val="24"/>
          <w:szCs w:val="24"/>
        </w:rPr>
        <w:t xml:space="preserve">Through section 48 of the Control Act, the </w:t>
      </w:r>
      <w:r w:rsidRPr="00363EEA">
        <w:rPr>
          <w:rFonts w:ascii="Arial" w:hAnsi="Arial" w:cs="Arial"/>
          <w:i/>
          <w:color w:val="000000" w:themeColor="text1"/>
          <w:sz w:val="24"/>
          <w:szCs w:val="24"/>
        </w:rPr>
        <w:t>Taxation Administration Act 1999</w:t>
      </w:r>
      <w:r w:rsidRPr="00363EEA">
        <w:rPr>
          <w:rFonts w:ascii="Arial" w:hAnsi="Arial" w:cs="Arial"/>
          <w:iCs/>
          <w:color w:val="000000" w:themeColor="text1"/>
          <w:sz w:val="24"/>
          <w:szCs w:val="24"/>
        </w:rPr>
        <w:t xml:space="preserve"> (other than part 9) applies, with modifications, to gaming laws, including the Gaming </w:t>
      </w:r>
      <w:r>
        <w:rPr>
          <w:rFonts w:ascii="Arial" w:hAnsi="Arial" w:cs="Arial"/>
          <w:iCs/>
          <w:color w:val="000000" w:themeColor="text1"/>
          <w:sz w:val="24"/>
          <w:szCs w:val="24"/>
        </w:rPr>
        <w:t xml:space="preserve">Machine </w:t>
      </w:r>
      <w:r w:rsidRPr="00363EEA">
        <w:rPr>
          <w:rFonts w:ascii="Arial" w:hAnsi="Arial" w:cs="Arial"/>
          <w:iCs/>
          <w:color w:val="000000" w:themeColor="text1"/>
          <w:sz w:val="24"/>
          <w:szCs w:val="24"/>
        </w:rPr>
        <w:t>Act.</w:t>
      </w:r>
      <w:r>
        <w:rPr>
          <w:rFonts w:ascii="Arial" w:hAnsi="Arial" w:cs="Arial"/>
          <w:iCs/>
          <w:color w:val="000000" w:themeColor="text1"/>
          <w:sz w:val="24"/>
          <w:szCs w:val="24"/>
        </w:rPr>
        <w:t xml:space="preserve"> The Gaming Machine Act</w:t>
      </w:r>
      <w:r w:rsidRPr="00F229AB">
        <w:rPr>
          <w:rFonts w:ascii="Arial" w:hAnsi="Arial" w:cs="Arial"/>
          <w:iCs/>
          <w:color w:val="000000" w:themeColor="text1"/>
          <w:sz w:val="24"/>
          <w:szCs w:val="24"/>
        </w:rPr>
        <w:t xml:space="preserve"> establishes th</w:t>
      </w:r>
      <w:r>
        <w:rPr>
          <w:rFonts w:ascii="Arial" w:hAnsi="Arial" w:cs="Arial"/>
          <w:iCs/>
          <w:color w:val="000000" w:themeColor="text1"/>
          <w:sz w:val="24"/>
          <w:szCs w:val="24"/>
        </w:rPr>
        <w:t xml:space="preserve">at </w:t>
      </w:r>
      <w:r w:rsidRPr="00F229AB">
        <w:rPr>
          <w:rFonts w:ascii="Arial" w:hAnsi="Arial" w:cs="Arial"/>
          <w:iCs/>
          <w:color w:val="000000" w:themeColor="text1"/>
          <w:sz w:val="24"/>
          <w:szCs w:val="24"/>
        </w:rPr>
        <w:t xml:space="preserve">gaming machine tax (GMT) </w:t>
      </w:r>
      <w:r>
        <w:rPr>
          <w:rFonts w:ascii="Arial" w:hAnsi="Arial" w:cs="Arial"/>
          <w:iCs/>
          <w:color w:val="000000" w:themeColor="text1"/>
          <w:sz w:val="24"/>
          <w:szCs w:val="24"/>
        </w:rPr>
        <w:t>is payable on gross revenue in relation to the operation of gaming machines</w:t>
      </w:r>
      <w:r w:rsidR="0007551B">
        <w:rPr>
          <w:rFonts w:ascii="Arial" w:hAnsi="Arial" w:cs="Arial"/>
          <w:iCs/>
          <w:color w:val="000000" w:themeColor="text1"/>
          <w:sz w:val="24"/>
          <w:szCs w:val="24"/>
        </w:rPr>
        <w:t xml:space="preserve"> (gross gaming machine revenue, GGMR)</w:t>
      </w:r>
      <w:r w:rsidRPr="00F229AB">
        <w:rPr>
          <w:rFonts w:ascii="Arial" w:hAnsi="Arial" w:cs="Arial"/>
          <w:iCs/>
          <w:color w:val="000000" w:themeColor="text1"/>
          <w:sz w:val="24"/>
          <w:szCs w:val="24"/>
        </w:rPr>
        <w:t>.</w:t>
      </w:r>
    </w:p>
    <w:p w14:paraId="1BA38600" w14:textId="75014AA4" w:rsidR="00944D20" w:rsidRDefault="00944D20" w:rsidP="00944D20">
      <w:pPr>
        <w:rPr>
          <w:rFonts w:ascii="Arial" w:hAnsi="Arial" w:cs="Arial"/>
          <w:iCs/>
          <w:color w:val="000000" w:themeColor="text1"/>
          <w:sz w:val="24"/>
          <w:szCs w:val="24"/>
        </w:rPr>
      </w:pPr>
      <w:r w:rsidRPr="00F229AB">
        <w:rPr>
          <w:rFonts w:ascii="Arial" w:hAnsi="Arial" w:cs="Arial"/>
          <w:iCs/>
          <w:color w:val="000000" w:themeColor="text1"/>
          <w:sz w:val="24"/>
          <w:szCs w:val="24"/>
        </w:rPr>
        <w:t xml:space="preserve">Through amendments introduced by the </w:t>
      </w:r>
      <w:r w:rsidRPr="00F229AB">
        <w:rPr>
          <w:rFonts w:ascii="Arial" w:hAnsi="Arial" w:cs="Arial"/>
          <w:i/>
          <w:color w:val="000000" w:themeColor="text1"/>
          <w:sz w:val="24"/>
          <w:szCs w:val="24"/>
        </w:rPr>
        <w:t>Gaming Machine Amendment Act 2017</w:t>
      </w:r>
      <w:r w:rsidRPr="00F229AB">
        <w:rPr>
          <w:rFonts w:ascii="Arial" w:hAnsi="Arial" w:cs="Arial"/>
          <w:iCs/>
          <w:color w:val="000000" w:themeColor="text1"/>
          <w:sz w:val="24"/>
          <w:szCs w:val="24"/>
        </w:rPr>
        <w:t>, the Gaming Machine Act establishes a gaming machine tax rebate (GMT rebate) for licensees that are small or medium clubs and small or medium club groups of 50% of the licensee’s GMT liability.</w:t>
      </w:r>
      <w:r w:rsidR="00D9386D" w:rsidRPr="00D9386D">
        <w:t xml:space="preserve"> </w:t>
      </w:r>
      <w:r w:rsidR="00D9386D" w:rsidRPr="00D9386D">
        <w:rPr>
          <w:rFonts w:ascii="Arial" w:hAnsi="Arial" w:cs="Arial"/>
          <w:iCs/>
          <w:color w:val="000000" w:themeColor="text1"/>
          <w:sz w:val="24"/>
          <w:szCs w:val="24"/>
        </w:rPr>
        <w:t>The rebate commenced from 1 July 2017.</w:t>
      </w:r>
    </w:p>
    <w:p w14:paraId="3D08206D" w14:textId="242B6A90" w:rsidR="00D9386D" w:rsidRDefault="00D9386D" w:rsidP="00944D20">
      <w:pPr>
        <w:rPr>
          <w:rFonts w:ascii="Arial" w:hAnsi="Arial" w:cs="Arial"/>
          <w:i/>
          <w:color w:val="000000" w:themeColor="text1"/>
          <w:sz w:val="24"/>
          <w:szCs w:val="24"/>
        </w:rPr>
      </w:pPr>
      <w:r>
        <w:rPr>
          <w:rFonts w:ascii="Arial" w:hAnsi="Arial" w:cs="Arial"/>
          <w:iCs/>
          <w:color w:val="000000" w:themeColor="text1"/>
          <w:sz w:val="24"/>
          <w:szCs w:val="24"/>
        </w:rPr>
        <w:t xml:space="preserve">As part of the changes in the </w:t>
      </w:r>
      <w:r w:rsidRPr="00F229AB">
        <w:rPr>
          <w:rFonts w:ascii="Arial" w:hAnsi="Arial" w:cs="Arial"/>
          <w:i/>
          <w:color w:val="000000" w:themeColor="text1"/>
          <w:sz w:val="24"/>
          <w:szCs w:val="24"/>
        </w:rPr>
        <w:t>Gaming Machine Amendment Act 2017</w:t>
      </w:r>
      <w:r>
        <w:rPr>
          <w:rFonts w:ascii="Arial" w:hAnsi="Arial" w:cs="Arial"/>
          <w:i/>
          <w:color w:val="000000" w:themeColor="text1"/>
          <w:sz w:val="24"/>
          <w:szCs w:val="24"/>
        </w:rPr>
        <w:t xml:space="preserve">, </w:t>
      </w:r>
      <w:r w:rsidRPr="004B3E72">
        <w:rPr>
          <w:rFonts w:ascii="Arial" w:hAnsi="Arial" w:cs="Arial"/>
          <w:iCs/>
          <w:color w:val="000000" w:themeColor="text1"/>
          <w:sz w:val="24"/>
          <w:szCs w:val="24"/>
        </w:rPr>
        <w:t>section 179A of the</w:t>
      </w:r>
      <w:r w:rsidRPr="00D9386D">
        <w:rPr>
          <w:rFonts w:ascii="Arial" w:hAnsi="Arial" w:cs="Arial"/>
          <w:i/>
          <w:color w:val="000000" w:themeColor="text1"/>
          <w:sz w:val="24"/>
          <w:szCs w:val="24"/>
        </w:rPr>
        <w:t xml:space="preserve"> </w:t>
      </w:r>
      <w:r w:rsidRPr="004B3E72">
        <w:rPr>
          <w:rFonts w:ascii="Arial" w:hAnsi="Arial" w:cs="Arial"/>
          <w:iCs/>
          <w:color w:val="000000" w:themeColor="text1"/>
          <w:sz w:val="24"/>
          <w:szCs w:val="24"/>
        </w:rPr>
        <w:t>Gaming Machine Act</w:t>
      </w:r>
      <w:r w:rsidRPr="00D9386D">
        <w:rPr>
          <w:rFonts w:ascii="Arial" w:hAnsi="Arial" w:cs="Arial"/>
          <w:i/>
          <w:color w:val="000000" w:themeColor="text1"/>
          <w:sz w:val="24"/>
          <w:szCs w:val="24"/>
        </w:rPr>
        <w:t xml:space="preserve"> </w:t>
      </w:r>
      <w:r w:rsidR="00376722">
        <w:rPr>
          <w:rFonts w:ascii="Arial" w:hAnsi="Arial" w:cs="Arial"/>
          <w:iCs/>
          <w:color w:val="000000" w:themeColor="text1"/>
          <w:sz w:val="24"/>
          <w:szCs w:val="24"/>
        </w:rPr>
        <w:t>required</w:t>
      </w:r>
      <w:r w:rsidRPr="004B3E72">
        <w:rPr>
          <w:rFonts w:ascii="Arial" w:hAnsi="Arial" w:cs="Arial"/>
          <w:iCs/>
          <w:color w:val="000000" w:themeColor="text1"/>
          <w:sz w:val="24"/>
          <w:szCs w:val="24"/>
        </w:rPr>
        <w:t xml:space="preserve"> the Minister </w:t>
      </w:r>
      <w:r w:rsidR="00376722">
        <w:rPr>
          <w:rFonts w:ascii="Arial" w:hAnsi="Arial" w:cs="Arial"/>
          <w:iCs/>
          <w:color w:val="000000" w:themeColor="text1"/>
          <w:sz w:val="24"/>
          <w:szCs w:val="24"/>
        </w:rPr>
        <w:t>to</w:t>
      </w:r>
      <w:r w:rsidRPr="004B3E72">
        <w:rPr>
          <w:rFonts w:ascii="Arial" w:hAnsi="Arial" w:cs="Arial"/>
          <w:iCs/>
          <w:color w:val="000000" w:themeColor="text1"/>
          <w:sz w:val="24"/>
          <w:szCs w:val="24"/>
        </w:rPr>
        <w:t>:</w:t>
      </w:r>
      <w:r w:rsidRPr="00D9386D">
        <w:rPr>
          <w:rFonts w:ascii="Arial" w:hAnsi="Arial" w:cs="Arial"/>
          <w:i/>
          <w:color w:val="000000" w:themeColor="text1"/>
          <w:sz w:val="24"/>
          <w:szCs w:val="24"/>
        </w:rPr>
        <w:t xml:space="preserve"> </w:t>
      </w:r>
    </w:p>
    <w:p w14:paraId="15D114EC" w14:textId="77777777" w:rsidR="00D9386D" w:rsidRPr="004B3E72" w:rsidRDefault="00D9386D" w:rsidP="004B3E72">
      <w:pPr>
        <w:pStyle w:val="ListParagraph"/>
        <w:numPr>
          <w:ilvl w:val="0"/>
          <w:numId w:val="4"/>
        </w:numPr>
        <w:rPr>
          <w:rFonts w:ascii="Arial" w:hAnsi="Arial" w:cs="Arial"/>
          <w:iCs/>
          <w:color w:val="000000" w:themeColor="text1"/>
          <w:sz w:val="24"/>
          <w:szCs w:val="24"/>
        </w:rPr>
      </w:pPr>
      <w:r w:rsidRPr="004B3E72">
        <w:rPr>
          <w:rFonts w:ascii="Arial" w:hAnsi="Arial" w:cs="Arial"/>
          <w:iCs/>
          <w:color w:val="000000" w:themeColor="text1"/>
          <w:sz w:val="24"/>
          <w:szCs w:val="24"/>
        </w:rPr>
        <w:t>review the operation of section 162A (Gaming machine tax rebate–financial year):</w:t>
      </w:r>
    </w:p>
    <w:p w14:paraId="6EEC5A49" w14:textId="7E65F5E2" w:rsidR="00D9386D" w:rsidRDefault="00D9386D" w:rsidP="00D9386D">
      <w:pPr>
        <w:pStyle w:val="ListParagraph"/>
        <w:numPr>
          <w:ilvl w:val="0"/>
          <w:numId w:val="4"/>
        </w:numPr>
        <w:rPr>
          <w:rFonts w:ascii="Arial" w:hAnsi="Arial" w:cs="Arial"/>
          <w:iCs/>
          <w:color w:val="000000" w:themeColor="text1"/>
          <w:sz w:val="24"/>
          <w:szCs w:val="24"/>
        </w:rPr>
      </w:pPr>
      <w:r w:rsidRPr="004B3E72">
        <w:rPr>
          <w:rFonts w:ascii="Arial" w:hAnsi="Arial" w:cs="Arial"/>
          <w:iCs/>
          <w:color w:val="000000" w:themeColor="text1"/>
          <w:sz w:val="24"/>
          <w:szCs w:val="24"/>
        </w:rPr>
        <w:t>present a report of the review to the Legislative Assembly before 30 November 2019.</w:t>
      </w:r>
    </w:p>
    <w:p w14:paraId="2896D3FE" w14:textId="77777777" w:rsidR="00D9386D" w:rsidRDefault="00D9386D" w:rsidP="004B3E72">
      <w:pPr>
        <w:pStyle w:val="ListParagraph"/>
        <w:rPr>
          <w:rFonts w:ascii="Arial" w:hAnsi="Arial" w:cs="Arial"/>
          <w:iCs/>
          <w:color w:val="000000" w:themeColor="text1"/>
          <w:sz w:val="24"/>
          <w:szCs w:val="24"/>
        </w:rPr>
      </w:pPr>
    </w:p>
    <w:p w14:paraId="593CE0B8" w14:textId="77777777" w:rsidR="008D2509" w:rsidRDefault="008D2509">
      <w:pPr>
        <w:spacing w:after="0" w:line="240" w:lineRule="auto"/>
        <w:rPr>
          <w:rFonts w:ascii="Arial" w:hAnsi="Arial" w:cs="Arial"/>
          <w:iCs/>
          <w:color w:val="000000" w:themeColor="text1"/>
          <w:sz w:val="24"/>
          <w:szCs w:val="24"/>
        </w:rPr>
      </w:pPr>
      <w:r>
        <w:rPr>
          <w:rFonts w:ascii="Arial" w:hAnsi="Arial" w:cs="Arial"/>
          <w:iCs/>
          <w:color w:val="000000" w:themeColor="text1"/>
          <w:sz w:val="24"/>
          <w:szCs w:val="24"/>
        </w:rPr>
        <w:br w:type="page"/>
      </w:r>
    </w:p>
    <w:p w14:paraId="29BAADB4" w14:textId="38CF7006" w:rsidR="0088295F" w:rsidRDefault="0088295F" w:rsidP="0088295F">
      <w:pPr>
        <w:rPr>
          <w:rFonts w:ascii="Arial" w:hAnsi="Arial" w:cs="Arial"/>
          <w:iCs/>
          <w:color w:val="000000" w:themeColor="text1"/>
          <w:sz w:val="24"/>
          <w:szCs w:val="24"/>
        </w:rPr>
      </w:pPr>
      <w:r>
        <w:rPr>
          <w:rFonts w:ascii="Arial" w:hAnsi="Arial" w:cs="Arial"/>
          <w:iCs/>
          <w:color w:val="000000" w:themeColor="text1"/>
          <w:sz w:val="24"/>
          <w:szCs w:val="24"/>
        </w:rPr>
        <w:lastRenderedPageBreak/>
        <w:t xml:space="preserve">Amendments to the </w:t>
      </w:r>
      <w:r w:rsidRPr="0088295F">
        <w:rPr>
          <w:rFonts w:ascii="Arial" w:hAnsi="Arial" w:cs="Arial"/>
          <w:i/>
          <w:color w:val="000000" w:themeColor="text1"/>
          <w:sz w:val="24"/>
          <w:szCs w:val="24"/>
        </w:rPr>
        <w:t>Gaming Machine Act 2004</w:t>
      </w:r>
      <w:r>
        <w:rPr>
          <w:rFonts w:ascii="Arial" w:hAnsi="Arial" w:cs="Arial"/>
          <w:iCs/>
          <w:color w:val="000000" w:themeColor="text1"/>
          <w:sz w:val="24"/>
          <w:szCs w:val="24"/>
        </w:rPr>
        <w:t xml:space="preserve"> in 2017 introduced the </w:t>
      </w:r>
      <w:r w:rsidR="007448DB">
        <w:rPr>
          <w:rFonts w:ascii="Arial" w:hAnsi="Arial" w:cs="Arial"/>
          <w:iCs/>
          <w:color w:val="000000" w:themeColor="text1"/>
          <w:sz w:val="24"/>
          <w:szCs w:val="24"/>
        </w:rPr>
        <w:t>GMT</w:t>
      </w:r>
      <w:r>
        <w:rPr>
          <w:rFonts w:ascii="Arial" w:hAnsi="Arial" w:cs="Arial"/>
          <w:iCs/>
          <w:color w:val="000000" w:themeColor="text1"/>
          <w:sz w:val="24"/>
          <w:szCs w:val="24"/>
        </w:rPr>
        <w:t xml:space="preserve"> rebate and required the Attorney-General to review the operation of the </w:t>
      </w:r>
      <w:r w:rsidR="007448DB">
        <w:rPr>
          <w:rFonts w:ascii="Arial" w:hAnsi="Arial" w:cs="Arial"/>
          <w:iCs/>
          <w:color w:val="000000" w:themeColor="text1"/>
          <w:sz w:val="24"/>
          <w:szCs w:val="24"/>
        </w:rPr>
        <w:t>GMT rebate</w:t>
      </w:r>
      <w:r>
        <w:rPr>
          <w:rFonts w:ascii="Arial" w:hAnsi="Arial" w:cs="Arial"/>
          <w:iCs/>
          <w:color w:val="000000" w:themeColor="text1"/>
          <w:sz w:val="24"/>
          <w:szCs w:val="24"/>
        </w:rPr>
        <w:t xml:space="preserve"> after two years and report its findings to the Legislative Assembly. </w:t>
      </w:r>
    </w:p>
    <w:p w14:paraId="687756AD" w14:textId="514BC363" w:rsidR="0088295F" w:rsidRDefault="0088295F" w:rsidP="0088295F">
      <w:pPr>
        <w:rPr>
          <w:rFonts w:ascii="Arial" w:hAnsi="Arial" w:cs="Arial"/>
          <w:iCs/>
          <w:color w:val="000000" w:themeColor="text1"/>
          <w:sz w:val="24"/>
          <w:szCs w:val="24"/>
        </w:rPr>
      </w:pPr>
      <w:r w:rsidRPr="0088295F">
        <w:rPr>
          <w:rFonts w:ascii="Arial" w:hAnsi="Arial" w:cs="Arial"/>
          <w:iCs/>
          <w:color w:val="000000" w:themeColor="text1"/>
          <w:sz w:val="24"/>
          <w:szCs w:val="24"/>
        </w:rPr>
        <w:t xml:space="preserve">The intention of the </w:t>
      </w:r>
      <w:r w:rsidR="007448DB">
        <w:rPr>
          <w:rFonts w:ascii="Arial" w:hAnsi="Arial" w:cs="Arial"/>
          <w:iCs/>
          <w:color w:val="000000" w:themeColor="text1"/>
          <w:sz w:val="24"/>
          <w:szCs w:val="24"/>
        </w:rPr>
        <w:t xml:space="preserve">GMT rebate </w:t>
      </w:r>
      <w:r w:rsidRPr="0088295F">
        <w:rPr>
          <w:rFonts w:ascii="Arial" w:hAnsi="Arial" w:cs="Arial"/>
          <w:iCs/>
          <w:color w:val="000000" w:themeColor="text1"/>
          <w:sz w:val="24"/>
          <w:szCs w:val="24"/>
        </w:rPr>
        <w:t xml:space="preserve">was to allow smaller </w:t>
      </w:r>
      <w:r w:rsidR="00586D3C">
        <w:rPr>
          <w:rFonts w:ascii="Arial" w:hAnsi="Arial" w:cs="Arial"/>
          <w:iCs/>
          <w:color w:val="000000" w:themeColor="text1"/>
          <w:sz w:val="24"/>
          <w:szCs w:val="24"/>
        </w:rPr>
        <w:t xml:space="preserve">local community </w:t>
      </w:r>
      <w:r w:rsidRPr="0088295F">
        <w:rPr>
          <w:rFonts w:ascii="Arial" w:hAnsi="Arial" w:cs="Arial"/>
          <w:iCs/>
          <w:color w:val="000000" w:themeColor="text1"/>
          <w:sz w:val="24"/>
          <w:szCs w:val="24"/>
        </w:rPr>
        <w:t>clubs to retain more of their gaming revenue to reinvest in their organisation and to diversify their income streams away from gaming.</w:t>
      </w:r>
    </w:p>
    <w:p w14:paraId="52AFA719" w14:textId="73991E3A" w:rsidR="00EB0A44" w:rsidRDefault="00EB0A44" w:rsidP="00EB0A44">
      <w:pPr>
        <w:rPr>
          <w:rFonts w:ascii="Arial" w:hAnsi="Arial" w:cs="Arial"/>
          <w:iCs/>
          <w:color w:val="000000" w:themeColor="text1"/>
          <w:sz w:val="24"/>
          <w:szCs w:val="24"/>
        </w:rPr>
      </w:pPr>
      <w:r>
        <w:rPr>
          <w:rFonts w:ascii="Arial" w:hAnsi="Arial" w:cs="Arial"/>
          <w:iCs/>
          <w:color w:val="000000" w:themeColor="text1"/>
          <w:sz w:val="24"/>
          <w:szCs w:val="24"/>
        </w:rPr>
        <w:t xml:space="preserve">In April 2018, the Government appointed Mr Neville Stevens AO to undertake the </w:t>
      </w:r>
      <w:r w:rsidRPr="007448DB">
        <w:rPr>
          <w:rFonts w:ascii="Arial" w:hAnsi="Arial" w:cs="Arial"/>
          <w:i/>
          <w:color w:val="000000" w:themeColor="text1"/>
          <w:sz w:val="24"/>
          <w:szCs w:val="24"/>
        </w:rPr>
        <w:t>Club Industry Diversification Support Analysis</w:t>
      </w:r>
      <w:r>
        <w:rPr>
          <w:rFonts w:ascii="Arial" w:hAnsi="Arial" w:cs="Arial"/>
          <w:iCs/>
          <w:color w:val="000000" w:themeColor="text1"/>
          <w:sz w:val="24"/>
          <w:szCs w:val="24"/>
        </w:rPr>
        <w:t xml:space="preserve"> (the Analysis) to help achieve the Government’s commitment to reduce the number of gaming machine authorisations in the Territory and support clubs to transition away from a dependence on income from gaming machines. </w:t>
      </w:r>
      <w:r w:rsidR="00F56FD4">
        <w:rPr>
          <w:rFonts w:ascii="Arial" w:hAnsi="Arial" w:cs="Arial"/>
          <w:iCs/>
          <w:color w:val="000000" w:themeColor="text1"/>
          <w:sz w:val="24"/>
          <w:szCs w:val="24"/>
        </w:rPr>
        <w:t>Among</w:t>
      </w:r>
      <w:r>
        <w:rPr>
          <w:rFonts w:ascii="Arial" w:hAnsi="Arial" w:cs="Arial"/>
          <w:iCs/>
          <w:color w:val="000000" w:themeColor="text1"/>
          <w:sz w:val="24"/>
          <w:szCs w:val="24"/>
        </w:rPr>
        <w:t xml:space="preserve"> the </w:t>
      </w:r>
      <w:r w:rsidRPr="00AC70C3">
        <w:rPr>
          <w:rFonts w:ascii="Arial" w:hAnsi="Arial" w:cs="Arial"/>
          <w:iCs/>
          <w:color w:val="000000" w:themeColor="text1"/>
          <w:sz w:val="24"/>
          <w:szCs w:val="24"/>
        </w:rPr>
        <w:t>findings and recommendations</w:t>
      </w:r>
      <w:r>
        <w:rPr>
          <w:rFonts w:ascii="Arial" w:hAnsi="Arial" w:cs="Arial"/>
          <w:iCs/>
          <w:color w:val="000000" w:themeColor="text1"/>
          <w:sz w:val="24"/>
          <w:szCs w:val="24"/>
        </w:rPr>
        <w:t xml:space="preserve"> of the Analysis, released in June 2018, Mr Stevens recommended the Government introduce a phased approach to calculating the GMT rebate, which would reduce the rebate received by clubs by 50 cents in every dollar of GGMR over $4 million.</w:t>
      </w:r>
    </w:p>
    <w:p w14:paraId="37AA58D4" w14:textId="77777777" w:rsidR="00EB0A44" w:rsidRDefault="00EB0A44" w:rsidP="00EB0A44">
      <w:pPr>
        <w:rPr>
          <w:rFonts w:ascii="Arial" w:hAnsi="Arial" w:cs="Arial"/>
          <w:iCs/>
          <w:color w:val="000000" w:themeColor="text1"/>
          <w:sz w:val="24"/>
          <w:szCs w:val="24"/>
        </w:rPr>
      </w:pPr>
      <w:r>
        <w:rPr>
          <w:rFonts w:ascii="Arial" w:hAnsi="Arial" w:cs="Arial"/>
          <w:iCs/>
          <w:color w:val="000000" w:themeColor="text1"/>
          <w:sz w:val="24"/>
          <w:szCs w:val="24"/>
        </w:rPr>
        <w:t>The Government agreed in principle, and amended the definitions of ‘small or medium club’ and ‘small or medium club group’ to provide that clubs or club groups with GGMR of not more than $4 million for the financial year or whose GGMR in 2017-18 was not more than $4 million, would be eligible for the GMT rebate.</w:t>
      </w:r>
    </w:p>
    <w:p w14:paraId="4C844ABA" w14:textId="46EE3844" w:rsidR="00402FF7" w:rsidRPr="00402FF7" w:rsidRDefault="00317A06" w:rsidP="009C2B1F">
      <w:pPr>
        <w:rPr>
          <w:rFonts w:ascii="Arial" w:hAnsi="Arial" w:cs="Arial"/>
          <w:iCs/>
          <w:color w:val="000000" w:themeColor="text1"/>
          <w:sz w:val="24"/>
          <w:szCs w:val="24"/>
        </w:rPr>
      </w:pPr>
      <w:r>
        <w:rPr>
          <w:rFonts w:ascii="Arial" w:hAnsi="Arial" w:cs="Arial"/>
          <w:iCs/>
          <w:color w:val="000000" w:themeColor="text1"/>
          <w:sz w:val="24"/>
          <w:szCs w:val="24"/>
        </w:rPr>
        <w:t>On 28</w:t>
      </w:r>
      <w:r w:rsidR="009C2B1F" w:rsidRPr="00402FF7">
        <w:rPr>
          <w:rFonts w:ascii="Arial" w:hAnsi="Arial" w:cs="Arial"/>
          <w:iCs/>
          <w:color w:val="000000" w:themeColor="text1"/>
          <w:sz w:val="24"/>
          <w:szCs w:val="24"/>
        </w:rPr>
        <w:t xml:space="preserve"> November 201</w:t>
      </w:r>
      <w:r w:rsidR="00A34879">
        <w:rPr>
          <w:rFonts w:ascii="Arial" w:hAnsi="Arial" w:cs="Arial"/>
          <w:iCs/>
          <w:color w:val="000000" w:themeColor="text1"/>
          <w:sz w:val="24"/>
          <w:szCs w:val="24"/>
        </w:rPr>
        <w:t>9</w:t>
      </w:r>
      <w:r w:rsidR="009C2B1F" w:rsidRPr="00402FF7">
        <w:rPr>
          <w:rFonts w:ascii="Arial" w:hAnsi="Arial" w:cs="Arial"/>
          <w:iCs/>
          <w:color w:val="000000" w:themeColor="text1"/>
          <w:sz w:val="24"/>
          <w:szCs w:val="24"/>
        </w:rPr>
        <w:t xml:space="preserve">, the Government </w:t>
      </w:r>
      <w:r w:rsidR="00402FF7" w:rsidRPr="00402FF7">
        <w:rPr>
          <w:rFonts w:ascii="Arial" w:hAnsi="Arial" w:cs="Arial"/>
          <w:iCs/>
          <w:color w:val="000000" w:themeColor="text1"/>
          <w:sz w:val="24"/>
          <w:szCs w:val="24"/>
        </w:rPr>
        <w:t>presented</w:t>
      </w:r>
      <w:r w:rsidR="009C2B1F" w:rsidRPr="00402FF7">
        <w:rPr>
          <w:rFonts w:ascii="Arial" w:hAnsi="Arial" w:cs="Arial"/>
          <w:iCs/>
          <w:color w:val="000000" w:themeColor="text1"/>
          <w:sz w:val="24"/>
          <w:szCs w:val="24"/>
        </w:rPr>
        <w:t xml:space="preserve"> </w:t>
      </w:r>
      <w:r w:rsidR="00402FF7" w:rsidRPr="00317A06">
        <w:rPr>
          <w:rFonts w:ascii="Arial" w:hAnsi="Arial" w:cs="Arial"/>
          <w:iCs/>
          <w:color w:val="000000" w:themeColor="text1"/>
          <w:sz w:val="24"/>
          <w:szCs w:val="24"/>
        </w:rPr>
        <w:t xml:space="preserve">the </w:t>
      </w:r>
      <w:r w:rsidR="00402FF7" w:rsidRPr="00317A06">
        <w:rPr>
          <w:rFonts w:ascii="Arial" w:hAnsi="Arial" w:cs="Arial"/>
          <w:i/>
          <w:color w:val="000000" w:themeColor="text1"/>
          <w:sz w:val="24"/>
          <w:szCs w:val="24"/>
        </w:rPr>
        <w:t>Gaming Machine Tax Rebate Statutory Review - Report</w:t>
      </w:r>
      <w:r w:rsidR="00402FF7" w:rsidRPr="00317A06">
        <w:rPr>
          <w:rFonts w:ascii="Arial" w:hAnsi="Arial" w:cs="Arial"/>
          <w:iCs/>
          <w:color w:val="000000" w:themeColor="text1"/>
          <w:sz w:val="24"/>
          <w:szCs w:val="24"/>
        </w:rPr>
        <w:t xml:space="preserve"> (the Review Report) in the Legislative Assembly.</w:t>
      </w:r>
    </w:p>
    <w:p w14:paraId="2AA0B5D2" w14:textId="28987B2E" w:rsidR="00402FF7" w:rsidRPr="00317A06" w:rsidRDefault="00402FF7" w:rsidP="00317A06">
      <w:pPr>
        <w:widowControl w:val="0"/>
        <w:spacing w:after="120"/>
        <w:ind w:right="-45"/>
        <w:rPr>
          <w:rStyle w:val="Calibri12"/>
          <w:rFonts w:ascii="Arial" w:hAnsi="Arial" w:cs="Arial"/>
          <w:szCs w:val="24"/>
        </w:rPr>
      </w:pPr>
      <w:r w:rsidRPr="00317A06">
        <w:rPr>
          <w:rFonts w:ascii="Arial" w:hAnsi="Arial" w:cs="Arial"/>
          <w:sz w:val="24"/>
          <w:szCs w:val="24"/>
        </w:rPr>
        <w:t xml:space="preserve">The Review Report included </w:t>
      </w:r>
      <w:r w:rsidR="00317A06">
        <w:rPr>
          <w:rFonts w:ascii="Arial" w:hAnsi="Arial" w:cs="Arial"/>
          <w:sz w:val="24"/>
          <w:szCs w:val="24"/>
        </w:rPr>
        <w:t>a</w:t>
      </w:r>
      <w:r>
        <w:rPr>
          <w:rFonts w:ascii="Arial" w:hAnsi="Arial" w:cs="Arial"/>
          <w:sz w:val="24"/>
          <w:szCs w:val="24"/>
        </w:rPr>
        <w:t xml:space="preserve"> commitment</w:t>
      </w:r>
      <w:r w:rsidRPr="00317A06">
        <w:rPr>
          <w:rFonts w:ascii="Arial" w:hAnsi="Arial" w:cs="Arial"/>
          <w:sz w:val="24"/>
          <w:szCs w:val="24"/>
        </w:rPr>
        <w:t xml:space="preserve"> to retain the </w:t>
      </w:r>
      <w:r w:rsidRPr="00317A06">
        <w:rPr>
          <w:rStyle w:val="Calibri12"/>
          <w:rFonts w:ascii="Arial" w:hAnsi="Arial" w:cs="Arial"/>
          <w:szCs w:val="24"/>
        </w:rPr>
        <w:t>50 per cent gaming machine tax rebate for small and medium clubs and club groups and to introduce legislation</w:t>
      </w:r>
      <w:r w:rsidR="00EB0A44">
        <w:rPr>
          <w:rStyle w:val="Calibri12"/>
          <w:rFonts w:ascii="Arial" w:hAnsi="Arial" w:cs="Arial"/>
          <w:szCs w:val="24"/>
        </w:rPr>
        <w:t>, which, in line with the recommendations of the Analysis</w:t>
      </w:r>
      <w:r w:rsidRPr="00317A06">
        <w:rPr>
          <w:rStyle w:val="Calibri12"/>
          <w:rFonts w:ascii="Arial" w:hAnsi="Arial" w:cs="Arial"/>
          <w:szCs w:val="24"/>
        </w:rPr>
        <w:t>:</w:t>
      </w:r>
    </w:p>
    <w:p w14:paraId="726BF860" w14:textId="54299B78" w:rsidR="00402FF7" w:rsidRPr="00317A06" w:rsidRDefault="00402FF7" w:rsidP="00402FF7">
      <w:pPr>
        <w:pStyle w:val="CSNumbering"/>
        <w:numPr>
          <w:ilvl w:val="0"/>
          <w:numId w:val="8"/>
        </w:numPr>
        <w:rPr>
          <w:rFonts w:ascii="Arial" w:hAnsi="Arial" w:cs="Arial"/>
        </w:rPr>
      </w:pPr>
      <w:r w:rsidRPr="00317A06">
        <w:rPr>
          <w:rFonts w:ascii="Arial" w:hAnsi="Arial" w:cs="Arial"/>
        </w:rPr>
        <w:t>remov</w:t>
      </w:r>
      <w:r w:rsidR="00EB0A44">
        <w:rPr>
          <w:rFonts w:ascii="Arial" w:hAnsi="Arial" w:cs="Arial"/>
        </w:rPr>
        <w:t>es</w:t>
      </w:r>
      <w:r w:rsidRPr="00317A06">
        <w:rPr>
          <w:rFonts w:ascii="Arial" w:hAnsi="Arial" w:cs="Arial"/>
        </w:rPr>
        <w:t xml:space="preserve"> the current provision where any club/club group eligible for the rebate in 2017-18 remains eligible for the rebate in perpetuity;</w:t>
      </w:r>
      <w:r w:rsidR="00EB0A44">
        <w:rPr>
          <w:rFonts w:ascii="Arial" w:hAnsi="Arial" w:cs="Arial"/>
        </w:rPr>
        <w:t xml:space="preserve"> and</w:t>
      </w:r>
    </w:p>
    <w:p w14:paraId="332478D5" w14:textId="5B3E22EF" w:rsidR="00402FF7" w:rsidRPr="00317A06" w:rsidRDefault="00402FF7" w:rsidP="00402FF7">
      <w:pPr>
        <w:pStyle w:val="CSNumbering"/>
        <w:numPr>
          <w:ilvl w:val="0"/>
          <w:numId w:val="8"/>
        </w:numPr>
        <w:rPr>
          <w:rFonts w:ascii="Arial" w:hAnsi="Arial" w:cs="Arial"/>
        </w:rPr>
      </w:pPr>
      <w:r w:rsidRPr="00317A06">
        <w:rPr>
          <w:rFonts w:ascii="Arial" w:hAnsi="Arial" w:cs="Arial"/>
        </w:rPr>
        <w:t>provid</w:t>
      </w:r>
      <w:r w:rsidR="00EB0A44">
        <w:rPr>
          <w:rFonts w:ascii="Arial" w:hAnsi="Arial" w:cs="Arial"/>
        </w:rPr>
        <w:t>es</w:t>
      </w:r>
      <w:r w:rsidRPr="00317A06">
        <w:rPr>
          <w:rFonts w:ascii="Arial" w:hAnsi="Arial" w:cs="Arial"/>
        </w:rPr>
        <w:t xml:space="preserve"> for the phased reduction of the amount of gaming machine tax rebate received by clubs at a rate of $0.50 for every $1 earnt over $4 million Gross Gaming Machine Revenue (GGMR) per annum; and</w:t>
      </w:r>
    </w:p>
    <w:p w14:paraId="193C43E5" w14:textId="79CF0A94" w:rsidR="00402FF7" w:rsidRPr="00317A06" w:rsidRDefault="00EB0A44" w:rsidP="00F56FD4">
      <w:pPr>
        <w:pStyle w:val="CSNumbering"/>
        <w:numPr>
          <w:ilvl w:val="0"/>
          <w:numId w:val="0"/>
        </w:numPr>
        <w:ind w:left="568"/>
        <w:rPr>
          <w:rStyle w:val="Calibri12"/>
          <w:rFonts w:ascii="Arial" w:hAnsi="Arial" w:cs="Arial"/>
        </w:rPr>
      </w:pPr>
      <w:r>
        <w:rPr>
          <w:rFonts w:ascii="Arial" w:hAnsi="Arial" w:cs="Arial"/>
        </w:rPr>
        <w:t xml:space="preserve">The Review Report also committed to </w:t>
      </w:r>
      <w:r w:rsidR="00402FF7" w:rsidRPr="00317A06">
        <w:rPr>
          <w:rFonts w:ascii="Arial" w:hAnsi="Arial" w:cs="Arial"/>
        </w:rPr>
        <w:t>a further review of the operation of the rebate, with the report of the review to be tabled in the Legislative Assembly by 30 November 2022.</w:t>
      </w:r>
    </w:p>
    <w:p w14:paraId="796216DD" w14:textId="50672255" w:rsidR="00402FF7" w:rsidRPr="00402FF7" w:rsidRDefault="00402FF7" w:rsidP="009C2B1F">
      <w:pPr>
        <w:rPr>
          <w:rFonts w:ascii="Arial" w:hAnsi="Arial" w:cs="Arial"/>
          <w:iCs/>
          <w:color w:val="000000" w:themeColor="text1"/>
          <w:sz w:val="24"/>
          <w:szCs w:val="24"/>
        </w:rPr>
      </w:pPr>
      <w:r w:rsidRPr="00402FF7">
        <w:rPr>
          <w:rFonts w:ascii="Arial" w:hAnsi="Arial" w:cs="Arial"/>
          <w:iCs/>
          <w:color w:val="000000" w:themeColor="text1"/>
          <w:sz w:val="24"/>
          <w:szCs w:val="24"/>
        </w:rPr>
        <w:t xml:space="preserve">The </w:t>
      </w:r>
      <w:r w:rsidRPr="00317A06">
        <w:rPr>
          <w:rStyle w:val="Calibri12"/>
          <w:rFonts w:ascii="Arial" w:hAnsi="Arial" w:cs="Arial"/>
        </w:rPr>
        <w:t>Gaming Machine Amendment Bill 2020 (the Bill) gives effect to the Government commitments in the Review Report</w:t>
      </w:r>
      <w:r w:rsidR="00317A06">
        <w:rPr>
          <w:rStyle w:val="Calibri12"/>
          <w:rFonts w:ascii="Arial" w:hAnsi="Arial" w:cs="Arial"/>
        </w:rPr>
        <w:t xml:space="preserve"> and makes other changes to assist clubs in their compliance with the community contributions scheme</w:t>
      </w:r>
      <w:r w:rsidRPr="00317A06">
        <w:rPr>
          <w:rStyle w:val="Calibri12"/>
          <w:rFonts w:ascii="Arial" w:hAnsi="Arial" w:cs="Arial"/>
        </w:rPr>
        <w:t>.</w:t>
      </w:r>
    </w:p>
    <w:p w14:paraId="6114A9AE" w14:textId="766B4851" w:rsidR="00134297" w:rsidRDefault="00134297" w:rsidP="00944D20">
      <w:pPr>
        <w:rPr>
          <w:rFonts w:ascii="Arial" w:hAnsi="Arial" w:cs="Arial"/>
          <w:iCs/>
          <w:color w:val="000000" w:themeColor="text1"/>
          <w:sz w:val="24"/>
          <w:szCs w:val="24"/>
        </w:rPr>
      </w:pPr>
      <w:r>
        <w:rPr>
          <w:rFonts w:ascii="Arial" w:hAnsi="Arial" w:cs="Arial"/>
          <w:iCs/>
          <w:color w:val="000000" w:themeColor="text1"/>
          <w:sz w:val="24"/>
          <w:szCs w:val="24"/>
        </w:rPr>
        <w:t xml:space="preserve">The </w:t>
      </w:r>
      <w:r w:rsidR="007373F1">
        <w:rPr>
          <w:rFonts w:ascii="Arial" w:hAnsi="Arial" w:cs="Arial"/>
          <w:iCs/>
          <w:color w:val="000000" w:themeColor="text1"/>
          <w:sz w:val="24"/>
          <w:szCs w:val="24"/>
        </w:rPr>
        <w:t xml:space="preserve">amendments that deal with the </w:t>
      </w:r>
      <w:r>
        <w:rPr>
          <w:rFonts w:ascii="Arial" w:hAnsi="Arial" w:cs="Arial"/>
          <w:iCs/>
          <w:color w:val="000000" w:themeColor="text1"/>
          <w:sz w:val="24"/>
          <w:szCs w:val="24"/>
        </w:rPr>
        <w:t>phased reduction of</w:t>
      </w:r>
      <w:r w:rsidRPr="00134297">
        <w:rPr>
          <w:rFonts w:ascii="Arial" w:hAnsi="Arial" w:cs="Arial"/>
          <w:iCs/>
          <w:color w:val="000000" w:themeColor="text1"/>
          <w:sz w:val="24"/>
          <w:szCs w:val="24"/>
        </w:rPr>
        <w:t xml:space="preserve"> the </w:t>
      </w:r>
      <w:r w:rsidR="007448DB">
        <w:rPr>
          <w:rFonts w:ascii="Arial" w:hAnsi="Arial" w:cs="Arial"/>
          <w:iCs/>
          <w:color w:val="000000" w:themeColor="text1"/>
          <w:sz w:val="24"/>
          <w:szCs w:val="24"/>
        </w:rPr>
        <w:t xml:space="preserve">GMT rebate </w:t>
      </w:r>
      <w:r w:rsidRPr="00134297">
        <w:rPr>
          <w:rFonts w:ascii="Arial" w:hAnsi="Arial" w:cs="Arial"/>
          <w:iCs/>
          <w:color w:val="000000" w:themeColor="text1"/>
          <w:sz w:val="24"/>
          <w:szCs w:val="24"/>
        </w:rPr>
        <w:t xml:space="preserve">will ensure that clubs with GGMR slightly exceeding $4 million will not lose the entire rebate as soon as this amount is exceeded, but the benefit which flows from the </w:t>
      </w:r>
      <w:r w:rsidR="007448DB">
        <w:rPr>
          <w:rFonts w:ascii="Arial" w:hAnsi="Arial" w:cs="Arial"/>
          <w:iCs/>
          <w:color w:val="000000" w:themeColor="text1"/>
          <w:sz w:val="24"/>
          <w:szCs w:val="24"/>
        </w:rPr>
        <w:t>GMT rebate</w:t>
      </w:r>
      <w:r w:rsidRPr="00134297">
        <w:rPr>
          <w:rFonts w:ascii="Arial" w:hAnsi="Arial" w:cs="Arial"/>
          <w:iCs/>
          <w:color w:val="000000" w:themeColor="text1"/>
          <w:sz w:val="24"/>
          <w:szCs w:val="24"/>
        </w:rPr>
        <w:t xml:space="preserve"> will progressively diminish with each dollar of GGMR the club earns in excess of the $4 million threshold. </w:t>
      </w:r>
      <w:r w:rsidR="005B4FC0" w:rsidRPr="00134297">
        <w:rPr>
          <w:rFonts w:ascii="Arial" w:hAnsi="Arial" w:cs="Arial"/>
          <w:iCs/>
          <w:color w:val="000000" w:themeColor="text1"/>
          <w:sz w:val="24"/>
          <w:szCs w:val="24"/>
        </w:rPr>
        <w:t xml:space="preserve">This will allow those </w:t>
      </w:r>
      <w:r w:rsidR="00D9386D" w:rsidRPr="00134297">
        <w:rPr>
          <w:rFonts w:ascii="Arial" w:hAnsi="Arial" w:cs="Arial"/>
          <w:iCs/>
          <w:color w:val="000000" w:themeColor="text1"/>
          <w:sz w:val="24"/>
          <w:szCs w:val="24"/>
        </w:rPr>
        <w:t xml:space="preserve">clubs </w:t>
      </w:r>
      <w:r w:rsidR="005B4FC0" w:rsidRPr="00134297">
        <w:rPr>
          <w:rFonts w:ascii="Arial" w:hAnsi="Arial" w:cs="Arial"/>
          <w:iCs/>
          <w:color w:val="000000" w:themeColor="text1"/>
          <w:sz w:val="24"/>
          <w:szCs w:val="24"/>
        </w:rPr>
        <w:t xml:space="preserve">to retain more of their gaming </w:t>
      </w:r>
      <w:r w:rsidR="005B4FC0" w:rsidRPr="00134297">
        <w:rPr>
          <w:rFonts w:ascii="Arial" w:hAnsi="Arial" w:cs="Arial"/>
          <w:iCs/>
          <w:color w:val="000000" w:themeColor="text1"/>
          <w:sz w:val="24"/>
          <w:szCs w:val="24"/>
        </w:rPr>
        <w:lastRenderedPageBreak/>
        <w:t>revenue to reinvest in their organisation and to diversify their income streams away from gaming.</w:t>
      </w:r>
      <w:r w:rsidR="00EA6F00" w:rsidRPr="00134297">
        <w:rPr>
          <w:rFonts w:ascii="Arial" w:hAnsi="Arial" w:cs="Arial"/>
          <w:iCs/>
          <w:color w:val="000000" w:themeColor="text1"/>
          <w:sz w:val="24"/>
          <w:szCs w:val="24"/>
        </w:rPr>
        <w:t xml:space="preserve"> </w:t>
      </w:r>
      <w:r w:rsidR="00BE7A9C" w:rsidRPr="00134297">
        <w:rPr>
          <w:rFonts w:ascii="Arial" w:hAnsi="Arial" w:cs="Arial"/>
          <w:iCs/>
          <w:color w:val="000000" w:themeColor="text1"/>
          <w:sz w:val="24"/>
          <w:szCs w:val="24"/>
        </w:rPr>
        <w:t xml:space="preserve"> </w:t>
      </w:r>
    </w:p>
    <w:p w14:paraId="582D6B14" w14:textId="41D930D1" w:rsidR="00944D20" w:rsidRPr="00F229AB" w:rsidRDefault="00586D3C" w:rsidP="00944D20">
      <w:pPr>
        <w:rPr>
          <w:rFonts w:ascii="Arial" w:hAnsi="Arial" w:cs="Arial"/>
          <w:iCs/>
          <w:color w:val="000000" w:themeColor="text1"/>
          <w:sz w:val="24"/>
          <w:szCs w:val="24"/>
        </w:rPr>
      </w:pPr>
      <w:r>
        <w:rPr>
          <w:rFonts w:ascii="Arial" w:hAnsi="Arial" w:cs="Arial"/>
          <w:iCs/>
          <w:color w:val="000000" w:themeColor="text1"/>
          <w:sz w:val="24"/>
          <w:szCs w:val="24"/>
        </w:rPr>
        <w:t>T</w:t>
      </w:r>
      <w:r w:rsidR="00BE7A9C">
        <w:rPr>
          <w:rFonts w:ascii="Arial" w:hAnsi="Arial" w:cs="Arial"/>
          <w:iCs/>
          <w:color w:val="000000" w:themeColor="text1"/>
          <w:sz w:val="24"/>
          <w:szCs w:val="24"/>
        </w:rPr>
        <w:t xml:space="preserve">he Bill </w:t>
      </w:r>
      <w:r w:rsidR="007373F1">
        <w:rPr>
          <w:rFonts w:ascii="Arial" w:hAnsi="Arial" w:cs="Arial"/>
          <w:iCs/>
          <w:color w:val="000000" w:themeColor="text1"/>
          <w:sz w:val="24"/>
          <w:szCs w:val="24"/>
        </w:rPr>
        <w:t xml:space="preserve">includes a further redefinition of </w:t>
      </w:r>
      <w:r w:rsidR="00BE7A9C" w:rsidRPr="00134297">
        <w:rPr>
          <w:rFonts w:ascii="Arial" w:hAnsi="Arial" w:cs="Arial"/>
          <w:b/>
          <w:bCs/>
          <w:i/>
          <w:color w:val="000000" w:themeColor="text1"/>
          <w:sz w:val="24"/>
          <w:szCs w:val="24"/>
        </w:rPr>
        <w:t>small or medium clubs</w:t>
      </w:r>
      <w:r w:rsidR="00BE7A9C" w:rsidRPr="00C912A4">
        <w:rPr>
          <w:rFonts w:ascii="Arial" w:hAnsi="Arial" w:cs="Arial"/>
          <w:iCs/>
          <w:color w:val="000000" w:themeColor="text1"/>
          <w:sz w:val="24"/>
          <w:szCs w:val="24"/>
        </w:rPr>
        <w:t xml:space="preserve"> and </w:t>
      </w:r>
      <w:r w:rsidR="00BE7A9C" w:rsidRPr="00134297">
        <w:rPr>
          <w:rFonts w:ascii="Arial" w:hAnsi="Arial" w:cs="Arial"/>
          <w:b/>
          <w:bCs/>
          <w:i/>
          <w:color w:val="000000" w:themeColor="text1"/>
          <w:sz w:val="24"/>
          <w:szCs w:val="24"/>
        </w:rPr>
        <w:t>small or medium club groups</w:t>
      </w:r>
      <w:r w:rsidR="00BE7A9C" w:rsidRPr="00C912A4">
        <w:rPr>
          <w:rFonts w:ascii="Arial" w:hAnsi="Arial" w:cs="Arial"/>
          <w:iCs/>
          <w:color w:val="000000" w:themeColor="text1"/>
          <w:sz w:val="24"/>
          <w:szCs w:val="24"/>
        </w:rPr>
        <w:t xml:space="preserve"> </w:t>
      </w:r>
      <w:r w:rsidR="00BE7A9C">
        <w:rPr>
          <w:rFonts w:ascii="Arial" w:hAnsi="Arial" w:cs="Arial"/>
          <w:iCs/>
          <w:color w:val="000000" w:themeColor="text1"/>
          <w:sz w:val="24"/>
          <w:szCs w:val="24"/>
        </w:rPr>
        <w:t>in order</w:t>
      </w:r>
      <w:r w:rsidR="00BE7A9C" w:rsidRPr="00C912A4">
        <w:rPr>
          <w:rFonts w:ascii="Arial" w:hAnsi="Arial" w:cs="Arial"/>
          <w:iCs/>
          <w:color w:val="000000" w:themeColor="text1"/>
          <w:sz w:val="24"/>
          <w:szCs w:val="24"/>
        </w:rPr>
        <w:t xml:space="preserve"> to avoid any unintended consequences for clubs or groups of losing their small or medium status due to exceeding the threshold by a small amount, whilst ensuring that clubs that continue to grow their gaming businesses are no longer eligible for the rebate.</w:t>
      </w:r>
    </w:p>
    <w:p w14:paraId="679B9E64" w14:textId="5D208E23" w:rsidR="0039422D" w:rsidRDefault="007373F1" w:rsidP="00944D20">
      <w:pPr>
        <w:rPr>
          <w:rFonts w:ascii="Arial" w:hAnsi="Arial" w:cs="Arial"/>
          <w:iCs/>
          <w:color w:val="000000" w:themeColor="text1"/>
          <w:sz w:val="24"/>
          <w:szCs w:val="24"/>
        </w:rPr>
      </w:pPr>
      <w:r>
        <w:rPr>
          <w:rFonts w:ascii="Arial" w:hAnsi="Arial" w:cs="Arial"/>
          <w:iCs/>
          <w:color w:val="000000" w:themeColor="text1"/>
          <w:sz w:val="24"/>
          <w:szCs w:val="24"/>
        </w:rPr>
        <w:t>T</w:t>
      </w:r>
      <w:r w:rsidR="0039422D" w:rsidRPr="0039422D">
        <w:rPr>
          <w:rFonts w:ascii="Arial" w:hAnsi="Arial" w:cs="Arial"/>
          <w:iCs/>
          <w:color w:val="000000" w:themeColor="text1"/>
          <w:sz w:val="24"/>
          <w:szCs w:val="24"/>
        </w:rPr>
        <w:t>he</w:t>
      </w:r>
      <w:r w:rsidR="00812AD4">
        <w:rPr>
          <w:rFonts w:ascii="Arial" w:hAnsi="Arial" w:cs="Arial"/>
          <w:iCs/>
          <w:color w:val="000000" w:themeColor="text1"/>
          <w:sz w:val="24"/>
          <w:szCs w:val="24"/>
        </w:rPr>
        <w:t xml:space="preserve"> Government committed in the</w:t>
      </w:r>
      <w:r w:rsidR="0039422D" w:rsidRPr="0039422D">
        <w:rPr>
          <w:rFonts w:ascii="Arial" w:hAnsi="Arial" w:cs="Arial"/>
          <w:iCs/>
          <w:color w:val="000000" w:themeColor="text1"/>
          <w:sz w:val="24"/>
          <w:szCs w:val="24"/>
        </w:rPr>
        <w:t xml:space="preserve"> </w:t>
      </w:r>
      <w:r w:rsidR="0039422D" w:rsidRPr="0039422D">
        <w:rPr>
          <w:rFonts w:ascii="Arial" w:hAnsi="Arial" w:cs="Arial"/>
          <w:i/>
          <w:color w:val="000000" w:themeColor="text1"/>
          <w:sz w:val="24"/>
          <w:szCs w:val="24"/>
        </w:rPr>
        <w:t>Parliamentary Agreement for the 9th Legislative Assembly</w:t>
      </w:r>
      <w:r w:rsidR="0039422D">
        <w:rPr>
          <w:rFonts w:ascii="Arial" w:hAnsi="Arial" w:cs="Arial"/>
          <w:iCs/>
          <w:color w:val="000000" w:themeColor="text1"/>
          <w:sz w:val="24"/>
          <w:szCs w:val="24"/>
        </w:rPr>
        <w:t xml:space="preserve"> to review the community contribution scheme </w:t>
      </w:r>
      <w:r w:rsidR="0001253F">
        <w:rPr>
          <w:rFonts w:ascii="Arial" w:hAnsi="Arial" w:cs="Arial"/>
          <w:iCs/>
          <w:color w:val="000000" w:themeColor="text1"/>
          <w:sz w:val="24"/>
          <w:szCs w:val="24"/>
        </w:rPr>
        <w:t xml:space="preserve">for gaming machine licensees </w:t>
      </w:r>
      <w:r w:rsidR="0039422D">
        <w:rPr>
          <w:rFonts w:ascii="Arial" w:hAnsi="Arial" w:cs="Arial"/>
          <w:iCs/>
          <w:color w:val="000000" w:themeColor="text1"/>
          <w:sz w:val="24"/>
          <w:szCs w:val="24"/>
        </w:rPr>
        <w:t xml:space="preserve">to maximise the direct community benefit. </w:t>
      </w:r>
      <w:r w:rsidR="0039422D" w:rsidRPr="0039422D">
        <w:rPr>
          <w:rFonts w:ascii="Arial" w:hAnsi="Arial" w:cs="Arial"/>
          <w:iCs/>
          <w:color w:val="000000" w:themeColor="text1"/>
          <w:sz w:val="24"/>
          <w:szCs w:val="24"/>
        </w:rPr>
        <w:t xml:space="preserve">As part of </w:t>
      </w:r>
      <w:r w:rsidR="0039422D">
        <w:rPr>
          <w:rFonts w:ascii="Arial" w:hAnsi="Arial" w:cs="Arial"/>
          <w:iCs/>
          <w:color w:val="000000" w:themeColor="text1"/>
          <w:sz w:val="24"/>
          <w:szCs w:val="24"/>
        </w:rPr>
        <w:t>a</w:t>
      </w:r>
      <w:r w:rsidR="0039422D" w:rsidRPr="0039422D">
        <w:rPr>
          <w:rFonts w:ascii="Arial" w:hAnsi="Arial" w:cs="Arial"/>
          <w:iCs/>
          <w:color w:val="000000" w:themeColor="text1"/>
          <w:sz w:val="24"/>
          <w:szCs w:val="24"/>
        </w:rPr>
        <w:t xml:space="preserve"> review to support reforms to the scheme in line with </w:t>
      </w:r>
      <w:r w:rsidR="0039422D">
        <w:rPr>
          <w:rFonts w:ascii="Arial" w:hAnsi="Arial" w:cs="Arial"/>
          <w:iCs/>
          <w:color w:val="000000" w:themeColor="text1"/>
          <w:sz w:val="24"/>
          <w:szCs w:val="24"/>
        </w:rPr>
        <w:t>this</w:t>
      </w:r>
      <w:r w:rsidR="0039422D" w:rsidRPr="0039422D">
        <w:rPr>
          <w:rFonts w:ascii="Arial" w:hAnsi="Arial" w:cs="Arial"/>
          <w:iCs/>
          <w:color w:val="000000" w:themeColor="text1"/>
          <w:sz w:val="24"/>
          <w:szCs w:val="24"/>
        </w:rPr>
        <w:t xml:space="preserve"> commitment, the Justice and Community Safety Directorate (JACS) circulated an Options Paper</w:t>
      </w:r>
      <w:r w:rsidR="0001253F">
        <w:rPr>
          <w:rFonts w:ascii="Arial" w:hAnsi="Arial" w:cs="Arial"/>
          <w:iCs/>
          <w:color w:val="000000" w:themeColor="text1"/>
          <w:sz w:val="24"/>
          <w:szCs w:val="24"/>
        </w:rPr>
        <w:t>,</w:t>
      </w:r>
      <w:r w:rsidR="0039422D" w:rsidRPr="0039422D">
        <w:rPr>
          <w:rFonts w:ascii="Arial" w:hAnsi="Arial" w:cs="Arial"/>
          <w:iCs/>
          <w:color w:val="000000" w:themeColor="text1"/>
          <w:sz w:val="24"/>
          <w:szCs w:val="24"/>
        </w:rPr>
        <w:t xml:space="preserve"> </w:t>
      </w:r>
      <w:r w:rsidR="0039422D" w:rsidRPr="0039422D">
        <w:rPr>
          <w:rFonts w:ascii="Arial" w:hAnsi="Arial" w:cs="Arial"/>
          <w:i/>
          <w:color w:val="000000" w:themeColor="text1"/>
          <w:sz w:val="24"/>
          <w:szCs w:val="24"/>
        </w:rPr>
        <w:t>Maximising the Benefit of the Community Contributions Scheme</w:t>
      </w:r>
      <w:r w:rsidR="0001253F">
        <w:rPr>
          <w:rFonts w:ascii="Arial" w:hAnsi="Arial" w:cs="Arial"/>
          <w:i/>
          <w:color w:val="000000" w:themeColor="text1"/>
          <w:sz w:val="24"/>
          <w:szCs w:val="24"/>
        </w:rPr>
        <w:t>,</w:t>
      </w:r>
      <w:r w:rsidR="0039422D" w:rsidRPr="0039422D">
        <w:rPr>
          <w:rFonts w:ascii="Arial" w:hAnsi="Arial" w:cs="Arial"/>
          <w:iCs/>
          <w:color w:val="000000" w:themeColor="text1"/>
          <w:sz w:val="24"/>
          <w:szCs w:val="24"/>
        </w:rPr>
        <w:t xml:space="preserve"> to facilitate discussion. The review also considered relevant research and reports, as well as models of similar schemes operating in other jurisdictions. These reports included the ACT Auditor General Report No. 5 of 2018</w:t>
      </w:r>
      <w:r w:rsidR="0001253F">
        <w:rPr>
          <w:rFonts w:ascii="Arial" w:hAnsi="Arial" w:cs="Arial"/>
          <w:iCs/>
          <w:color w:val="000000" w:themeColor="text1"/>
          <w:sz w:val="24"/>
          <w:szCs w:val="24"/>
        </w:rPr>
        <w:t>,</w:t>
      </w:r>
      <w:r w:rsidR="0039422D" w:rsidRPr="0039422D">
        <w:rPr>
          <w:rFonts w:ascii="Arial" w:hAnsi="Arial" w:cs="Arial"/>
          <w:iCs/>
          <w:color w:val="000000" w:themeColor="text1"/>
          <w:sz w:val="24"/>
          <w:szCs w:val="24"/>
        </w:rPr>
        <w:t xml:space="preserve"> </w:t>
      </w:r>
      <w:r w:rsidR="0039422D" w:rsidRPr="0039422D">
        <w:rPr>
          <w:rFonts w:ascii="Arial" w:hAnsi="Arial" w:cs="Arial"/>
          <w:i/>
          <w:color w:val="000000" w:themeColor="text1"/>
          <w:sz w:val="24"/>
          <w:szCs w:val="24"/>
        </w:rPr>
        <w:t>ACT Clubs’ Community Contributions</w:t>
      </w:r>
      <w:r w:rsidR="0039422D" w:rsidRPr="0039422D">
        <w:rPr>
          <w:rFonts w:ascii="Arial" w:hAnsi="Arial" w:cs="Arial"/>
          <w:iCs/>
          <w:color w:val="000000" w:themeColor="text1"/>
          <w:sz w:val="24"/>
          <w:szCs w:val="24"/>
        </w:rPr>
        <w:t>. As outlined in the Government</w:t>
      </w:r>
      <w:r w:rsidR="0001253F">
        <w:rPr>
          <w:rFonts w:ascii="Arial" w:hAnsi="Arial" w:cs="Arial"/>
          <w:iCs/>
          <w:color w:val="000000" w:themeColor="text1"/>
          <w:sz w:val="24"/>
          <w:szCs w:val="24"/>
        </w:rPr>
        <w:t>’s</w:t>
      </w:r>
      <w:r w:rsidR="0039422D" w:rsidRPr="0039422D">
        <w:rPr>
          <w:rFonts w:ascii="Arial" w:hAnsi="Arial" w:cs="Arial"/>
          <w:iCs/>
          <w:color w:val="000000" w:themeColor="text1"/>
          <w:sz w:val="24"/>
          <w:szCs w:val="24"/>
        </w:rPr>
        <w:t xml:space="preserve"> </w:t>
      </w:r>
      <w:r w:rsidR="0001253F">
        <w:rPr>
          <w:rFonts w:ascii="Arial" w:hAnsi="Arial" w:cs="Arial"/>
          <w:iCs/>
          <w:color w:val="000000" w:themeColor="text1"/>
          <w:sz w:val="24"/>
          <w:szCs w:val="24"/>
        </w:rPr>
        <w:t>r</w:t>
      </w:r>
      <w:r w:rsidR="0039422D" w:rsidRPr="0039422D">
        <w:rPr>
          <w:rFonts w:ascii="Arial" w:hAnsi="Arial" w:cs="Arial"/>
          <w:iCs/>
          <w:color w:val="000000" w:themeColor="text1"/>
          <w:sz w:val="24"/>
          <w:szCs w:val="24"/>
        </w:rPr>
        <w:t>esponse to that report, relevant issues raised were considered in the revie</w:t>
      </w:r>
      <w:r w:rsidR="0039422D">
        <w:rPr>
          <w:rFonts w:ascii="Arial" w:hAnsi="Arial" w:cs="Arial"/>
          <w:iCs/>
          <w:color w:val="000000" w:themeColor="text1"/>
          <w:sz w:val="24"/>
          <w:szCs w:val="24"/>
        </w:rPr>
        <w:t>w</w:t>
      </w:r>
      <w:r w:rsidR="0039422D" w:rsidRPr="0039422D">
        <w:rPr>
          <w:rFonts w:ascii="Arial" w:hAnsi="Arial" w:cs="Arial"/>
          <w:iCs/>
          <w:color w:val="000000" w:themeColor="text1"/>
          <w:sz w:val="24"/>
          <w:szCs w:val="24"/>
        </w:rPr>
        <w:t>.</w:t>
      </w:r>
    </w:p>
    <w:p w14:paraId="3832819D" w14:textId="11FFC5A6" w:rsidR="0039422D" w:rsidRDefault="0039422D" w:rsidP="00944D20">
      <w:pPr>
        <w:rPr>
          <w:rFonts w:ascii="Arial" w:hAnsi="Arial" w:cs="Arial"/>
          <w:iCs/>
          <w:color w:val="000000" w:themeColor="text1"/>
          <w:sz w:val="24"/>
          <w:szCs w:val="24"/>
        </w:rPr>
      </w:pPr>
      <w:r>
        <w:rPr>
          <w:rFonts w:ascii="Arial" w:hAnsi="Arial" w:cs="Arial"/>
          <w:iCs/>
          <w:color w:val="000000" w:themeColor="text1"/>
          <w:sz w:val="24"/>
          <w:szCs w:val="24"/>
        </w:rPr>
        <w:t>Th</w:t>
      </w:r>
      <w:r w:rsidR="00522C9E">
        <w:rPr>
          <w:rFonts w:ascii="Arial" w:hAnsi="Arial" w:cs="Arial"/>
          <w:iCs/>
          <w:color w:val="000000" w:themeColor="text1"/>
          <w:sz w:val="24"/>
          <w:szCs w:val="24"/>
        </w:rPr>
        <w:t>e</w:t>
      </w:r>
      <w:r>
        <w:rPr>
          <w:rFonts w:ascii="Arial" w:hAnsi="Arial" w:cs="Arial"/>
          <w:iCs/>
          <w:color w:val="000000" w:themeColor="text1"/>
          <w:sz w:val="24"/>
          <w:szCs w:val="24"/>
        </w:rPr>
        <w:t xml:space="preserve"> review led to the development of a number of reforms </w:t>
      </w:r>
      <w:r w:rsidR="00000358">
        <w:rPr>
          <w:rFonts w:ascii="Arial" w:hAnsi="Arial" w:cs="Arial"/>
          <w:iCs/>
          <w:color w:val="000000" w:themeColor="text1"/>
          <w:sz w:val="24"/>
          <w:szCs w:val="24"/>
        </w:rPr>
        <w:t xml:space="preserve">to </w:t>
      </w:r>
      <w:r w:rsidR="00000358" w:rsidRPr="008A2BA0">
        <w:rPr>
          <w:rFonts w:ascii="Arial" w:hAnsi="Arial" w:cs="Arial"/>
          <w:iCs/>
          <w:color w:val="000000" w:themeColor="text1"/>
          <w:sz w:val="24"/>
          <w:szCs w:val="24"/>
        </w:rPr>
        <w:t>improve the effectiveness of the scheme and enhance its community benefit.</w:t>
      </w:r>
      <w:r w:rsidR="00000358">
        <w:rPr>
          <w:rFonts w:ascii="Arial" w:hAnsi="Arial" w:cs="Arial"/>
          <w:iCs/>
          <w:color w:val="000000" w:themeColor="text1"/>
          <w:sz w:val="24"/>
          <w:szCs w:val="24"/>
        </w:rPr>
        <w:t xml:space="preserve"> These reforms were implemented through </w:t>
      </w:r>
      <w:r>
        <w:rPr>
          <w:rFonts w:ascii="Arial" w:hAnsi="Arial" w:cs="Arial"/>
          <w:iCs/>
          <w:color w:val="000000" w:themeColor="text1"/>
          <w:sz w:val="24"/>
          <w:szCs w:val="24"/>
        </w:rPr>
        <w:t xml:space="preserve">amendments to the Gaming Machine Act </w:t>
      </w:r>
      <w:r w:rsidR="00014364">
        <w:rPr>
          <w:rFonts w:ascii="Arial" w:hAnsi="Arial" w:cs="Arial"/>
          <w:iCs/>
          <w:color w:val="000000" w:themeColor="text1"/>
          <w:sz w:val="24"/>
          <w:szCs w:val="24"/>
        </w:rPr>
        <w:t xml:space="preserve">and the </w:t>
      </w:r>
      <w:r w:rsidR="00014364">
        <w:rPr>
          <w:rFonts w:ascii="Arial" w:hAnsi="Arial" w:cs="Arial"/>
          <w:i/>
          <w:color w:val="000000" w:themeColor="text1"/>
          <w:sz w:val="24"/>
          <w:szCs w:val="24"/>
        </w:rPr>
        <w:t xml:space="preserve">Gaming Machine Regulation 2004 </w:t>
      </w:r>
      <w:r w:rsidR="00014364">
        <w:rPr>
          <w:rFonts w:ascii="Arial" w:hAnsi="Arial" w:cs="Arial"/>
          <w:iCs/>
          <w:color w:val="000000" w:themeColor="text1"/>
          <w:sz w:val="24"/>
          <w:szCs w:val="24"/>
        </w:rPr>
        <w:t xml:space="preserve">(the Gaming Machine Regulation) </w:t>
      </w:r>
      <w:r>
        <w:rPr>
          <w:rFonts w:ascii="Arial" w:hAnsi="Arial" w:cs="Arial"/>
          <w:iCs/>
          <w:color w:val="000000" w:themeColor="text1"/>
          <w:sz w:val="24"/>
          <w:szCs w:val="24"/>
        </w:rPr>
        <w:t xml:space="preserve">by the </w:t>
      </w:r>
      <w:r w:rsidRPr="00B170D8">
        <w:rPr>
          <w:rFonts w:ascii="Arial" w:hAnsi="Arial" w:cs="Arial"/>
          <w:iCs/>
          <w:color w:val="000000" w:themeColor="text1"/>
          <w:sz w:val="24"/>
          <w:szCs w:val="24"/>
        </w:rPr>
        <w:t xml:space="preserve">Amendment Act </w:t>
      </w:r>
      <w:r w:rsidR="00CF3EA5">
        <w:rPr>
          <w:rFonts w:ascii="Arial" w:hAnsi="Arial" w:cs="Arial"/>
          <w:iCs/>
          <w:color w:val="000000" w:themeColor="text1"/>
          <w:sz w:val="24"/>
          <w:szCs w:val="24"/>
        </w:rPr>
        <w:t xml:space="preserve">of </w:t>
      </w:r>
      <w:r w:rsidRPr="00B170D8">
        <w:rPr>
          <w:rFonts w:ascii="Arial" w:hAnsi="Arial" w:cs="Arial"/>
          <w:iCs/>
          <w:color w:val="000000" w:themeColor="text1"/>
          <w:sz w:val="24"/>
          <w:szCs w:val="24"/>
        </w:rPr>
        <w:t>2018</w:t>
      </w:r>
      <w:r w:rsidRPr="00CF3EA5">
        <w:rPr>
          <w:rFonts w:ascii="Arial" w:hAnsi="Arial" w:cs="Arial"/>
          <w:iCs/>
          <w:color w:val="000000" w:themeColor="text1"/>
          <w:sz w:val="24"/>
          <w:szCs w:val="24"/>
        </w:rPr>
        <w:t xml:space="preserve"> </w:t>
      </w:r>
      <w:r w:rsidRPr="0039422D">
        <w:rPr>
          <w:rFonts w:ascii="Arial" w:hAnsi="Arial" w:cs="Arial"/>
          <w:iCs/>
          <w:color w:val="000000" w:themeColor="text1"/>
          <w:sz w:val="24"/>
          <w:szCs w:val="24"/>
        </w:rPr>
        <w:t xml:space="preserve">and the </w:t>
      </w:r>
      <w:r w:rsidRPr="0039422D">
        <w:rPr>
          <w:rFonts w:ascii="Arial" w:hAnsi="Arial" w:cs="Arial"/>
          <w:i/>
          <w:color w:val="000000" w:themeColor="text1"/>
          <w:sz w:val="24"/>
          <w:szCs w:val="24"/>
        </w:rPr>
        <w:t>Gaming Legislation Amendment Act 2019</w:t>
      </w:r>
      <w:r w:rsidR="00A540D2">
        <w:rPr>
          <w:rFonts w:ascii="Arial" w:hAnsi="Arial" w:cs="Arial"/>
          <w:i/>
          <w:color w:val="000000" w:themeColor="text1"/>
          <w:sz w:val="24"/>
          <w:szCs w:val="24"/>
        </w:rPr>
        <w:t xml:space="preserve"> </w:t>
      </w:r>
      <w:r w:rsidR="00A540D2">
        <w:rPr>
          <w:rFonts w:ascii="Arial" w:hAnsi="Arial" w:cs="Arial"/>
          <w:iCs/>
          <w:color w:val="000000" w:themeColor="text1"/>
          <w:sz w:val="24"/>
          <w:szCs w:val="24"/>
        </w:rPr>
        <w:t>(the Amendment Act of 2019). These include</w:t>
      </w:r>
      <w:r w:rsidR="00B1302D">
        <w:rPr>
          <w:rFonts w:ascii="Arial" w:hAnsi="Arial" w:cs="Arial"/>
          <w:iCs/>
          <w:color w:val="000000" w:themeColor="text1"/>
          <w:sz w:val="24"/>
          <w:szCs w:val="24"/>
        </w:rPr>
        <w:t>d</w:t>
      </w:r>
      <w:r w:rsidR="008A2BA0">
        <w:rPr>
          <w:rFonts w:ascii="Arial" w:hAnsi="Arial" w:cs="Arial"/>
          <w:iCs/>
          <w:color w:val="000000" w:themeColor="text1"/>
          <w:sz w:val="24"/>
          <w:szCs w:val="24"/>
        </w:rPr>
        <w:t xml:space="preserve"> increasing </w:t>
      </w:r>
      <w:r w:rsidR="008A2BA0" w:rsidRPr="008A2BA0">
        <w:rPr>
          <w:rFonts w:ascii="Arial" w:hAnsi="Arial" w:cs="Arial"/>
          <w:iCs/>
          <w:color w:val="000000" w:themeColor="text1"/>
          <w:sz w:val="24"/>
          <w:szCs w:val="24"/>
        </w:rPr>
        <w:t>the contribution rate for club</w:t>
      </w:r>
      <w:r w:rsidR="00B1302D">
        <w:rPr>
          <w:rFonts w:ascii="Arial" w:hAnsi="Arial" w:cs="Arial"/>
          <w:iCs/>
          <w:color w:val="000000" w:themeColor="text1"/>
          <w:sz w:val="24"/>
          <w:szCs w:val="24"/>
        </w:rPr>
        <w:t>s</w:t>
      </w:r>
      <w:r w:rsidR="008A2BA0">
        <w:rPr>
          <w:rFonts w:ascii="Arial" w:hAnsi="Arial" w:cs="Arial"/>
          <w:iCs/>
          <w:color w:val="000000" w:themeColor="text1"/>
          <w:sz w:val="24"/>
          <w:szCs w:val="24"/>
        </w:rPr>
        <w:t xml:space="preserve">, </w:t>
      </w:r>
      <w:r w:rsidR="008A2BA0" w:rsidRPr="008A2BA0">
        <w:rPr>
          <w:rFonts w:ascii="Arial" w:hAnsi="Arial" w:cs="Arial"/>
          <w:iCs/>
          <w:color w:val="000000" w:themeColor="text1"/>
          <w:sz w:val="24"/>
          <w:szCs w:val="24"/>
        </w:rPr>
        <w:t xml:space="preserve">increased transparency </w:t>
      </w:r>
      <w:r w:rsidR="008A2BA0">
        <w:rPr>
          <w:rFonts w:ascii="Arial" w:hAnsi="Arial" w:cs="Arial"/>
          <w:iCs/>
          <w:color w:val="000000" w:themeColor="text1"/>
          <w:sz w:val="24"/>
          <w:szCs w:val="24"/>
        </w:rPr>
        <w:t xml:space="preserve">through </w:t>
      </w:r>
      <w:r w:rsidR="008A2BA0" w:rsidRPr="008A2BA0">
        <w:rPr>
          <w:rFonts w:ascii="Arial" w:hAnsi="Arial" w:cs="Arial"/>
          <w:iCs/>
          <w:color w:val="000000" w:themeColor="text1"/>
          <w:sz w:val="24"/>
          <w:szCs w:val="24"/>
        </w:rPr>
        <w:t xml:space="preserve">revised reporting arrangements, and </w:t>
      </w:r>
      <w:r w:rsidR="00B1302D">
        <w:rPr>
          <w:rFonts w:ascii="Arial" w:hAnsi="Arial" w:cs="Arial"/>
          <w:iCs/>
          <w:color w:val="000000" w:themeColor="text1"/>
          <w:sz w:val="24"/>
          <w:szCs w:val="24"/>
        </w:rPr>
        <w:t xml:space="preserve">restrictions on what can be claimed as a community contribution under </w:t>
      </w:r>
      <w:r w:rsidR="008A2BA0" w:rsidRPr="008A2BA0">
        <w:rPr>
          <w:rFonts w:ascii="Arial" w:hAnsi="Arial" w:cs="Arial"/>
          <w:iCs/>
          <w:color w:val="000000" w:themeColor="text1"/>
          <w:sz w:val="24"/>
          <w:szCs w:val="24"/>
        </w:rPr>
        <w:t>the scheme</w:t>
      </w:r>
      <w:r w:rsidR="008A2BA0">
        <w:rPr>
          <w:rFonts w:ascii="Arial" w:hAnsi="Arial" w:cs="Arial"/>
          <w:iCs/>
          <w:color w:val="000000" w:themeColor="text1"/>
          <w:sz w:val="24"/>
          <w:szCs w:val="24"/>
        </w:rPr>
        <w:t xml:space="preserve">. </w:t>
      </w:r>
    </w:p>
    <w:p w14:paraId="0B8BEDC4" w14:textId="24FFA44F" w:rsidR="001A2890" w:rsidRPr="0039422D" w:rsidRDefault="007373F1" w:rsidP="00944D20">
      <w:pPr>
        <w:rPr>
          <w:rFonts w:ascii="Arial" w:hAnsi="Arial" w:cs="Arial"/>
          <w:iCs/>
          <w:color w:val="000000" w:themeColor="text1"/>
          <w:sz w:val="24"/>
          <w:szCs w:val="24"/>
        </w:rPr>
      </w:pPr>
      <w:r>
        <w:rPr>
          <w:rFonts w:ascii="Arial" w:hAnsi="Arial" w:cs="Arial"/>
          <w:iCs/>
          <w:color w:val="000000" w:themeColor="text1"/>
          <w:sz w:val="24"/>
          <w:szCs w:val="24"/>
        </w:rPr>
        <w:t xml:space="preserve">The Bill includes amendments to </w:t>
      </w:r>
      <w:r w:rsidR="00B170D8">
        <w:rPr>
          <w:rFonts w:ascii="Arial" w:hAnsi="Arial" w:cs="Arial"/>
          <w:iCs/>
          <w:color w:val="000000" w:themeColor="text1"/>
          <w:sz w:val="24"/>
          <w:szCs w:val="24"/>
        </w:rPr>
        <w:t>assist</w:t>
      </w:r>
      <w:r w:rsidR="001A2890">
        <w:rPr>
          <w:rFonts w:ascii="Arial" w:hAnsi="Arial" w:cs="Arial"/>
          <w:iCs/>
          <w:color w:val="000000" w:themeColor="text1"/>
          <w:sz w:val="24"/>
          <w:szCs w:val="24"/>
        </w:rPr>
        <w:t xml:space="preserve"> clubs</w:t>
      </w:r>
      <w:r w:rsidR="00B170D8">
        <w:rPr>
          <w:rFonts w:ascii="Arial" w:hAnsi="Arial" w:cs="Arial"/>
          <w:iCs/>
          <w:color w:val="000000" w:themeColor="text1"/>
          <w:sz w:val="24"/>
          <w:szCs w:val="24"/>
        </w:rPr>
        <w:t xml:space="preserve"> to meet their regulatory obligations </w:t>
      </w:r>
      <w:r w:rsidR="0074526A">
        <w:rPr>
          <w:rFonts w:ascii="Arial" w:hAnsi="Arial" w:cs="Arial"/>
          <w:iCs/>
          <w:color w:val="000000" w:themeColor="text1"/>
          <w:sz w:val="24"/>
          <w:szCs w:val="24"/>
        </w:rPr>
        <w:t>and reflect their current business practices</w:t>
      </w:r>
      <w:r w:rsidR="001A2890">
        <w:rPr>
          <w:rFonts w:ascii="Arial" w:hAnsi="Arial" w:cs="Arial"/>
          <w:iCs/>
          <w:color w:val="000000" w:themeColor="text1"/>
          <w:sz w:val="24"/>
          <w:szCs w:val="24"/>
        </w:rPr>
        <w:t>.</w:t>
      </w:r>
      <w:r w:rsidR="000E395C">
        <w:rPr>
          <w:rFonts w:ascii="Arial" w:hAnsi="Arial" w:cs="Arial"/>
          <w:iCs/>
          <w:color w:val="000000" w:themeColor="text1"/>
          <w:sz w:val="24"/>
          <w:szCs w:val="24"/>
        </w:rPr>
        <w:t xml:space="preserve"> These include revised </w:t>
      </w:r>
      <w:r w:rsidR="00BE7A9C">
        <w:rPr>
          <w:rFonts w:ascii="Arial" w:hAnsi="Arial" w:cs="Arial"/>
          <w:iCs/>
          <w:color w:val="000000" w:themeColor="text1"/>
          <w:sz w:val="24"/>
          <w:szCs w:val="24"/>
        </w:rPr>
        <w:t xml:space="preserve">community purpose contribution </w:t>
      </w:r>
      <w:r w:rsidR="000E395C">
        <w:rPr>
          <w:rFonts w:ascii="Arial" w:hAnsi="Arial" w:cs="Arial"/>
          <w:iCs/>
          <w:color w:val="000000" w:themeColor="text1"/>
          <w:sz w:val="24"/>
          <w:szCs w:val="24"/>
        </w:rPr>
        <w:t xml:space="preserve">reporting requirements that better align with the licensing </w:t>
      </w:r>
      <w:r w:rsidR="0074526A">
        <w:rPr>
          <w:rFonts w:ascii="Arial" w:hAnsi="Arial" w:cs="Arial"/>
          <w:iCs/>
          <w:color w:val="000000" w:themeColor="text1"/>
          <w:sz w:val="24"/>
          <w:szCs w:val="24"/>
        </w:rPr>
        <w:t xml:space="preserve">and authorisation </w:t>
      </w:r>
      <w:r w:rsidR="000E395C">
        <w:rPr>
          <w:rFonts w:ascii="Arial" w:hAnsi="Arial" w:cs="Arial"/>
          <w:iCs/>
          <w:color w:val="000000" w:themeColor="text1"/>
          <w:sz w:val="24"/>
          <w:szCs w:val="24"/>
        </w:rPr>
        <w:t xml:space="preserve">framework, </w:t>
      </w:r>
      <w:r w:rsidR="00BE7A9C">
        <w:rPr>
          <w:rFonts w:ascii="Arial" w:hAnsi="Arial" w:cs="Arial"/>
          <w:iCs/>
          <w:color w:val="000000" w:themeColor="text1"/>
          <w:sz w:val="24"/>
          <w:szCs w:val="24"/>
        </w:rPr>
        <w:t xml:space="preserve">reflecting the fact that the scheme does not require contributions to be made to a venue’s local area, but rather to the broader community in the ACT and the surrounding region </w:t>
      </w:r>
      <w:r w:rsidR="00BE7A9C" w:rsidRPr="00704D9A">
        <w:rPr>
          <w:rFonts w:ascii="Arial" w:hAnsi="Arial" w:cs="Arial"/>
          <w:iCs/>
          <w:color w:val="000000" w:themeColor="text1"/>
          <w:sz w:val="24"/>
          <w:szCs w:val="24"/>
        </w:rPr>
        <w:t>(and the broader Australian community in the event of a natural disaster).</w:t>
      </w:r>
      <w:r w:rsidR="00BE7A9C">
        <w:rPr>
          <w:rFonts w:ascii="Arial" w:hAnsi="Arial" w:cs="Arial"/>
          <w:iCs/>
          <w:color w:val="000000" w:themeColor="text1"/>
          <w:sz w:val="24"/>
          <w:szCs w:val="24"/>
        </w:rPr>
        <w:t xml:space="preserve"> T</w:t>
      </w:r>
      <w:r w:rsidR="000E395C">
        <w:rPr>
          <w:rFonts w:ascii="Arial" w:hAnsi="Arial" w:cs="Arial"/>
          <w:iCs/>
          <w:color w:val="000000" w:themeColor="text1"/>
          <w:sz w:val="24"/>
          <w:szCs w:val="24"/>
        </w:rPr>
        <w:t xml:space="preserve">ransitional provisions </w:t>
      </w:r>
      <w:r w:rsidR="00783B0C">
        <w:rPr>
          <w:rFonts w:ascii="Arial" w:hAnsi="Arial" w:cs="Arial"/>
          <w:iCs/>
          <w:color w:val="000000" w:themeColor="text1"/>
          <w:sz w:val="24"/>
          <w:szCs w:val="24"/>
        </w:rPr>
        <w:t xml:space="preserve">will </w:t>
      </w:r>
      <w:r w:rsidR="00B170D8">
        <w:rPr>
          <w:rFonts w:ascii="Arial" w:hAnsi="Arial" w:cs="Arial"/>
          <w:iCs/>
          <w:color w:val="000000" w:themeColor="text1"/>
          <w:sz w:val="24"/>
          <w:szCs w:val="24"/>
        </w:rPr>
        <w:t>assist</w:t>
      </w:r>
      <w:r w:rsidR="0074526A">
        <w:rPr>
          <w:rFonts w:ascii="Arial" w:hAnsi="Arial" w:cs="Arial"/>
          <w:iCs/>
          <w:color w:val="000000" w:themeColor="text1"/>
          <w:sz w:val="24"/>
          <w:szCs w:val="24"/>
        </w:rPr>
        <w:t xml:space="preserve"> clubs </w:t>
      </w:r>
      <w:r w:rsidR="00B170D8">
        <w:rPr>
          <w:rFonts w:ascii="Arial" w:hAnsi="Arial" w:cs="Arial"/>
          <w:iCs/>
          <w:color w:val="000000" w:themeColor="text1"/>
          <w:sz w:val="24"/>
          <w:szCs w:val="24"/>
        </w:rPr>
        <w:t xml:space="preserve">to </w:t>
      </w:r>
      <w:r w:rsidR="000E395C">
        <w:rPr>
          <w:rFonts w:ascii="Arial" w:hAnsi="Arial" w:cs="Arial"/>
          <w:iCs/>
          <w:color w:val="000000" w:themeColor="text1"/>
          <w:sz w:val="24"/>
          <w:szCs w:val="24"/>
        </w:rPr>
        <w:t xml:space="preserve">adapt to new requirements </w:t>
      </w:r>
      <w:r w:rsidR="00B1302D">
        <w:rPr>
          <w:rFonts w:ascii="Arial" w:hAnsi="Arial" w:cs="Arial"/>
          <w:iCs/>
          <w:color w:val="000000" w:themeColor="text1"/>
          <w:sz w:val="24"/>
          <w:szCs w:val="24"/>
        </w:rPr>
        <w:t>of the scheme</w:t>
      </w:r>
      <w:r w:rsidR="000E395C">
        <w:rPr>
          <w:rFonts w:ascii="Arial" w:hAnsi="Arial" w:cs="Arial"/>
          <w:iCs/>
          <w:color w:val="000000" w:themeColor="text1"/>
          <w:sz w:val="24"/>
          <w:szCs w:val="24"/>
        </w:rPr>
        <w:t>.</w:t>
      </w:r>
    </w:p>
    <w:p w14:paraId="1221B097" w14:textId="77777777" w:rsidR="007448DB" w:rsidRDefault="007448DB">
      <w:pPr>
        <w:spacing w:after="0" w:line="240" w:lineRule="auto"/>
        <w:rPr>
          <w:rFonts w:ascii="Arial" w:eastAsiaTheme="majorEastAsia" w:hAnsi="Arial" w:cstheme="majorBidi"/>
          <w:b/>
          <w:sz w:val="24"/>
          <w:szCs w:val="26"/>
        </w:rPr>
      </w:pPr>
      <w:r>
        <w:br w:type="page"/>
      </w:r>
    </w:p>
    <w:p w14:paraId="6A301741" w14:textId="0CC2396D" w:rsidR="005B4FC0" w:rsidRPr="005B4FC0" w:rsidRDefault="005B4FC0" w:rsidP="005B4FC0">
      <w:pPr>
        <w:pStyle w:val="Heading2"/>
      </w:pPr>
      <w:r>
        <w:lastRenderedPageBreak/>
        <w:t>OVERVIEW OF THE BILL</w:t>
      </w:r>
    </w:p>
    <w:p w14:paraId="19315B31" w14:textId="4DD696F3" w:rsidR="00944D20" w:rsidRPr="00F229AB" w:rsidRDefault="00944D20" w:rsidP="00944D20">
      <w:pPr>
        <w:rPr>
          <w:rFonts w:ascii="Arial" w:hAnsi="Arial" w:cs="Arial"/>
          <w:iCs/>
          <w:color w:val="000000" w:themeColor="text1"/>
          <w:sz w:val="24"/>
          <w:szCs w:val="24"/>
        </w:rPr>
      </w:pPr>
      <w:r w:rsidRPr="00F229AB">
        <w:rPr>
          <w:rFonts w:ascii="Arial" w:hAnsi="Arial" w:cs="Arial"/>
          <w:iCs/>
          <w:color w:val="000000" w:themeColor="text1"/>
          <w:sz w:val="24"/>
          <w:szCs w:val="24"/>
        </w:rPr>
        <w:t>The</w:t>
      </w:r>
      <w:r w:rsidR="00F229AB">
        <w:rPr>
          <w:rFonts w:ascii="Arial" w:hAnsi="Arial" w:cs="Arial"/>
          <w:iCs/>
          <w:color w:val="000000" w:themeColor="text1"/>
          <w:sz w:val="24"/>
          <w:szCs w:val="24"/>
        </w:rPr>
        <w:t xml:space="preserve"> Bill</w:t>
      </w:r>
      <w:r w:rsidRPr="00F229AB">
        <w:rPr>
          <w:rFonts w:ascii="Arial" w:hAnsi="Arial" w:cs="Arial"/>
          <w:iCs/>
          <w:color w:val="000000" w:themeColor="text1"/>
          <w:sz w:val="24"/>
          <w:szCs w:val="24"/>
        </w:rPr>
        <w:t xml:space="preserve"> </w:t>
      </w:r>
      <w:r w:rsidR="002206DF">
        <w:rPr>
          <w:rFonts w:ascii="Arial" w:hAnsi="Arial" w:cs="Arial"/>
          <w:iCs/>
          <w:color w:val="000000" w:themeColor="text1"/>
          <w:sz w:val="24"/>
          <w:szCs w:val="24"/>
        </w:rPr>
        <w:t xml:space="preserve">makes </w:t>
      </w:r>
      <w:r w:rsidRPr="00F229AB">
        <w:rPr>
          <w:rFonts w:ascii="Arial" w:hAnsi="Arial" w:cs="Arial"/>
          <w:iCs/>
          <w:color w:val="000000" w:themeColor="text1"/>
          <w:sz w:val="24"/>
          <w:szCs w:val="24"/>
        </w:rPr>
        <w:t>the following amendments</w:t>
      </w:r>
      <w:r w:rsidR="00C912A4">
        <w:rPr>
          <w:rFonts w:ascii="Arial" w:hAnsi="Arial" w:cs="Arial"/>
          <w:iCs/>
          <w:color w:val="000000" w:themeColor="text1"/>
          <w:sz w:val="24"/>
          <w:szCs w:val="24"/>
        </w:rPr>
        <w:t xml:space="preserve"> to the Gaming Machine Act</w:t>
      </w:r>
      <w:r w:rsidR="00687861">
        <w:rPr>
          <w:rFonts w:ascii="Arial" w:hAnsi="Arial" w:cs="Arial"/>
          <w:iCs/>
          <w:color w:val="000000" w:themeColor="text1"/>
          <w:sz w:val="24"/>
          <w:szCs w:val="24"/>
        </w:rPr>
        <w:t xml:space="preserve"> and the Gaming Machine Regulation</w:t>
      </w:r>
      <w:r w:rsidRPr="00F229AB">
        <w:rPr>
          <w:rFonts w:ascii="Arial" w:hAnsi="Arial" w:cs="Arial"/>
          <w:iCs/>
          <w:color w:val="000000" w:themeColor="text1"/>
          <w:sz w:val="24"/>
          <w:szCs w:val="24"/>
        </w:rPr>
        <w:t xml:space="preserve">: </w:t>
      </w:r>
    </w:p>
    <w:p w14:paraId="15841D80" w14:textId="3C69CCC2" w:rsidR="00944D20" w:rsidRPr="00F229AB" w:rsidRDefault="00944D20" w:rsidP="001328E8">
      <w:pPr>
        <w:pStyle w:val="ListParagraph"/>
        <w:numPr>
          <w:ilvl w:val="0"/>
          <w:numId w:val="3"/>
        </w:numPr>
        <w:spacing w:after="200"/>
        <w:ind w:left="714" w:hanging="357"/>
        <w:rPr>
          <w:rFonts w:ascii="Arial" w:hAnsi="Arial" w:cs="Arial"/>
          <w:iCs/>
          <w:color w:val="000000" w:themeColor="text1"/>
          <w:sz w:val="24"/>
          <w:szCs w:val="24"/>
        </w:rPr>
      </w:pPr>
      <w:r w:rsidRPr="00F229AB">
        <w:rPr>
          <w:rFonts w:ascii="Arial" w:hAnsi="Arial" w:cs="Arial"/>
          <w:iCs/>
          <w:color w:val="000000" w:themeColor="text1"/>
          <w:sz w:val="24"/>
          <w:szCs w:val="24"/>
        </w:rPr>
        <w:t>redefine</w:t>
      </w:r>
      <w:r w:rsidR="00AD070E">
        <w:rPr>
          <w:rFonts w:ascii="Arial" w:hAnsi="Arial" w:cs="Arial"/>
          <w:iCs/>
          <w:color w:val="000000" w:themeColor="text1"/>
          <w:sz w:val="24"/>
          <w:szCs w:val="24"/>
        </w:rPr>
        <w:t>s</w:t>
      </w:r>
      <w:r w:rsidRPr="00F229AB">
        <w:rPr>
          <w:rFonts w:ascii="Arial" w:hAnsi="Arial" w:cs="Arial"/>
          <w:iCs/>
          <w:color w:val="000000" w:themeColor="text1"/>
          <w:sz w:val="24"/>
          <w:szCs w:val="24"/>
        </w:rPr>
        <w:t xml:space="preserve"> a small or medium club and a small or medium club group as one with GGMR of not more than $4 000 000 for the financial year or one that receives a reduced GMT rebate through the phased reduction;</w:t>
      </w:r>
    </w:p>
    <w:p w14:paraId="45C062EB" w14:textId="61413E05" w:rsidR="00944D20" w:rsidRPr="00F229AB" w:rsidRDefault="00944D20" w:rsidP="001328E8">
      <w:pPr>
        <w:pStyle w:val="ListParagraph"/>
        <w:numPr>
          <w:ilvl w:val="0"/>
          <w:numId w:val="3"/>
        </w:numPr>
        <w:spacing w:after="200"/>
        <w:ind w:left="714" w:hanging="357"/>
        <w:rPr>
          <w:rFonts w:ascii="Arial" w:hAnsi="Arial" w:cs="Arial"/>
          <w:iCs/>
          <w:color w:val="000000" w:themeColor="text1"/>
          <w:sz w:val="24"/>
          <w:szCs w:val="24"/>
        </w:rPr>
      </w:pPr>
      <w:r w:rsidRPr="00F229AB">
        <w:rPr>
          <w:rFonts w:ascii="Arial" w:hAnsi="Arial" w:cs="Arial"/>
          <w:iCs/>
          <w:color w:val="000000" w:themeColor="text1"/>
          <w:sz w:val="24"/>
          <w:szCs w:val="24"/>
        </w:rPr>
        <w:t>introduce</w:t>
      </w:r>
      <w:r w:rsidR="00AD070E">
        <w:rPr>
          <w:rFonts w:ascii="Arial" w:hAnsi="Arial" w:cs="Arial"/>
          <w:iCs/>
          <w:color w:val="000000" w:themeColor="text1"/>
          <w:sz w:val="24"/>
          <w:szCs w:val="24"/>
        </w:rPr>
        <w:t>s</w:t>
      </w:r>
      <w:r w:rsidRPr="00F229AB">
        <w:rPr>
          <w:rFonts w:ascii="Arial" w:hAnsi="Arial" w:cs="Arial"/>
          <w:iCs/>
          <w:color w:val="000000" w:themeColor="text1"/>
          <w:sz w:val="24"/>
          <w:szCs w:val="24"/>
        </w:rPr>
        <w:t xml:space="preserve"> a phased reduction of the GMT rebate by 50 cents in every dollar of GGMR over $4 </w:t>
      </w:r>
      <w:r w:rsidR="00AD070E">
        <w:rPr>
          <w:rFonts w:ascii="Arial" w:hAnsi="Arial" w:cs="Arial"/>
          <w:iCs/>
          <w:color w:val="000000" w:themeColor="text1"/>
          <w:sz w:val="24"/>
          <w:szCs w:val="24"/>
        </w:rPr>
        <w:t>million</w:t>
      </w:r>
      <w:r w:rsidRPr="00F229AB">
        <w:rPr>
          <w:rFonts w:ascii="Arial" w:hAnsi="Arial" w:cs="Arial"/>
          <w:iCs/>
          <w:color w:val="000000" w:themeColor="text1"/>
          <w:sz w:val="24"/>
          <w:szCs w:val="24"/>
        </w:rPr>
        <w:t xml:space="preserve"> for the financial year; </w:t>
      </w:r>
    </w:p>
    <w:p w14:paraId="08640C54" w14:textId="3B3808B8" w:rsidR="008C5857" w:rsidRDefault="00944D20" w:rsidP="001328E8">
      <w:pPr>
        <w:pStyle w:val="ListParagraph"/>
        <w:numPr>
          <w:ilvl w:val="0"/>
          <w:numId w:val="3"/>
        </w:numPr>
        <w:spacing w:after="200"/>
        <w:ind w:left="714" w:hanging="357"/>
        <w:rPr>
          <w:rFonts w:ascii="Arial" w:hAnsi="Arial" w:cs="Arial"/>
          <w:iCs/>
          <w:color w:val="000000" w:themeColor="text1"/>
          <w:sz w:val="24"/>
          <w:szCs w:val="24"/>
        </w:rPr>
      </w:pPr>
      <w:r w:rsidRPr="00F229AB">
        <w:rPr>
          <w:rFonts w:ascii="Arial" w:hAnsi="Arial" w:cs="Arial"/>
          <w:iCs/>
          <w:color w:val="000000" w:themeColor="text1"/>
          <w:sz w:val="24"/>
          <w:szCs w:val="24"/>
        </w:rPr>
        <w:t>require</w:t>
      </w:r>
      <w:r w:rsidR="00AD070E">
        <w:rPr>
          <w:rFonts w:ascii="Arial" w:hAnsi="Arial" w:cs="Arial"/>
          <w:iCs/>
          <w:color w:val="000000" w:themeColor="text1"/>
          <w:sz w:val="24"/>
          <w:szCs w:val="24"/>
        </w:rPr>
        <w:t>s</w:t>
      </w:r>
      <w:r w:rsidRPr="00F229AB">
        <w:rPr>
          <w:rFonts w:ascii="Arial" w:hAnsi="Arial" w:cs="Arial"/>
          <w:iCs/>
          <w:color w:val="000000" w:themeColor="text1"/>
          <w:sz w:val="24"/>
          <w:szCs w:val="24"/>
        </w:rPr>
        <w:t xml:space="preserve"> a further review of the operation of the rebate in three years’ time, </w:t>
      </w:r>
      <w:r w:rsidR="00AD070E">
        <w:rPr>
          <w:rFonts w:ascii="Arial" w:hAnsi="Arial" w:cs="Arial"/>
          <w:iCs/>
          <w:color w:val="000000" w:themeColor="text1"/>
          <w:sz w:val="24"/>
          <w:szCs w:val="24"/>
        </w:rPr>
        <w:t>a</w:t>
      </w:r>
      <w:r w:rsidR="00543B3D">
        <w:rPr>
          <w:rFonts w:ascii="Arial" w:hAnsi="Arial" w:cs="Arial"/>
          <w:iCs/>
          <w:color w:val="000000" w:themeColor="text1"/>
          <w:sz w:val="24"/>
          <w:szCs w:val="24"/>
        </w:rPr>
        <w:t>nd</w:t>
      </w:r>
      <w:r w:rsidR="00AD070E" w:rsidRPr="00F229AB">
        <w:rPr>
          <w:rFonts w:ascii="Arial" w:hAnsi="Arial" w:cs="Arial"/>
          <w:iCs/>
          <w:color w:val="000000" w:themeColor="text1"/>
          <w:sz w:val="24"/>
          <w:szCs w:val="24"/>
        </w:rPr>
        <w:t xml:space="preserve"> </w:t>
      </w:r>
      <w:r w:rsidRPr="00F229AB">
        <w:rPr>
          <w:rFonts w:ascii="Arial" w:hAnsi="Arial" w:cs="Arial"/>
          <w:iCs/>
          <w:color w:val="000000" w:themeColor="text1"/>
          <w:sz w:val="24"/>
          <w:szCs w:val="24"/>
        </w:rPr>
        <w:t xml:space="preserve">the report of the review to be tabled in the Legislative Assembly by </w:t>
      </w:r>
      <w:r w:rsidR="00AD070E" w:rsidRPr="00F229AB">
        <w:rPr>
          <w:rFonts w:ascii="Arial" w:hAnsi="Arial" w:cs="Arial"/>
          <w:iCs/>
          <w:color w:val="000000" w:themeColor="text1"/>
          <w:sz w:val="24"/>
          <w:szCs w:val="24"/>
        </w:rPr>
        <w:t>30</w:t>
      </w:r>
      <w:r w:rsidR="00AD070E">
        <w:rPr>
          <w:rFonts w:ascii="Arial" w:hAnsi="Arial" w:cs="Arial"/>
          <w:iCs/>
          <w:color w:val="000000" w:themeColor="text1"/>
          <w:sz w:val="24"/>
          <w:szCs w:val="24"/>
        </w:rPr>
        <w:t> </w:t>
      </w:r>
      <w:r w:rsidRPr="00F229AB">
        <w:rPr>
          <w:rFonts w:ascii="Arial" w:hAnsi="Arial" w:cs="Arial"/>
          <w:iCs/>
          <w:color w:val="000000" w:themeColor="text1"/>
          <w:sz w:val="24"/>
          <w:szCs w:val="24"/>
        </w:rPr>
        <w:t>November 2022</w:t>
      </w:r>
      <w:r w:rsidR="008C5857">
        <w:rPr>
          <w:rFonts w:ascii="Arial" w:hAnsi="Arial" w:cs="Arial"/>
          <w:iCs/>
          <w:color w:val="000000" w:themeColor="text1"/>
          <w:sz w:val="24"/>
          <w:szCs w:val="24"/>
        </w:rPr>
        <w:t>;</w:t>
      </w:r>
    </w:p>
    <w:p w14:paraId="69D77455" w14:textId="6FB3403A" w:rsidR="001A2890" w:rsidRDefault="001A2890" w:rsidP="001328E8">
      <w:pPr>
        <w:pStyle w:val="ListParagraph"/>
        <w:numPr>
          <w:ilvl w:val="0"/>
          <w:numId w:val="3"/>
        </w:numPr>
        <w:spacing w:after="200"/>
        <w:ind w:left="714" w:hanging="357"/>
        <w:rPr>
          <w:rFonts w:ascii="Arial" w:hAnsi="Arial" w:cs="Arial"/>
          <w:iCs/>
          <w:color w:val="000000" w:themeColor="text1"/>
          <w:sz w:val="24"/>
          <w:szCs w:val="24"/>
        </w:rPr>
      </w:pPr>
      <w:r>
        <w:rPr>
          <w:rFonts w:ascii="Arial" w:hAnsi="Arial" w:cs="Arial"/>
          <w:iCs/>
          <w:color w:val="000000" w:themeColor="text1"/>
          <w:sz w:val="24"/>
          <w:szCs w:val="24"/>
        </w:rPr>
        <w:t>remove</w:t>
      </w:r>
      <w:r w:rsidR="00543B3D">
        <w:rPr>
          <w:rFonts w:ascii="Arial" w:hAnsi="Arial" w:cs="Arial"/>
          <w:iCs/>
          <w:color w:val="000000" w:themeColor="text1"/>
          <w:sz w:val="24"/>
          <w:szCs w:val="24"/>
        </w:rPr>
        <w:t>s</w:t>
      </w:r>
      <w:r>
        <w:rPr>
          <w:rFonts w:ascii="Arial" w:hAnsi="Arial" w:cs="Arial"/>
          <w:iCs/>
          <w:color w:val="000000" w:themeColor="text1"/>
          <w:sz w:val="24"/>
          <w:szCs w:val="24"/>
        </w:rPr>
        <w:t xml:space="preserve"> the requirement for club licensees with more than one venue</w:t>
      </w:r>
      <w:r w:rsidR="00812AD4">
        <w:rPr>
          <w:rFonts w:ascii="Arial" w:hAnsi="Arial" w:cs="Arial"/>
          <w:iCs/>
          <w:color w:val="000000" w:themeColor="text1"/>
          <w:sz w:val="24"/>
          <w:szCs w:val="24"/>
        </w:rPr>
        <w:t xml:space="preserve"> to report on the community purpose contributions for each venue separately and allow licensees with more than one venue to make community </w:t>
      </w:r>
      <w:r w:rsidR="00F01F01">
        <w:rPr>
          <w:rFonts w:ascii="Arial" w:hAnsi="Arial" w:cs="Arial"/>
          <w:iCs/>
          <w:color w:val="000000" w:themeColor="text1"/>
          <w:sz w:val="24"/>
          <w:szCs w:val="24"/>
        </w:rPr>
        <w:t xml:space="preserve">purpose </w:t>
      </w:r>
      <w:r w:rsidR="00812AD4">
        <w:rPr>
          <w:rFonts w:ascii="Arial" w:hAnsi="Arial" w:cs="Arial"/>
          <w:iCs/>
          <w:color w:val="000000" w:themeColor="text1"/>
          <w:sz w:val="24"/>
          <w:szCs w:val="24"/>
        </w:rPr>
        <w:t>contributions on a group basis</w:t>
      </w:r>
      <w:r w:rsidR="00645EA2">
        <w:rPr>
          <w:rFonts w:ascii="Arial" w:hAnsi="Arial" w:cs="Arial"/>
          <w:iCs/>
          <w:color w:val="000000" w:themeColor="text1"/>
          <w:sz w:val="24"/>
          <w:szCs w:val="24"/>
        </w:rPr>
        <w:t>;</w:t>
      </w:r>
    </w:p>
    <w:p w14:paraId="0B26B26A" w14:textId="4AB3D28D" w:rsidR="00645EA2" w:rsidRPr="007C4296" w:rsidRDefault="008C5857" w:rsidP="001328E8">
      <w:pPr>
        <w:pStyle w:val="ListParagraph"/>
        <w:numPr>
          <w:ilvl w:val="0"/>
          <w:numId w:val="3"/>
        </w:numPr>
        <w:spacing w:after="200"/>
        <w:ind w:left="714" w:hanging="357"/>
        <w:rPr>
          <w:rFonts w:ascii="Arial" w:hAnsi="Arial" w:cs="Arial"/>
          <w:iCs/>
          <w:color w:val="000000" w:themeColor="text1"/>
          <w:sz w:val="24"/>
          <w:szCs w:val="24"/>
        </w:rPr>
      </w:pPr>
      <w:r>
        <w:rPr>
          <w:rFonts w:ascii="Arial" w:hAnsi="Arial" w:cs="Arial"/>
          <w:iCs/>
          <w:color w:val="000000" w:themeColor="text1"/>
          <w:sz w:val="24"/>
          <w:szCs w:val="24"/>
        </w:rPr>
        <w:t>introduce</w:t>
      </w:r>
      <w:r w:rsidR="00543B3D">
        <w:rPr>
          <w:rFonts w:ascii="Arial" w:hAnsi="Arial" w:cs="Arial"/>
          <w:iCs/>
          <w:color w:val="000000" w:themeColor="text1"/>
          <w:sz w:val="24"/>
          <w:szCs w:val="24"/>
        </w:rPr>
        <w:t>s</w:t>
      </w:r>
      <w:r>
        <w:rPr>
          <w:rFonts w:ascii="Arial" w:hAnsi="Arial" w:cs="Arial"/>
          <w:iCs/>
          <w:color w:val="000000" w:themeColor="text1"/>
          <w:sz w:val="24"/>
          <w:szCs w:val="24"/>
        </w:rPr>
        <w:t xml:space="preserve"> </w:t>
      </w:r>
      <w:r w:rsidR="00645EA2">
        <w:rPr>
          <w:rFonts w:ascii="Arial" w:hAnsi="Arial" w:cs="Arial"/>
          <w:iCs/>
          <w:color w:val="000000" w:themeColor="text1"/>
          <w:sz w:val="24"/>
          <w:szCs w:val="24"/>
        </w:rPr>
        <w:t xml:space="preserve">a </w:t>
      </w:r>
      <w:r>
        <w:rPr>
          <w:rFonts w:ascii="Arial" w:hAnsi="Arial" w:cs="Arial"/>
          <w:iCs/>
          <w:color w:val="000000" w:themeColor="text1"/>
          <w:sz w:val="24"/>
          <w:szCs w:val="24"/>
        </w:rPr>
        <w:t>transitional provision</w:t>
      </w:r>
      <w:r w:rsidR="00014364">
        <w:rPr>
          <w:rFonts w:ascii="Arial" w:hAnsi="Arial" w:cs="Arial"/>
          <w:iCs/>
          <w:color w:val="000000" w:themeColor="text1"/>
          <w:sz w:val="24"/>
          <w:szCs w:val="24"/>
        </w:rPr>
        <w:t xml:space="preserve"> reducing the minimum monetary contribution for clubs </w:t>
      </w:r>
      <w:r w:rsidR="00F01F01">
        <w:rPr>
          <w:rFonts w:ascii="Arial" w:hAnsi="Arial" w:cs="Arial"/>
          <w:iCs/>
          <w:color w:val="000000" w:themeColor="text1"/>
          <w:sz w:val="24"/>
          <w:szCs w:val="24"/>
        </w:rPr>
        <w:t xml:space="preserve">that are not small or medium clubs or part of a small or medium club group </w:t>
      </w:r>
      <w:r w:rsidR="00014364">
        <w:rPr>
          <w:rFonts w:ascii="Arial" w:hAnsi="Arial" w:cs="Arial"/>
          <w:iCs/>
          <w:color w:val="000000" w:themeColor="text1"/>
          <w:sz w:val="24"/>
          <w:szCs w:val="24"/>
        </w:rPr>
        <w:t xml:space="preserve">from </w:t>
      </w:r>
      <w:r w:rsidR="00034943">
        <w:rPr>
          <w:rFonts w:ascii="Arial" w:hAnsi="Arial" w:cs="Arial"/>
          <w:iCs/>
          <w:color w:val="000000" w:themeColor="text1"/>
          <w:sz w:val="24"/>
          <w:szCs w:val="24"/>
        </w:rPr>
        <w:t xml:space="preserve">6% </w:t>
      </w:r>
      <w:r w:rsidR="00014364">
        <w:rPr>
          <w:rFonts w:ascii="Arial" w:hAnsi="Arial" w:cs="Arial"/>
          <w:iCs/>
          <w:color w:val="000000" w:themeColor="text1"/>
          <w:sz w:val="24"/>
          <w:szCs w:val="24"/>
        </w:rPr>
        <w:t xml:space="preserve">to </w:t>
      </w:r>
      <w:r w:rsidR="00034943">
        <w:rPr>
          <w:rFonts w:ascii="Arial" w:hAnsi="Arial" w:cs="Arial"/>
          <w:iCs/>
          <w:color w:val="000000" w:themeColor="text1"/>
          <w:sz w:val="24"/>
          <w:szCs w:val="24"/>
        </w:rPr>
        <w:t>5%</w:t>
      </w:r>
      <w:r w:rsidR="00014364">
        <w:rPr>
          <w:rFonts w:ascii="Arial" w:hAnsi="Arial" w:cs="Arial"/>
          <w:iCs/>
          <w:color w:val="000000" w:themeColor="text1"/>
          <w:sz w:val="24"/>
          <w:szCs w:val="24"/>
        </w:rPr>
        <w:t xml:space="preserve"> for </w:t>
      </w:r>
      <w:r w:rsidR="00F01F01">
        <w:rPr>
          <w:rFonts w:ascii="Arial" w:hAnsi="Arial" w:cs="Arial"/>
          <w:iCs/>
          <w:color w:val="000000" w:themeColor="text1"/>
          <w:sz w:val="24"/>
          <w:szCs w:val="24"/>
        </w:rPr>
        <w:t xml:space="preserve">reporting years </w:t>
      </w:r>
      <w:r w:rsidR="00F01F01" w:rsidRPr="007C4296">
        <w:rPr>
          <w:rFonts w:ascii="Arial" w:hAnsi="Arial" w:cs="Arial"/>
          <w:iCs/>
          <w:color w:val="000000" w:themeColor="text1"/>
          <w:sz w:val="24"/>
          <w:szCs w:val="24"/>
        </w:rPr>
        <w:t>ending after 30 June 2019 and before 1 July 2021</w:t>
      </w:r>
      <w:r w:rsidR="00014364" w:rsidRPr="007C4296">
        <w:rPr>
          <w:rFonts w:ascii="Arial" w:hAnsi="Arial" w:cs="Arial"/>
          <w:iCs/>
          <w:color w:val="000000" w:themeColor="text1"/>
          <w:sz w:val="24"/>
          <w:szCs w:val="24"/>
        </w:rPr>
        <w:t>; and</w:t>
      </w:r>
    </w:p>
    <w:p w14:paraId="59279090" w14:textId="6FA15133" w:rsidR="007B6A78" w:rsidRPr="007C4296" w:rsidRDefault="00645EA2" w:rsidP="00645EA2">
      <w:pPr>
        <w:pStyle w:val="ListParagraph"/>
        <w:numPr>
          <w:ilvl w:val="0"/>
          <w:numId w:val="3"/>
        </w:numPr>
        <w:spacing w:after="200"/>
        <w:ind w:left="714" w:hanging="357"/>
        <w:rPr>
          <w:rFonts w:ascii="Arial" w:hAnsi="Arial" w:cs="Arial"/>
          <w:iCs/>
          <w:color w:val="000000" w:themeColor="text1"/>
          <w:sz w:val="24"/>
          <w:szCs w:val="24"/>
        </w:rPr>
      </w:pPr>
      <w:r w:rsidRPr="007C4296">
        <w:rPr>
          <w:rFonts w:ascii="Arial" w:hAnsi="Arial" w:cs="Arial"/>
          <w:iCs/>
          <w:color w:val="000000" w:themeColor="text1"/>
          <w:sz w:val="24"/>
          <w:szCs w:val="24"/>
        </w:rPr>
        <w:t>introduce</w:t>
      </w:r>
      <w:r w:rsidR="00543B3D">
        <w:rPr>
          <w:rFonts w:ascii="Arial" w:hAnsi="Arial" w:cs="Arial"/>
          <w:iCs/>
          <w:color w:val="000000" w:themeColor="text1"/>
          <w:sz w:val="24"/>
          <w:szCs w:val="24"/>
        </w:rPr>
        <w:t>s</w:t>
      </w:r>
      <w:r w:rsidRPr="007C4296">
        <w:rPr>
          <w:rFonts w:ascii="Arial" w:hAnsi="Arial" w:cs="Arial"/>
          <w:iCs/>
          <w:color w:val="000000" w:themeColor="text1"/>
          <w:sz w:val="24"/>
          <w:szCs w:val="24"/>
        </w:rPr>
        <w:t xml:space="preserve"> a transitional provision</w:t>
      </w:r>
      <w:r w:rsidR="00014364" w:rsidRPr="007C4296">
        <w:rPr>
          <w:rFonts w:ascii="Arial" w:hAnsi="Arial" w:cs="Arial"/>
          <w:iCs/>
          <w:color w:val="000000" w:themeColor="text1"/>
          <w:sz w:val="24"/>
          <w:szCs w:val="24"/>
        </w:rPr>
        <w:t xml:space="preserve"> reducing community contributions shortfall tax from 150% to 100% </w:t>
      </w:r>
      <w:r w:rsidR="00F01F01" w:rsidRPr="007C4296">
        <w:rPr>
          <w:rFonts w:ascii="Arial" w:hAnsi="Arial" w:cs="Arial"/>
          <w:iCs/>
          <w:color w:val="000000" w:themeColor="text1"/>
          <w:sz w:val="24"/>
          <w:szCs w:val="24"/>
        </w:rPr>
        <w:t>for reporting years ending after 30 June 2019 and before 1 July 2021</w:t>
      </w:r>
      <w:r w:rsidR="004D0E75" w:rsidRPr="007C4296">
        <w:rPr>
          <w:rFonts w:ascii="Arial" w:hAnsi="Arial" w:cs="Arial"/>
          <w:iCs/>
          <w:color w:val="000000" w:themeColor="text1"/>
          <w:sz w:val="24"/>
          <w:szCs w:val="24"/>
        </w:rPr>
        <w:t>.</w:t>
      </w:r>
    </w:p>
    <w:p w14:paraId="784E41C5" w14:textId="2C81C7A9" w:rsidR="00C912A4" w:rsidRDefault="00C912A4" w:rsidP="00C912A4">
      <w:pPr>
        <w:rPr>
          <w:rFonts w:ascii="Arial" w:hAnsi="Arial" w:cs="Arial"/>
          <w:iCs/>
          <w:color w:val="000000" w:themeColor="text1"/>
          <w:sz w:val="24"/>
          <w:szCs w:val="24"/>
        </w:rPr>
      </w:pPr>
    </w:p>
    <w:p w14:paraId="5D5C6C0D" w14:textId="6D5714C2"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04B9A22C" w14:textId="18CC76EA" w:rsidR="00497E00" w:rsidRDefault="00497E00" w:rsidP="00414921">
      <w:pPr>
        <w:rPr>
          <w:rFonts w:ascii="Arial" w:hAnsi="Arial" w:cs="Arial"/>
          <w:iCs/>
          <w:color w:val="000000" w:themeColor="text1"/>
          <w:sz w:val="24"/>
          <w:szCs w:val="24"/>
        </w:rPr>
      </w:pPr>
      <w:r>
        <w:rPr>
          <w:rFonts w:ascii="Arial" w:hAnsi="Arial" w:cs="Arial"/>
          <w:iCs/>
          <w:color w:val="000000" w:themeColor="text1"/>
          <w:sz w:val="24"/>
          <w:szCs w:val="24"/>
        </w:rPr>
        <w:t>The recommendations of the</w:t>
      </w:r>
      <w:r w:rsidR="00124002">
        <w:rPr>
          <w:rFonts w:ascii="Arial" w:hAnsi="Arial" w:cs="Arial"/>
          <w:iCs/>
          <w:color w:val="000000" w:themeColor="text1"/>
          <w:sz w:val="24"/>
          <w:szCs w:val="24"/>
        </w:rPr>
        <w:t xml:space="preserve"> Analysis Report</w:t>
      </w:r>
      <w:r>
        <w:rPr>
          <w:rFonts w:ascii="Arial" w:hAnsi="Arial" w:cs="Arial"/>
          <w:iCs/>
          <w:color w:val="000000" w:themeColor="text1"/>
          <w:sz w:val="24"/>
          <w:szCs w:val="24"/>
        </w:rPr>
        <w:t xml:space="preserve"> were informed by consultation with clubs, club industry peak bodies, Government directorates and trade unions representing club workers. Recommendation one of the </w:t>
      </w:r>
      <w:r w:rsidR="00124002">
        <w:rPr>
          <w:rFonts w:ascii="Arial" w:hAnsi="Arial" w:cs="Arial"/>
          <w:iCs/>
          <w:color w:val="000000" w:themeColor="text1"/>
          <w:sz w:val="24"/>
          <w:szCs w:val="24"/>
        </w:rPr>
        <w:t>Analysis R</w:t>
      </w:r>
      <w:r>
        <w:rPr>
          <w:rFonts w:ascii="Arial" w:hAnsi="Arial" w:cs="Arial"/>
          <w:iCs/>
          <w:color w:val="000000" w:themeColor="text1"/>
          <w:sz w:val="24"/>
          <w:szCs w:val="24"/>
        </w:rPr>
        <w:t xml:space="preserve">eport was made in response to concerns </w:t>
      </w:r>
      <w:r w:rsidR="00124002">
        <w:rPr>
          <w:rFonts w:ascii="Arial" w:hAnsi="Arial" w:cs="Arial"/>
          <w:iCs/>
          <w:color w:val="000000" w:themeColor="text1"/>
          <w:sz w:val="24"/>
          <w:szCs w:val="24"/>
        </w:rPr>
        <w:t xml:space="preserve">raised </w:t>
      </w:r>
      <w:r>
        <w:rPr>
          <w:rFonts w:ascii="Arial" w:hAnsi="Arial" w:cs="Arial"/>
          <w:iCs/>
          <w:color w:val="000000" w:themeColor="text1"/>
          <w:sz w:val="24"/>
          <w:szCs w:val="24"/>
        </w:rPr>
        <w:t xml:space="preserve">by </w:t>
      </w:r>
      <w:r w:rsidR="00124002">
        <w:rPr>
          <w:rFonts w:ascii="Arial" w:hAnsi="Arial" w:cs="Arial"/>
          <w:iCs/>
          <w:color w:val="000000" w:themeColor="text1"/>
          <w:sz w:val="24"/>
          <w:szCs w:val="24"/>
        </w:rPr>
        <w:t>the</w:t>
      </w:r>
      <w:r>
        <w:rPr>
          <w:rFonts w:ascii="Arial" w:hAnsi="Arial" w:cs="Arial"/>
          <w:iCs/>
          <w:color w:val="000000" w:themeColor="text1"/>
          <w:sz w:val="24"/>
          <w:szCs w:val="24"/>
        </w:rPr>
        <w:t xml:space="preserve"> club </w:t>
      </w:r>
      <w:r w:rsidR="00124002">
        <w:rPr>
          <w:rFonts w:ascii="Arial" w:hAnsi="Arial" w:cs="Arial"/>
          <w:iCs/>
          <w:color w:val="000000" w:themeColor="text1"/>
          <w:sz w:val="24"/>
          <w:szCs w:val="24"/>
        </w:rPr>
        <w:t xml:space="preserve">industry </w:t>
      </w:r>
      <w:r>
        <w:rPr>
          <w:rFonts w:ascii="Arial" w:hAnsi="Arial" w:cs="Arial"/>
          <w:iCs/>
          <w:color w:val="000000" w:themeColor="text1"/>
          <w:sz w:val="24"/>
          <w:szCs w:val="24"/>
        </w:rPr>
        <w:t xml:space="preserve">that </w:t>
      </w:r>
      <w:r w:rsidR="00723B70">
        <w:rPr>
          <w:rFonts w:ascii="Arial" w:hAnsi="Arial" w:cs="Arial"/>
          <w:iCs/>
          <w:color w:val="000000" w:themeColor="text1"/>
          <w:sz w:val="24"/>
          <w:szCs w:val="24"/>
        </w:rPr>
        <w:t xml:space="preserve">if </w:t>
      </w:r>
      <w:r w:rsidR="00124002">
        <w:rPr>
          <w:rFonts w:ascii="Arial" w:hAnsi="Arial" w:cs="Arial"/>
          <w:iCs/>
          <w:color w:val="000000" w:themeColor="text1"/>
          <w:sz w:val="24"/>
          <w:szCs w:val="24"/>
        </w:rPr>
        <w:t xml:space="preserve">a club’s </w:t>
      </w:r>
      <w:r>
        <w:rPr>
          <w:rFonts w:ascii="Arial" w:hAnsi="Arial" w:cs="Arial"/>
          <w:iCs/>
          <w:color w:val="000000" w:themeColor="text1"/>
          <w:sz w:val="24"/>
          <w:szCs w:val="24"/>
        </w:rPr>
        <w:t>GGMR were to exceed the threshold by even the smallest amount, the GMT rebate would have to be repaid in its entirety.</w:t>
      </w:r>
      <w:r w:rsidR="004E1B55">
        <w:rPr>
          <w:rFonts w:ascii="Arial" w:hAnsi="Arial" w:cs="Arial"/>
          <w:iCs/>
          <w:color w:val="000000" w:themeColor="text1"/>
          <w:sz w:val="24"/>
          <w:szCs w:val="24"/>
        </w:rPr>
        <w:t xml:space="preserve"> </w:t>
      </w:r>
    </w:p>
    <w:p w14:paraId="779F1109" w14:textId="70CF5D48" w:rsidR="00A540D2" w:rsidRPr="00497E00" w:rsidRDefault="00A540D2" w:rsidP="00414921">
      <w:pPr>
        <w:rPr>
          <w:rFonts w:ascii="Arial" w:hAnsi="Arial" w:cs="Arial"/>
          <w:iCs/>
          <w:color w:val="000000" w:themeColor="text1"/>
          <w:sz w:val="24"/>
          <w:szCs w:val="24"/>
        </w:rPr>
      </w:pPr>
      <w:r>
        <w:rPr>
          <w:rFonts w:ascii="Arial" w:hAnsi="Arial" w:cs="Arial"/>
          <w:iCs/>
          <w:color w:val="000000" w:themeColor="text1"/>
          <w:sz w:val="24"/>
          <w:szCs w:val="24"/>
        </w:rPr>
        <w:t xml:space="preserve">Following the introduction </w:t>
      </w:r>
      <w:r w:rsidR="001C6ECE">
        <w:rPr>
          <w:rFonts w:ascii="Arial" w:hAnsi="Arial" w:cs="Arial"/>
          <w:iCs/>
          <w:color w:val="000000" w:themeColor="text1"/>
          <w:sz w:val="24"/>
          <w:szCs w:val="24"/>
        </w:rPr>
        <w:t xml:space="preserve">of the community contribution scheme reforms by the Amendment Acts of 2018 and 2019, further consultation with clubs, club industry peak bodies and Government directorates has occurred. The proposed amendments and transitional provisions </w:t>
      </w:r>
      <w:r w:rsidR="00543B3D">
        <w:rPr>
          <w:rFonts w:ascii="Arial" w:hAnsi="Arial" w:cs="Arial"/>
          <w:iCs/>
          <w:color w:val="000000" w:themeColor="text1"/>
          <w:sz w:val="24"/>
          <w:szCs w:val="24"/>
        </w:rPr>
        <w:t>respond to</w:t>
      </w:r>
      <w:r w:rsidR="001C6ECE">
        <w:rPr>
          <w:rFonts w:ascii="Arial" w:hAnsi="Arial" w:cs="Arial"/>
          <w:iCs/>
          <w:color w:val="000000" w:themeColor="text1"/>
          <w:sz w:val="24"/>
          <w:szCs w:val="24"/>
        </w:rPr>
        <w:t xml:space="preserve"> stakeholder </w:t>
      </w:r>
      <w:r w:rsidR="00543B3D">
        <w:rPr>
          <w:rFonts w:ascii="Arial" w:hAnsi="Arial" w:cs="Arial"/>
          <w:iCs/>
          <w:color w:val="000000" w:themeColor="text1"/>
          <w:sz w:val="24"/>
          <w:szCs w:val="24"/>
        </w:rPr>
        <w:t xml:space="preserve">feedback </w:t>
      </w:r>
      <w:r w:rsidR="00224B13" w:rsidRPr="00543B3D">
        <w:rPr>
          <w:rFonts w:ascii="Arial" w:hAnsi="Arial" w:cs="Arial"/>
          <w:iCs/>
          <w:color w:val="000000" w:themeColor="text1"/>
          <w:sz w:val="24"/>
          <w:szCs w:val="24"/>
        </w:rPr>
        <w:t>in relation to the operation of the community contributions scheme and its impact on club businesses</w:t>
      </w:r>
      <w:r w:rsidR="001C6ECE">
        <w:rPr>
          <w:rFonts w:ascii="Arial" w:hAnsi="Arial" w:cs="Arial"/>
          <w:iCs/>
          <w:color w:val="000000" w:themeColor="text1"/>
          <w:sz w:val="24"/>
          <w:szCs w:val="24"/>
        </w:rPr>
        <w:t xml:space="preserve">. </w:t>
      </w:r>
    </w:p>
    <w:p w14:paraId="1A2BA5E1" w14:textId="6E3769AB" w:rsidR="00790FE4" w:rsidRDefault="00503AAB" w:rsidP="008C225D">
      <w:pPr>
        <w:pStyle w:val="Heading2"/>
      </w:pPr>
      <w:r>
        <w:t xml:space="preserve">CONSISTENCY WITH </w:t>
      </w:r>
      <w:r w:rsidR="00790FE4" w:rsidRPr="008C225D">
        <w:t>HUMAN RIGHTS</w:t>
      </w:r>
    </w:p>
    <w:p w14:paraId="2B4477B9" w14:textId="58126C8F" w:rsidR="00023B23" w:rsidRDefault="003E79A8" w:rsidP="003E79A8">
      <w:pPr>
        <w:rPr>
          <w:rFonts w:ascii="Arial" w:hAnsi="Arial" w:cs="Arial"/>
          <w:iCs/>
          <w:color w:val="000000" w:themeColor="text1"/>
          <w:sz w:val="24"/>
          <w:szCs w:val="24"/>
        </w:rPr>
      </w:pPr>
      <w:r w:rsidRPr="003E79A8">
        <w:rPr>
          <w:rFonts w:ascii="Arial" w:hAnsi="Arial" w:cs="Arial"/>
          <w:iCs/>
          <w:color w:val="000000" w:themeColor="text1"/>
          <w:sz w:val="24"/>
          <w:szCs w:val="24"/>
        </w:rPr>
        <w:t xml:space="preserve">During the Bill’s development, due regard was given to its compatibility with human rights as set out in the </w:t>
      </w:r>
      <w:r w:rsidRPr="001F05AF">
        <w:rPr>
          <w:rFonts w:ascii="Arial" w:hAnsi="Arial" w:cs="Arial"/>
          <w:i/>
          <w:color w:val="000000" w:themeColor="text1"/>
          <w:sz w:val="24"/>
          <w:szCs w:val="24"/>
        </w:rPr>
        <w:t>Human Rights Act 2004</w:t>
      </w:r>
      <w:r w:rsidRPr="003E79A8">
        <w:rPr>
          <w:rFonts w:ascii="Arial" w:hAnsi="Arial" w:cs="Arial"/>
          <w:iCs/>
          <w:color w:val="000000" w:themeColor="text1"/>
          <w:sz w:val="24"/>
          <w:szCs w:val="24"/>
        </w:rPr>
        <w:t xml:space="preserve">. The Bill does not engage any human rights set out in the </w:t>
      </w:r>
      <w:r w:rsidRPr="001F05AF">
        <w:rPr>
          <w:rFonts w:ascii="Arial" w:hAnsi="Arial" w:cs="Arial"/>
          <w:i/>
          <w:color w:val="000000" w:themeColor="text1"/>
          <w:sz w:val="24"/>
          <w:szCs w:val="24"/>
        </w:rPr>
        <w:t>Human Rights Act 2004</w:t>
      </w:r>
      <w:r w:rsidRPr="003E79A8">
        <w:rPr>
          <w:rFonts w:ascii="Arial" w:hAnsi="Arial" w:cs="Arial"/>
          <w:iCs/>
          <w:color w:val="000000" w:themeColor="text1"/>
          <w:sz w:val="24"/>
          <w:szCs w:val="24"/>
        </w:rPr>
        <w:t>.</w:t>
      </w:r>
      <w:r w:rsidR="000F30AB">
        <w:rPr>
          <w:rFonts w:ascii="Arial" w:hAnsi="Arial" w:cs="Arial"/>
          <w:iCs/>
          <w:color w:val="000000" w:themeColor="text1"/>
          <w:sz w:val="24"/>
          <w:szCs w:val="24"/>
        </w:rPr>
        <w:t xml:space="preserve"> The provisions of the Bill apply only </w:t>
      </w:r>
      <w:r w:rsidR="00C73074">
        <w:rPr>
          <w:rFonts w:ascii="Arial" w:hAnsi="Arial" w:cs="Arial"/>
          <w:iCs/>
          <w:color w:val="000000" w:themeColor="text1"/>
          <w:sz w:val="24"/>
          <w:szCs w:val="24"/>
        </w:rPr>
        <w:t xml:space="preserve">to </w:t>
      </w:r>
      <w:r w:rsidR="00C73074">
        <w:rPr>
          <w:rFonts w:ascii="Arial" w:hAnsi="Arial" w:cs="Arial"/>
          <w:iCs/>
          <w:color w:val="000000" w:themeColor="text1"/>
          <w:sz w:val="24"/>
          <w:szCs w:val="24"/>
        </w:rPr>
        <w:lastRenderedPageBreak/>
        <w:t>gaming machine licensees that are clubs, which are corporations or incorporated associations and are not natural persons.</w:t>
      </w:r>
    </w:p>
    <w:p w14:paraId="25F85C2F" w14:textId="6EDD7966" w:rsidR="007D6581" w:rsidRDefault="007D6581" w:rsidP="003F68EE">
      <w:pPr>
        <w:pStyle w:val="ListParagraph"/>
        <w:ind w:left="1080"/>
        <w:rPr>
          <w:rFonts w:ascii="Arial" w:hAnsi="Arial" w:cs="Arial"/>
          <w:i/>
          <w:color w:val="FF0000"/>
          <w:sz w:val="24"/>
          <w:szCs w:val="24"/>
        </w:rPr>
      </w:pPr>
    </w:p>
    <w:p w14:paraId="2927A5DD" w14:textId="2FEC77E3" w:rsidR="00091E66" w:rsidRPr="006D49BD" w:rsidRDefault="00091E66" w:rsidP="004D1224">
      <w:pPr>
        <w:pageBreakBefore/>
        <w:spacing w:after="0"/>
        <w:rPr>
          <w:rFonts w:ascii="Arial" w:hAnsi="Arial" w:cs="Arial"/>
          <w:b/>
          <w:bCs/>
          <w:sz w:val="24"/>
          <w:szCs w:val="24"/>
        </w:rPr>
      </w:pPr>
    </w:p>
    <w:p w14:paraId="04F50CE4" w14:textId="77777777" w:rsidR="00A5201D" w:rsidRDefault="00A5201D" w:rsidP="00E574DD">
      <w:pPr>
        <w:pStyle w:val="Heading2"/>
        <w:ind w:left="-108"/>
        <w:jc w:val="center"/>
        <w:rPr>
          <w:rFonts w:asciiTheme="minorHAnsi" w:hAnsiTheme="minorHAnsi" w:cs="Arial"/>
          <w:b w:val="0"/>
          <w:sz w:val="28"/>
          <w:szCs w:val="28"/>
          <w:lang w:eastAsia="en-AU"/>
        </w:rPr>
      </w:pPr>
      <w:bookmarkStart w:id="1" w:name="OLE_LINK1"/>
    </w:p>
    <w:p w14:paraId="79AD90A2" w14:textId="2212AD49" w:rsidR="00E574DD" w:rsidRPr="00943C7F" w:rsidRDefault="00F229AB"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Gaming Machine</w:t>
      </w:r>
      <w:r w:rsidR="00CC1A4A">
        <w:rPr>
          <w:rFonts w:asciiTheme="minorHAnsi" w:hAnsiTheme="minorHAnsi" w:cs="Arial"/>
          <w:b w:val="0"/>
          <w:sz w:val="28"/>
          <w:szCs w:val="28"/>
          <w:lang w:eastAsia="en-AU"/>
        </w:rPr>
        <w:t xml:space="preserve"> </w:t>
      </w:r>
      <w:r w:rsidR="00E574DD" w:rsidRPr="00943C7F">
        <w:rPr>
          <w:rFonts w:asciiTheme="minorHAnsi" w:hAnsiTheme="minorHAnsi" w:cs="Arial"/>
          <w:b w:val="0"/>
          <w:sz w:val="28"/>
          <w:szCs w:val="28"/>
          <w:lang w:eastAsia="en-AU"/>
        </w:rPr>
        <w:t>Amendment Bill 20</w:t>
      </w:r>
      <w:r>
        <w:rPr>
          <w:rFonts w:asciiTheme="minorHAnsi" w:hAnsiTheme="minorHAnsi" w:cs="Arial"/>
          <w:b w:val="0"/>
          <w:sz w:val="28"/>
          <w:szCs w:val="28"/>
          <w:lang w:eastAsia="en-AU"/>
        </w:rPr>
        <w:t>20</w:t>
      </w:r>
    </w:p>
    <w:bookmarkEnd w:id="1"/>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7EA8FCF2" w:rsidR="00E574DD" w:rsidRDefault="00E574DD" w:rsidP="00E574DD">
      <w:pPr>
        <w:jc w:val="both"/>
      </w:pPr>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F229AB">
        <w:rPr>
          <w:rFonts w:asciiTheme="minorHAnsi" w:hAnsiTheme="minorHAnsi"/>
          <w:b/>
        </w:rPr>
        <w:t xml:space="preserve">Gaming Machine </w:t>
      </w:r>
      <w:r>
        <w:rPr>
          <w:rFonts w:asciiTheme="minorHAnsi" w:hAnsiTheme="minorHAnsi"/>
          <w:b/>
        </w:rPr>
        <w:t>Amendment Bill</w:t>
      </w:r>
      <w:r w:rsidR="00A5201D">
        <w:rPr>
          <w:rFonts w:asciiTheme="minorHAnsi" w:hAnsiTheme="minorHAnsi"/>
          <w:b/>
        </w:rPr>
        <w:t xml:space="preserve"> </w:t>
      </w:r>
      <w:r>
        <w:rPr>
          <w:rFonts w:asciiTheme="minorHAnsi" w:hAnsiTheme="minorHAnsi"/>
          <w:b/>
        </w:rPr>
        <w:t>20</w:t>
      </w:r>
      <w:r w:rsidR="00F229AB">
        <w:rPr>
          <w:rFonts w:asciiTheme="minorHAnsi" w:hAnsiTheme="minorHAnsi"/>
          <w:b/>
        </w:rPr>
        <w:t>20</w:t>
      </w:r>
      <w:r w:rsidRPr="00521950">
        <w:rPr>
          <w:rFonts w:asciiTheme="minorHAnsi" w:hAnsiTheme="minorHAnsi"/>
        </w:rPr>
        <w:t>.  In my opinion,</w:t>
      </w:r>
      <w:r w:rsidR="000D758B">
        <w:rPr>
          <w:rFonts w:asciiTheme="minorHAnsi" w:hAnsiTheme="minorHAnsi"/>
        </w:rPr>
        <w:t xml:space="preserve"> having regard to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F229AB">
        <w:rPr>
          <w:rFonts w:asciiTheme="minorHAnsi" w:hAnsiTheme="minorHAnsi"/>
        </w:rPr>
        <w:t xml:space="preserve">Assembly </w:t>
      </w:r>
      <w:r w:rsidRPr="00F229AB">
        <w:rPr>
          <w:rFonts w:asciiTheme="minorHAnsi" w:hAnsiTheme="minorHAnsi"/>
        </w:rPr>
        <w:t>is</w:t>
      </w:r>
      <w:r w:rsidR="00F229AB" w:rsidRPr="00F229AB">
        <w:rPr>
          <w:rFonts w:asciiTheme="minorHAnsi" w:hAnsiTheme="minorHAnsi"/>
        </w:rPr>
        <w:t xml:space="preserve"> </w:t>
      </w:r>
      <w:r w:rsidRPr="00F229AB">
        <w:rPr>
          <w:rFonts w:asciiTheme="minorHAnsi" w:hAnsiTheme="minorHAnsi"/>
        </w:rPr>
        <w:t>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77777777" w:rsidR="00E574DD" w:rsidRDefault="00E574DD" w:rsidP="00E574DD">
      <w:pPr>
        <w:rPr>
          <w:rFonts w:asciiTheme="minorHAnsi" w:hAnsiTheme="minorHAnsi" w:cstheme="minorHAnsi"/>
        </w:rPr>
      </w:pPr>
      <w:r>
        <w:rPr>
          <w:rFonts w:asciiTheme="minorHAnsi" w:hAnsiTheme="minorHAnsi" w:cstheme="minorHAnsi"/>
        </w:rPr>
        <w:t>Gordon Ramsay MLA</w:t>
      </w:r>
      <w:r>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0E2E8CBE" w14:textId="77777777" w:rsidR="00E76504" w:rsidRPr="00F229AB" w:rsidRDefault="00E76504" w:rsidP="00E76504">
      <w:pPr>
        <w:rPr>
          <w:rFonts w:ascii="Arial" w:hAnsi="Arial" w:cs="Arial"/>
        </w:rPr>
      </w:pPr>
    </w:p>
    <w:p w14:paraId="27FB735B" w14:textId="6418BF92" w:rsidR="00C61B07" w:rsidRPr="00F229AB" w:rsidRDefault="00C61B07" w:rsidP="00C65E0C">
      <w:pPr>
        <w:pStyle w:val="Heading3"/>
        <w:rPr>
          <w:rFonts w:cs="Arial"/>
        </w:rPr>
      </w:pPr>
      <w:r w:rsidRPr="00F229AB">
        <w:rPr>
          <w:rFonts w:cs="Arial"/>
        </w:rPr>
        <w:t>Clause 1</w:t>
      </w:r>
      <w:r w:rsidRPr="00F229AB">
        <w:rPr>
          <w:rFonts w:cs="Arial"/>
        </w:rPr>
        <w:tab/>
        <w:t>Name of Act</w:t>
      </w:r>
    </w:p>
    <w:p w14:paraId="247A309D" w14:textId="383B4588" w:rsidR="00F229AB" w:rsidRPr="00F229AB" w:rsidRDefault="00F229AB" w:rsidP="00F229AB">
      <w:pPr>
        <w:rPr>
          <w:rFonts w:ascii="Arial" w:hAnsi="Arial" w:cs="Arial"/>
        </w:rPr>
      </w:pPr>
      <w:r w:rsidRPr="00F229AB">
        <w:rPr>
          <w:rFonts w:ascii="Arial" w:hAnsi="Arial" w:cs="Arial"/>
        </w:rPr>
        <w:t xml:space="preserve">This clause is a formal provision setting out the name of the Act as the </w:t>
      </w:r>
      <w:r w:rsidRPr="00F229AB">
        <w:rPr>
          <w:rFonts w:ascii="Arial" w:hAnsi="Arial" w:cs="Arial"/>
          <w:i/>
          <w:iCs/>
        </w:rPr>
        <w:t>Gaming Machine</w:t>
      </w:r>
      <w:r w:rsidR="00656622">
        <w:rPr>
          <w:rFonts w:ascii="Arial" w:hAnsi="Arial" w:cs="Arial"/>
          <w:i/>
          <w:iCs/>
        </w:rPr>
        <w:t xml:space="preserve"> </w:t>
      </w:r>
      <w:r w:rsidRPr="00F229AB">
        <w:rPr>
          <w:rFonts w:ascii="Arial" w:hAnsi="Arial" w:cs="Arial"/>
          <w:i/>
          <w:iCs/>
        </w:rPr>
        <w:t>Amendment Act 2020</w:t>
      </w:r>
      <w:r w:rsidRPr="00F229AB">
        <w:rPr>
          <w:rFonts w:ascii="Arial" w:hAnsi="Arial" w:cs="Arial"/>
        </w:rPr>
        <w:t xml:space="preserve"> (the Amendment Act).</w:t>
      </w:r>
    </w:p>
    <w:p w14:paraId="341827EE" w14:textId="7EA7B213" w:rsidR="00C61B07" w:rsidRPr="00F229AB" w:rsidRDefault="00C61B07" w:rsidP="008C225D">
      <w:pPr>
        <w:pStyle w:val="Heading3"/>
        <w:rPr>
          <w:rFonts w:cs="Arial"/>
        </w:rPr>
      </w:pPr>
      <w:r w:rsidRPr="00F229AB">
        <w:rPr>
          <w:rFonts w:cs="Arial"/>
        </w:rPr>
        <w:t>Clause 2</w:t>
      </w:r>
      <w:r w:rsidRPr="00F229AB">
        <w:rPr>
          <w:rFonts w:cs="Arial"/>
        </w:rPr>
        <w:tab/>
        <w:t>Commencement</w:t>
      </w:r>
    </w:p>
    <w:p w14:paraId="02678834" w14:textId="3702843D" w:rsidR="00F229AB" w:rsidRPr="00F229AB" w:rsidRDefault="00F229AB" w:rsidP="00F229AB">
      <w:pPr>
        <w:rPr>
          <w:rFonts w:ascii="Arial" w:hAnsi="Arial" w:cs="Arial"/>
        </w:rPr>
      </w:pPr>
      <w:r w:rsidRPr="00F229AB">
        <w:rPr>
          <w:rFonts w:ascii="Arial" w:hAnsi="Arial" w:cs="Arial"/>
        </w:rPr>
        <w:t xml:space="preserve">This clause provides that the </w:t>
      </w:r>
      <w:r w:rsidR="00C1766A">
        <w:rPr>
          <w:rFonts w:ascii="Arial" w:hAnsi="Arial" w:cs="Arial"/>
        </w:rPr>
        <w:t xml:space="preserve">provisions of the </w:t>
      </w:r>
      <w:r w:rsidRPr="00F229AB">
        <w:rPr>
          <w:rFonts w:ascii="Arial" w:hAnsi="Arial" w:cs="Arial"/>
        </w:rPr>
        <w:t xml:space="preserve">Amendment Act </w:t>
      </w:r>
      <w:r w:rsidR="00C1766A">
        <w:rPr>
          <w:rFonts w:ascii="Arial" w:hAnsi="Arial" w:cs="Arial"/>
        </w:rPr>
        <w:t xml:space="preserve">concerning the gaming machine tax rebate will commence on </w:t>
      </w:r>
      <w:r w:rsidR="00C1766A" w:rsidRPr="00F229AB">
        <w:rPr>
          <w:rFonts w:ascii="Arial" w:hAnsi="Arial" w:cs="Arial"/>
        </w:rPr>
        <w:t>1 July 2020</w:t>
      </w:r>
      <w:r w:rsidR="00C1766A">
        <w:rPr>
          <w:rFonts w:ascii="Arial" w:hAnsi="Arial" w:cs="Arial"/>
        </w:rPr>
        <w:t xml:space="preserve">. All other provisions </w:t>
      </w:r>
      <w:r w:rsidRPr="00F229AB">
        <w:rPr>
          <w:rFonts w:ascii="Arial" w:hAnsi="Arial" w:cs="Arial"/>
        </w:rPr>
        <w:t>will commence on</w:t>
      </w:r>
      <w:r w:rsidR="00C1766A">
        <w:rPr>
          <w:rFonts w:ascii="Arial" w:hAnsi="Arial" w:cs="Arial"/>
        </w:rPr>
        <w:t xml:space="preserve"> the day after the Act’s notification day</w:t>
      </w:r>
      <w:r w:rsidRPr="00F229AB">
        <w:rPr>
          <w:rFonts w:ascii="Arial" w:hAnsi="Arial" w:cs="Arial"/>
        </w:rPr>
        <w:t>.</w:t>
      </w:r>
    </w:p>
    <w:p w14:paraId="03E3F0B8" w14:textId="56DFD4FB" w:rsidR="00C61B07" w:rsidRPr="00F229AB" w:rsidRDefault="00C61B07" w:rsidP="008C225D">
      <w:pPr>
        <w:pStyle w:val="Heading3"/>
        <w:rPr>
          <w:rFonts w:cs="Arial"/>
        </w:rPr>
      </w:pPr>
      <w:r w:rsidRPr="00F229AB">
        <w:rPr>
          <w:rFonts w:cs="Arial"/>
        </w:rPr>
        <w:t>Clause 3</w:t>
      </w:r>
      <w:r w:rsidRPr="00F229AB">
        <w:rPr>
          <w:rFonts w:cs="Arial"/>
        </w:rPr>
        <w:tab/>
        <w:t>Legislation amended</w:t>
      </w:r>
    </w:p>
    <w:p w14:paraId="63FA72DB" w14:textId="02BBF371" w:rsidR="00F229AB" w:rsidRDefault="00F229AB" w:rsidP="00F229AB">
      <w:pPr>
        <w:rPr>
          <w:rFonts w:ascii="Arial" w:hAnsi="Arial" w:cs="Arial"/>
        </w:rPr>
      </w:pPr>
      <w:r w:rsidRPr="001328E8">
        <w:rPr>
          <w:rFonts w:ascii="Arial" w:hAnsi="Arial" w:cs="Arial"/>
        </w:rPr>
        <w:t xml:space="preserve">This clause lists the legislation amended by this Bill. This Bill will amend the </w:t>
      </w:r>
      <w:r w:rsidRPr="00656622">
        <w:rPr>
          <w:rFonts w:ascii="Arial" w:hAnsi="Arial" w:cs="Arial"/>
          <w:i/>
          <w:iCs/>
        </w:rPr>
        <w:t>Gaming Machine Act 2004</w:t>
      </w:r>
      <w:r w:rsidR="00656622">
        <w:rPr>
          <w:rFonts w:ascii="Arial" w:hAnsi="Arial" w:cs="Arial"/>
        </w:rPr>
        <w:t xml:space="preserve"> and the </w:t>
      </w:r>
      <w:r w:rsidR="00656622">
        <w:rPr>
          <w:rFonts w:ascii="Arial" w:hAnsi="Arial" w:cs="Arial"/>
          <w:i/>
          <w:iCs/>
        </w:rPr>
        <w:t>Gaming Machine Regulation 2004</w:t>
      </w:r>
      <w:r w:rsidRPr="001328E8">
        <w:rPr>
          <w:rFonts w:ascii="Arial" w:hAnsi="Arial" w:cs="Arial"/>
        </w:rPr>
        <w:t>.</w:t>
      </w:r>
    </w:p>
    <w:p w14:paraId="51093E65" w14:textId="3031A60F" w:rsidR="00B6324D" w:rsidRPr="001328E8" w:rsidRDefault="00B6324D" w:rsidP="00B6324D">
      <w:pPr>
        <w:pStyle w:val="Heading3"/>
        <w:rPr>
          <w:rFonts w:cs="Arial"/>
        </w:rPr>
      </w:pPr>
      <w:r w:rsidRPr="001328E8">
        <w:rPr>
          <w:rFonts w:cs="Arial"/>
        </w:rPr>
        <w:t>Clause 4</w:t>
      </w:r>
      <w:r w:rsidRPr="001328E8">
        <w:rPr>
          <w:rFonts w:cs="Arial"/>
        </w:rPr>
        <w:tab/>
      </w:r>
      <w:r w:rsidR="007A0712">
        <w:rPr>
          <w:rFonts w:cs="Arial"/>
        </w:rPr>
        <w:t xml:space="preserve">Annual report of clubs, </w:t>
      </w:r>
      <w:r w:rsidRPr="001328E8">
        <w:rPr>
          <w:rFonts w:cs="Arial"/>
        </w:rPr>
        <w:t xml:space="preserve">Section </w:t>
      </w:r>
      <w:r>
        <w:rPr>
          <w:rFonts w:cs="Arial"/>
        </w:rPr>
        <w:t>54 (1)</w:t>
      </w:r>
    </w:p>
    <w:p w14:paraId="6AAB817B" w14:textId="317CD976" w:rsidR="00B6324D" w:rsidRDefault="00B6324D" w:rsidP="00B6324D">
      <w:pPr>
        <w:rPr>
          <w:rFonts w:ascii="Arial" w:hAnsi="Arial" w:cs="Arial"/>
        </w:rPr>
      </w:pPr>
      <w:r>
        <w:rPr>
          <w:rFonts w:ascii="Arial" w:hAnsi="Arial" w:cs="Arial"/>
        </w:rPr>
        <w:t>This clause</w:t>
      </w:r>
      <w:r w:rsidR="00537D80">
        <w:rPr>
          <w:rFonts w:ascii="Arial" w:hAnsi="Arial" w:cs="Arial"/>
        </w:rPr>
        <w:t xml:space="preserve"> forms part of the amendments that clarify </w:t>
      </w:r>
      <w:r w:rsidR="00926EFD">
        <w:rPr>
          <w:rFonts w:ascii="Arial" w:hAnsi="Arial" w:cs="Arial"/>
        </w:rPr>
        <w:t xml:space="preserve">community contribution </w:t>
      </w:r>
      <w:r w:rsidR="00537D80">
        <w:rPr>
          <w:rFonts w:ascii="Arial" w:hAnsi="Arial" w:cs="Arial"/>
        </w:rPr>
        <w:t>requirements for licensees that are clubs</w:t>
      </w:r>
      <w:r w:rsidR="008A5913">
        <w:rPr>
          <w:rFonts w:ascii="Arial" w:hAnsi="Arial" w:cs="Arial"/>
        </w:rPr>
        <w:t xml:space="preserve"> with more than one venue (authorised premises)</w:t>
      </w:r>
      <w:r w:rsidR="00537D80">
        <w:rPr>
          <w:rFonts w:ascii="Arial" w:hAnsi="Arial" w:cs="Arial"/>
        </w:rPr>
        <w:t xml:space="preserve">. See </w:t>
      </w:r>
      <w:r w:rsidR="00C23C95">
        <w:rPr>
          <w:rFonts w:ascii="Arial" w:hAnsi="Arial" w:cs="Arial"/>
        </w:rPr>
        <w:t xml:space="preserve">notes on </w:t>
      </w:r>
      <w:r w:rsidR="00C23C95" w:rsidRPr="00D57C33">
        <w:rPr>
          <w:rFonts w:ascii="Arial" w:hAnsi="Arial" w:cs="Arial"/>
        </w:rPr>
        <w:t>Clause 1</w:t>
      </w:r>
      <w:r w:rsidR="00280E87" w:rsidRPr="00D57C33">
        <w:rPr>
          <w:rFonts w:ascii="Arial" w:hAnsi="Arial" w:cs="Arial"/>
        </w:rPr>
        <w:t>8</w:t>
      </w:r>
      <w:r w:rsidR="00C23C95">
        <w:rPr>
          <w:rFonts w:ascii="Arial" w:hAnsi="Arial" w:cs="Arial"/>
        </w:rPr>
        <w:t xml:space="preserve"> (section 167) </w:t>
      </w:r>
      <w:r w:rsidR="00537D80">
        <w:rPr>
          <w:rFonts w:ascii="Arial" w:hAnsi="Arial" w:cs="Arial"/>
        </w:rPr>
        <w:t>for further explanation.</w:t>
      </w:r>
    </w:p>
    <w:p w14:paraId="53B905A0" w14:textId="1764E759" w:rsidR="00CC1F9F" w:rsidRPr="001328E8" w:rsidRDefault="00CC1F9F" w:rsidP="00CC1F9F">
      <w:pPr>
        <w:pStyle w:val="Heading3"/>
        <w:rPr>
          <w:rFonts w:cs="Arial"/>
        </w:rPr>
      </w:pPr>
      <w:r w:rsidRPr="001328E8">
        <w:rPr>
          <w:rFonts w:cs="Arial"/>
        </w:rPr>
        <w:t xml:space="preserve">Clause </w:t>
      </w:r>
      <w:r>
        <w:rPr>
          <w:rFonts w:cs="Arial"/>
        </w:rPr>
        <w:t>5</w:t>
      </w:r>
      <w:r w:rsidRPr="001328E8">
        <w:rPr>
          <w:rFonts w:cs="Arial"/>
        </w:rPr>
        <w:tab/>
        <w:t xml:space="preserve">Section </w:t>
      </w:r>
      <w:r>
        <w:rPr>
          <w:rFonts w:cs="Arial"/>
        </w:rPr>
        <w:t>54 (1) (a) (</w:t>
      </w:r>
      <w:proofErr w:type="spellStart"/>
      <w:r>
        <w:rPr>
          <w:rFonts w:cs="Arial"/>
        </w:rPr>
        <w:t>i</w:t>
      </w:r>
      <w:proofErr w:type="spellEnd"/>
      <w:r>
        <w:rPr>
          <w:rFonts w:cs="Arial"/>
        </w:rPr>
        <w:t>)</w:t>
      </w:r>
    </w:p>
    <w:p w14:paraId="7C19B5AB" w14:textId="5E89DDEA" w:rsidR="00CC1F9F" w:rsidRDefault="00CC1F9F" w:rsidP="00CC1F9F">
      <w:pPr>
        <w:rPr>
          <w:rFonts w:ascii="Arial" w:hAnsi="Arial" w:cs="Arial"/>
        </w:rPr>
      </w:pPr>
      <w:r>
        <w:rPr>
          <w:rFonts w:ascii="Arial" w:hAnsi="Arial" w:cs="Arial"/>
        </w:rPr>
        <w:t xml:space="preserve">This clause forms part of the amendments that clarify </w:t>
      </w:r>
      <w:r w:rsidR="00926EFD">
        <w:rPr>
          <w:rFonts w:ascii="Arial" w:hAnsi="Arial" w:cs="Arial"/>
        </w:rPr>
        <w:t xml:space="preserve">community contribution </w:t>
      </w:r>
      <w:r>
        <w:rPr>
          <w:rFonts w:ascii="Arial" w:hAnsi="Arial" w:cs="Arial"/>
        </w:rPr>
        <w:t xml:space="preserve">requirements for licensees that are clubs with more than one venue (authorised premises). See notes on </w:t>
      </w:r>
      <w:r w:rsidRPr="00D57C33">
        <w:rPr>
          <w:rFonts w:ascii="Arial" w:hAnsi="Arial" w:cs="Arial"/>
        </w:rPr>
        <w:t>Clause 1</w:t>
      </w:r>
      <w:r w:rsidR="00280E87" w:rsidRPr="00D57C33">
        <w:rPr>
          <w:rFonts w:ascii="Arial" w:hAnsi="Arial" w:cs="Arial"/>
        </w:rPr>
        <w:t>8</w:t>
      </w:r>
      <w:r>
        <w:rPr>
          <w:rFonts w:ascii="Arial" w:hAnsi="Arial" w:cs="Arial"/>
        </w:rPr>
        <w:t xml:space="preserve"> (section 167) for further explanation.</w:t>
      </w:r>
    </w:p>
    <w:p w14:paraId="015B6C91" w14:textId="0B30A788" w:rsidR="00CC1F9F" w:rsidRPr="001328E8" w:rsidRDefault="00CC1F9F" w:rsidP="00CC1F9F">
      <w:pPr>
        <w:pStyle w:val="Heading3"/>
        <w:rPr>
          <w:rFonts w:cs="Arial"/>
        </w:rPr>
      </w:pPr>
      <w:r w:rsidRPr="001328E8">
        <w:rPr>
          <w:rFonts w:cs="Arial"/>
        </w:rPr>
        <w:t xml:space="preserve">Clause </w:t>
      </w:r>
      <w:r>
        <w:rPr>
          <w:rFonts w:cs="Arial"/>
        </w:rPr>
        <w:t>6</w:t>
      </w:r>
      <w:r w:rsidRPr="001328E8">
        <w:rPr>
          <w:rFonts w:cs="Arial"/>
        </w:rPr>
        <w:tab/>
        <w:t xml:space="preserve">Section </w:t>
      </w:r>
      <w:r>
        <w:rPr>
          <w:rFonts w:cs="Arial"/>
        </w:rPr>
        <w:t>54 (1) (d) (</w:t>
      </w:r>
      <w:proofErr w:type="spellStart"/>
      <w:r>
        <w:rPr>
          <w:rFonts w:cs="Arial"/>
        </w:rPr>
        <w:t>i</w:t>
      </w:r>
      <w:proofErr w:type="spellEnd"/>
      <w:r>
        <w:rPr>
          <w:rFonts w:cs="Arial"/>
        </w:rPr>
        <w:t>)</w:t>
      </w:r>
    </w:p>
    <w:p w14:paraId="21853EC2" w14:textId="7E2338B7" w:rsidR="00BE7A9C" w:rsidRDefault="00CC1F9F" w:rsidP="00B6324D">
      <w:pPr>
        <w:rPr>
          <w:rFonts w:ascii="Arial" w:hAnsi="Arial" w:cs="Arial"/>
        </w:rPr>
      </w:pPr>
      <w:r>
        <w:rPr>
          <w:rFonts w:ascii="Arial" w:hAnsi="Arial" w:cs="Arial"/>
        </w:rPr>
        <w:t xml:space="preserve">This clause forms part of the amendments that clarify </w:t>
      </w:r>
      <w:r w:rsidR="00926EFD">
        <w:rPr>
          <w:rFonts w:ascii="Arial" w:hAnsi="Arial" w:cs="Arial"/>
        </w:rPr>
        <w:t xml:space="preserve">community contribution </w:t>
      </w:r>
      <w:r>
        <w:rPr>
          <w:rFonts w:ascii="Arial" w:hAnsi="Arial" w:cs="Arial"/>
        </w:rPr>
        <w:t xml:space="preserve">requirements for licensees that are clubs with more than one venue (authorised premises). See notes on </w:t>
      </w:r>
      <w:r w:rsidRPr="00D57C33">
        <w:rPr>
          <w:rFonts w:ascii="Arial" w:hAnsi="Arial" w:cs="Arial"/>
        </w:rPr>
        <w:t>Clause 1</w:t>
      </w:r>
      <w:r w:rsidR="00280E87" w:rsidRPr="00D57C33">
        <w:rPr>
          <w:rFonts w:ascii="Arial" w:hAnsi="Arial" w:cs="Arial"/>
        </w:rPr>
        <w:t>8</w:t>
      </w:r>
      <w:r>
        <w:rPr>
          <w:rFonts w:ascii="Arial" w:hAnsi="Arial" w:cs="Arial"/>
        </w:rPr>
        <w:t xml:space="preserve"> (section 167) for further explanation.</w:t>
      </w:r>
    </w:p>
    <w:p w14:paraId="50932EE3" w14:textId="654C9A2D" w:rsidR="00B6324D" w:rsidRPr="001328E8" w:rsidRDefault="00B6324D" w:rsidP="00B6324D">
      <w:pPr>
        <w:pStyle w:val="Heading3"/>
        <w:rPr>
          <w:rFonts w:cs="Arial"/>
        </w:rPr>
      </w:pPr>
      <w:r w:rsidRPr="001328E8">
        <w:rPr>
          <w:rFonts w:cs="Arial"/>
        </w:rPr>
        <w:t xml:space="preserve">Clause </w:t>
      </w:r>
      <w:r w:rsidR="00CC1F9F">
        <w:rPr>
          <w:rFonts w:cs="Arial"/>
        </w:rPr>
        <w:t>7</w:t>
      </w:r>
      <w:r w:rsidRPr="001328E8">
        <w:rPr>
          <w:rFonts w:cs="Arial"/>
        </w:rPr>
        <w:tab/>
      </w:r>
      <w:r w:rsidR="007A0712">
        <w:rPr>
          <w:rFonts w:cs="Arial"/>
        </w:rPr>
        <w:t xml:space="preserve">Computer cabinet access register, </w:t>
      </w:r>
      <w:r w:rsidRPr="001328E8">
        <w:rPr>
          <w:rFonts w:cs="Arial"/>
        </w:rPr>
        <w:t xml:space="preserve">Section </w:t>
      </w:r>
      <w:r>
        <w:rPr>
          <w:rFonts w:cs="Arial"/>
        </w:rPr>
        <w:t>71 (2)</w:t>
      </w:r>
    </w:p>
    <w:p w14:paraId="7F76D8BD" w14:textId="234358A7" w:rsidR="00B6324D" w:rsidRPr="001328E8" w:rsidRDefault="00B6324D" w:rsidP="00F229AB">
      <w:pPr>
        <w:rPr>
          <w:rFonts w:ascii="Arial" w:hAnsi="Arial" w:cs="Arial"/>
        </w:rPr>
      </w:pPr>
      <w:r>
        <w:rPr>
          <w:rFonts w:ascii="Arial" w:hAnsi="Arial" w:cs="Arial"/>
        </w:rPr>
        <w:t>This clause</w:t>
      </w:r>
      <w:r w:rsidR="00537D80" w:rsidRPr="001328E8">
        <w:rPr>
          <w:rFonts w:ascii="Arial" w:hAnsi="Arial" w:cs="Arial"/>
        </w:rPr>
        <w:t xml:space="preserve"> is a </w:t>
      </w:r>
      <w:r w:rsidR="003F47CC">
        <w:rPr>
          <w:rFonts w:ascii="Arial" w:hAnsi="Arial" w:cs="Arial"/>
        </w:rPr>
        <w:t>technical</w:t>
      </w:r>
      <w:r w:rsidR="00537D80" w:rsidRPr="001328E8">
        <w:rPr>
          <w:rFonts w:ascii="Arial" w:hAnsi="Arial" w:cs="Arial"/>
        </w:rPr>
        <w:t xml:space="preserve"> amendment that </w:t>
      </w:r>
      <w:r w:rsidR="003F47CC">
        <w:rPr>
          <w:rFonts w:ascii="Arial" w:hAnsi="Arial" w:cs="Arial"/>
        </w:rPr>
        <w:t>corrects</w:t>
      </w:r>
      <w:r w:rsidR="00537D80" w:rsidRPr="001328E8">
        <w:rPr>
          <w:rFonts w:ascii="Arial" w:hAnsi="Arial" w:cs="Arial"/>
        </w:rPr>
        <w:t xml:space="preserve"> an erroneous reference to </w:t>
      </w:r>
      <w:r w:rsidR="00537D80">
        <w:rPr>
          <w:rFonts w:ascii="Arial" w:hAnsi="Arial" w:cs="Arial"/>
        </w:rPr>
        <w:t>an undefined term</w:t>
      </w:r>
      <w:r w:rsidR="003F47CC">
        <w:rPr>
          <w:rFonts w:ascii="Arial" w:hAnsi="Arial" w:cs="Arial"/>
        </w:rPr>
        <w:t>, reflecting changes made to</w:t>
      </w:r>
      <w:r w:rsidR="00537D80" w:rsidRPr="001328E8">
        <w:rPr>
          <w:rFonts w:ascii="Arial" w:hAnsi="Arial" w:cs="Arial"/>
        </w:rPr>
        <w:t xml:space="preserve"> the </w:t>
      </w:r>
      <w:r w:rsidR="003F47CC">
        <w:rPr>
          <w:rFonts w:ascii="Arial" w:hAnsi="Arial" w:cs="Arial"/>
        </w:rPr>
        <w:t xml:space="preserve">language of the </w:t>
      </w:r>
      <w:r w:rsidR="00537D80" w:rsidRPr="001328E8">
        <w:rPr>
          <w:rFonts w:ascii="Arial" w:hAnsi="Arial" w:cs="Arial"/>
        </w:rPr>
        <w:t xml:space="preserve">Gaming Machine Act </w:t>
      </w:r>
      <w:r w:rsidR="003F47CC">
        <w:rPr>
          <w:rFonts w:ascii="Arial" w:hAnsi="Arial" w:cs="Arial"/>
        </w:rPr>
        <w:t xml:space="preserve">by the </w:t>
      </w:r>
      <w:r w:rsidR="003F47CC" w:rsidRPr="003F47CC">
        <w:rPr>
          <w:rFonts w:ascii="Arial" w:hAnsi="Arial" w:cs="Arial"/>
          <w:i/>
          <w:iCs/>
        </w:rPr>
        <w:t xml:space="preserve">Gaming </w:t>
      </w:r>
      <w:r w:rsidR="00BD3347">
        <w:rPr>
          <w:rFonts w:ascii="Arial" w:hAnsi="Arial" w:cs="Arial"/>
          <w:i/>
          <w:iCs/>
        </w:rPr>
        <w:t>Machine (Reform)</w:t>
      </w:r>
      <w:r w:rsidR="003F47CC" w:rsidRPr="003F47CC">
        <w:rPr>
          <w:rFonts w:ascii="Arial" w:hAnsi="Arial" w:cs="Arial"/>
          <w:i/>
          <w:iCs/>
        </w:rPr>
        <w:t xml:space="preserve"> Amendment Act 201</w:t>
      </w:r>
      <w:r w:rsidR="00BD3347">
        <w:rPr>
          <w:rFonts w:ascii="Arial" w:hAnsi="Arial" w:cs="Arial"/>
          <w:i/>
          <w:iCs/>
        </w:rPr>
        <w:t xml:space="preserve">5 </w:t>
      </w:r>
      <w:r w:rsidR="00BD3347">
        <w:rPr>
          <w:rFonts w:ascii="Arial" w:hAnsi="Arial" w:cs="Arial"/>
        </w:rPr>
        <w:t>(the Amendment Act of 2015)</w:t>
      </w:r>
      <w:r w:rsidR="003F47CC">
        <w:rPr>
          <w:rFonts w:ascii="Arial" w:hAnsi="Arial" w:cs="Arial"/>
        </w:rPr>
        <w:t>.</w:t>
      </w:r>
    </w:p>
    <w:p w14:paraId="45D98CA1" w14:textId="24168D0D" w:rsidR="00F229AB" w:rsidRPr="007A0712" w:rsidRDefault="00F229AB" w:rsidP="00F56FD4">
      <w:pPr>
        <w:pStyle w:val="Heading3"/>
        <w:ind w:left="1440" w:hanging="1440"/>
        <w:rPr>
          <w:rFonts w:cs="Arial"/>
        </w:rPr>
      </w:pPr>
      <w:r w:rsidRPr="001328E8">
        <w:rPr>
          <w:rFonts w:cs="Arial"/>
        </w:rPr>
        <w:t xml:space="preserve">Clause </w:t>
      </w:r>
      <w:r w:rsidR="00CC1F9F">
        <w:rPr>
          <w:rFonts w:cs="Arial"/>
        </w:rPr>
        <w:t>8</w:t>
      </w:r>
      <w:r w:rsidRPr="001328E8">
        <w:rPr>
          <w:rFonts w:cs="Arial"/>
        </w:rPr>
        <w:tab/>
      </w:r>
      <w:r w:rsidR="007A0712">
        <w:rPr>
          <w:rFonts w:cs="Arial"/>
        </w:rPr>
        <w:t>Definitions–</w:t>
      </w:r>
      <w:proofErr w:type="spellStart"/>
      <w:r w:rsidR="007A0712">
        <w:rPr>
          <w:rFonts w:cs="Arial"/>
        </w:rPr>
        <w:t>pt</w:t>
      </w:r>
      <w:proofErr w:type="spellEnd"/>
      <w:r w:rsidR="007A0712">
        <w:rPr>
          <w:rFonts w:cs="Arial"/>
        </w:rPr>
        <w:t xml:space="preserve"> 11, </w:t>
      </w:r>
      <w:r w:rsidR="001328E8" w:rsidRPr="001328E8">
        <w:rPr>
          <w:rFonts w:cs="Arial"/>
        </w:rPr>
        <w:t>Section 157A</w:t>
      </w:r>
      <w:r w:rsidR="007A0712">
        <w:rPr>
          <w:rFonts w:cs="Arial"/>
        </w:rPr>
        <w:t xml:space="preserve">, definitions of </w:t>
      </w:r>
      <w:r w:rsidR="007A0712">
        <w:rPr>
          <w:rFonts w:cs="Arial"/>
          <w:i/>
          <w:iCs/>
        </w:rPr>
        <w:t>small or medium club</w:t>
      </w:r>
      <w:r w:rsidR="007A0712">
        <w:rPr>
          <w:rFonts w:cs="Arial"/>
        </w:rPr>
        <w:t xml:space="preserve"> and </w:t>
      </w:r>
      <w:r w:rsidR="007A0712">
        <w:rPr>
          <w:rFonts w:cs="Arial"/>
          <w:i/>
          <w:iCs/>
        </w:rPr>
        <w:t>small or medium club group</w:t>
      </w:r>
    </w:p>
    <w:p w14:paraId="5B81B530" w14:textId="17320BDB" w:rsidR="00F229AB" w:rsidRDefault="00555959" w:rsidP="00F229AB">
      <w:pPr>
        <w:rPr>
          <w:rFonts w:ascii="Arial" w:hAnsi="Arial" w:cs="Arial"/>
        </w:rPr>
      </w:pPr>
      <w:r>
        <w:rPr>
          <w:rFonts w:ascii="Arial" w:hAnsi="Arial" w:cs="Arial"/>
        </w:rPr>
        <w:t xml:space="preserve">This clause amends the definitions of a </w:t>
      </w:r>
      <w:r>
        <w:rPr>
          <w:rFonts w:ascii="Arial" w:hAnsi="Arial" w:cs="Arial"/>
          <w:b/>
          <w:bCs/>
          <w:i/>
          <w:iCs/>
        </w:rPr>
        <w:t>small or medium club</w:t>
      </w:r>
      <w:r>
        <w:rPr>
          <w:rFonts w:ascii="Arial" w:hAnsi="Arial" w:cs="Arial"/>
          <w:b/>
          <w:bCs/>
        </w:rPr>
        <w:t xml:space="preserve"> </w:t>
      </w:r>
      <w:r>
        <w:rPr>
          <w:rFonts w:ascii="Arial" w:hAnsi="Arial" w:cs="Arial"/>
        </w:rPr>
        <w:t xml:space="preserve">and a </w:t>
      </w:r>
      <w:r>
        <w:rPr>
          <w:rFonts w:ascii="Arial" w:hAnsi="Arial" w:cs="Arial"/>
          <w:b/>
          <w:bCs/>
          <w:i/>
          <w:iCs/>
        </w:rPr>
        <w:t>small or medium club group</w:t>
      </w:r>
      <w:r>
        <w:rPr>
          <w:rFonts w:ascii="Arial" w:hAnsi="Arial" w:cs="Arial"/>
        </w:rPr>
        <w:t xml:space="preserve"> for Part 11 (Finance) of the Gaming Machine Act.</w:t>
      </w:r>
    </w:p>
    <w:p w14:paraId="31467E27" w14:textId="77777777" w:rsidR="00723B70" w:rsidRDefault="00555959" w:rsidP="00F229AB">
      <w:pPr>
        <w:rPr>
          <w:rFonts w:ascii="Arial" w:hAnsi="Arial" w:cs="Arial"/>
        </w:rPr>
      </w:pPr>
      <w:r>
        <w:rPr>
          <w:rFonts w:ascii="Arial" w:hAnsi="Arial" w:cs="Arial"/>
        </w:rPr>
        <w:lastRenderedPageBreak/>
        <w:t xml:space="preserve">The current definition states that a licensee, or all the licensees within a club group, is a small or medium club or club group if the gross revenue in relation to the operation of gaming machines under all authorisation certificates held by the licensee(s) is </w:t>
      </w:r>
    </w:p>
    <w:p w14:paraId="724151D0" w14:textId="1D56EA3A" w:rsidR="00723B70" w:rsidRDefault="00555959" w:rsidP="00F229AB">
      <w:pPr>
        <w:rPr>
          <w:rFonts w:ascii="Arial" w:hAnsi="Arial" w:cs="Arial"/>
        </w:rPr>
      </w:pPr>
      <w:r>
        <w:rPr>
          <w:rFonts w:ascii="Arial" w:hAnsi="Arial" w:cs="Arial"/>
        </w:rPr>
        <w:t xml:space="preserve">(a) not more than $4 </w:t>
      </w:r>
      <w:r w:rsidR="00D57C33">
        <w:rPr>
          <w:rFonts w:ascii="Arial" w:hAnsi="Arial" w:cs="Arial"/>
        </w:rPr>
        <w:t>million</w:t>
      </w:r>
      <w:r>
        <w:rPr>
          <w:rFonts w:ascii="Arial" w:hAnsi="Arial" w:cs="Arial"/>
        </w:rPr>
        <w:t xml:space="preserve"> for the financial year, or </w:t>
      </w:r>
    </w:p>
    <w:p w14:paraId="75FD9F01" w14:textId="4CCCE55B" w:rsidR="00555959" w:rsidRDefault="00555959" w:rsidP="00F229AB">
      <w:pPr>
        <w:rPr>
          <w:rFonts w:ascii="Arial" w:hAnsi="Arial" w:cs="Arial"/>
        </w:rPr>
      </w:pPr>
      <w:r>
        <w:rPr>
          <w:rFonts w:ascii="Arial" w:hAnsi="Arial" w:cs="Arial"/>
        </w:rPr>
        <w:t xml:space="preserve">(b) was not more than $4 </w:t>
      </w:r>
      <w:r w:rsidR="00D57C33">
        <w:rPr>
          <w:rFonts w:ascii="Arial" w:hAnsi="Arial" w:cs="Arial"/>
        </w:rPr>
        <w:t>million</w:t>
      </w:r>
      <w:r>
        <w:rPr>
          <w:rFonts w:ascii="Arial" w:hAnsi="Arial" w:cs="Arial"/>
        </w:rPr>
        <w:t xml:space="preserve"> in the financial year beginning on 1 July 2017.</w:t>
      </w:r>
    </w:p>
    <w:p w14:paraId="7DAAAD14" w14:textId="59C9CCD8" w:rsidR="00555959" w:rsidRDefault="00555959" w:rsidP="00F229AB">
      <w:pPr>
        <w:rPr>
          <w:rFonts w:ascii="Arial" w:hAnsi="Arial" w:cs="Arial"/>
        </w:rPr>
      </w:pPr>
      <w:r>
        <w:rPr>
          <w:rFonts w:ascii="Arial" w:hAnsi="Arial" w:cs="Arial"/>
        </w:rPr>
        <w:t xml:space="preserve">Part (b) of these definitions </w:t>
      </w:r>
      <w:r w:rsidR="00441274">
        <w:rPr>
          <w:rFonts w:ascii="Arial" w:hAnsi="Arial" w:cs="Arial"/>
        </w:rPr>
        <w:t>now provides</w:t>
      </w:r>
      <w:r>
        <w:rPr>
          <w:rFonts w:ascii="Arial" w:hAnsi="Arial" w:cs="Arial"/>
        </w:rPr>
        <w:t xml:space="preserve"> if a club or club group’s GGMR for the financial year exceeds $4 </w:t>
      </w:r>
      <w:r w:rsidR="00D57C33">
        <w:rPr>
          <w:rFonts w:ascii="Arial" w:hAnsi="Arial" w:cs="Arial"/>
        </w:rPr>
        <w:t>million</w:t>
      </w:r>
      <w:r>
        <w:rPr>
          <w:rFonts w:ascii="Arial" w:hAnsi="Arial" w:cs="Arial"/>
        </w:rPr>
        <w:t xml:space="preserve">, that club or group will be classified as small or medium </w:t>
      </w:r>
      <w:r w:rsidR="00402F6F">
        <w:rPr>
          <w:rFonts w:ascii="Arial" w:hAnsi="Arial" w:cs="Arial"/>
        </w:rPr>
        <w:t xml:space="preserve">if it receives a reduced GMT rebate through the application of new section 162A (2A). The intent of the amended part (b) of the definitions is to ensure that there are no unintended consequences for licensees exceeding the $4 </w:t>
      </w:r>
      <w:r w:rsidR="00D57C33">
        <w:rPr>
          <w:rFonts w:ascii="Arial" w:hAnsi="Arial" w:cs="Arial"/>
        </w:rPr>
        <w:t>million</w:t>
      </w:r>
      <w:r w:rsidR="00402F6F">
        <w:rPr>
          <w:rFonts w:ascii="Arial" w:hAnsi="Arial" w:cs="Arial"/>
        </w:rPr>
        <w:t xml:space="preserve"> threshold by an amount small enough to attract a reduced level of rebate</w:t>
      </w:r>
      <w:r w:rsidR="00CC29F4">
        <w:rPr>
          <w:rFonts w:ascii="Arial" w:hAnsi="Arial" w:cs="Arial"/>
        </w:rPr>
        <w:t xml:space="preserve">. Small or medium status is linked to a number of other benefits, the unexpected loss of which could impact the business and cashflow of the effected licensee. These benefits </w:t>
      </w:r>
      <w:r w:rsidR="00256552">
        <w:rPr>
          <w:rFonts w:ascii="Arial" w:hAnsi="Arial" w:cs="Arial"/>
        </w:rPr>
        <w:t>include, but are not limited to,</w:t>
      </w:r>
      <w:r w:rsidR="00CC29F4">
        <w:rPr>
          <w:rFonts w:ascii="Arial" w:hAnsi="Arial" w:cs="Arial"/>
        </w:rPr>
        <w:t xml:space="preserve"> </w:t>
      </w:r>
      <w:r w:rsidR="00193883">
        <w:rPr>
          <w:rFonts w:ascii="Arial" w:hAnsi="Arial" w:cs="Arial"/>
        </w:rPr>
        <w:t>a reduced monetary contribution requirement under</w:t>
      </w:r>
      <w:r w:rsidR="00256552">
        <w:rPr>
          <w:rFonts w:ascii="Arial" w:hAnsi="Arial" w:cs="Arial"/>
        </w:rPr>
        <w:t xml:space="preserve"> the </w:t>
      </w:r>
      <w:r w:rsidR="00CC29F4">
        <w:rPr>
          <w:rFonts w:ascii="Arial" w:hAnsi="Arial" w:cs="Arial"/>
        </w:rPr>
        <w:t xml:space="preserve">community contributions scheme, </w:t>
      </w:r>
      <w:r w:rsidR="00193883">
        <w:rPr>
          <w:rFonts w:ascii="Arial" w:hAnsi="Arial" w:cs="Arial"/>
        </w:rPr>
        <w:t>priority applicant status for the</w:t>
      </w:r>
      <w:r w:rsidR="00CC29F4">
        <w:rPr>
          <w:rFonts w:ascii="Arial" w:hAnsi="Arial" w:cs="Arial"/>
        </w:rPr>
        <w:t xml:space="preserve"> Diversification and Sustainability Support Fund and the </w:t>
      </w:r>
      <w:r w:rsidR="00193883">
        <w:rPr>
          <w:rFonts w:ascii="Arial" w:hAnsi="Arial" w:cs="Arial"/>
        </w:rPr>
        <w:t>ability to elect to pay GM</w:t>
      </w:r>
      <w:r w:rsidR="00CC29F4">
        <w:rPr>
          <w:rFonts w:ascii="Arial" w:hAnsi="Arial" w:cs="Arial"/>
        </w:rPr>
        <w:t xml:space="preserve">T and other statutory payments </w:t>
      </w:r>
      <w:r w:rsidR="00193883">
        <w:rPr>
          <w:rFonts w:ascii="Arial" w:hAnsi="Arial" w:cs="Arial"/>
        </w:rPr>
        <w:t>on a quarterly (rather than monthly) basis</w:t>
      </w:r>
      <w:r w:rsidR="00CC29F4">
        <w:rPr>
          <w:rFonts w:ascii="Arial" w:hAnsi="Arial" w:cs="Arial"/>
        </w:rPr>
        <w:t>.</w:t>
      </w:r>
    </w:p>
    <w:p w14:paraId="68C3FF77" w14:textId="5E63F851" w:rsidR="00402F6F" w:rsidRDefault="00402F6F" w:rsidP="00F229AB">
      <w:pPr>
        <w:rPr>
          <w:rFonts w:ascii="Arial" w:hAnsi="Arial" w:cs="Arial"/>
        </w:rPr>
      </w:pPr>
      <w:r>
        <w:rPr>
          <w:rFonts w:ascii="Arial" w:hAnsi="Arial" w:cs="Arial"/>
        </w:rPr>
        <w:t xml:space="preserve">Furthermore, the amended provision operates to ensure that licensees that </w:t>
      </w:r>
      <w:r w:rsidR="00441274">
        <w:rPr>
          <w:rFonts w:ascii="Arial" w:hAnsi="Arial" w:cs="Arial"/>
        </w:rPr>
        <w:t>increase</w:t>
      </w:r>
      <w:r>
        <w:rPr>
          <w:rFonts w:ascii="Arial" w:hAnsi="Arial" w:cs="Arial"/>
        </w:rPr>
        <w:t xml:space="preserve"> their gaming </w:t>
      </w:r>
      <w:r w:rsidR="00441274">
        <w:rPr>
          <w:rFonts w:ascii="Arial" w:hAnsi="Arial" w:cs="Arial"/>
        </w:rPr>
        <w:t xml:space="preserve">machine revenue </w:t>
      </w:r>
      <w:r>
        <w:rPr>
          <w:rFonts w:ascii="Arial" w:hAnsi="Arial" w:cs="Arial"/>
        </w:rPr>
        <w:t>and have GGMR for a financial year substantially exceeding the threshold will not remain eligible for the GMT rebate in perpetuity.</w:t>
      </w:r>
    </w:p>
    <w:p w14:paraId="06648C5A" w14:textId="6D76E3A5" w:rsidR="00B6324D" w:rsidRPr="001328E8" w:rsidRDefault="00B6324D" w:rsidP="00B6324D">
      <w:pPr>
        <w:pStyle w:val="Heading3"/>
        <w:rPr>
          <w:rFonts w:cs="Arial"/>
        </w:rPr>
      </w:pPr>
      <w:r w:rsidRPr="001328E8">
        <w:rPr>
          <w:rFonts w:cs="Arial"/>
        </w:rPr>
        <w:t xml:space="preserve">Clause </w:t>
      </w:r>
      <w:r w:rsidR="00CC1F9F">
        <w:rPr>
          <w:rFonts w:cs="Arial"/>
        </w:rPr>
        <w:t>9</w:t>
      </w:r>
      <w:r w:rsidRPr="001328E8">
        <w:rPr>
          <w:rFonts w:cs="Arial"/>
        </w:rPr>
        <w:tab/>
      </w:r>
      <w:r w:rsidR="007A0712">
        <w:rPr>
          <w:rFonts w:cs="Arial"/>
        </w:rPr>
        <w:t xml:space="preserve">Audit of financial statements etc, </w:t>
      </w:r>
      <w:r w:rsidRPr="001328E8">
        <w:rPr>
          <w:rFonts w:cs="Arial"/>
        </w:rPr>
        <w:t>Section 15</w:t>
      </w:r>
      <w:r>
        <w:rPr>
          <w:rFonts w:cs="Arial"/>
        </w:rPr>
        <w:t>8 (1) (a) and (b)</w:t>
      </w:r>
    </w:p>
    <w:p w14:paraId="7FDB9A5C" w14:textId="79A5AE97" w:rsidR="00C23C95" w:rsidRDefault="00C23C95" w:rsidP="00C23C95">
      <w:pPr>
        <w:rPr>
          <w:rFonts w:ascii="Arial" w:hAnsi="Arial" w:cs="Arial"/>
        </w:rPr>
      </w:pPr>
      <w:r>
        <w:rPr>
          <w:rFonts w:ascii="Arial" w:hAnsi="Arial" w:cs="Arial"/>
        </w:rPr>
        <w:t xml:space="preserve">This clause forms part of the amendments that clarify </w:t>
      </w:r>
      <w:r w:rsidR="00926EFD">
        <w:rPr>
          <w:rFonts w:ascii="Arial" w:hAnsi="Arial" w:cs="Arial"/>
        </w:rPr>
        <w:t xml:space="preserve">community contribution </w:t>
      </w:r>
      <w:r>
        <w:rPr>
          <w:rFonts w:ascii="Arial" w:hAnsi="Arial" w:cs="Arial"/>
        </w:rPr>
        <w:t xml:space="preserve">requirements for licensees that are clubs with more than one venue (authorised premises). See notes on </w:t>
      </w:r>
      <w:r w:rsidRPr="00D57C33">
        <w:rPr>
          <w:rFonts w:ascii="Arial" w:hAnsi="Arial" w:cs="Arial"/>
        </w:rPr>
        <w:t>Clause 1</w:t>
      </w:r>
      <w:r w:rsidR="00280E87" w:rsidRPr="00D57C33">
        <w:rPr>
          <w:rFonts w:ascii="Arial" w:hAnsi="Arial" w:cs="Arial"/>
        </w:rPr>
        <w:t>8</w:t>
      </w:r>
      <w:r>
        <w:rPr>
          <w:rFonts w:ascii="Arial" w:hAnsi="Arial" w:cs="Arial"/>
        </w:rPr>
        <w:t xml:space="preserve"> (section 167) for further explanation.</w:t>
      </w:r>
    </w:p>
    <w:p w14:paraId="13117E7A" w14:textId="582F200E" w:rsidR="00F229AB" w:rsidRPr="001328E8" w:rsidRDefault="00F229AB" w:rsidP="00F56FD4">
      <w:pPr>
        <w:pStyle w:val="Heading3"/>
        <w:ind w:left="1440" w:hanging="1440"/>
        <w:rPr>
          <w:rFonts w:cs="Arial"/>
        </w:rPr>
      </w:pPr>
      <w:r w:rsidRPr="001328E8">
        <w:rPr>
          <w:rFonts w:cs="Arial"/>
        </w:rPr>
        <w:t xml:space="preserve">Clause </w:t>
      </w:r>
      <w:r w:rsidR="00CC1F9F">
        <w:rPr>
          <w:rFonts w:cs="Arial"/>
        </w:rPr>
        <w:t>10</w:t>
      </w:r>
      <w:r w:rsidRPr="001328E8">
        <w:rPr>
          <w:rFonts w:cs="Arial"/>
        </w:rPr>
        <w:tab/>
      </w:r>
      <w:r w:rsidR="007A0712">
        <w:rPr>
          <w:rFonts w:cs="Arial"/>
        </w:rPr>
        <w:t xml:space="preserve">Payment of gaming machine tax or payment to diversification and sustainability support fund–quarterly election, </w:t>
      </w:r>
      <w:r w:rsidR="001328E8" w:rsidRPr="001328E8">
        <w:rPr>
          <w:rFonts w:cs="Arial"/>
        </w:rPr>
        <w:t>Section 161A</w:t>
      </w:r>
      <w:r w:rsidR="00633300">
        <w:rPr>
          <w:rFonts w:cs="Arial"/>
        </w:rPr>
        <w:t xml:space="preserve"> (1)</w:t>
      </w:r>
    </w:p>
    <w:p w14:paraId="140EB3B9" w14:textId="40BD5E63" w:rsidR="00F229AB" w:rsidRPr="001328E8" w:rsidRDefault="00537D80" w:rsidP="00F229AB">
      <w:pPr>
        <w:rPr>
          <w:rFonts w:ascii="Arial" w:hAnsi="Arial" w:cs="Arial"/>
        </w:rPr>
      </w:pPr>
      <w:r>
        <w:rPr>
          <w:rFonts w:ascii="Arial" w:hAnsi="Arial" w:cs="Arial"/>
        </w:rPr>
        <w:t>This clause</w:t>
      </w:r>
      <w:r w:rsidR="001328E8" w:rsidRPr="001328E8">
        <w:rPr>
          <w:rFonts w:ascii="Arial" w:hAnsi="Arial" w:cs="Arial"/>
        </w:rPr>
        <w:t xml:space="preserve"> is a minor amendment that removes an erroneous reference to section 162 of the Gaming Machine Act (which concerns gaming machine tax returns).</w:t>
      </w:r>
    </w:p>
    <w:p w14:paraId="001C9A95" w14:textId="43718065" w:rsidR="00F229AB" w:rsidRPr="001328E8" w:rsidRDefault="00F229AB" w:rsidP="00F229AB">
      <w:pPr>
        <w:pStyle w:val="Heading3"/>
        <w:rPr>
          <w:rFonts w:cs="Arial"/>
        </w:rPr>
      </w:pPr>
      <w:r w:rsidRPr="001328E8">
        <w:rPr>
          <w:rFonts w:cs="Arial"/>
        </w:rPr>
        <w:t xml:space="preserve">Clause </w:t>
      </w:r>
      <w:r w:rsidR="00CC1F9F">
        <w:rPr>
          <w:rFonts w:cs="Arial"/>
        </w:rPr>
        <w:t>11</w:t>
      </w:r>
      <w:r w:rsidRPr="001328E8">
        <w:rPr>
          <w:rFonts w:cs="Arial"/>
        </w:rPr>
        <w:tab/>
      </w:r>
      <w:r w:rsidR="001328E8" w:rsidRPr="001328E8">
        <w:rPr>
          <w:rFonts w:cs="Arial"/>
        </w:rPr>
        <w:t>New section 161A (4)</w:t>
      </w:r>
    </w:p>
    <w:p w14:paraId="5874071E" w14:textId="196EC428" w:rsidR="001328E8" w:rsidRPr="001328E8" w:rsidRDefault="008A5913" w:rsidP="001328E8">
      <w:pPr>
        <w:rPr>
          <w:rFonts w:ascii="Arial" w:hAnsi="Arial" w:cs="Arial"/>
        </w:rPr>
      </w:pPr>
      <w:r>
        <w:rPr>
          <w:rFonts w:ascii="Arial" w:hAnsi="Arial" w:cs="Arial"/>
        </w:rPr>
        <w:t>This clause</w:t>
      </w:r>
      <w:r w:rsidR="001328E8" w:rsidRPr="001328E8">
        <w:rPr>
          <w:rFonts w:ascii="Arial" w:hAnsi="Arial" w:cs="Arial"/>
        </w:rPr>
        <w:t xml:space="preserve"> is a minor amendment that provides a </w:t>
      </w:r>
      <w:r>
        <w:rPr>
          <w:rFonts w:ascii="Arial" w:hAnsi="Arial" w:cs="Arial"/>
        </w:rPr>
        <w:t xml:space="preserve">signpost </w:t>
      </w:r>
      <w:r w:rsidR="001328E8" w:rsidRPr="001328E8">
        <w:rPr>
          <w:rFonts w:ascii="Arial" w:hAnsi="Arial" w:cs="Arial"/>
        </w:rPr>
        <w:t xml:space="preserve">definition </w:t>
      </w:r>
      <w:r>
        <w:rPr>
          <w:rFonts w:ascii="Arial" w:hAnsi="Arial" w:cs="Arial"/>
        </w:rPr>
        <w:t>for</w:t>
      </w:r>
      <w:r w:rsidR="001328E8" w:rsidRPr="001328E8">
        <w:rPr>
          <w:rFonts w:ascii="Arial" w:hAnsi="Arial" w:cs="Arial"/>
        </w:rPr>
        <w:t xml:space="preserve"> the term </w:t>
      </w:r>
      <w:r w:rsidR="001328E8" w:rsidRPr="001328E8">
        <w:rPr>
          <w:rFonts w:ascii="Arial" w:hAnsi="Arial" w:cs="Arial"/>
          <w:b/>
          <w:bCs/>
          <w:i/>
          <w:iCs/>
        </w:rPr>
        <w:t>required amount</w:t>
      </w:r>
      <w:r w:rsidR="001328E8" w:rsidRPr="001328E8">
        <w:rPr>
          <w:rFonts w:ascii="Arial" w:hAnsi="Arial" w:cs="Arial"/>
        </w:rPr>
        <w:t xml:space="preserve"> in relation to contributions a licensee must make to the </w:t>
      </w:r>
      <w:r w:rsidR="004D0034">
        <w:rPr>
          <w:rFonts w:ascii="Arial" w:hAnsi="Arial" w:cs="Arial"/>
        </w:rPr>
        <w:t>D</w:t>
      </w:r>
      <w:r w:rsidR="001328E8" w:rsidRPr="001328E8">
        <w:rPr>
          <w:rFonts w:ascii="Arial" w:hAnsi="Arial" w:cs="Arial"/>
        </w:rPr>
        <w:t xml:space="preserve">iversification and </w:t>
      </w:r>
      <w:r w:rsidR="004D0034">
        <w:rPr>
          <w:rFonts w:ascii="Arial" w:hAnsi="Arial" w:cs="Arial"/>
        </w:rPr>
        <w:t>S</w:t>
      </w:r>
      <w:r w:rsidR="001328E8" w:rsidRPr="001328E8">
        <w:rPr>
          <w:rFonts w:ascii="Arial" w:hAnsi="Arial" w:cs="Arial"/>
        </w:rPr>
        <w:t xml:space="preserve">ustainability </w:t>
      </w:r>
      <w:r w:rsidR="004D0034">
        <w:rPr>
          <w:rFonts w:ascii="Arial" w:hAnsi="Arial" w:cs="Arial"/>
        </w:rPr>
        <w:t>S</w:t>
      </w:r>
      <w:r w:rsidR="001328E8" w:rsidRPr="001328E8">
        <w:rPr>
          <w:rFonts w:ascii="Arial" w:hAnsi="Arial" w:cs="Arial"/>
        </w:rPr>
        <w:t xml:space="preserve">upport </w:t>
      </w:r>
      <w:r w:rsidR="004D0034">
        <w:rPr>
          <w:rFonts w:ascii="Arial" w:hAnsi="Arial" w:cs="Arial"/>
        </w:rPr>
        <w:t>F</w:t>
      </w:r>
      <w:r w:rsidR="001328E8" w:rsidRPr="001328E8">
        <w:rPr>
          <w:rFonts w:ascii="Arial" w:hAnsi="Arial" w:cs="Arial"/>
        </w:rPr>
        <w:t>und.</w:t>
      </w:r>
    </w:p>
    <w:p w14:paraId="0D7DCE40" w14:textId="74578B5D" w:rsidR="001328E8" w:rsidRPr="001328E8" w:rsidRDefault="001328E8" w:rsidP="001328E8">
      <w:pPr>
        <w:pStyle w:val="Heading3"/>
        <w:rPr>
          <w:rFonts w:cs="Arial"/>
        </w:rPr>
      </w:pPr>
      <w:r w:rsidRPr="001328E8">
        <w:rPr>
          <w:rFonts w:cs="Arial"/>
        </w:rPr>
        <w:t xml:space="preserve">Clause </w:t>
      </w:r>
      <w:r w:rsidR="00633300">
        <w:rPr>
          <w:rFonts w:cs="Arial"/>
        </w:rPr>
        <w:t>1</w:t>
      </w:r>
      <w:r w:rsidR="00CC1F9F">
        <w:rPr>
          <w:rFonts w:cs="Arial"/>
        </w:rPr>
        <w:t>2</w:t>
      </w:r>
      <w:r w:rsidRPr="001328E8">
        <w:rPr>
          <w:rFonts w:cs="Arial"/>
        </w:rPr>
        <w:tab/>
      </w:r>
      <w:r w:rsidR="007A0712">
        <w:rPr>
          <w:rFonts w:cs="Arial"/>
        </w:rPr>
        <w:t xml:space="preserve">Gaming machine tax rebate–financial year, </w:t>
      </w:r>
      <w:r w:rsidRPr="001328E8">
        <w:rPr>
          <w:rFonts w:cs="Arial"/>
        </w:rPr>
        <w:t>New section 162A (2A)</w:t>
      </w:r>
    </w:p>
    <w:p w14:paraId="1B68E65A" w14:textId="70B34D9A" w:rsidR="00FF5EA1" w:rsidRDefault="00783B0C" w:rsidP="00FF5EA1">
      <w:pPr>
        <w:rPr>
          <w:rFonts w:ascii="Arial" w:hAnsi="Arial" w:cs="Arial"/>
        </w:rPr>
      </w:pPr>
      <w:r>
        <w:rPr>
          <w:rFonts w:ascii="Arial" w:hAnsi="Arial" w:cs="Arial"/>
        </w:rPr>
        <w:t>N</w:t>
      </w:r>
      <w:r w:rsidR="00DB67B3">
        <w:rPr>
          <w:rFonts w:ascii="Arial" w:hAnsi="Arial" w:cs="Arial"/>
        </w:rPr>
        <w:t>ew section 162A (2A) introduces a phased reduction of the GMT rebate. A licensee is entitled to a GMT rebate for the financial year if the licensee is a small or medium club,</w:t>
      </w:r>
      <w:r w:rsidR="00F56FD4">
        <w:rPr>
          <w:rFonts w:ascii="Arial" w:hAnsi="Arial" w:cs="Arial"/>
        </w:rPr>
        <w:t xml:space="preserve"> </w:t>
      </w:r>
      <w:r w:rsidR="00DB67B3">
        <w:rPr>
          <w:rFonts w:ascii="Arial" w:hAnsi="Arial" w:cs="Arial"/>
        </w:rPr>
        <w:t xml:space="preserve">or is part of a small or medium club group, for the year. </w:t>
      </w:r>
      <w:r w:rsidR="00254139">
        <w:rPr>
          <w:rFonts w:ascii="Arial" w:hAnsi="Arial" w:cs="Arial"/>
        </w:rPr>
        <w:t xml:space="preserve">The amount of the GMT rebate for a licensee is 50 percent of the licensee’s GMT liability for the financial year. The new section provides that if </w:t>
      </w:r>
      <w:r w:rsidR="007F34B1">
        <w:rPr>
          <w:rFonts w:ascii="Arial" w:hAnsi="Arial" w:cs="Arial"/>
        </w:rPr>
        <w:t>a</w:t>
      </w:r>
      <w:r w:rsidR="00254139">
        <w:rPr>
          <w:rFonts w:ascii="Arial" w:hAnsi="Arial" w:cs="Arial"/>
        </w:rPr>
        <w:t xml:space="preserve"> licensee’s GGMR exceeds</w:t>
      </w:r>
      <w:r w:rsidR="004D2767">
        <w:rPr>
          <w:rFonts w:ascii="Arial" w:hAnsi="Arial" w:cs="Arial"/>
        </w:rPr>
        <w:t xml:space="preserve"> a threshold of</w:t>
      </w:r>
      <w:r w:rsidR="00254139">
        <w:rPr>
          <w:rFonts w:ascii="Arial" w:hAnsi="Arial" w:cs="Arial"/>
        </w:rPr>
        <w:t xml:space="preserve"> $4 000 000 for the financial year, the amount of the GMT rebate for the licensee will be reduced by $0.50 for each dollar that the licensee’s GGMR exceeds </w:t>
      </w:r>
      <w:r w:rsidR="004D2767">
        <w:rPr>
          <w:rFonts w:ascii="Arial" w:hAnsi="Arial" w:cs="Arial"/>
        </w:rPr>
        <w:t>that threshold</w:t>
      </w:r>
      <w:r w:rsidR="00254139">
        <w:rPr>
          <w:rFonts w:ascii="Arial" w:hAnsi="Arial" w:cs="Arial"/>
        </w:rPr>
        <w:t xml:space="preserve">. </w:t>
      </w:r>
    </w:p>
    <w:p w14:paraId="31FF32BF" w14:textId="04509CEF" w:rsidR="00FF5EA1" w:rsidRPr="003E5807" w:rsidRDefault="00FF5EA1" w:rsidP="003E5807">
      <w:pPr>
        <w:pStyle w:val="instructions"/>
        <w:spacing w:line="276" w:lineRule="auto"/>
        <w:rPr>
          <w:rFonts w:ascii="Arial" w:hAnsi="Arial" w:cs="Arial"/>
          <w:color w:val="auto"/>
          <w:sz w:val="22"/>
          <w:szCs w:val="22"/>
          <w:lang w:eastAsia="en-US"/>
        </w:rPr>
      </w:pPr>
      <w:r w:rsidRPr="003E5807">
        <w:rPr>
          <w:rFonts w:ascii="Arial" w:hAnsi="Arial" w:cs="Arial"/>
          <w:color w:val="auto"/>
          <w:sz w:val="22"/>
          <w:szCs w:val="22"/>
          <w:lang w:eastAsia="en-US"/>
        </w:rPr>
        <w:lastRenderedPageBreak/>
        <w:t>For example, a club’s GGMR for the 2020-2021 financial year is $4,350,000. The amount of gaming machine tax paid on the initial $4,000,000 of GGMR was $718,250. The rebate to be received on this amount would be $359,125. However</w:t>
      </w:r>
      <w:r>
        <w:rPr>
          <w:rFonts w:ascii="Arial" w:hAnsi="Arial" w:cs="Arial"/>
          <w:color w:val="auto"/>
          <w:sz w:val="22"/>
          <w:szCs w:val="22"/>
          <w:lang w:eastAsia="en-US"/>
        </w:rPr>
        <w:t>,</w:t>
      </w:r>
      <w:r w:rsidRPr="003E5807">
        <w:rPr>
          <w:rFonts w:ascii="Arial" w:hAnsi="Arial" w:cs="Arial"/>
          <w:color w:val="auto"/>
          <w:sz w:val="22"/>
          <w:szCs w:val="22"/>
          <w:lang w:eastAsia="en-US"/>
        </w:rPr>
        <w:t xml:space="preserve"> as the club’s GGMR has exceeded $4 million by $350,000, the amount by which the rebate is reduced is $175,000. Therefore, the amount of rebate the club is entitled to for the 2020-2021 financial year is $184,125 (being $359,125</w:t>
      </w:r>
      <w:r w:rsidR="00576CDA">
        <w:rPr>
          <w:rFonts w:ascii="Arial" w:hAnsi="Arial" w:cs="Arial"/>
          <w:color w:val="auto"/>
          <w:sz w:val="22"/>
          <w:szCs w:val="22"/>
          <w:lang w:eastAsia="en-US"/>
        </w:rPr>
        <w:t xml:space="preserve"> </w:t>
      </w:r>
      <w:r w:rsidRPr="003E5807">
        <w:rPr>
          <w:rFonts w:ascii="Arial" w:hAnsi="Arial" w:cs="Arial"/>
          <w:color w:val="auto"/>
          <w:sz w:val="22"/>
          <w:szCs w:val="22"/>
          <w:lang w:eastAsia="en-US"/>
        </w:rPr>
        <w:t>-</w:t>
      </w:r>
      <w:r w:rsidR="00576CDA">
        <w:rPr>
          <w:rFonts w:ascii="Arial" w:hAnsi="Arial" w:cs="Arial"/>
          <w:color w:val="auto"/>
          <w:sz w:val="22"/>
          <w:szCs w:val="22"/>
          <w:lang w:eastAsia="en-US"/>
        </w:rPr>
        <w:t xml:space="preserve"> </w:t>
      </w:r>
      <w:r w:rsidRPr="003E5807">
        <w:rPr>
          <w:rFonts w:ascii="Arial" w:hAnsi="Arial" w:cs="Arial"/>
          <w:color w:val="auto"/>
          <w:sz w:val="22"/>
          <w:szCs w:val="22"/>
          <w:lang w:eastAsia="en-US"/>
        </w:rPr>
        <w:t>$175,000).</w:t>
      </w:r>
    </w:p>
    <w:p w14:paraId="2E5E2B4B" w14:textId="234C6C80" w:rsidR="001328E8" w:rsidRDefault="00254139" w:rsidP="001328E8">
      <w:pPr>
        <w:rPr>
          <w:rFonts w:ascii="Arial" w:hAnsi="Arial" w:cs="Arial"/>
        </w:rPr>
      </w:pPr>
      <w:r>
        <w:rPr>
          <w:rFonts w:ascii="Arial" w:hAnsi="Arial" w:cs="Arial"/>
        </w:rPr>
        <w:t>An example is provided</w:t>
      </w:r>
      <w:r w:rsidR="00FF5EA1">
        <w:rPr>
          <w:rFonts w:ascii="Arial" w:hAnsi="Arial" w:cs="Arial"/>
        </w:rPr>
        <w:t xml:space="preserve"> in the Bill</w:t>
      </w:r>
      <w:r>
        <w:rPr>
          <w:rFonts w:ascii="Arial" w:hAnsi="Arial" w:cs="Arial"/>
        </w:rPr>
        <w:t xml:space="preserve"> illustrating how th</w:t>
      </w:r>
      <w:r w:rsidR="00434784">
        <w:rPr>
          <w:rFonts w:ascii="Arial" w:hAnsi="Arial" w:cs="Arial"/>
        </w:rPr>
        <w:t xml:space="preserve">e </w:t>
      </w:r>
      <w:r>
        <w:rPr>
          <w:rFonts w:ascii="Arial" w:hAnsi="Arial" w:cs="Arial"/>
        </w:rPr>
        <w:t xml:space="preserve">amount </w:t>
      </w:r>
      <w:r w:rsidR="00434784">
        <w:rPr>
          <w:rFonts w:ascii="Arial" w:hAnsi="Arial" w:cs="Arial"/>
        </w:rPr>
        <w:t xml:space="preserve">of GMT rebate that a licensee is entitled to </w:t>
      </w:r>
      <w:r>
        <w:rPr>
          <w:rFonts w:ascii="Arial" w:hAnsi="Arial" w:cs="Arial"/>
        </w:rPr>
        <w:t xml:space="preserve">is reduced where </w:t>
      </w:r>
      <w:r w:rsidR="00434784">
        <w:rPr>
          <w:rFonts w:ascii="Arial" w:hAnsi="Arial" w:cs="Arial"/>
        </w:rPr>
        <w:t xml:space="preserve">the </w:t>
      </w:r>
      <w:r>
        <w:rPr>
          <w:rFonts w:ascii="Arial" w:hAnsi="Arial" w:cs="Arial"/>
        </w:rPr>
        <w:t>licensee’s GGMR exceeds the threshold.</w:t>
      </w:r>
    </w:p>
    <w:p w14:paraId="7FC16668" w14:textId="45EB1D3A" w:rsidR="00254139" w:rsidRPr="001328E8" w:rsidRDefault="00254139" w:rsidP="001328E8">
      <w:pPr>
        <w:rPr>
          <w:rFonts w:ascii="Arial" w:hAnsi="Arial" w:cs="Arial"/>
        </w:rPr>
      </w:pPr>
      <w:r>
        <w:rPr>
          <w:rFonts w:ascii="Arial" w:hAnsi="Arial" w:cs="Arial"/>
        </w:rPr>
        <w:t xml:space="preserve">The new section is intended to gradually reduce the amount of GMT rebate </w:t>
      </w:r>
      <w:r w:rsidR="006D3B0E">
        <w:rPr>
          <w:rFonts w:ascii="Arial" w:hAnsi="Arial" w:cs="Arial"/>
        </w:rPr>
        <w:t>that</w:t>
      </w:r>
      <w:r>
        <w:rPr>
          <w:rFonts w:ascii="Arial" w:hAnsi="Arial" w:cs="Arial"/>
        </w:rPr>
        <w:t xml:space="preserve"> </w:t>
      </w:r>
      <w:r w:rsidR="006D3B0E">
        <w:rPr>
          <w:rFonts w:ascii="Arial" w:hAnsi="Arial" w:cs="Arial"/>
        </w:rPr>
        <w:t xml:space="preserve">a </w:t>
      </w:r>
      <w:r>
        <w:rPr>
          <w:rFonts w:ascii="Arial" w:hAnsi="Arial" w:cs="Arial"/>
        </w:rPr>
        <w:t xml:space="preserve">licensee </w:t>
      </w:r>
      <w:r w:rsidR="006D3B0E">
        <w:rPr>
          <w:rFonts w:ascii="Arial" w:hAnsi="Arial" w:cs="Arial"/>
        </w:rPr>
        <w:t>is entitled to receive as their GGMR increases, and to eventually remove the licensee’s entitlement to the rebate entirely. In conjunction with clause 4 of the Bill, such licensees would no longer be classified as being small or medium.</w:t>
      </w:r>
    </w:p>
    <w:p w14:paraId="6DAF9F01" w14:textId="7EAB1B68" w:rsidR="001328E8" w:rsidRPr="001328E8" w:rsidRDefault="001328E8" w:rsidP="00F56FD4">
      <w:pPr>
        <w:pStyle w:val="Heading3"/>
        <w:ind w:left="1440" w:hanging="1440"/>
        <w:rPr>
          <w:rFonts w:cs="Arial"/>
        </w:rPr>
      </w:pPr>
      <w:r w:rsidRPr="001328E8">
        <w:rPr>
          <w:rFonts w:cs="Arial"/>
        </w:rPr>
        <w:t xml:space="preserve">Clause </w:t>
      </w:r>
      <w:r w:rsidR="00633300">
        <w:rPr>
          <w:rFonts w:cs="Arial"/>
        </w:rPr>
        <w:t>1</w:t>
      </w:r>
      <w:r w:rsidR="00CC1F9F">
        <w:rPr>
          <w:rFonts w:cs="Arial"/>
        </w:rPr>
        <w:t>3</w:t>
      </w:r>
      <w:r w:rsidRPr="001328E8">
        <w:rPr>
          <w:rFonts w:cs="Arial"/>
        </w:rPr>
        <w:tab/>
      </w:r>
      <w:r w:rsidR="007A0712">
        <w:rPr>
          <w:rFonts w:cs="Arial"/>
        </w:rPr>
        <w:t xml:space="preserve">Gaming machine tax rebate–part financial year, </w:t>
      </w:r>
      <w:r w:rsidR="007A0712">
        <w:rPr>
          <w:rFonts w:cs="Arial"/>
        </w:rPr>
        <w:br/>
      </w:r>
      <w:r w:rsidRPr="001328E8">
        <w:rPr>
          <w:rFonts w:cs="Arial"/>
        </w:rPr>
        <w:t>New section 162B (</w:t>
      </w:r>
      <w:r w:rsidR="00633300">
        <w:rPr>
          <w:rFonts w:cs="Arial"/>
        </w:rPr>
        <w:t>3</w:t>
      </w:r>
      <w:r w:rsidRPr="001328E8">
        <w:rPr>
          <w:rFonts w:cs="Arial"/>
        </w:rPr>
        <w:t>A)</w:t>
      </w:r>
    </w:p>
    <w:p w14:paraId="0573E380" w14:textId="41568542" w:rsidR="001328E8" w:rsidRDefault="00783B0C" w:rsidP="001328E8">
      <w:pPr>
        <w:rPr>
          <w:rFonts w:ascii="Arial" w:hAnsi="Arial" w:cs="Arial"/>
        </w:rPr>
      </w:pPr>
      <w:r>
        <w:rPr>
          <w:rFonts w:ascii="Arial" w:hAnsi="Arial" w:cs="Arial"/>
        </w:rPr>
        <w:t>N</w:t>
      </w:r>
      <w:r w:rsidR="00254139">
        <w:rPr>
          <w:rFonts w:ascii="Arial" w:hAnsi="Arial" w:cs="Arial"/>
        </w:rPr>
        <w:t>ew section 162B (</w:t>
      </w:r>
      <w:r w:rsidR="00633300">
        <w:rPr>
          <w:rFonts w:ascii="Arial" w:hAnsi="Arial" w:cs="Arial"/>
        </w:rPr>
        <w:t>3</w:t>
      </w:r>
      <w:r w:rsidR="00254139">
        <w:rPr>
          <w:rFonts w:ascii="Arial" w:hAnsi="Arial" w:cs="Arial"/>
        </w:rPr>
        <w:t>A) concerns the application of the phased reduction of the GMT rebate to a licensee that was part of a club group (other than a small or medium club group) for part of a financial year only.</w:t>
      </w:r>
      <w:r w:rsidR="00D9037C">
        <w:rPr>
          <w:rFonts w:ascii="Arial" w:hAnsi="Arial" w:cs="Arial"/>
        </w:rPr>
        <w:t xml:space="preserve"> In this scenario, a licensee may be entitled to a GMT rebate for the part of the financial year that the licensee was not part of a club group, where their GGMR does not exceed a threshold of $4 000 000 adjusted on a pro-rata basis. For example, if the licensee was not part of a club group for six months in the financial year, the threshold is adjusted to $2 000 000. The licensee would then be entitled to a GMT rebate of 50% of their GMT liability on GGMR up to $2 000 000.</w:t>
      </w:r>
    </w:p>
    <w:p w14:paraId="5EF3CDBE" w14:textId="2F42FF75" w:rsidR="00D9037C" w:rsidRDefault="00783B0C" w:rsidP="001328E8">
      <w:pPr>
        <w:rPr>
          <w:rFonts w:ascii="Arial" w:hAnsi="Arial" w:cs="Arial"/>
        </w:rPr>
      </w:pPr>
      <w:r>
        <w:rPr>
          <w:rFonts w:ascii="Arial" w:hAnsi="Arial" w:cs="Arial"/>
        </w:rPr>
        <w:t>N</w:t>
      </w:r>
      <w:r w:rsidR="00D9037C">
        <w:rPr>
          <w:rFonts w:ascii="Arial" w:hAnsi="Arial" w:cs="Arial"/>
        </w:rPr>
        <w:t>ew section 162B (</w:t>
      </w:r>
      <w:r w:rsidR="00183790">
        <w:rPr>
          <w:rFonts w:ascii="Arial" w:hAnsi="Arial" w:cs="Arial"/>
        </w:rPr>
        <w:t>3</w:t>
      </w:r>
      <w:r w:rsidR="00D9037C">
        <w:rPr>
          <w:rFonts w:ascii="Arial" w:hAnsi="Arial" w:cs="Arial"/>
        </w:rPr>
        <w:t xml:space="preserve">A) provides that where the licensee’s GGMR for the part of the financial year exceeds the adjusted threshold, </w:t>
      </w:r>
      <w:r w:rsidR="00184E94">
        <w:rPr>
          <w:rFonts w:ascii="Arial" w:hAnsi="Arial" w:cs="Arial"/>
        </w:rPr>
        <w:t>the amount of the GMT rebate for the licensee will be reduced by $0.50 for each dollar by which the adjusted threshold is exceeded. As per the above new section 162A (2A), the intent is to gradually reduce the amount of GMT rebate that a licensee is entitled to receive as their GGMR increases, and to eventually remove the licensee’s entitlement to the rebate entirely where their GGMR substantially exceeds the adjusted threshold. In conjunction with clause 4 of the Bill, such licensees would not be classified as being small or medium.</w:t>
      </w:r>
    </w:p>
    <w:p w14:paraId="32C6913D" w14:textId="64209DF4" w:rsidR="00633300" w:rsidRPr="001328E8" w:rsidRDefault="00633300" w:rsidP="00F56FD4">
      <w:pPr>
        <w:pStyle w:val="Heading3"/>
        <w:ind w:left="1440" w:hanging="1440"/>
        <w:rPr>
          <w:rFonts w:cs="Arial"/>
        </w:rPr>
      </w:pPr>
      <w:r w:rsidRPr="001328E8">
        <w:rPr>
          <w:rFonts w:cs="Arial"/>
        </w:rPr>
        <w:t xml:space="preserve">Clause </w:t>
      </w:r>
      <w:r>
        <w:rPr>
          <w:rFonts w:cs="Arial"/>
        </w:rPr>
        <w:t>1</w:t>
      </w:r>
      <w:r w:rsidR="00CC1F9F">
        <w:rPr>
          <w:rFonts w:cs="Arial"/>
        </w:rPr>
        <w:t>4</w:t>
      </w:r>
      <w:r w:rsidRPr="001328E8">
        <w:rPr>
          <w:rFonts w:cs="Arial"/>
        </w:rPr>
        <w:tab/>
      </w:r>
      <w:r w:rsidR="008C3122">
        <w:rPr>
          <w:rFonts w:cs="Arial"/>
        </w:rPr>
        <w:t xml:space="preserve">Required payment to gambling harm prevention and mitigation fund, </w:t>
      </w:r>
      <w:r w:rsidRPr="001328E8">
        <w:rPr>
          <w:rFonts w:cs="Arial"/>
        </w:rPr>
        <w:t>Section 1</w:t>
      </w:r>
      <w:r>
        <w:rPr>
          <w:rFonts w:cs="Arial"/>
        </w:rPr>
        <w:t>63</w:t>
      </w:r>
      <w:r w:rsidRPr="001328E8">
        <w:rPr>
          <w:rFonts w:cs="Arial"/>
        </w:rPr>
        <w:t>A</w:t>
      </w:r>
      <w:r>
        <w:rPr>
          <w:rFonts w:cs="Arial"/>
        </w:rPr>
        <w:t xml:space="preserve"> (1)</w:t>
      </w:r>
    </w:p>
    <w:p w14:paraId="6EE50610" w14:textId="74606AFD" w:rsidR="00AB170B" w:rsidRDefault="00AB170B" w:rsidP="00AB170B">
      <w:pPr>
        <w:rPr>
          <w:rFonts w:ascii="Arial" w:hAnsi="Arial" w:cs="Arial"/>
        </w:rPr>
      </w:pPr>
      <w:r>
        <w:rPr>
          <w:rFonts w:ascii="Arial" w:hAnsi="Arial" w:cs="Arial"/>
        </w:rPr>
        <w:t xml:space="preserve">This clause forms part of the amendments that clarify </w:t>
      </w:r>
      <w:r w:rsidR="00926EFD">
        <w:rPr>
          <w:rFonts w:ascii="Arial" w:hAnsi="Arial" w:cs="Arial"/>
        </w:rPr>
        <w:t xml:space="preserve">community contribution </w:t>
      </w:r>
      <w:r>
        <w:rPr>
          <w:rFonts w:ascii="Arial" w:hAnsi="Arial" w:cs="Arial"/>
        </w:rPr>
        <w:t xml:space="preserve">requirements for licensees that are clubs with more than one venue (authorised premises). The additional words are intended to provide clarity that the operation of the section has not changed. The payment to the gambling harm prevention and mitigation fund required under section 163A is not a community contribution and must continue to be made </w:t>
      </w:r>
      <w:r w:rsidR="00B608F4">
        <w:rPr>
          <w:rFonts w:ascii="Arial" w:hAnsi="Arial" w:cs="Arial"/>
        </w:rPr>
        <w:t xml:space="preserve">in relation to </w:t>
      </w:r>
      <w:r w:rsidR="00D02FFC">
        <w:rPr>
          <w:rFonts w:ascii="Arial" w:hAnsi="Arial" w:cs="Arial"/>
        </w:rPr>
        <w:t xml:space="preserve">the </w:t>
      </w:r>
      <w:r w:rsidR="00B608F4">
        <w:rPr>
          <w:rFonts w:ascii="Arial" w:hAnsi="Arial" w:cs="Arial"/>
        </w:rPr>
        <w:t>GGMR of</w:t>
      </w:r>
      <w:r>
        <w:rPr>
          <w:rFonts w:ascii="Arial" w:hAnsi="Arial" w:cs="Arial"/>
        </w:rPr>
        <w:t xml:space="preserve"> each authorised premises rather than </w:t>
      </w:r>
      <w:r w:rsidR="00B608F4">
        <w:rPr>
          <w:rFonts w:ascii="Arial" w:hAnsi="Arial" w:cs="Arial"/>
        </w:rPr>
        <w:t>the GGMR of</w:t>
      </w:r>
      <w:r>
        <w:rPr>
          <w:rFonts w:ascii="Arial" w:hAnsi="Arial" w:cs="Arial"/>
        </w:rPr>
        <w:t xml:space="preserve"> the licensee</w:t>
      </w:r>
      <w:r w:rsidR="00F646E7">
        <w:rPr>
          <w:rFonts w:ascii="Arial" w:hAnsi="Arial" w:cs="Arial"/>
        </w:rPr>
        <w:t>.</w:t>
      </w:r>
      <w:r w:rsidR="00280E87">
        <w:rPr>
          <w:rFonts w:ascii="Arial" w:hAnsi="Arial" w:cs="Arial"/>
        </w:rPr>
        <w:t xml:space="preserve"> </w:t>
      </w:r>
      <w:r w:rsidR="00C23C95">
        <w:rPr>
          <w:rFonts w:ascii="Arial" w:hAnsi="Arial" w:cs="Arial"/>
        </w:rPr>
        <w:t xml:space="preserve">See notes on </w:t>
      </w:r>
      <w:r w:rsidR="00C23C95" w:rsidRPr="00D57C33">
        <w:rPr>
          <w:rFonts w:ascii="Arial" w:hAnsi="Arial" w:cs="Arial"/>
        </w:rPr>
        <w:t>Clause 1</w:t>
      </w:r>
      <w:r w:rsidR="00280E87" w:rsidRPr="00D57C33">
        <w:rPr>
          <w:rFonts w:ascii="Arial" w:hAnsi="Arial" w:cs="Arial"/>
        </w:rPr>
        <w:t>8</w:t>
      </w:r>
      <w:r w:rsidR="00C23C95">
        <w:rPr>
          <w:rFonts w:ascii="Arial" w:hAnsi="Arial" w:cs="Arial"/>
        </w:rPr>
        <w:t xml:space="preserve"> (section 167) for further explanation.</w:t>
      </w:r>
    </w:p>
    <w:p w14:paraId="4F04C3A0" w14:textId="3AA08E16" w:rsidR="00633300" w:rsidRPr="001328E8" w:rsidRDefault="00633300" w:rsidP="00F56FD4">
      <w:pPr>
        <w:pStyle w:val="Heading3"/>
        <w:ind w:left="1440" w:hanging="1440"/>
        <w:rPr>
          <w:rFonts w:cs="Arial"/>
        </w:rPr>
      </w:pPr>
      <w:r w:rsidRPr="001328E8">
        <w:rPr>
          <w:rFonts w:cs="Arial"/>
        </w:rPr>
        <w:lastRenderedPageBreak/>
        <w:t xml:space="preserve">Clause </w:t>
      </w:r>
      <w:r>
        <w:rPr>
          <w:rFonts w:cs="Arial"/>
        </w:rPr>
        <w:t>1</w:t>
      </w:r>
      <w:r w:rsidR="00CC1F9F">
        <w:rPr>
          <w:rFonts w:cs="Arial"/>
        </w:rPr>
        <w:t>5</w:t>
      </w:r>
      <w:r w:rsidRPr="001328E8">
        <w:rPr>
          <w:rFonts w:cs="Arial"/>
        </w:rPr>
        <w:tab/>
      </w:r>
      <w:r w:rsidR="008C3122">
        <w:rPr>
          <w:rFonts w:cs="Arial"/>
        </w:rPr>
        <w:t xml:space="preserve">Payment from gambling harm prevention and mitigation fund–minimum community contributions, </w:t>
      </w:r>
      <w:r w:rsidRPr="001328E8">
        <w:rPr>
          <w:rFonts w:cs="Arial"/>
        </w:rPr>
        <w:t>Section 1</w:t>
      </w:r>
      <w:r>
        <w:rPr>
          <w:rFonts w:cs="Arial"/>
        </w:rPr>
        <w:t>63D (1) (a)</w:t>
      </w:r>
    </w:p>
    <w:p w14:paraId="16EAF6A5" w14:textId="7903882F" w:rsidR="00633300" w:rsidRDefault="00633300" w:rsidP="001328E8">
      <w:pPr>
        <w:rPr>
          <w:rFonts w:ascii="Arial" w:hAnsi="Arial" w:cs="Arial"/>
        </w:rPr>
      </w:pPr>
      <w:r>
        <w:rPr>
          <w:rFonts w:ascii="Arial" w:hAnsi="Arial" w:cs="Arial"/>
        </w:rPr>
        <w:t>This clause</w:t>
      </w:r>
      <w:r w:rsidR="002D0268">
        <w:rPr>
          <w:rFonts w:ascii="Arial" w:hAnsi="Arial" w:cs="Arial"/>
        </w:rPr>
        <w:t xml:space="preserve"> is a consequential amendment, reflecting the revised structure of section 167.</w:t>
      </w:r>
    </w:p>
    <w:p w14:paraId="30DE9DC9" w14:textId="0443A7F8" w:rsidR="00633300" w:rsidRPr="0032121A" w:rsidRDefault="00633300" w:rsidP="00F56FD4">
      <w:pPr>
        <w:pStyle w:val="Heading3"/>
        <w:ind w:left="1440" w:hanging="1440"/>
        <w:rPr>
          <w:rFonts w:cs="Arial"/>
        </w:rPr>
      </w:pPr>
      <w:r w:rsidRPr="001328E8">
        <w:rPr>
          <w:rFonts w:cs="Arial"/>
        </w:rPr>
        <w:t xml:space="preserve">Clause </w:t>
      </w:r>
      <w:r>
        <w:rPr>
          <w:rFonts w:cs="Arial"/>
        </w:rPr>
        <w:t>1</w:t>
      </w:r>
      <w:r w:rsidR="00CC1F9F">
        <w:rPr>
          <w:rFonts w:cs="Arial"/>
        </w:rPr>
        <w:t>6</w:t>
      </w:r>
      <w:r w:rsidRPr="001328E8">
        <w:rPr>
          <w:rFonts w:cs="Arial"/>
        </w:rPr>
        <w:tab/>
      </w:r>
      <w:r w:rsidR="008C3122">
        <w:rPr>
          <w:rFonts w:cs="Arial"/>
        </w:rPr>
        <w:t xml:space="preserve">Meaning of </w:t>
      </w:r>
      <w:r w:rsidR="008C3122">
        <w:rPr>
          <w:rFonts w:cs="Arial"/>
          <w:i/>
          <w:iCs/>
        </w:rPr>
        <w:t xml:space="preserve">community purpose </w:t>
      </w:r>
      <w:r w:rsidR="008C3122">
        <w:rPr>
          <w:rFonts w:cs="Arial"/>
        </w:rPr>
        <w:t>etc–</w:t>
      </w:r>
      <w:proofErr w:type="spellStart"/>
      <w:r w:rsidR="008C3122">
        <w:rPr>
          <w:rFonts w:cs="Arial"/>
        </w:rPr>
        <w:t>pt</w:t>
      </w:r>
      <w:proofErr w:type="spellEnd"/>
      <w:r w:rsidR="008C3122">
        <w:rPr>
          <w:rFonts w:cs="Arial"/>
        </w:rPr>
        <w:t xml:space="preserve"> 12, </w:t>
      </w:r>
      <w:r w:rsidRPr="001328E8">
        <w:rPr>
          <w:rFonts w:cs="Arial"/>
        </w:rPr>
        <w:t>Section 1</w:t>
      </w:r>
      <w:r>
        <w:rPr>
          <w:rFonts w:cs="Arial"/>
        </w:rPr>
        <w:t>66 (1)</w:t>
      </w:r>
      <w:r w:rsidR="0032121A">
        <w:rPr>
          <w:rFonts w:cs="Arial"/>
        </w:rPr>
        <w:t xml:space="preserve">, definition of </w:t>
      </w:r>
      <w:r w:rsidR="0032121A">
        <w:rPr>
          <w:rFonts w:cs="Arial"/>
          <w:i/>
          <w:iCs/>
        </w:rPr>
        <w:t xml:space="preserve">community purpose contribution, </w:t>
      </w:r>
      <w:r w:rsidR="0032121A">
        <w:rPr>
          <w:rFonts w:cs="Arial"/>
        </w:rPr>
        <w:t>paragraph (a) (ii)</w:t>
      </w:r>
    </w:p>
    <w:p w14:paraId="06746618" w14:textId="77777777" w:rsidR="002D0268" w:rsidRDefault="002D0268" w:rsidP="002D0268">
      <w:pPr>
        <w:rPr>
          <w:rFonts w:ascii="Arial" w:hAnsi="Arial" w:cs="Arial"/>
        </w:rPr>
      </w:pPr>
      <w:r>
        <w:rPr>
          <w:rFonts w:ascii="Arial" w:hAnsi="Arial" w:cs="Arial"/>
        </w:rPr>
        <w:t>This clause is a consequential amendment, reflecting the revised structure of section 167.</w:t>
      </w:r>
    </w:p>
    <w:p w14:paraId="41B46720" w14:textId="2463CB24" w:rsidR="0032121A" w:rsidRPr="0032121A" w:rsidRDefault="0032121A" w:rsidP="00F56FD4">
      <w:pPr>
        <w:pStyle w:val="Heading3"/>
        <w:ind w:left="1440" w:hanging="1440"/>
        <w:rPr>
          <w:rFonts w:cs="Arial"/>
        </w:rPr>
      </w:pPr>
      <w:r w:rsidRPr="001328E8">
        <w:rPr>
          <w:rFonts w:cs="Arial"/>
        </w:rPr>
        <w:t xml:space="preserve">Clause </w:t>
      </w:r>
      <w:r>
        <w:rPr>
          <w:rFonts w:cs="Arial"/>
        </w:rPr>
        <w:t>1</w:t>
      </w:r>
      <w:r w:rsidR="00CC1F9F">
        <w:rPr>
          <w:rFonts w:cs="Arial"/>
        </w:rPr>
        <w:t>7</w:t>
      </w:r>
      <w:r w:rsidRPr="001328E8">
        <w:rPr>
          <w:rFonts w:cs="Arial"/>
        </w:rPr>
        <w:tab/>
        <w:t>Section 1</w:t>
      </w:r>
      <w:r>
        <w:rPr>
          <w:rFonts w:cs="Arial"/>
        </w:rPr>
        <w:t xml:space="preserve">66 (1), definition of </w:t>
      </w:r>
      <w:r>
        <w:rPr>
          <w:rFonts w:cs="Arial"/>
          <w:i/>
          <w:iCs/>
        </w:rPr>
        <w:t xml:space="preserve">community purpose contribution, </w:t>
      </w:r>
      <w:r>
        <w:rPr>
          <w:rFonts w:cs="Arial"/>
        </w:rPr>
        <w:t>paragraph (a) (iii)</w:t>
      </w:r>
    </w:p>
    <w:p w14:paraId="3A7D5C4B" w14:textId="77777777" w:rsidR="002D0268" w:rsidRDefault="002D0268" w:rsidP="002D0268">
      <w:pPr>
        <w:rPr>
          <w:rFonts w:ascii="Arial" w:hAnsi="Arial" w:cs="Arial"/>
        </w:rPr>
      </w:pPr>
      <w:r>
        <w:rPr>
          <w:rFonts w:ascii="Arial" w:hAnsi="Arial" w:cs="Arial"/>
        </w:rPr>
        <w:t>This clause is a consequential amendment, reflecting the revised structure of section 167.</w:t>
      </w:r>
    </w:p>
    <w:p w14:paraId="506EB8A1" w14:textId="2374E531" w:rsidR="0032121A" w:rsidRPr="001328E8" w:rsidRDefault="0032121A" w:rsidP="0032121A">
      <w:pPr>
        <w:pStyle w:val="Heading3"/>
        <w:rPr>
          <w:rFonts w:cs="Arial"/>
        </w:rPr>
      </w:pPr>
      <w:r w:rsidRPr="001328E8">
        <w:rPr>
          <w:rFonts w:cs="Arial"/>
        </w:rPr>
        <w:t xml:space="preserve">Clause </w:t>
      </w:r>
      <w:r>
        <w:rPr>
          <w:rFonts w:cs="Arial"/>
        </w:rPr>
        <w:t>1</w:t>
      </w:r>
      <w:r w:rsidR="00CC1F9F">
        <w:rPr>
          <w:rFonts w:cs="Arial"/>
        </w:rPr>
        <w:t>8</w:t>
      </w:r>
      <w:r w:rsidRPr="001328E8">
        <w:rPr>
          <w:rFonts w:cs="Arial"/>
        </w:rPr>
        <w:tab/>
        <w:t>Section 1</w:t>
      </w:r>
      <w:r>
        <w:rPr>
          <w:rFonts w:cs="Arial"/>
        </w:rPr>
        <w:t>67</w:t>
      </w:r>
    </w:p>
    <w:p w14:paraId="7417794D" w14:textId="56895CB8" w:rsidR="00B608F4" w:rsidRDefault="0032121A" w:rsidP="001328E8">
      <w:pPr>
        <w:rPr>
          <w:rFonts w:ascii="Arial" w:hAnsi="Arial" w:cs="Arial"/>
        </w:rPr>
      </w:pPr>
      <w:r>
        <w:rPr>
          <w:rFonts w:ascii="Arial" w:hAnsi="Arial" w:cs="Arial"/>
        </w:rPr>
        <w:t>This clause</w:t>
      </w:r>
      <w:r w:rsidR="005C5625">
        <w:rPr>
          <w:rFonts w:ascii="Arial" w:hAnsi="Arial" w:cs="Arial"/>
        </w:rPr>
        <w:t xml:space="preserve"> amends the provisions concerning minimum community contributions that licensees that are clubs </w:t>
      </w:r>
      <w:r w:rsidR="005979E2">
        <w:rPr>
          <w:rFonts w:ascii="Arial" w:hAnsi="Arial" w:cs="Arial"/>
        </w:rPr>
        <w:t>are required to</w:t>
      </w:r>
      <w:r w:rsidR="005C5625">
        <w:rPr>
          <w:rFonts w:ascii="Arial" w:hAnsi="Arial" w:cs="Arial"/>
        </w:rPr>
        <w:t xml:space="preserve"> make</w:t>
      </w:r>
      <w:r w:rsidR="005979E2">
        <w:rPr>
          <w:rFonts w:ascii="Arial" w:hAnsi="Arial" w:cs="Arial"/>
        </w:rPr>
        <w:t>,</w:t>
      </w:r>
      <w:r w:rsidR="005C5625">
        <w:rPr>
          <w:rFonts w:ascii="Arial" w:hAnsi="Arial" w:cs="Arial"/>
        </w:rPr>
        <w:t xml:space="preserve"> in order to facilitate licensees with more than one authorised premises</w:t>
      </w:r>
      <w:r w:rsidR="00D92F38">
        <w:rPr>
          <w:rFonts w:ascii="Arial" w:hAnsi="Arial" w:cs="Arial"/>
        </w:rPr>
        <w:t xml:space="preserve"> (i.e. venue</w:t>
      </w:r>
      <w:r w:rsidR="005C5625">
        <w:rPr>
          <w:rFonts w:ascii="Arial" w:hAnsi="Arial" w:cs="Arial"/>
        </w:rPr>
        <w:t>)</w:t>
      </w:r>
      <w:r w:rsidR="00BA4B83">
        <w:rPr>
          <w:rFonts w:ascii="Arial" w:hAnsi="Arial" w:cs="Arial"/>
        </w:rPr>
        <w:t xml:space="preserve"> making community contributions on a licensee basis, rather than for each authorised premises</w:t>
      </w:r>
      <w:r w:rsidR="005C5625">
        <w:rPr>
          <w:rFonts w:ascii="Arial" w:hAnsi="Arial" w:cs="Arial"/>
        </w:rPr>
        <w:t xml:space="preserve">. </w:t>
      </w:r>
    </w:p>
    <w:p w14:paraId="198578F3" w14:textId="555D82E0" w:rsidR="006344B9" w:rsidRDefault="00C72676" w:rsidP="001328E8">
      <w:pPr>
        <w:rPr>
          <w:rFonts w:ascii="Arial" w:hAnsi="Arial" w:cs="Arial"/>
        </w:rPr>
      </w:pPr>
      <w:r>
        <w:rPr>
          <w:rFonts w:ascii="Arial" w:hAnsi="Arial" w:cs="Arial"/>
        </w:rPr>
        <w:t>Currently</w:t>
      </w:r>
      <w:r w:rsidR="005C5625">
        <w:rPr>
          <w:rFonts w:ascii="Arial" w:hAnsi="Arial" w:cs="Arial"/>
        </w:rPr>
        <w:t>, where a licensee operate</w:t>
      </w:r>
      <w:r w:rsidR="00767A61">
        <w:rPr>
          <w:rFonts w:ascii="Arial" w:hAnsi="Arial" w:cs="Arial"/>
        </w:rPr>
        <w:t>s</w:t>
      </w:r>
      <w:r w:rsidR="005C5625">
        <w:rPr>
          <w:rFonts w:ascii="Arial" w:hAnsi="Arial" w:cs="Arial"/>
        </w:rPr>
        <w:t xml:space="preserve"> multiple authorised premises, each </w:t>
      </w:r>
      <w:r w:rsidR="00934EF0">
        <w:rPr>
          <w:rFonts w:ascii="Arial" w:hAnsi="Arial" w:cs="Arial"/>
        </w:rPr>
        <w:t xml:space="preserve">authorised premises </w:t>
      </w:r>
      <w:r w:rsidR="00767A61">
        <w:rPr>
          <w:rFonts w:ascii="Arial" w:hAnsi="Arial" w:cs="Arial"/>
        </w:rPr>
        <w:t>is</w:t>
      </w:r>
      <w:r w:rsidR="005C5625">
        <w:rPr>
          <w:rFonts w:ascii="Arial" w:hAnsi="Arial" w:cs="Arial"/>
        </w:rPr>
        <w:t xml:space="preserve"> </w:t>
      </w:r>
      <w:r w:rsidR="00354B7E">
        <w:rPr>
          <w:rFonts w:ascii="Arial" w:hAnsi="Arial" w:cs="Arial"/>
        </w:rPr>
        <w:t xml:space="preserve">individually </w:t>
      </w:r>
      <w:r w:rsidR="005C5625">
        <w:rPr>
          <w:rFonts w:ascii="Arial" w:hAnsi="Arial" w:cs="Arial"/>
        </w:rPr>
        <w:t xml:space="preserve">required to </w:t>
      </w:r>
      <w:r w:rsidR="00934EF0">
        <w:rPr>
          <w:rFonts w:ascii="Arial" w:hAnsi="Arial" w:cs="Arial"/>
        </w:rPr>
        <w:t xml:space="preserve">make </w:t>
      </w:r>
      <w:r w:rsidR="005C5625">
        <w:rPr>
          <w:rFonts w:ascii="Arial" w:hAnsi="Arial" w:cs="Arial"/>
        </w:rPr>
        <w:t>community purpose contribution</w:t>
      </w:r>
      <w:r w:rsidR="00DB2AE0">
        <w:rPr>
          <w:rFonts w:ascii="Arial" w:hAnsi="Arial" w:cs="Arial"/>
        </w:rPr>
        <w:t>s</w:t>
      </w:r>
      <w:r w:rsidR="005979E2">
        <w:rPr>
          <w:rFonts w:ascii="Arial" w:hAnsi="Arial" w:cs="Arial"/>
        </w:rPr>
        <w:t xml:space="preserve"> of </w:t>
      </w:r>
      <w:r w:rsidR="00934EF0">
        <w:rPr>
          <w:rFonts w:ascii="Arial" w:hAnsi="Arial" w:cs="Arial"/>
        </w:rPr>
        <w:t xml:space="preserve">a minimum of </w:t>
      </w:r>
      <w:r w:rsidR="005979E2">
        <w:rPr>
          <w:rFonts w:ascii="Arial" w:hAnsi="Arial" w:cs="Arial"/>
        </w:rPr>
        <w:t xml:space="preserve">8% of </w:t>
      </w:r>
      <w:r w:rsidR="00012D1B">
        <w:rPr>
          <w:rFonts w:ascii="Arial" w:hAnsi="Arial" w:cs="Arial"/>
        </w:rPr>
        <w:t xml:space="preserve">the venue’s NGMR. </w:t>
      </w:r>
      <w:r>
        <w:rPr>
          <w:rFonts w:ascii="Arial" w:hAnsi="Arial" w:cs="Arial"/>
        </w:rPr>
        <w:t>Any ‘common expenditure’ by a licensee on behalf of multiple venues</w:t>
      </w:r>
      <w:r w:rsidR="00767A61">
        <w:rPr>
          <w:rFonts w:ascii="Arial" w:hAnsi="Arial" w:cs="Arial"/>
        </w:rPr>
        <w:t xml:space="preserve"> must be apportioned between those venues in proportion to the number of gaming machines operated at each venue. </w:t>
      </w:r>
    </w:p>
    <w:p w14:paraId="1361B2D4" w14:textId="6B8C8869" w:rsidR="00012D1B" w:rsidRDefault="006344B9" w:rsidP="001328E8">
      <w:pPr>
        <w:rPr>
          <w:rFonts w:ascii="Arial" w:hAnsi="Arial" w:cs="Arial"/>
        </w:rPr>
      </w:pPr>
      <w:r>
        <w:rPr>
          <w:rFonts w:ascii="Arial" w:hAnsi="Arial" w:cs="Arial"/>
        </w:rPr>
        <w:t>T</w:t>
      </w:r>
      <w:r w:rsidR="00C72676">
        <w:rPr>
          <w:rFonts w:ascii="Arial" w:hAnsi="Arial" w:cs="Arial"/>
        </w:rPr>
        <w:t xml:space="preserve">he amended provisions </w:t>
      </w:r>
      <w:r>
        <w:rPr>
          <w:rFonts w:ascii="Arial" w:hAnsi="Arial" w:cs="Arial"/>
        </w:rPr>
        <w:t>will</w:t>
      </w:r>
      <w:r w:rsidR="00C72676">
        <w:rPr>
          <w:rFonts w:ascii="Arial" w:hAnsi="Arial" w:cs="Arial"/>
        </w:rPr>
        <w:t xml:space="preserve"> allow a licensee to </w:t>
      </w:r>
      <w:r w:rsidR="00934EF0">
        <w:rPr>
          <w:rFonts w:ascii="Arial" w:hAnsi="Arial" w:cs="Arial"/>
        </w:rPr>
        <w:t xml:space="preserve">make </w:t>
      </w:r>
      <w:r w:rsidR="00C72676">
        <w:rPr>
          <w:rFonts w:ascii="Arial" w:hAnsi="Arial" w:cs="Arial"/>
        </w:rPr>
        <w:t>a minimum community purpose contribution of 8% of the licensee’s total NGMR, i.e. on behalf of all their venues</w:t>
      </w:r>
      <w:r w:rsidR="00767A61">
        <w:rPr>
          <w:rFonts w:ascii="Arial" w:hAnsi="Arial" w:cs="Arial"/>
        </w:rPr>
        <w:t>.</w:t>
      </w:r>
    </w:p>
    <w:p w14:paraId="65B56A68" w14:textId="34DB8756" w:rsidR="00934EF0" w:rsidRDefault="00012D1B" w:rsidP="001328E8">
      <w:pPr>
        <w:rPr>
          <w:rFonts w:ascii="Arial" w:hAnsi="Arial" w:cs="Arial"/>
        </w:rPr>
      </w:pPr>
      <w:r>
        <w:rPr>
          <w:rFonts w:ascii="Arial" w:hAnsi="Arial" w:cs="Arial"/>
        </w:rPr>
        <w:t xml:space="preserve">The intent of these amendments is to reduce </w:t>
      </w:r>
      <w:r w:rsidR="00D57C33">
        <w:rPr>
          <w:rFonts w:ascii="Arial" w:hAnsi="Arial" w:cs="Arial"/>
        </w:rPr>
        <w:t>any</w:t>
      </w:r>
      <w:r>
        <w:rPr>
          <w:rFonts w:ascii="Arial" w:hAnsi="Arial" w:cs="Arial"/>
        </w:rPr>
        <w:t xml:space="preserve"> regulatory burden associated with community purpose contributions reporting for clubs, whilst also better aligning </w:t>
      </w:r>
      <w:r w:rsidR="00F15566">
        <w:rPr>
          <w:rFonts w:ascii="Arial" w:hAnsi="Arial" w:cs="Arial"/>
        </w:rPr>
        <w:t>reporting requirements with changes made to the gaming machine licensing framework</w:t>
      </w:r>
      <w:r w:rsidR="00BD3347">
        <w:rPr>
          <w:rFonts w:ascii="Arial" w:hAnsi="Arial" w:cs="Arial"/>
        </w:rPr>
        <w:t xml:space="preserve"> by the </w:t>
      </w:r>
      <w:r w:rsidR="00BD3347" w:rsidRPr="003E5807">
        <w:rPr>
          <w:rFonts w:ascii="Arial" w:hAnsi="Arial" w:cs="Arial"/>
        </w:rPr>
        <w:t>Amendment Act of 2015</w:t>
      </w:r>
      <w:r w:rsidR="00934EF0">
        <w:rPr>
          <w:rFonts w:ascii="Arial" w:hAnsi="Arial" w:cs="Arial"/>
        </w:rPr>
        <w:t>, which allowed a</w:t>
      </w:r>
      <w:r w:rsidR="00934EF0" w:rsidRPr="003E5807">
        <w:rPr>
          <w:rFonts w:ascii="Arial" w:hAnsi="Arial" w:cs="Arial"/>
        </w:rPr>
        <w:t xml:space="preserve"> single licensee can operate multiple venues and their resourcing can be shared across the group.</w:t>
      </w:r>
      <w:r w:rsidR="00C72676">
        <w:rPr>
          <w:rFonts w:ascii="Arial" w:hAnsi="Arial" w:cs="Arial"/>
        </w:rPr>
        <w:t xml:space="preserve"> </w:t>
      </w:r>
    </w:p>
    <w:p w14:paraId="52338C5D" w14:textId="0E316552" w:rsidR="005979E2" w:rsidRDefault="005979E2" w:rsidP="001328E8">
      <w:pPr>
        <w:rPr>
          <w:rFonts w:ascii="Arial" w:hAnsi="Arial" w:cs="Arial"/>
        </w:rPr>
      </w:pPr>
      <w:r w:rsidRPr="00344C71">
        <w:rPr>
          <w:rFonts w:ascii="Arial" w:hAnsi="Arial" w:cs="Arial"/>
        </w:rPr>
        <w:t xml:space="preserve">The revised wording of section 167 further clarifies that the community contributions to the Chief Minister’s Charitable Fund and the gambling harm prevention and mitigation fund must continue to be made </w:t>
      </w:r>
      <w:r w:rsidR="00B22EDB">
        <w:rPr>
          <w:rFonts w:ascii="Arial" w:hAnsi="Arial" w:cs="Arial"/>
        </w:rPr>
        <w:t>in relation to the GGMR of</w:t>
      </w:r>
      <w:r w:rsidRPr="00344C71">
        <w:rPr>
          <w:rFonts w:ascii="Arial" w:hAnsi="Arial" w:cs="Arial"/>
        </w:rPr>
        <w:t xml:space="preserve"> each of </w:t>
      </w:r>
      <w:r w:rsidR="00B22EDB">
        <w:rPr>
          <w:rFonts w:ascii="Arial" w:hAnsi="Arial" w:cs="Arial"/>
        </w:rPr>
        <w:t>the</w:t>
      </w:r>
      <w:r w:rsidRPr="00344C71">
        <w:rPr>
          <w:rFonts w:ascii="Arial" w:hAnsi="Arial" w:cs="Arial"/>
        </w:rPr>
        <w:t xml:space="preserve"> licensee’s venues, </w:t>
      </w:r>
      <w:r w:rsidR="00492094" w:rsidRPr="00344C71">
        <w:rPr>
          <w:rFonts w:ascii="Arial" w:hAnsi="Arial" w:cs="Arial"/>
        </w:rPr>
        <w:t xml:space="preserve">rather than </w:t>
      </w:r>
      <w:r w:rsidR="00B22EDB">
        <w:rPr>
          <w:rFonts w:ascii="Arial" w:hAnsi="Arial" w:cs="Arial"/>
        </w:rPr>
        <w:t>in relation to the GGMR of</w:t>
      </w:r>
      <w:r w:rsidRPr="00344C71">
        <w:rPr>
          <w:rFonts w:ascii="Arial" w:hAnsi="Arial" w:cs="Arial"/>
        </w:rPr>
        <w:t xml:space="preserve"> the licensee. </w:t>
      </w:r>
    </w:p>
    <w:p w14:paraId="19B6E10D" w14:textId="0E74B29F" w:rsidR="00B22EDB" w:rsidRDefault="007052B3" w:rsidP="001328E8">
      <w:pPr>
        <w:rPr>
          <w:rFonts w:ascii="Arial" w:hAnsi="Arial" w:cs="Arial"/>
        </w:rPr>
      </w:pPr>
      <w:r>
        <w:rPr>
          <w:rFonts w:ascii="Arial" w:hAnsi="Arial" w:cs="Arial"/>
        </w:rPr>
        <w:t xml:space="preserve">Section 167 (3) </w:t>
      </w:r>
      <w:r w:rsidR="008B7C2F">
        <w:rPr>
          <w:rFonts w:ascii="Arial" w:hAnsi="Arial" w:cs="Arial"/>
        </w:rPr>
        <w:t>provides</w:t>
      </w:r>
      <w:r w:rsidR="00C23C95">
        <w:rPr>
          <w:rFonts w:ascii="Arial" w:hAnsi="Arial" w:cs="Arial"/>
        </w:rPr>
        <w:t xml:space="preserve"> </w:t>
      </w:r>
      <w:r>
        <w:rPr>
          <w:rFonts w:ascii="Arial" w:hAnsi="Arial" w:cs="Arial"/>
        </w:rPr>
        <w:t xml:space="preserve">that </w:t>
      </w:r>
      <w:r w:rsidR="00492094">
        <w:rPr>
          <w:rFonts w:ascii="Arial" w:hAnsi="Arial" w:cs="Arial"/>
        </w:rPr>
        <w:t>licensee</w:t>
      </w:r>
      <w:r>
        <w:rPr>
          <w:rFonts w:ascii="Arial" w:hAnsi="Arial" w:cs="Arial"/>
        </w:rPr>
        <w:t>s,</w:t>
      </w:r>
      <w:r w:rsidR="00012D1B">
        <w:rPr>
          <w:rFonts w:ascii="Arial" w:hAnsi="Arial" w:cs="Arial"/>
        </w:rPr>
        <w:t xml:space="preserve"> </w:t>
      </w:r>
      <w:r w:rsidR="00492094">
        <w:rPr>
          <w:rFonts w:ascii="Arial" w:hAnsi="Arial" w:cs="Arial"/>
        </w:rPr>
        <w:t xml:space="preserve">other than </w:t>
      </w:r>
      <w:r>
        <w:rPr>
          <w:rFonts w:ascii="Arial" w:hAnsi="Arial" w:cs="Arial"/>
        </w:rPr>
        <w:t>those</w:t>
      </w:r>
      <w:r w:rsidR="00012D1B">
        <w:rPr>
          <w:rFonts w:ascii="Arial" w:hAnsi="Arial" w:cs="Arial"/>
        </w:rPr>
        <w:t xml:space="preserve"> that </w:t>
      </w:r>
      <w:r>
        <w:rPr>
          <w:rFonts w:ascii="Arial" w:hAnsi="Arial" w:cs="Arial"/>
        </w:rPr>
        <w:t>are</w:t>
      </w:r>
      <w:r w:rsidR="00012D1B">
        <w:rPr>
          <w:rFonts w:ascii="Arial" w:hAnsi="Arial" w:cs="Arial"/>
        </w:rPr>
        <w:t xml:space="preserve"> small or medium club</w:t>
      </w:r>
      <w:r>
        <w:rPr>
          <w:rFonts w:ascii="Arial" w:hAnsi="Arial" w:cs="Arial"/>
        </w:rPr>
        <w:t>s</w:t>
      </w:r>
      <w:r w:rsidR="00012D1B">
        <w:rPr>
          <w:rFonts w:ascii="Arial" w:hAnsi="Arial" w:cs="Arial"/>
        </w:rPr>
        <w:t xml:space="preserve"> or part of a small or medium club group, </w:t>
      </w:r>
      <w:r w:rsidR="00C23C95">
        <w:rPr>
          <w:rFonts w:ascii="Arial" w:hAnsi="Arial" w:cs="Arial"/>
        </w:rPr>
        <w:t>must</w:t>
      </w:r>
      <w:r>
        <w:rPr>
          <w:rFonts w:ascii="Arial" w:hAnsi="Arial" w:cs="Arial"/>
        </w:rPr>
        <w:t xml:space="preserve"> make a minimum monetary community purpose contribution. </w:t>
      </w:r>
      <w:r w:rsidR="00C23C95">
        <w:rPr>
          <w:rFonts w:ascii="Arial" w:hAnsi="Arial" w:cs="Arial"/>
        </w:rPr>
        <w:t>As part of</w:t>
      </w:r>
      <w:r>
        <w:rPr>
          <w:rFonts w:ascii="Arial" w:hAnsi="Arial" w:cs="Arial"/>
        </w:rPr>
        <w:t xml:space="preserve"> the total contribution of 8% of the licensee’s NGMR required under section 167 (2) (c), </w:t>
      </w:r>
      <w:r w:rsidR="00012D1B">
        <w:rPr>
          <w:rFonts w:ascii="Arial" w:hAnsi="Arial" w:cs="Arial"/>
        </w:rPr>
        <w:t xml:space="preserve">at least 6% of the </w:t>
      </w:r>
      <w:r>
        <w:rPr>
          <w:rFonts w:ascii="Arial" w:hAnsi="Arial" w:cs="Arial"/>
        </w:rPr>
        <w:t xml:space="preserve">licensee’s NGMR (i.e. for all their venues for a reporting year) </w:t>
      </w:r>
      <w:r w:rsidR="00012D1B">
        <w:rPr>
          <w:rFonts w:ascii="Arial" w:hAnsi="Arial" w:cs="Arial"/>
        </w:rPr>
        <w:t>must be a contribution of money.</w:t>
      </w:r>
      <w:r>
        <w:rPr>
          <w:rFonts w:ascii="Arial" w:hAnsi="Arial" w:cs="Arial"/>
        </w:rPr>
        <w:t xml:space="preserve"> </w:t>
      </w:r>
    </w:p>
    <w:p w14:paraId="7CF82A98" w14:textId="70411B9E" w:rsidR="00B22EDB" w:rsidRDefault="00B22EDB" w:rsidP="001328E8">
      <w:pPr>
        <w:rPr>
          <w:rFonts w:ascii="Arial" w:hAnsi="Arial" w:cs="Arial"/>
        </w:rPr>
      </w:pPr>
      <w:r>
        <w:rPr>
          <w:rFonts w:ascii="Arial" w:hAnsi="Arial" w:cs="Arial"/>
        </w:rPr>
        <w:t xml:space="preserve">Section 167 (8) </w:t>
      </w:r>
      <w:r w:rsidR="00344C71">
        <w:rPr>
          <w:rFonts w:ascii="Arial" w:hAnsi="Arial" w:cs="Arial"/>
        </w:rPr>
        <w:t xml:space="preserve">includes a </w:t>
      </w:r>
      <w:r>
        <w:rPr>
          <w:rFonts w:ascii="Arial" w:hAnsi="Arial" w:cs="Arial"/>
        </w:rPr>
        <w:t xml:space="preserve">new </w:t>
      </w:r>
      <w:r w:rsidR="00344C71">
        <w:rPr>
          <w:rFonts w:ascii="Arial" w:hAnsi="Arial" w:cs="Arial"/>
        </w:rPr>
        <w:t xml:space="preserve">transitional provision </w:t>
      </w:r>
      <w:r>
        <w:rPr>
          <w:rFonts w:ascii="Arial" w:hAnsi="Arial" w:cs="Arial"/>
        </w:rPr>
        <w:t xml:space="preserve">providing </w:t>
      </w:r>
      <w:r w:rsidR="00344C71">
        <w:rPr>
          <w:rFonts w:ascii="Arial" w:hAnsi="Arial" w:cs="Arial"/>
        </w:rPr>
        <w:t xml:space="preserve">that licensees </w:t>
      </w:r>
      <w:r>
        <w:rPr>
          <w:rFonts w:ascii="Arial" w:hAnsi="Arial" w:cs="Arial"/>
        </w:rPr>
        <w:t xml:space="preserve">are permitted to </w:t>
      </w:r>
      <w:r w:rsidR="00344C71">
        <w:rPr>
          <w:rFonts w:ascii="Arial" w:hAnsi="Arial" w:cs="Arial"/>
        </w:rPr>
        <w:t xml:space="preserve">make a minimum monetary community purpose contribution </w:t>
      </w:r>
      <w:r>
        <w:rPr>
          <w:rFonts w:ascii="Arial" w:hAnsi="Arial" w:cs="Arial"/>
        </w:rPr>
        <w:t>of</w:t>
      </w:r>
      <w:r w:rsidR="00344C71">
        <w:rPr>
          <w:rFonts w:ascii="Arial" w:hAnsi="Arial" w:cs="Arial"/>
        </w:rPr>
        <w:t xml:space="preserve"> only 5% of their NGMR as money for their reporting years ending after </w:t>
      </w:r>
      <w:r w:rsidR="00344C71" w:rsidRPr="00926EFD">
        <w:rPr>
          <w:rFonts w:ascii="Arial" w:hAnsi="Arial" w:cs="Arial"/>
        </w:rPr>
        <w:t>30 June 2019 and before 1 July 2021</w:t>
      </w:r>
      <w:r w:rsidR="00344C71">
        <w:rPr>
          <w:rFonts w:ascii="Arial" w:hAnsi="Arial" w:cs="Arial"/>
        </w:rPr>
        <w:t>.</w:t>
      </w:r>
      <w:r w:rsidR="007052B3">
        <w:rPr>
          <w:rFonts w:ascii="Arial" w:hAnsi="Arial" w:cs="Arial"/>
        </w:rPr>
        <w:t xml:space="preserve"> </w:t>
      </w:r>
    </w:p>
    <w:p w14:paraId="7D019B6A" w14:textId="3675716B" w:rsidR="00344C71" w:rsidRDefault="008B7C2F" w:rsidP="001328E8">
      <w:pPr>
        <w:rPr>
          <w:rFonts w:ascii="Arial" w:hAnsi="Arial" w:cs="Arial"/>
        </w:rPr>
      </w:pPr>
      <w:r>
        <w:rPr>
          <w:rFonts w:ascii="Arial" w:hAnsi="Arial" w:cs="Arial"/>
          <w:szCs w:val="24"/>
        </w:rPr>
        <w:lastRenderedPageBreak/>
        <w:t xml:space="preserve">The reform will apply retrospectively to reporting years ending after 30 June 2019 but before 1 July 2021, to ensure clubs are supported throughout the entire transition period. </w:t>
      </w:r>
    </w:p>
    <w:p w14:paraId="7ACD5BC2" w14:textId="32F8BB72" w:rsidR="0032121A" w:rsidRPr="001328E8" w:rsidRDefault="0032121A" w:rsidP="00F56FD4">
      <w:pPr>
        <w:pStyle w:val="Heading3"/>
        <w:ind w:left="1440" w:hanging="1440"/>
        <w:rPr>
          <w:rFonts w:cs="Arial"/>
        </w:rPr>
      </w:pPr>
      <w:r w:rsidRPr="001328E8">
        <w:rPr>
          <w:rFonts w:cs="Arial"/>
        </w:rPr>
        <w:t xml:space="preserve">Clause </w:t>
      </w:r>
      <w:r>
        <w:rPr>
          <w:rFonts w:cs="Arial"/>
        </w:rPr>
        <w:t>1</w:t>
      </w:r>
      <w:r w:rsidR="00CC1F9F">
        <w:rPr>
          <w:rFonts w:cs="Arial"/>
        </w:rPr>
        <w:t>9</w:t>
      </w:r>
      <w:r w:rsidRPr="001328E8">
        <w:rPr>
          <w:rFonts w:cs="Arial"/>
        </w:rPr>
        <w:tab/>
      </w:r>
      <w:r w:rsidR="008C3122">
        <w:rPr>
          <w:rFonts w:cs="Arial"/>
        </w:rPr>
        <w:t xml:space="preserve">Payment of community contributions for a tax period, </w:t>
      </w:r>
      <w:r w:rsidR="008C3122">
        <w:rPr>
          <w:rFonts w:cs="Arial"/>
        </w:rPr>
        <w:br/>
      </w:r>
      <w:r w:rsidRPr="001328E8">
        <w:rPr>
          <w:rFonts w:cs="Arial"/>
        </w:rPr>
        <w:t>Section 1</w:t>
      </w:r>
      <w:r>
        <w:rPr>
          <w:rFonts w:cs="Arial"/>
        </w:rPr>
        <w:t>69 (1)</w:t>
      </w:r>
    </w:p>
    <w:p w14:paraId="675A5905" w14:textId="77777777" w:rsidR="00C23C95" w:rsidRDefault="00C23C95" w:rsidP="00C23C95">
      <w:pPr>
        <w:rPr>
          <w:rFonts w:ascii="Arial" w:hAnsi="Arial" w:cs="Arial"/>
        </w:rPr>
      </w:pPr>
      <w:r>
        <w:rPr>
          <w:rFonts w:ascii="Arial" w:hAnsi="Arial" w:cs="Arial"/>
        </w:rPr>
        <w:t>This clause is a consequential amendment, reflecting the revised structure of section 167.</w:t>
      </w:r>
    </w:p>
    <w:p w14:paraId="07D9988E" w14:textId="4AF573E5" w:rsidR="0032121A" w:rsidRPr="001328E8" w:rsidRDefault="0032121A" w:rsidP="00F56FD4">
      <w:pPr>
        <w:pStyle w:val="Heading3"/>
        <w:ind w:left="1440" w:hanging="1440"/>
        <w:rPr>
          <w:rFonts w:cs="Arial"/>
        </w:rPr>
      </w:pPr>
      <w:r w:rsidRPr="001328E8">
        <w:rPr>
          <w:rFonts w:cs="Arial"/>
        </w:rPr>
        <w:t xml:space="preserve">Clause </w:t>
      </w:r>
      <w:r w:rsidR="00CC1F9F">
        <w:rPr>
          <w:rFonts w:cs="Arial"/>
        </w:rPr>
        <w:t>20</w:t>
      </w:r>
      <w:r w:rsidRPr="001328E8">
        <w:rPr>
          <w:rFonts w:cs="Arial"/>
        </w:rPr>
        <w:tab/>
      </w:r>
      <w:r w:rsidR="008C3122">
        <w:rPr>
          <w:rFonts w:cs="Arial"/>
        </w:rPr>
        <w:t xml:space="preserve">Community purpose contributions–reporting by clubs, </w:t>
      </w:r>
      <w:r w:rsidR="008C3122">
        <w:rPr>
          <w:rFonts w:cs="Arial"/>
        </w:rPr>
        <w:br/>
      </w:r>
      <w:r w:rsidRPr="001328E8">
        <w:rPr>
          <w:rFonts w:cs="Arial"/>
        </w:rPr>
        <w:t>Section 1</w:t>
      </w:r>
      <w:r>
        <w:rPr>
          <w:rFonts w:cs="Arial"/>
        </w:rPr>
        <w:t>72 (1) (a)</w:t>
      </w:r>
    </w:p>
    <w:p w14:paraId="24301B9E" w14:textId="4DA8C50D" w:rsidR="00C23C95" w:rsidRDefault="00C23C95" w:rsidP="00C23C95">
      <w:pPr>
        <w:rPr>
          <w:rFonts w:ascii="Arial" w:hAnsi="Arial" w:cs="Arial"/>
        </w:rPr>
      </w:pPr>
      <w:r w:rsidRPr="00B170D8">
        <w:rPr>
          <w:rFonts w:ascii="Arial" w:hAnsi="Arial" w:cs="Arial"/>
        </w:rPr>
        <w:t xml:space="preserve">This clause forms part of the amendments that clarify </w:t>
      </w:r>
      <w:r w:rsidR="008B7C2F" w:rsidRPr="00B170D8">
        <w:rPr>
          <w:rFonts w:ascii="Arial" w:hAnsi="Arial" w:cs="Arial"/>
        </w:rPr>
        <w:t xml:space="preserve">community contribution </w:t>
      </w:r>
      <w:r w:rsidRPr="00B170D8">
        <w:rPr>
          <w:rFonts w:ascii="Arial" w:hAnsi="Arial" w:cs="Arial"/>
        </w:rPr>
        <w:t xml:space="preserve">requirements for licensees that are clubs with more than one venue (authorised premises). See notes on </w:t>
      </w:r>
      <w:r w:rsidRPr="007448DB">
        <w:rPr>
          <w:rFonts w:ascii="Arial" w:hAnsi="Arial" w:cs="Arial"/>
        </w:rPr>
        <w:t>Clause 1</w:t>
      </w:r>
      <w:r w:rsidR="00576CDA" w:rsidRPr="007448DB">
        <w:rPr>
          <w:rFonts w:ascii="Arial" w:hAnsi="Arial" w:cs="Arial"/>
        </w:rPr>
        <w:t>8</w:t>
      </w:r>
      <w:r w:rsidRPr="00B170D8">
        <w:rPr>
          <w:rFonts w:ascii="Arial" w:hAnsi="Arial" w:cs="Arial"/>
        </w:rPr>
        <w:t xml:space="preserve"> (section 167) for further explanation.</w:t>
      </w:r>
    </w:p>
    <w:p w14:paraId="2D8446E9" w14:textId="5E9C5EC2" w:rsidR="0032121A" w:rsidRPr="001328E8" w:rsidRDefault="0032121A" w:rsidP="0032121A">
      <w:pPr>
        <w:pStyle w:val="Heading3"/>
        <w:rPr>
          <w:rFonts w:cs="Arial"/>
        </w:rPr>
      </w:pPr>
      <w:r w:rsidRPr="001328E8">
        <w:rPr>
          <w:rFonts w:cs="Arial"/>
        </w:rPr>
        <w:t xml:space="preserve">Clause </w:t>
      </w:r>
      <w:r w:rsidR="00CC1F9F">
        <w:rPr>
          <w:rFonts w:cs="Arial"/>
        </w:rPr>
        <w:t>21</w:t>
      </w:r>
      <w:r w:rsidRPr="001328E8">
        <w:rPr>
          <w:rFonts w:cs="Arial"/>
        </w:rPr>
        <w:tab/>
        <w:t>Section 1</w:t>
      </w:r>
      <w:r>
        <w:rPr>
          <w:rFonts w:cs="Arial"/>
        </w:rPr>
        <w:t>72 (1) (b)</w:t>
      </w:r>
    </w:p>
    <w:p w14:paraId="64A053C3" w14:textId="1283F131" w:rsidR="00C23C95" w:rsidRDefault="00C23C95" w:rsidP="00C23C95">
      <w:pPr>
        <w:rPr>
          <w:rFonts w:ascii="Arial" w:hAnsi="Arial" w:cs="Arial"/>
        </w:rPr>
      </w:pPr>
      <w:r>
        <w:rPr>
          <w:rFonts w:ascii="Arial" w:hAnsi="Arial" w:cs="Arial"/>
        </w:rPr>
        <w:t xml:space="preserve">This clause forms part of the amendments that clarify </w:t>
      </w:r>
      <w:r w:rsidR="008B7C2F">
        <w:rPr>
          <w:rFonts w:ascii="Arial" w:hAnsi="Arial" w:cs="Arial"/>
        </w:rPr>
        <w:t>community contribution</w:t>
      </w:r>
      <w:r>
        <w:rPr>
          <w:rFonts w:ascii="Arial" w:hAnsi="Arial" w:cs="Arial"/>
        </w:rPr>
        <w:t xml:space="preserve"> requirements for licensees that are clubs with more than one venue (authorised premises). See notes on </w:t>
      </w:r>
      <w:r w:rsidRPr="007448DB">
        <w:rPr>
          <w:rFonts w:ascii="Arial" w:hAnsi="Arial" w:cs="Arial"/>
        </w:rPr>
        <w:t>Clause 1</w:t>
      </w:r>
      <w:r w:rsidR="00576CDA" w:rsidRPr="007448DB">
        <w:rPr>
          <w:rFonts w:ascii="Arial" w:hAnsi="Arial" w:cs="Arial"/>
        </w:rPr>
        <w:t>8</w:t>
      </w:r>
      <w:r>
        <w:rPr>
          <w:rFonts w:ascii="Arial" w:hAnsi="Arial" w:cs="Arial"/>
        </w:rPr>
        <w:t xml:space="preserve"> (section 167) for further explanation.</w:t>
      </w:r>
    </w:p>
    <w:p w14:paraId="2D27C829" w14:textId="6AC892A8" w:rsidR="0032121A" w:rsidRPr="001328E8" w:rsidRDefault="0032121A" w:rsidP="0032121A">
      <w:pPr>
        <w:pStyle w:val="Heading3"/>
        <w:rPr>
          <w:rFonts w:cs="Arial"/>
        </w:rPr>
      </w:pPr>
      <w:r w:rsidRPr="001328E8">
        <w:rPr>
          <w:rFonts w:cs="Arial"/>
        </w:rPr>
        <w:t xml:space="preserve">Clause </w:t>
      </w:r>
      <w:r>
        <w:rPr>
          <w:rFonts w:cs="Arial"/>
        </w:rPr>
        <w:t>2</w:t>
      </w:r>
      <w:r w:rsidR="00CC1F9F">
        <w:rPr>
          <w:rFonts w:cs="Arial"/>
        </w:rPr>
        <w:t>2</w:t>
      </w:r>
      <w:r w:rsidRPr="001328E8">
        <w:rPr>
          <w:rFonts w:cs="Arial"/>
        </w:rPr>
        <w:tab/>
        <w:t>Section 1</w:t>
      </w:r>
      <w:r>
        <w:rPr>
          <w:rFonts w:cs="Arial"/>
        </w:rPr>
        <w:t>72 (1) (d)</w:t>
      </w:r>
    </w:p>
    <w:p w14:paraId="3CD361FE" w14:textId="771881E4" w:rsidR="00F57BDE" w:rsidRDefault="00F57BDE" w:rsidP="00F57BDE">
      <w:pPr>
        <w:rPr>
          <w:rFonts w:ascii="Arial" w:hAnsi="Arial" w:cs="Arial"/>
        </w:rPr>
      </w:pPr>
      <w:r w:rsidRPr="00B170D8">
        <w:rPr>
          <w:rFonts w:ascii="Arial" w:hAnsi="Arial" w:cs="Arial"/>
        </w:rPr>
        <w:t xml:space="preserve">This clause forms part of the amendments that clarify </w:t>
      </w:r>
      <w:r w:rsidR="008B7C2F" w:rsidRPr="00B170D8">
        <w:rPr>
          <w:rFonts w:ascii="Arial" w:hAnsi="Arial" w:cs="Arial"/>
        </w:rPr>
        <w:t>community contribution</w:t>
      </w:r>
      <w:r w:rsidRPr="00B170D8">
        <w:rPr>
          <w:rFonts w:ascii="Arial" w:hAnsi="Arial" w:cs="Arial"/>
        </w:rPr>
        <w:t xml:space="preserve"> requirements for licensees that are clubs with more than one venue (authorised premises). See notes on </w:t>
      </w:r>
      <w:r w:rsidRPr="007448DB">
        <w:rPr>
          <w:rFonts w:ascii="Arial" w:hAnsi="Arial" w:cs="Arial"/>
        </w:rPr>
        <w:t>Clause 1</w:t>
      </w:r>
      <w:r w:rsidR="00576CDA" w:rsidRPr="007448DB">
        <w:rPr>
          <w:rFonts w:ascii="Arial" w:hAnsi="Arial" w:cs="Arial"/>
        </w:rPr>
        <w:t>8</w:t>
      </w:r>
      <w:r w:rsidRPr="00B170D8">
        <w:rPr>
          <w:rFonts w:ascii="Arial" w:hAnsi="Arial" w:cs="Arial"/>
        </w:rPr>
        <w:t xml:space="preserve"> (section 167) for further explanation.</w:t>
      </w:r>
    </w:p>
    <w:p w14:paraId="0154ECDA" w14:textId="023C0DA7" w:rsidR="0032121A" w:rsidRPr="001328E8" w:rsidRDefault="0032121A" w:rsidP="0032121A">
      <w:pPr>
        <w:pStyle w:val="Heading3"/>
        <w:rPr>
          <w:rFonts w:cs="Arial"/>
        </w:rPr>
      </w:pPr>
      <w:r w:rsidRPr="001328E8">
        <w:rPr>
          <w:rFonts w:cs="Arial"/>
        </w:rPr>
        <w:t xml:space="preserve">Clause </w:t>
      </w:r>
      <w:r>
        <w:rPr>
          <w:rFonts w:cs="Arial"/>
        </w:rPr>
        <w:t>2</w:t>
      </w:r>
      <w:r w:rsidR="00CC1F9F">
        <w:rPr>
          <w:rFonts w:cs="Arial"/>
        </w:rPr>
        <w:t>3</w:t>
      </w:r>
      <w:r w:rsidRPr="001328E8">
        <w:rPr>
          <w:rFonts w:cs="Arial"/>
        </w:rPr>
        <w:tab/>
        <w:t>Section 1</w:t>
      </w:r>
      <w:r>
        <w:rPr>
          <w:rFonts w:cs="Arial"/>
        </w:rPr>
        <w:t>72 (2)</w:t>
      </w:r>
    </w:p>
    <w:p w14:paraId="1463265E" w14:textId="5D8388B2" w:rsidR="00F57BDE" w:rsidRDefault="00F57BDE" w:rsidP="00F57BDE">
      <w:pPr>
        <w:rPr>
          <w:rFonts w:ascii="Arial" w:hAnsi="Arial" w:cs="Arial"/>
        </w:rPr>
      </w:pPr>
      <w:r w:rsidRPr="00B170D8">
        <w:rPr>
          <w:rFonts w:ascii="Arial" w:hAnsi="Arial" w:cs="Arial"/>
        </w:rPr>
        <w:t xml:space="preserve">This clause forms part of the amendments that clarify </w:t>
      </w:r>
      <w:r w:rsidR="008B7C2F" w:rsidRPr="00B170D8">
        <w:rPr>
          <w:rFonts w:ascii="Arial" w:hAnsi="Arial" w:cs="Arial"/>
        </w:rPr>
        <w:t>community contribution</w:t>
      </w:r>
      <w:r w:rsidRPr="00B170D8">
        <w:rPr>
          <w:rFonts w:ascii="Arial" w:hAnsi="Arial" w:cs="Arial"/>
        </w:rPr>
        <w:t xml:space="preserve"> requirements for licensees that are clubs with more than one venue (authorised premises). See notes on </w:t>
      </w:r>
      <w:r w:rsidRPr="007448DB">
        <w:rPr>
          <w:rFonts w:ascii="Arial" w:hAnsi="Arial" w:cs="Arial"/>
        </w:rPr>
        <w:t>Clause 1</w:t>
      </w:r>
      <w:r w:rsidR="00576CDA" w:rsidRPr="007448DB">
        <w:rPr>
          <w:rFonts w:ascii="Arial" w:hAnsi="Arial" w:cs="Arial"/>
        </w:rPr>
        <w:t>8</w:t>
      </w:r>
      <w:r w:rsidRPr="00B170D8">
        <w:rPr>
          <w:rFonts w:ascii="Arial" w:hAnsi="Arial" w:cs="Arial"/>
        </w:rPr>
        <w:t xml:space="preserve"> (section 167) for further explanation.</w:t>
      </w:r>
    </w:p>
    <w:p w14:paraId="1D1E8DB8" w14:textId="1A200DC0" w:rsidR="0032121A" w:rsidRPr="001328E8" w:rsidRDefault="0032121A" w:rsidP="0032121A">
      <w:pPr>
        <w:pStyle w:val="Heading3"/>
        <w:rPr>
          <w:rFonts w:cs="Arial"/>
        </w:rPr>
      </w:pPr>
      <w:r w:rsidRPr="001328E8">
        <w:rPr>
          <w:rFonts w:cs="Arial"/>
        </w:rPr>
        <w:t xml:space="preserve">Clause </w:t>
      </w:r>
      <w:r>
        <w:rPr>
          <w:rFonts w:cs="Arial"/>
        </w:rPr>
        <w:t>2</w:t>
      </w:r>
      <w:r w:rsidR="00CC1F9F">
        <w:rPr>
          <w:rFonts w:cs="Arial"/>
        </w:rPr>
        <w:t>4</w:t>
      </w:r>
      <w:r w:rsidRPr="001328E8">
        <w:rPr>
          <w:rFonts w:cs="Arial"/>
        </w:rPr>
        <w:tab/>
        <w:t>Section 1</w:t>
      </w:r>
      <w:r>
        <w:rPr>
          <w:rFonts w:cs="Arial"/>
        </w:rPr>
        <w:t>72 (3)</w:t>
      </w:r>
    </w:p>
    <w:p w14:paraId="3AC39680" w14:textId="03ED8992" w:rsidR="00F57BDE" w:rsidRDefault="00F57BDE" w:rsidP="00F57BDE">
      <w:pPr>
        <w:rPr>
          <w:rFonts w:ascii="Arial" w:hAnsi="Arial" w:cs="Arial"/>
        </w:rPr>
      </w:pPr>
      <w:r w:rsidRPr="00B170D8">
        <w:rPr>
          <w:rFonts w:ascii="Arial" w:hAnsi="Arial" w:cs="Arial"/>
        </w:rPr>
        <w:t xml:space="preserve">This clause forms part of the amendments that clarify </w:t>
      </w:r>
      <w:r w:rsidR="008B7C2F" w:rsidRPr="00B170D8">
        <w:rPr>
          <w:rFonts w:ascii="Arial" w:hAnsi="Arial" w:cs="Arial"/>
        </w:rPr>
        <w:t>community contribution</w:t>
      </w:r>
      <w:r w:rsidRPr="00B170D8">
        <w:rPr>
          <w:rFonts w:ascii="Arial" w:hAnsi="Arial" w:cs="Arial"/>
        </w:rPr>
        <w:t xml:space="preserve"> requirements for licensees that are clubs with more than one venue (authorised premises). See notes on </w:t>
      </w:r>
      <w:r w:rsidRPr="007448DB">
        <w:rPr>
          <w:rFonts w:ascii="Arial" w:hAnsi="Arial" w:cs="Arial"/>
        </w:rPr>
        <w:t>Clause 1</w:t>
      </w:r>
      <w:r w:rsidR="00576CDA" w:rsidRPr="007448DB">
        <w:rPr>
          <w:rFonts w:ascii="Arial" w:hAnsi="Arial" w:cs="Arial"/>
        </w:rPr>
        <w:t>8</w:t>
      </w:r>
      <w:r w:rsidRPr="00B170D8">
        <w:rPr>
          <w:rFonts w:ascii="Arial" w:hAnsi="Arial" w:cs="Arial"/>
        </w:rPr>
        <w:t xml:space="preserve"> (section 167) for further explanation.</w:t>
      </w:r>
    </w:p>
    <w:p w14:paraId="1A18C2DA" w14:textId="54128585" w:rsidR="0032121A" w:rsidRPr="001328E8" w:rsidRDefault="0032121A" w:rsidP="00F56FD4">
      <w:pPr>
        <w:pStyle w:val="Heading3"/>
        <w:ind w:left="1440" w:hanging="1440"/>
        <w:rPr>
          <w:rFonts w:cs="Arial"/>
        </w:rPr>
      </w:pPr>
      <w:r w:rsidRPr="001328E8">
        <w:rPr>
          <w:rFonts w:cs="Arial"/>
        </w:rPr>
        <w:t xml:space="preserve">Clause </w:t>
      </w:r>
      <w:r>
        <w:rPr>
          <w:rFonts w:cs="Arial"/>
        </w:rPr>
        <w:t>2</w:t>
      </w:r>
      <w:r w:rsidR="00CC1F9F">
        <w:rPr>
          <w:rFonts w:cs="Arial"/>
        </w:rPr>
        <w:t>5</w:t>
      </w:r>
      <w:r w:rsidRPr="001328E8">
        <w:rPr>
          <w:rFonts w:cs="Arial"/>
        </w:rPr>
        <w:tab/>
      </w:r>
      <w:r w:rsidR="008C3122">
        <w:rPr>
          <w:rFonts w:cs="Arial"/>
        </w:rPr>
        <w:t xml:space="preserve">Community contributions–commission must publish summary, </w:t>
      </w:r>
      <w:r w:rsidRPr="001328E8">
        <w:rPr>
          <w:rFonts w:cs="Arial"/>
        </w:rPr>
        <w:t>Section 1</w:t>
      </w:r>
      <w:r>
        <w:rPr>
          <w:rFonts w:cs="Arial"/>
        </w:rPr>
        <w:t>72A (1) (a)</w:t>
      </w:r>
    </w:p>
    <w:p w14:paraId="1015F3C1" w14:textId="77777777" w:rsidR="00C23C95" w:rsidRDefault="00C23C95" w:rsidP="00C23C95">
      <w:pPr>
        <w:rPr>
          <w:rFonts w:ascii="Arial" w:hAnsi="Arial" w:cs="Arial"/>
        </w:rPr>
      </w:pPr>
      <w:r>
        <w:rPr>
          <w:rFonts w:ascii="Arial" w:hAnsi="Arial" w:cs="Arial"/>
        </w:rPr>
        <w:t>This clause is a consequential amendment, reflecting the revised structure of section 167.</w:t>
      </w:r>
    </w:p>
    <w:p w14:paraId="0947B148" w14:textId="41FABDE3" w:rsidR="0032121A" w:rsidRPr="001328E8" w:rsidRDefault="0032121A" w:rsidP="0032121A">
      <w:pPr>
        <w:pStyle w:val="Heading3"/>
        <w:rPr>
          <w:rFonts w:cs="Arial"/>
        </w:rPr>
      </w:pPr>
      <w:r w:rsidRPr="001328E8">
        <w:rPr>
          <w:rFonts w:cs="Arial"/>
        </w:rPr>
        <w:t xml:space="preserve">Clause </w:t>
      </w:r>
      <w:r>
        <w:rPr>
          <w:rFonts w:cs="Arial"/>
        </w:rPr>
        <w:t>2</w:t>
      </w:r>
      <w:r w:rsidR="00CC1F9F">
        <w:rPr>
          <w:rFonts w:cs="Arial"/>
        </w:rPr>
        <w:t>6</w:t>
      </w:r>
      <w:r w:rsidRPr="001328E8">
        <w:rPr>
          <w:rFonts w:cs="Arial"/>
        </w:rPr>
        <w:tab/>
        <w:t>Section 1</w:t>
      </w:r>
      <w:r>
        <w:rPr>
          <w:rFonts w:cs="Arial"/>
        </w:rPr>
        <w:t>72A (1) (b) (ii)</w:t>
      </w:r>
    </w:p>
    <w:p w14:paraId="2A978524" w14:textId="5C8C2340" w:rsidR="00F57BDE" w:rsidRDefault="00F57BDE" w:rsidP="00F57BDE">
      <w:pPr>
        <w:rPr>
          <w:rFonts w:ascii="Arial" w:hAnsi="Arial" w:cs="Arial"/>
        </w:rPr>
      </w:pPr>
      <w:r w:rsidRPr="00B170D8">
        <w:rPr>
          <w:rFonts w:ascii="Arial" w:hAnsi="Arial" w:cs="Arial"/>
        </w:rPr>
        <w:t xml:space="preserve">This clause forms part of the amendments that clarify </w:t>
      </w:r>
      <w:r w:rsidR="003B1260" w:rsidRPr="00B170D8">
        <w:rPr>
          <w:rFonts w:ascii="Arial" w:hAnsi="Arial" w:cs="Arial"/>
        </w:rPr>
        <w:t>community contribution</w:t>
      </w:r>
      <w:r w:rsidRPr="00B170D8">
        <w:rPr>
          <w:rFonts w:ascii="Arial" w:hAnsi="Arial" w:cs="Arial"/>
        </w:rPr>
        <w:t xml:space="preserve"> requirements for licensees that are clubs with more than one venue (authorised premises) and also corrects a previous erroneous omission of the words “for the reporting y</w:t>
      </w:r>
      <w:r w:rsidRPr="007448DB">
        <w:rPr>
          <w:rFonts w:ascii="Arial" w:hAnsi="Arial" w:cs="Arial"/>
        </w:rPr>
        <w:t>ear”. See notes on Clause 1</w:t>
      </w:r>
      <w:r w:rsidR="00576CDA" w:rsidRPr="007448DB">
        <w:rPr>
          <w:rFonts w:ascii="Arial" w:hAnsi="Arial" w:cs="Arial"/>
        </w:rPr>
        <w:t>8</w:t>
      </w:r>
      <w:r w:rsidRPr="00B170D8">
        <w:rPr>
          <w:rFonts w:ascii="Arial" w:hAnsi="Arial" w:cs="Arial"/>
        </w:rPr>
        <w:t xml:space="preserve"> (section 167) for further explanation.</w:t>
      </w:r>
    </w:p>
    <w:p w14:paraId="14F09370" w14:textId="776F779D" w:rsidR="0032121A" w:rsidRPr="001328E8" w:rsidRDefault="0032121A" w:rsidP="00F56FD4">
      <w:pPr>
        <w:pStyle w:val="Heading3"/>
        <w:ind w:left="1440" w:hanging="1440"/>
        <w:rPr>
          <w:rFonts w:cs="Arial"/>
        </w:rPr>
      </w:pPr>
      <w:r w:rsidRPr="001328E8">
        <w:rPr>
          <w:rFonts w:cs="Arial"/>
        </w:rPr>
        <w:lastRenderedPageBreak/>
        <w:t xml:space="preserve">Clause </w:t>
      </w:r>
      <w:r>
        <w:rPr>
          <w:rFonts w:cs="Arial"/>
        </w:rPr>
        <w:t>2</w:t>
      </w:r>
      <w:r w:rsidR="00CC1F9F">
        <w:rPr>
          <w:rFonts w:cs="Arial"/>
        </w:rPr>
        <w:t>7</w:t>
      </w:r>
      <w:r w:rsidRPr="001328E8">
        <w:rPr>
          <w:rFonts w:cs="Arial"/>
        </w:rPr>
        <w:tab/>
      </w:r>
      <w:r w:rsidR="008C3122">
        <w:rPr>
          <w:rFonts w:cs="Arial"/>
        </w:rPr>
        <w:t>Community contribution shortfall tax,</w:t>
      </w:r>
      <w:r w:rsidR="008C3122">
        <w:rPr>
          <w:rFonts w:cs="Arial"/>
        </w:rPr>
        <w:br/>
      </w:r>
      <w:r>
        <w:rPr>
          <w:rFonts w:cs="Arial"/>
        </w:rPr>
        <w:t>New s</w:t>
      </w:r>
      <w:r w:rsidRPr="001328E8">
        <w:rPr>
          <w:rFonts w:cs="Arial"/>
        </w:rPr>
        <w:t>ection 1</w:t>
      </w:r>
      <w:r>
        <w:rPr>
          <w:rFonts w:cs="Arial"/>
        </w:rPr>
        <w:t>72B (</w:t>
      </w:r>
      <w:r w:rsidR="00CE4471">
        <w:rPr>
          <w:rFonts w:cs="Arial"/>
        </w:rPr>
        <w:t>4</w:t>
      </w:r>
      <w:r>
        <w:rPr>
          <w:rFonts w:cs="Arial"/>
        </w:rPr>
        <w:t>A) and (</w:t>
      </w:r>
      <w:r w:rsidR="00CE4471">
        <w:rPr>
          <w:rFonts w:cs="Arial"/>
        </w:rPr>
        <w:t>4</w:t>
      </w:r>
      <w:r>
        <w:rPr>
          <w:rFonts w:cs="Arial"/>
        </w:rPr>
        <w:t>B)</w:t>
      </w:r>
    </w:p>
    <w:p w14:paraId="445964F9" w14:textId="77777777" w:rsidR="00F01F01" w:rsidRDefault="0032121A" w:rsidP="0032121A">
      <w:pPr>
        <w:rPr>
          <w:rFonts w:ascii="Arial" w:hAnsi="Arial" w:cs="Arial"/>
        </w:rPr>
      </w:pPr>
      <w:r>
        <w:rPr>
          <w:rFonts w:ascii="Arial" w:hAnsi="Arial" w:cs="Arial"/>
        </w:rPr>
        <w:t>This clause</w:t>
      </w:r>
      <w:r w:rsidR="00B86912">
        <w:rPr>
          <w:rFonts w:ascii="Arial" w:hAnsi="Arial" w:cs="Arial"/>
        </w:rPr>
        <w:t xml:space="preserve"> introduces a transitional provision, reducing the community contribution shortfall tax rate for licensees that are clubs for a reporting year from 150% to 100%. Community contribution shortfall tax liability falls on licensees that fall short of the minimum community contributions required under section 167</w:t>
      </w:r>
      <w:r w:rsidR="00F01F01">
        <w:rPr>
          <w:rFonts w:ascii="Arial" w:hAnsi="Arial" w:cs="Arial"/>
        </w:rPr>
        <w:t xml:space="preserve"> for a reporting year</w:t>
      </w:r>
      <w:r w:rsidR="00B86912">
        <w:rPr>
          <w:rFonts w:ascii="Arial" w:hAnsi="Arial" w:cs="Arial"/>
        </w:rPr>
        <w:t xml:space="preserve">. Prior to the Amendment Act of 2018, the tax rate was 100% of a licensee’s shortfall. For example, if a licensee fell short of the required community purpose contribution of 8% of their NGMR and contributed only 5% of their NGMR, the licensee would have incurred a tax liability of 3% of their NGMR. </w:t>
      </w:r>
    </w:p>
    <w:p w14:paraId="78E6125F" w14:textId="115C8C50" w:rsidR="00CE4471" w:rsidRDefault="00B86912" w:rsidP="0032121A">
      <w:pPr>
        <w:rPr>
          <w:rFonts w:ascii="Arial" w:hAnsi="Arial" w:cs="Arial"/>
        </w:rPr>
      </w:pPr>
      <w:r>
        <w:rPr>
          <w:rFonts w:ascii="Arial" w:hAnsi="Arial" w:cs="Arial"/>
        </w:rPr>
        <w:t xml:space="preserve">The Amendment Act of 2018 increased the tax rate to 150% </w:t>
      </w:r>
      <w:r w:rsidR="00F01F01">
        <w:rPr>
          <w:rFonts w:ascii="Arial" w:hAnsi="Arial" w:cs="Arial"/>
        </w:rPr>
        <w:t>of a licensee’s shortfall</w:t>
      </w:r>
      <w:r w:rsidR="00CE4471">
        <w:rPr>
          <w:rFonts w:ascii="Arial" w:hAnsi="Arial" w:cs="Arial"/>
        </w:rPr>
        <w:t>. A</w:t>
      </w:r>
      <w:r w:rsidR="00F01F01">
        <w:rPr>
          <w:rFonts w:ascii="Arial" w:hAnsi="Arial" w:cs="Arial"/>
        </w:rPr>
        <w:t xml:space="preserve">s such, in the example above, the licensee would incur an increased tax liability of 4.5% of their NGMR. </w:t>
      </w:r>
    </w:p>
    <w:p w14:paraId="6C54EB54" w14:textId="039DC38F" w:rsidR="0032121A" w:rsidRPr="00926EFD" w:rsidRDefault="00CE4471" w:rsidP="00CE4471">
      <w:pPr>
        <w:rPr>
          <w:rFonts w:ascii="Arial" w:hAnsi="Arial" w:cs="Arial"/>
        </w:rPr>
      </w:pPr>
      <w:r w:rsidRPr="00926EFD">
        <w:rPr>
          <w:rFonts w:ascii="Arial" w:hAnsi="Arial" w:cs="Arial"/>
        </w:rPr>
        <w:t>T</w:t>
      </w:r>
      <w:r w:rsidR="00F01F01" w:rsidRPr="00926EFD">
        <w:rPr>
          <w:rFonts w:ascii="Arial" w:hAnsi="Arial" w:cs="Arial"/>
        </w:rPr>
        <w:t xml:space="preserve">he transitional provision reduces the community contribution shortfall tax rate to the previous level of 100% for reporting years ending after 30 June 2019 and before 1 July 2021. </w:t>
      </w:r>
    </w:p>
    <w:p w14:paraId="0859E3C9" w14:textId="34A64655" w:rsidR="0032121A" w:rsidRPr="008C3122" w:rsidRDefault="0032121A" w:rsidP="0032121A">
      <w:pPr>
        <w:pStyle w:val="Heading3"/>
        <w:rPr>
          <w:rFonts w:cs="Arial"/>
        </w:rPr>
      </w:pPr>
      <w:r w:rsidRPr="001328E8">
        <w:rPr>
          <w:rFonts w:cs="Arial"/>
        </w:rPr>
        <w:t xml:space="preserve">Clause </w:t>
      </w:r>
      <w:r>
        <w:rPr>
          <w:rFonts w:cs="Arial"/>
        </w:rPr>
        <w:t>2</w:t>
      </w:r>
      <w:r w:rsidR="00CC1F9F">
        <w:rPr>
          <w:rFonts w:cs="Arial"/>
        </w:rPr>
        <w:t>8</w:t>
      </w:r>
      <w:r w:rsidRPr="001328E8">
        <w:rPr>
          <w:rFonts w:cs="Arial"/>
        </w:rPr>
        <w:tab/>
        <w:t>Section 1</w:t>
      </w:r>
      <w:r>
        <w:rPr>
          <w:rFonts w:cs="Arial"/>
        </w:rPr>
        <w:t>72B (5)</w:t>
      </w:r>
      <w:r w:rsidR="008C3122">
        <w:rPr>
          <w:rFonts w:cs="Arial"/>
        </w:rPr>
        <w:t xml:space="preserve">, definition of </w:t>
      </w:r>
      <w:r w:rsidR="008C3122">
        <w:rPr>
          <w:rFonts w:cs="Arial"/>
          <w:i/>
          <w:iCs/>
        </w:rPr>
        <w:t>community contribution shortfall</w:t>
      </w:r>
    </w:p>
    <w:p w14:paraId="46647F3C" w14:textId="51A3550A" w:rsidR="00597C93" w:rsidRDefault="00597C93" w:rsidP="00597C93">
      <w:pPr>
        <w:rPr>
          <w:rFonts w:ascii="Arial" w:hAnsi="Arial" w:cs="Arial"/>
        </w:rPr>
      </w:pPr>
      <w:r w:rsidRPr="007448DB">
        <w:rPr>
          <w:rFonts w:ascii="Arial" w:hAnsi="Arial" w:cs="Arial"/>
        </w:rPr>
        <w:t>This clause forms part of the amendments that clarify reporting requirements for licensees that are clubs with more than one venue (authorised premises). See notes on Clause 1</w:t>
      </w:r>
      <w:r w:rsidR="00576CDA" w:rsidRPr="007448DB">
        <w:rPr>
          <w:rFonts w:ascii="Arial" w:hAnsi="Arial" w:cs="Arial"/>
        </w:rPr>
        <w:t>8</w:t>
      </w:r>
      <w:r w:rsidRPr="007448DB">
        <w:rPr>
          <w:rFonts w:ascii="Arial" w:hAnsi="Arial" w:cs="Arial"/>
        </w:rPr>
        <w:t xml:space="preserve"> (section 167) for further explanation.</w:t>
      </w:r>
    </w:p>
    <w:p w14:paraId="6CFC5DA3" w14:textId="5663F773" w:rsidR="001328E8" w:rsidRPr="001328E8" w:rsidRDefault="001328E8" w:rsidP="001328E8">
      <w:pPr>
        <w:pStyle w:val="Heading3"/>
        <w:rPr>
          <w:rFonts w:cs="Arial"/>
        </w:rPr>
      </w:pPr>
      <w:r w:rsidRPr="001328E8">
        <w:rPr>
          <w:rFonts w:cs="Arial"/>
        </w:rPr>
        <w:t xml:space="preserve">Clause </w:t>
      </w:r>
      <w:r w:rsidR="0032121A">
        <w:rPr>
          <w:rFonts w:cs="Arial"/>
        </w:rPr>
        <w:t>2</w:t>
      </w:r>
      <w:r w:rsidR="00CC1F9F">
        <w:rPr>
          <w:rFonts w:cs="Arial"/>
        </w:rPr>
        <w:t>9</w:t>
      </w:r>
      <w:r w:rsidRPr="001328E8">
        <w:rPr>
          <w:rFonts w:cs="Arial"/>
        </w:rPr>
        <w:tab/>
        <w:t>Section 179A</w:t>
      </w:r>
    </w:p>
    <w:p w14:paraId="467CBDCB" w14:textId="641C7CCD" w:rsidR="00EF3710" w:rsidRDefault="00CA6E3C" w:rsidP="001328E8">
      <w:pPr>
        <w:rPr>
          <w:rFonts w:ascii="Arial" w:hAnsi="Arial" w:cs="Arial"/>
        </w:rPr>
      </w:pPr>
      <w:r>
        <w:rPr>
          <w:rFonts w:ascii="Arial" w:hAnsi="Arial" w:cs="Arial"/>
        </w:rPr>
        <w:t xml:space="preserve">Section 179A currently provides that the Minister must, before 30 November 2019, review the operation of the GMT rebate and present a report of the review to the Legislative Assembly. This review </w:t>
      </w:r>
      <w:r w:rsidR="00EF3710">
        <w:rPr>
          <w:rFonts w:ascii="Arial" w:hAnsi="Arial" w:cs="Arial"/>
        </w:rPr>
        <w:t>was</w:t>
      </w:r>
      <w:r>
        <w:rPr>
          <w:rFonts w:ascii="Arial" w:hAnsi="Arial" w:cs="Arial"/>
        </w:rPr>
        <w:t xml:space="preserve"> completed and </w:t>
      </w:r>
      <w:r w:rsidR="00EF3710">
        <w:rPr>
          <w:rFonts w:ascii="Arial" w:hAnsi="Arial" w:cs="Arial"/>
        </w:rPr>
        <w:t xml:space="preserve">tabled in </w:t>
      </w:r>
      <w:r>
        <w:rPr>
          <w:rFonts w:ascii="Arial" w:hAnsi="Arial" w:cs="Arial"/>
        </w:rPr>
        <w:t>the Legislative Assembly</w:t>
      </w:r>
      <w:r w:rsidR="00EF3710">
        <w:rPr>
          <w:rFonts w:ascii="Arial" w:hAnsi="Arial" w:cs="Arial"/>
        </w:rPr>
        <w:t xml:space="preserve"> on 28 November 2019</w:t>
      </w:r>
      <w:r>
        <w:rPr>
          <w:rFonts w:ascii="Arial" w:hAnsi="Arial" w:cs="Arial"/>
        </w:rPr>
        <w:t xml:space="preserve">. </w:t>
      </w:r>
    </w:p>
    <w:p w14:paraId="4F16B347" w14:textId="33ECBD68" w:rsidR="001328E8" w:rsidRPr="001328E8" w:rsidRDefault="000110BD" w:rsidP="001328E8">
      <w:pPr>
        <w:rPr>
          <w:rFonts w:ascii="Arial" w:hAnsi="Arial" w:cs="Arial"/>
        </w:rPr>
      </w:pPr>
      <w:r>
        <w:rPr>
          <w:rFonts w:ascii="Arial" w:hAnsi="Arial" w:cs="Arial"/>
        </w:rPr>
        <w:t>This clause</w:t>
      </w:r>
      <w:r w:rsidR="00CA6E3C">
        <w:rPr>
          <w:rFonts w:ascii="Arial" w:hAnsi="Arial" w:cs="Arial"/>
        </w:rPr>
        <w:t xml:space="preserve"> amends section 179A to provide that a further review of the GMT rebate must occur before 30 November 2022</w:t>
      </w:r>
      <w:r w:rsidR="00EF3710">
        <w:rPr>
          <w:rFonts w:ascii="Arial" w:hAnsi="Arial" w:cs="Arial"/>
        </w:rPr>
        <w:t xml:space="preserve"> and a </w:t>
      </w:r>
      <w:r w:rsidR="00EF3710" w:rsidRPr="00376722">
        <w:rPr>
          <w:rFonts w:ascii="Arial" w:hAnsi="Arial" w:cs="Arial"/>
        </w:rPr>
        <w:t xml:space="preserve">report of the review </w:t>
      </w:r>
      <w:r w:rsidR="001F43B0">
        <w:rPr>
          <w:rFonts w:ascii="Arial" w:hAnsi="Arial" w:cs="Arial"/>
        </w:rPr>
        <w:t>must be tabled in</w:t>
      </w:r>
      <w:r w:rsidR="00EF3710" w:rsidRPr="007448DB">
        <w:rPr>
          <w:rFonts w:ascii="Arial" w:hAnsi="Arial" w:cs="Arial"/>
        </w:rPr>
        <w:t xml:space="preserve"> the Legislative Assembly</w:t>
      </w:r>
      <w:r w:rsidR="00CA6E3C">
        <w:rPr>
          <w:rFonts w:ascii="Arial" w:hAnsi="Arial" w:cs="Arial"/>
        </w:rPr>
        <w:t>.</w:t>
      </w:r>
    </w:p>
    <w:p w14:paraId="2DD81511" w14:textId="5DA8723B" w:rsidR="0032121A" w:rsidRPr="001328E8" w:rsidRDefault="0032121A" w:rsidP="00F56FD4">
      <w:pPr>
        <w:pStyle w:val="Heading3"/>
        <w:ind w:left="1440" w:hanging="1440"/>
        <w:rPr>
          <w:rFonts w:cs="Arial"/>
        </w:rPr>
      </w:pPr>
      <w:r w:rsidRPr="001328E8">
        <w:rPr>
          <w:rFonts w:cs="Arial"/>
        </w:rPr>
        <w:t xml:space="preserve">Clause </w:t>
      </w:r>
      <w:r w:rsidR="00CC1F9F">
        <w:rPr>
          <w:rFonts w:cs="Arial"/>
        </w:rPr>
        <w:t>30</w:t>
      </w:r>
      <w:r w:rsidRPr="001328E8">
        <w:rPr>
          <w:rFonts w:cs="Arial"/>
        </w:rPr>
        <w:tab/>
      </w:r>
      <w:r w:rsidR="008C3122">
        <w:rPr>
          <w:rFonts w:cs="Arial"/>
        </w:rPr>
        <w:t xml:space="preserve">Community contributions–clubs with reporting year beginning before and ending after 1 July 2019, </w:t>
      </w:r>
      <w:r w:rsidRPr="001328E8">
        <w:rPr>
          <w:rFonts w:cs="Arial"/>
        </w:rPr>
        <w:t xml:space="preserve">Section </w:t>
      </w:r>
      <w:r>
        <w:rPr>
          <w:rFonts w:cs="Arial"/>
        </w:rPr>
        <w:t>314 (</w:t>
      </w:r>
      <w:r w:rsidR="00CC1F9F">
        <w:rPr>
          <w:rFonts w:cs="Arial"/>
        </w:rPr>
        <w:t>4</w:t>
      </w:r>
      <w:r>
        <w:rPr>
          <w:rFonts w:cs="Arial"/>
        </w:rPr>
        <w:t>)</w:t>
      </w:r>
    </w:p>
    <w:p w14:paraId="3534EBE9" w14:textId="5AF6B6FF" w:rsidR="00C23C95" w:rsidRDefault="00C23C95" w:rsidP="00C23C95">
      <w:pPr>
        <w:rPr>
          <w:rFonts w:ascii="Arial" w:hAnsi="Arial" w:cs="Arial"/>
        </w:rPr>
      </w:pPr>
      <w:r>
        <w:rPr>
          <w:rFonts w:ascii="Arial" w:hAnsi="Arial" w:cs="Arial"/>
        </w:rPr>
        <w:t>This clause is a consequential amendment, reflecting the revised structure of section 167.</w:t>
      </w:r>
    </w:p>
    <w:p w14:paraId="6AABD52A" w14:textId="24372626" w:rsidR="00280E87" w:rsidRPr="001328E8" w:rsidRDefault="00280E87" w:rsidP="00280E87">
      <w:pPr>
        <w:pStyle w:val="Heading3"/>
        <w:rPr>
          <w:rFonts w:cs="Arial"/>
        </w:rPr>
      </w:pPr>
      <w:r w:rsidRPr="001328E8">
        <w:rPr>
          <w:rFonts w:cs="Arial"/>
        </w:rPr>
        <w:t xml:space="preserve">Clause </w:t>
      </w:r>
      <w:r>
        <w:rPr>
          <w:rFonts w:cs="Arial"/>
        </w:rPr>
        <w:t>31</w:t>
      </w:r>
      <w:r w:rsidRPr="001328E8">
        <w:rPr>
          <w:rFonts w:cs="Arial"/>
        </w:rPr>
        <w:tab/>
      </w:r>
      <w:r>
        <w:rPr>
          <w:rFonts w:cs="Arial"/>
        </w:rPr>
        <w:t>New s</w:t>
      </w:r>
      <w:r w:rsidRPr="001328E8">
        <w:rPr>
          <w:rFonts w:cs="Arial"/>
        </w:rPr>
        <w:t xml:space="preserve">ection </w:t>
      </w:r>
      <w:r>
        <w:rPr>
          <w:rFonts w:cs="Arial"/>
        </w:rPr>
        <w:t>314 (4A)</w:t>
      </w:r>
    </w:p>
    <w:p w14:paraId="2F639D32" w14:textId="3471AE4A" w:rsidR="00280E87" w:rsidRDefault="00280E87" w:rsidP="00C23C95">
      <w:pPr>
        <w:rPr>
          <w:rFonts w:ascii="Arial" w:hAnsi="Arial" w:cs="Arial"/>
        </w:rPr>
      </w:pPr>
      <w:r w:rsidRPr="007448DB">
        <w:rPr>
          <w:rFonts w:ascii="Arial" w:hAnsi="Arial" w:cs="Arial"/>
        </w:rPr>
        <w:t xml:space="preserve">This clause forms part of the amendments that clarify </w:t>
      </w:r>
      <w:r w:rsidR="001F43B0" w:rsidRPr="007448DB">
        <w:rPr>
          <w:rFonts w:ascii="Arial" w:hAnsi="Arial" w:cs="Arial"/>
        </w:rPr>
        <w:t>community contribution</w:t>
      </w:r>
      <w:r w:rsidRPr="007448DB">
        <w:rPr>
          <w:rFonts w:ascii="Arial" w:hAnsi="Arial" w:cs="Arial"/>
        </w:rPr>
        <w:t xml:space="preserve"> requirements for licensees that are clubs with more than one venue (authorised premises). See notes on Clause 1</w:t>
      </w:r>
      <w:r w:rsidR="00576CDA" w:rsidRPr="007448DB">
        <w:rPr>
          <w:rFonts w:ascii="Arial" w:hAnsi="Arial" w:cs="Arial"/>
        </w:rPr>
        <w:t>8</w:t>
      </w:r>
      <w:r w:rsidRPr="007448DB">
        <w:rPr>
          <w:rFonts w:ascii="Arial" w:hAnsi="Arial" w:cs="Arial"/>
        </w:rPr>
        <w:t xml:space="preserve"> (section 167) for further explanation.</w:t>
      </w:r>
    </w:p>
    <w:p w14:paraId="4216CB13" w14:textId="00F648C4" w:rsidR="000110BD" w:rsidRPr="001328E8" w:rsidRDefault="000110BD" w:rsidP="00F56FD4">
      <w:pPr>
        <w:pStyle w:val="Heading3"/>
        <w:ind w:left="1440" w:hanging="1440"/>
        <w:rPr>
          <w:rFonts w:cs="Arial"/>
        </w:rPr>
      </w:pPr>
      <w:r w:rsidRPr="001328E8">
        <w:rPr>
          <w:rFonts w:cs="Arial"/>
        </w:rPr>
        <w:lastRenderedPageBreak/>
        <w:t xml:space="preserve">Clause </w:t>
      </w:r>
      <w:r w:rsidR="00280E87">
        <w:rPr>
          <w:rFonts w:cs="Arial"/>
        </w:rPr>
        <w:t>32</w:t>
      </w:r>
      <w:r w:rsidRPr="001328E8">
        <w:rPr>
          <w:rFonts w:cs="Arial"/>
        </w:rPr>
        <w:tab/>
      </w:r>
      <w:r w:rsidR="00E70556">
        <w:rPr>
          <w:rFonts w:cs="Arial"/>
        </w:rPr>
        <w:t>Club’s business activities–Act, s 166 (2) (c)</w:t>
      </w:r>
      <w:r w:rsidR="00E70556">
        <w:rPr>
          <w:rFonts w:cs="Arial"/>
        </w:rPr>
        <w:br/>
      </w:r>
      <w:r w:rsidRPr="001328E8">
        <w:rPr>
          <w:rFonts w:cs="Arial"/>
        </w:rPr>
        <w:t xml:space="preserve">Section </w:t>
      </w:r>
      <w:r>
        <w:rPr>
          <w:rFonts w:cs="Arial"/>
        </w:rPr>
        <w:t>67 (1)</w:t>
      </w:r>
    </w:p>
    <w:p w14:paraId="736ED366" w14:textId="04C2FE29" w:rsidR="005E39BB" w:rsidRDefault="005E39BB" w:rsidP="005E39BB">
      <w:pPr>
        <w:rPr>
          <w:rFonts w:ascii="Arial" w:hAnsi="Arial" w:cs="Arial"/>
        </w:rPr>
      </w:pPr>
      <w:r w:rsidRPr="007448DB">
        <w:rPr>
          <w:rFonts w:ascii="Arial" w:hAnsi="Arial" w:cs="Arial"/>
        </w:rPr>
        <w:t xml:space="preserve">This clause forms part of the amendments that clarify </w:t>
      </w:r>
      <w:r w:rsidR="00EF3710" w:rsidRPr="007448DB">
        <w:rPr>
          <w:rFonts w:ascii="Arial" w:hAnsi="Arial" w:cs="Arial"/>
        </w:rPr>
        <w:t xml:space="preserve">community contribution </w:t>
      </w:r>
      <w:r w:rsidRPr="007448DB">
        <w:rPr>
          <w:rFonts w:ascii="Arial" w:hAnsi="Arial" w:cs="Arial"/>
        </w:rPr>
        <w:t>requirements for licensees that are clubs with more than one venue (authorised premises). See notes on Clause 1</w:t>
      </w:r>
      <w:r w:rsidR="00576CDA" w:rsidRPr="007448DB">
        <w:rPr>
          <w:rFonts w:ascii="Arial" w:hAnsi="Arial" w:cs="Arial"/>
        </w:rPr>
        <w:t>8</w:t>
      </w:r>
      <w:r w:rsidRPr="007448DB">
        <w:rPr>
          <w:rFonts w:ascii="Arial" w:hAnsi="Arial" w:cs="Arial"/>
        </w:rPr>
        <w:t xml:space="preserve"> (section 167) for further explanation.</w:t>
      </w:r>
    </w:p>
    <w:p w14:paraId="7E8A4B8C" w14:textId="479D2D0E" w:rsidR="000110BD" w:rsidRPr="001328E8" w:rsidRDefault="000110BD" w:rsidP="000110BD">
      <w:pPr>
        <w:pStyle w:val="Heading3"/>
        <w:rPr>
          <w:rFonts w:cs="Arial"/>
        </w:rPr>
      </w:pPr>
      <w:r w:rsidRPr="001328E8">
        <w:rPr>
          <w:rFonts w:cs="Arial"/>
        </w:rPr>
        <w:t xml:space="preserve">Clause </w:t>
      </w:r>
      <w:r>
        <w:rPr>
          <w:rFonts w:cs="Arial"/>
        </w:rPr>
        <w:t>3</w:t>
      </w:r>
      <w:r w:rsidR="00280E87">
        <w:rPr>
          <w:rFonts w:cs="Arial"/>
        </w:rPr>
        <w:t>3</w:t>
      </w:r>
      <w:r w:rsidRPr="001328E8">
        <w:rPr>
          <w:rFonts w:cs="Arial"/>
        </w:rPr>
        <w:tab/>
        <w:t xml:space="preserve">Section </w:t>
      </w:r>
      <w:r>
        <w:rPr>
          <w:rFonts w:cs="Arial"/>
        </w:rPr>
        <w:t>67 (1) (a) and (b)</w:t>
      </w:r>
    </w:p>
    <w:p w14:paraId="7DB0E730" w14:textId="01679B0A" w:rsidR="005E39BB" w:rsidRDefault="005E39BB" w:rsidP="005E39BB">
      <w:pPr>
        <w:rPr>
          <w:rFonts w:ascii="Arial" w:hAnsi="Arial" w:cs="Arial"/>
        </w:rPr>
      </w:pPr>
      <w:r w:rsidRPr="007448DB">
        <w:rPr>
          <w:rFonts w:ascii="Arial" w:hAnsi="Arial" w:cs="Arial"/>
        </w:rPr>
        <w:t xml:space="preserve">This clause forms part of the amendments that clarify </w:t>
      </w:r>
      <w:r w:rsidR="00EF3710" w:rsidRPr="007448DB">
        <w:rPr>
          <w:rFonts w:ascii="Arial" w:hAnsi="Arial" w:cs="Arial"/>
        </w:rPr>
        <w:t>community contribution</w:t>
      </w:r>
      <w:r w:rsidRPr="007448DB">
        <w:rPr>
          <w:rFonts w:ascii="Arial" w:hAnsi="Arial" w:cs="Arial"/>
        </w:rPr>
        <w:t xml:space="preserve"> requirements for licensees that are clubs with more than one venue (authorised premises). See notes on Clause 1</w:t>
      </w:r>
      <w:r w:rsidR="00576CDA" w:rsidRPr="007448DB">
        <w:rPr>
          <w:rFonts w:ascii="Arial" w:hAnsi="Arial" w:cs="Arial"/>
        </w:rPr>
        <w:t>8</w:t>
      </w:r>
      <w:r w:rsidRPr="007448DB">
        <w:rPr>
          <w:rFonts w:ascii="Arial" w:hAnsi="Arial" w:cs="Arial"/>
        </w:rPr>
        <w:t xml:space="preserve"> (section 167) for further explanation.</w:t>
      </w:r>
    </w:p>
    <w:p w14:paraId="0C59F10D" w14:textId="20717C7D" w:rsidR="000110BD" w:rsidRPr="00E70556" w:rsidRDefault="000110BD" w:rsidP="000110BD">
      <w:pPr>
        <w:pStyle w:val="Heading3"/>
        <w:rPr>
          <w:rFonts w:cs="Arial"/>
        </w:rPr>
      </w:pPr>
      <w:r w:rsidRPr="00E70556">
        <w:rPr>
          <w:rFonts w:cs="Arial"/>
        </w:rPr>
        <w:t>Clause 3</w:t>
      </w:r>
      <w:r w:rsidR="00280E87" w:rsidRPr="00E70556">
        <w:rPr>
          <w:rFonts w:cs="Arial"/>
        </w:rPr>
        <w:t>4</w:t>
      </w:r>
      <w:r w:rsidRPr="00E70556">
        <w:rPr>
          <w:rFonts w:cs="Arial"/>
        </w:rPr>
        <w:tab/>
        <w:t>Section</w:t>
      </w:r>
      <w:r w:rsidR="006F5549" w:rsidRPr="00E70556">
        <w:rPr>
          <w:rFonts w:cs="Arial"/>
        </w:rPr>
        <w:t>s</w:t>
      </w:r>
      <w:r w:rsidRPr="00E70556">
        <w:rPr>
          <w:rFonts w:cs="Arial"/>
        </w:rPr>
        <w:t xml:space="preserve"> 68 (1)</w:t>
      </w:r>
      <w:r w:rsidR="006F5549" w:rsidRPr="00E70556">
        <w:rPr>
          <w:rFonts w:cs="Arial"/>
        </w:rPr>
        <w:t xml:space="preserve"> and 69 (1)</w:t>
      </w:r>
    </w:p>
    <w:p w14:paraId="06A21573" w14:textId="2C42860C" w:rsidR="005E39BB" w:rsidRPr="00E70556" w:rsidRDefault="005E39BB" w:rsidP="005E39BB">
      <w:pPr>
        <w:rPr>
          <w:rFonts w:ascii="Arial" w:hAnsi="Arial" w:cs="Arial"/>
        </w:rPr>
      </w:pPr>
      <w:r w:rsidRPr="00E70556">
        <w:rPr>
          <w:rFonts w:ascii="Arial" w:hAnsi="Arial" w:cs="Arial"/>
        </w:rPr>
        <w:t xml:space="preserve">This clause forms part of the amendments that clarify </w:t>
      </w:r>
      <w:r w:rsidR="00EF3710" w:rsidRPr="00E70556">
        <w:rPr>
          <w:rFonts w:ascii="Arial" w:hAnsi="Arial" w:cs="Arial"/>
        </w:rPr>
        <w:t>community contribution</w:t>
      </w:r>
      <w:r w:rsidRPr="00E70556">
        <w:rPr>
          <w:rFonts w:ascii="Arial" w:hAnsi="Arial" w:cs="Arial"/>
        </w:rPr>
        <w:t xml:space="preserve"> requirements for licensees that are clubs with more than one venue (authorised premises). See notes on Clause 1</w:t>
      </w:r>
      <w:r w:rsidR="00576CDA" w:rsidRPr="00E70556">
        <w:rPr>
          <w:rFonts w:ascii="Arial" w:hAnsi="Arial" w:cs="Arial"/>
        </w:rPr>
        <w:t>8</w:t>
      </w:r>
      <w:r w:rsidRPr="00E70556">
        <w:rPr>
          <w:rFonts w:ascii="Arial" w:hAnsi="Arial" w:cs="Arial"/>
        </w:rPr>
        <w:t xml:space="preserve"> (section 167) for further explanation.</w:t>
      </w:r>
    </w:p>
    <w:p w14:paraId="27AE736A" w14:textId="693A5E1B" w:rsidR="0032121A" w:rsidRPr="00E70556" w:rsidRDefault="0032121A" w:rsidP="0032121A">
      <w:pPr>
        <w:pStyle w:val="Heading3"/>
        <w:rPr>
          <w:rFonts w:cs="Arial"/>
        </w:rPr>
      </w:pPr>
      <w:r w:rsidRPr="00E70556">
        <w:rPr>
          <w:rFonts w:cs="Arial"/>
        </w:rPr>
        <w:t>Clause 3</w:t>
      </w:r>
      <w:r w:rsidR="006F5549" w:rsidRPr="00E70556">
        <w:rPr>
          <w:rFonts w:cs="Arial"/>
        </w:rPr>
        <w:t>5</w:t>
      </w:r>
      <w:r w:rsidRPr="00E70556">
        <w:rPr>
          <w:rFonts w:cs="Arial"/>
        </w:rPr>
        <w:tab/>
        <w:t>Division 9.4 heading</w:t>
      </w:r>
    </w:p>
    <w:p w14:paraId="50211E04" w14:textId="77777777" w:rsidR="00D04124" w:rsidRPr="00E70556" w:rsidRDefault="00D04124" w:rsidP="00D04124">
      <w:pPr>
        <w:rPr>
          <w:rFonts w:ascii="Arial" w:hAnsi="Arial" w:cs="Arial"/>
        </w:rPr>
      </w:pPr>
      <w:r w:rsidRPr="00E70556">
        <w:rPr>
          <w:rFonts w:ascii="Arial" w:hAnsi="Arial" w:cs="Arial"/>
        </w:rPr>
        <w:t>This clause is a consequential amendment, reflecting the revised structure of section 167.</w:t>
      </w:r>
    </w:p>
    <w:p w14:paraId="09DE7FA4" w14:textId="4AF0CBEF" w:rsidR="0032121A" w:rsidRPr="00E70556" w:rsidRDefault="0032121A" w:rsidP="0032121A">
      <w:pPr>
        <w:pStyle w:val="Heading3"/>
        <w:rPr>
          <w:rFonts w:cs="Arial"/>
        </w:rPr>
      </w:pPr>
      <w:r w:rsidRPr="00E70556">
        <w:rPr>
          <w:rFonts w:cs="Arial"/>
        </w:rPr>
        <w:t>Clause 3</w:t>
      </w:r>
      <w:r w:rsidR="006F5549" w:rsidRPr="00E70556">
        <w:rPr>
          <w:rFonts w:cs="Arial"/>
        </w:rPr>
        <w:t>6</w:t>
      </w:r>
      <w:r w:rsidRPr="00E70556">
        <w:rPr>
          <w:rFonts w:cs="Arial"/>
        </w:rPr>
        <w:tab/>
        <w:t>Section 69B heading</w:t>
      </w:r>
    </w:p>
    <w:p w14:paraId="218950D4" w14:textId="77777777" w:rsidR="00D04124" w:rsidRPr="00E70556" w:rsidRDefault="00D04124" w:rsidP="00D04124">
      <w:pPr>
        <w:rPr>
          <w:rFonts w:ascii="Arial" w:hAnsi="Arial" w:cs="Arial"/>
        </w:rPr>
      </w:pPr>
      <w:r w:rsidRPr="00E70556">
        <w:rPr>
          <w:rFonts w:ascii="Arial" w:hAnsi="Arial" w:cs="Arial"/>
        </w:rPr>
        <w:t>This clause is a consequential amendment, reflecting the revised structure of section 167.</w:t>
      </w:r>
    </w:p>
    <w:p w14:paraId="1A30064C" w14:textId="45D93D9F" w:rsidR="0032121A" w:rsidRPr="00E70556" w:rsidRDefault="0032121A" w:rsidP="0032121A">
      <w:pPr>
        <w:pStyle w:val="Heading3"/>
        <w:rPr>
          <w:rFonts w:cs="Arial"/>
        </w:rPr>
      </w:pPr>
      <w:r w:rsidRPr="00E70556">
        <w:rPr>
          <w:rFonts w:cs="Arial"/>
        </w:rPr>
        <w:t>Clause 3</w:t>
      </w:r>
      <w:r w:rsidR="006F5549" w:rsidRPr="00E70556">
        <w:rPr>
          <w:rFonts w:cs="Arial"/>
        </w:rPr>
        <w:t>7</w:t>
      </w:r>
      <w:r w:rsidR="000110BD" w:rsidRPr="00E70556">
        <w:rPr>
          <w:rFonts w:cs="Arial"/>
        </w:rPr>
        <w:tab/>
        <w:t>Section 69C</w:t>
      </w:r>
      <w:r w:rsidRPr="00E70556">
        <w:rPr>
          <w:rFonts w:cs="Arial"/>
        </w:rPr>
        <w:tab/>
      </w:r>
    </w:p>
    <w:p w14:paraId="702B7F53" w14:textId="26234594" w:rsidR="006C42B8" w:rsidRPr="00E70556" w:rsidRDefault="006C42B8" w:rsidP="006C42B8">
      <w:pPr>
        <w:rPr>
          <w:rFonts w:ascii="Arial" w:hAnsi="Arial" w:cs="Arial"/>
        </w:rPr>
      </w:pPr>
      <w:r w:rsidRPr="00E70556">
        <w:rPr>
          <w:rFonts w:ascii="Arial" w:hAnsi="Arial" w:cs="Arial"/>
        </w:rPr>
        <w:t>This clause forms part of the amendments that clarify reporting requirements for licensees that are clubs with more than one venue (authorised premises). See notes on Clause 1</w:t>
      </w:r>
      <w:r w:rsidR="00576CDA" w:rsidRPr="00E70556">
        <w:rPr>
          <w:rFonts w:ascii="Arial" w:hAnsi="Arial" w:cs="Arial"/>
        </w:rPr>
        <w:t>8</w:t>
      </w:r>
      <w:r w:rsidRPr="00E70556">
        <w:rPr>
          <w:rFonts w:ascii="Arial" w:hAnsi="Arial" w:cs="Arial"/>
        </w:rPr>
        <w:t xml:space="preserve"> (section 167) for further explanation.</w:t>
      </w:r>
    </w:p>
    <w:p w14:paraId="58EA30FA" w14:textId="256E273D" w:rsidR="0032121A" w:rsidRPr="00E70556" w:rsidRDefault="0032121A" w:rsidP="0032121A">
      <w:pPr>
        <w:pStyle w:val="Heading3"/>
        <w:rPr>
          <w:rFonts w:cs="Arial"/>
        </w:rPr>
      </w:pPr>
      <w:r w:rsidRPr="00E70556">
        <w:rPr>
          <w:rFonts w:cs="Arial"/>
        </w:rPr>
        <w:t>Clause 3</w:t>
      </w:r>
      <w:r w:rsidR="006F5549" w:rsidRPr="00E70556">
        <w:rPr>
          <w:rFonts w:cs="Arial"/>
        </w:rPr>
        <w:t>8</w:t>
      </w:r>
      <w:r w:rsidRPr="00E70556">
        <w:rPr>
          <w:rFonts w:cs="Arial"/>
        </w:rPr>
        <w:tab/>
        <w:t>Division 9.5 heading</w:t>
      </w:r>
    </w:p>
    <w:p w14:paraId="296C012F" w14:textId="77777777" w:rsidR="006C42B8" w:rsidRPr="00E70556" w:rsidRDefault="006C42B8" w:rsidP="006C42B8">
      <w:pPr>
        <w:rPr>
          <w:rFonts w:ascii="Arial" w:hAnsi="Arial" w:cs="Arial"/>
        </w:rPr>
      </w:pPr>
      <w:r w:rsidRPr="00E70556">
        <w:rPr>
          <w:rFonts w:ascii="Arial" w:hAnsi="Arial" w:cs="Arial"/>
        </w:rPr>
        <w:t>This clause is a consequential amendment, reflecting the revised structure of section 167.</w:t>
      </w:r>
    </w:p>
    <w:p w14:paraId="716E96EE" w14:textId="4E0F2493" w:rsidR="000110BD" w:rsidRPr="00E70556" w:rsidRDefault="000110BD" w:rsidP="000110BD">
      <w:pPr>
        <w:pStyle w:val="Heading3"/>
        <w:rPr>
          <w:rFonts w:cs="Arial"/>
        </w:rPr>
      </w:pPr>
      <w:r w:rsidRPr="00E70556">
        <w:rPr>
          <w:rFonts w:cs="Arial"/>
        </w:rPr>
        <w:t xml:space="preserve">Clause </w:t>
      </w:r>
      <w:r w:rsidR="006F5549" w:rsidRPr="00E70556">
        <w:rPr>
          <w:rFonts w:cs="Arial"/>
        </w:rPr>
        <w:t>39</w:t>
      </w:r>
      <w:r w:rsidRPr="00E70556">
        <w:rPr>
          <w:rFonts w:cs="Arial"/>
        </w:rPr>
        <w:tab/>
      </w:r>
      <w:r w:rsidR="00E70556" w:rsidRPr="00F56FD4">
        <w:rPr>
          <w:rFonts w:cs="Arial"/>
        </w:rPr>
        <w:t xml:space="preserve">Club operating multiple authorised premises, </w:t>
      </w:r>
      <w:r w:rsidRPr="00E70556">
        <w:rPr>
          <w:rFonts w:cs="Arial"/>
        </w:rPr>
        <w:t>Section 69D</w:t>
      </w:r>
      <w:r w:rsidRPr="00E70556">
        <w:rPr>
          <w:rFonts w:cs="Arial"/>
        </w:rPr>
        <w:tab/>
      </w:r>
    </w:p>
    <w:p w14:paraId="3AA12FA2" w14:textId="05969522" w:rsidR="000110BD" w:rsidRPr="00E70556" w:rsidRDefault="000110BD" w:rsidP="000110BD">
      <w:pPr>
        <w:rPr>
          <w:rFonts w:ascii="Arial" w:hAnsi="Arial" w:cs="Arial"/>
        </w:rPr>
      </w:pPr>
      <w:r w:rsidRPr="00E70556">
        <w:rPr>
          <w:rFonts w:ascii="Arial" w:hAnsi="Arial" w:cs="Arial"/>
        </w:rPr>
        <w:t>This clause</w:t>
      </w:r>
      <w:r w:rsidR="007D1F7F" w:rsidRPr="00E70556">
        <w:rPr>
          <w:rFonts w:ascii="Arial" w:hAnsi="Arial" w:cs="Arial"/>
        </w:rPr>
        <w:t xml:space="preserve"> repeals section 69D of the Gaming Machine Regulation, which concerned the allocation of common expenditure on community purpose contributions. As the amendments to the Gaming Machine Act </w:t>
      </w:r>
      <w:r w:rsidR="00EF3710" w:rsidRPr="00E70556">
        <w:rPr>
          <w:rFonts w:ascii="Arial" w:hAnsi="Arial" w:cs="Arial"/>
        </w:rPr>
        <w:t>in</w:t>
      </w:r>
      <w:r w:rsidR="007D1F7F" w:rsidRPr="00E70556">
        <w:rPr>
          <w:rFonts w:ascii="Arial" w:hAnsi="Arial" w:cs="Arial"/>
        </w:rPr>
        <w:t xml:space="preserve"> the Bill allow licensees that are clubs with more than one authorised premises (i.e. venue) to </w:t>
      </w:r>
      <w:r w:rsidR="00EF3710" w:rsidRPr="00E70556">
        <w:rPr>
          <w:rFonts w:ascii="Arial" w:hAnsi="Arial" w:cs="Arial"/>
        </w:rPr>
        <w:t xml:space="preserve">make and </w:t>
      </w:r>
      <w:r w:rsidR="007D1F7F" w:rsidRPr="00E70556">
        <w:rPr>
          <w:rFonts w:ascii="Arial" w:hAnsi="Arial" w:cs="Arial"/>
        </w:rPr>
        <w:t>report on community purpose contributions on behalf of all of their venues, allocation of common expenditure between venues is no longer necessary. See notes on Clause 1</w:t>
      </w:r>
      <w:r w:rsidR="00576CDA" w:rsidRPr="00E70556">
        <w:rPr>
          <w:rFonts w:ascii="Arial" w:hAnsi="Arial" w:cs="Arial"/>
        </w:rPr>
        <w:t>8</w:t>
      </w:r>
      <w:r w:rsidR="007D1F7F" w:rsidRPr="00E70556">
        <w:rPr>
          <w:rFonts w:ascii="Arial" w:hAnsi="Arial" w:cs="Arial"/>
        </w:rPr>
        <w:t xml:space="preserve"> (section 167) for further explanation.</w:t>
      </w:r>
    </w:p>
    <w:p w14:paraId="191DC0B0" w14:textId="6C88A027" w:rsidR="000110BD" w:rsidRPr="00E70556" w:rsidRDefault="000110BD" w:rsidP="000110BD">
      <w:pPr>
        <w:pStyle w:val="Heading3"/>
        <w:rPr>
          <w:rFonts w:cs="Arial"/>
        </w:rPr>
      </w:pPr>
      <w:r w:rsidRPr="00E70556">
        <w:rPr>
          <w:rFonts w:cs="Arial"/>
        </w:rPr>
        <w:t xml:space="preserve">Clause </w:t>
      </w:r>
      <w:r w:rsidR="00280E87" w:rsidRPr="00E70556">
        <w:rPr>
          <w:rFonts w:cs="Arial"/>
        </w:rPr>
        <w:t>4</w:t>
      </w:r>
      <w:r w:rsidR="006F5549" w:rsidRPr="00E70556">
        <w:rPr>
          <w:rFonts w:cs="Arial"/>
        </w:rPr>
        <w:t>0</w:t>
      </w:r>
      <w:r w:rsidRPr="00E70556">
        <w:rPr>
          <w:rFonts w:cs="Arial"/>
        </w:rPr>
        <w:tab/>
      </w:r>
      <w:r w:rsidR="00E70556" w:rsidRPr="00F56FD4">
        <w:rPr>
          <w:rFonts w:cs="Arial"/>
        </w:rPr>
        <w:t xml:space="preserve">Women’s sports, </w:t>
      </w:r>
      <w:r w:rsidRPr="00E70556">
        <w:rPr>
          <w:rFonts w:cs="Arial"/>
        </w:rPr>
        <w:t>Section 69E (2)</w:t>
      </w:r>
    </w:p>
    <w:p w14:paraId="412F961F" w14:textId="2A916D59" w:rsidR="007346DD" w:rsidRPr="00E70556" w:rsidRDefault="007346DD" w:rsidP="007346DD">
      <w:pPr>
        <w:rPr>
          <w:rFonts w:ascii="Arial" w:hAnsi="Arial" w:cs="Arial"/>
        </w:rPr>
      </w:pPr>
      <w:r w:rsidRPr="00E70556">
        <w:rPr>
          <w:rFonts w:ascii="Arial" w:hAnsi="Arial" w:cs="Arial"/>
        </w:rPr>
        <w:t xml:space="preserve">This clause forms part of the amendments that clarify </w:t>
      </w:r>
      <w:r w:rsidR="0066577B" w:rsidRPr="00E70556">
        <w:rPr>
          <w:rFonts w:ascii="Arial" w:hAnsi="Arial" w:cs="Arial"/>
        </w:rPr>
        <w:t>community contribution</w:t>
      </w:r>
      <w:r w:rsidRPr="00E70556">
        <w:rPr>
          <w:rFonts w:ascii="Arial" w:hAnsi="Arial" w:cs="Arial"/>
        </w:rPr>
        <w:t xml:space="preserve"> requirements for licensees that are clubs with more than one venue (authorised premises). See notes on Clause 1</w:t>
      </w:r>
      <w:r w:rsidR="00576CDA" w:rsidRPr="00E70556">
        <w:rPr>
          <w:rFonts w:ascii="Arial" w:hAnsi="Arial" w:cs="Arial"/>
        </w:rPr>
        <w:t>8</w:t>
      </w:r>
      <w:r w:rsidRPr="00E70556">
        <w:rPr>
          <w:rFonts w:ascii="Arial" w:hAnsi="Arial" w:cs="Arial"/>
        </w:rPr>
        <w:t xml:space="preserve"> (section 167) for further explanation.</w:t>
      </w:r>
    </w:p>
    <w:p w14:paraId="37E1ADD1" w14:textId="3BF7372E" w:rsidR="000110BD" w:rsidRPr="00E70556" w:rsidRDefault="000110BD" w:rsidP="000110BD">
      <w:pPr>
        <w:pStyle w:val="Heading3"/>
        <w:rPr>
          <w:rFonts w:cs="Arial"/>
        </w:rPr>
      </w:pPr>
      <w:r w:rsidRPr="00E70556">
        <w:rPr>
          <w:rFonts w:cs="Arial"/>
        </w:rPr>
        <w:lastRenderedPageBreak/>
        <w:t xml:space="preserve">Clause </w:t>
      </w:r>
      <w:r w:rsidR="00280E87" w:rsidRPr="00E70556">
        <w:rPr>
          <w:rFonts w:cs="Arial"/>
        </w:rPr>
        <w:t>4</w:t>
      </w:r>
      <w:r w:rsidR="006F5549" w:rsidRPr="00E70556">
        <w:rPr>
          <w:rFonts w:cs="Arial"/>
        </w:rPr>
        <w:t>1</w:t>
      </w:r>
      <w:r w:rsidRPr="00E70556">
        <w:rPr>
          <w:rFonts w:cs="Arial"/>
        </w:rPr>
        <w:tab/>
        <w:t>Section</w:t>
      </w:r>
      <w:r w:rsidR="006F5549" w:rsidRPr="00E70556">
        <w:rPr>
          <w:rFonts w:cs="Arial"/>
        </w:rPr>
        <w:t>s</w:t>
      </w:r>
      <w:r w:rsidRPr="00E70556">
        <w:rPr>
          <w:rFonts w:cs="Arial"/>
        </w:rPr>
        <w:t xml:space="preserve"> 69F (2)</w:t>
      </w:r>
      <w:r w:rsidR="006F5549" w:rsidRPr="00E70556">
        <w:rPr>
          <w:rFonts w:cs="Arial"/>
        </w:rPr>
        <w:t xml:space="preserve"> and 69G (2)</w:t>
      </w:r>
    </w:p>
    <w:p w14:paraId="599EF96E" w14:textId="3E32F8F7" w:rsidR="007346DD" w:rsidRPr="00E70556" w:rsidRDefault="007346DD" w:rsidP="007346DD">
      <w:pPr>
        <w:rPr>
          <w:rFonts w:ascii="Arial" w:hAnsi="Arial" w:cs="Arial"/>
        </w:rPr>
      </w:pPr>
      <w:r w:rsidRPr="00E70556">
        <w:rPr>
          <w:rFonts w:ascii="Arial" w:hAnsi="Arial" w:cs="Arial"/>
        </w:rPr>
        <w:t xml:space="preserve">This clause forms part of the amendments that clarify </w:t>
      </w:r>
      <w:r w:rsidR="0066577B" w:rsidRPr="00E70556">
        <w:rPr>
          <w:rFonts w:ascii="Arial" w:hAnsi="Arial" w:cs="Arial"/>
        </w:rPr>
        <w:t>community contribution</w:t>
      </w:r>
      <w:r w:rsidRPr="00E70556">
        <w:rPr>
          <w:rFonts w:ascii="Arial" w:hAnsi="Arial" w:cs="Arial"/>
        </w:rPr>
        <w:t xml:space="preserve"> requirements for licensees that are clubs with more than one venue (authorised premises). See notes on Clause 1</w:t>
      </w:r>
      <w:r w:rsidR="00576CDA" w:rsidRPr="00E70556">
        <w:rPr>
          <w:rFonts w:ascii="Arial" w:hAnsi="Arial" w:cs="Arial"/>
        </w:rPr>
        <w:t>8</w:t>
      </w:r>
      <w:r w:rsidRPr="00E70556">
        <w:rPr>
          <w:rFonts w:ascii="Arial" w:hAnsi="Arial" w:cs="Arial"/>
        </w:rPr>
        <w:t xml:space="preserve"> (section 167) for further explanation.</w:t>
      </w:r>
    </w:p>
    <w:p w14:paraId="3308F14D" w14:textId="203B6162" w:rsidR="000110BD" w:rsidRPr="00E70556" w:rsidRDefault="000110BD" w:rsidP="000110BD">
      <w:pPr>
        <w:pStyle w:val="Heading3"/>
        <w:rPr>
          <w:rFonts w:cs="Arial"/>
        </w:rPr>
      </w:pPr>
      <w:r w:rsidRPr="00E70556">
        <w:rPr>
          <w:rFonts w:cs="Arial"/>
        </w:rPr>
        <w:t xml:space="preserve">Clause </w:t>
      </w:r>
      <w:r w:rsidR="00280E87" w:rsidRPr="00E70556">
        <w:rPr>
          <w:rFonts w:cs="Arial"/>
        </w:rPr>
        <w:t>4</w:t>
      </w:r>
      <w:r w:rsidR="006F5549" w:rsidRPr="00E70556">
        <w:rPr>
          <w:rFonts w:cs="Arial"/>
        </w:rPr>
        <w:t>2</w:t>
      </w:r>
      <w:r w:rsidRPr="00E70556">
        <w:rPr>
          <w:rFonts w:cs="Arial"/>
        </w:rPr>
        <w:tab/>
      </w:r>
      <w:r w:rsidR="00E70556" w:rsidRPr="00F56FD4">
        <w:rPr>
          <w:rFonts w:cs="Arial"/>
        </w:rPr>
        <w:t xml:space="preserve">Charging fees for activities or events, </w:t>
      </w:r>
      <w:r w:rsidRPr="00E70556">
        <w:rPr>
          <w:rFonts w:cs="Arial"/>
        </w:rPr>
        <w:t>Section 69I (1) (a)</w:t>
      </w:r>
    </w:p>
    <w:p w14:paraId="517133A5" w14:textId="0DEB05FD" w:rsidR="007346DD" w:rsidRPr="00E70556" w:rsidRDefault="007346DD" w:rsidP="007346DD">
      <w:pPr>
        <w:rPr>
          <w:rFonts w:ascii="Arial" w:hAnsi="Arial" w:cs="Arial"/>
        </w:rPr>
      </w:pPr>
      <w:r w:rsidRPr="00E70556">
        <w:rPr>
          <w:rFonts w:ascii="Arial" w:hAnsi="Arial" w:cs="Arial"/>
        </w:rPr>
        <w:t xml:space="preserve">This clause forms part of the amendments that clarify </w:t>
      </w:r>
      <w:r w:rsidR="0066577B" w:rsidRPr="00E70556">
        <w:rPr>
          <w:rFonts w:ascii="Arial" w:hAnsi="Arial" w:cs="Arial"/>
        </w:rPr>
        <w:t>community contribution</w:t>
      </w:r>
      <w:r w:rsidRPr="00E70556">
        <w:rPr>
          <w:rFonts w:ascii="Arial" w:hAnsi="Arial" w:cs="Arial"/>
        </w:rPr>
        <w:t xml:space="preserve"> requirements for licensees that are clubs with more than one venue (authorised premises). See notes on Clause 1</w:t>
      </w:r>
      <w:r w:rsidR="00576CDA" w:rsidRPr="00E70556">
        <w:rPr>
          <w:rFonts w:ascii="Arial" w:hAnsi="Arial" w:cs="Arial"/>
        </w:rPr>
        <w:t>8</w:t>
      </w:r>
      <w:r w:rsidRPr="00E70556">
        <w:rPr>
          <w:rFonts w:ascii="Arial" w:hAnsi="Arial" w:cs="Arial"/>
        </w:rPr>
        <w:t xml:space="preserve"> (section 167) for further explanation.</w:t>
      </w:r>
    </w:p>
    <w:p w14:paraId="147F21FE" w14:textId="0334E939" w:rsidR="000110BD" w:rsidRPr="00E70556" w:rsidRDefault="000110BD" w:rsidP="00F56FD4">
      <w:pPr>
        <w:pStyle w:val="Heading3"/>
        <w:ind w:left="1440" w:hanging="1440"/>
        <w:rPr>
          <w:rFonts w:cs="Arial"/>
        </w:rPr>
      </w:pPr>
      <w:r w:rsidRPr="00E70556">
        <w:rPr>
          <w:rFonts w:cs="Arial"/>
        </w:rPr>
        <w:t xml:space="preserve">Clause </w:t>
      </w:r>
      <w:r w:rsidR="00131685" w:rsidRPr="00E70556">
        <w:rPr>
          <w:rFonts w:cs="Arial"/>
        </w:rPr>
        <w:t>4</w:t>
      </w:r>
      <w:r w:rsidR="006F5549" w:rsidRPr="00E70556">
        <w:rPr>
          <w:rFonts w:cs="Arial"/>
        </w:rPr>
        <w:t>3</w:t>
      </w:r>
      <w:r w:rsidRPr="00E70556">
        <w:rPr>
          <w:rFonts w:cs="Arial"/>
        </w:rPr>
        <w:tab/>
      </w:r>
      <w:r w:rsidR="00E70556" w:rsidRPr="00F56FD4">
        <w:rPr>
          <w:rFonts w:cs="Arial"/>
        </w:rPr>
        <w:t xml:space="preserve">Working out value of in-kind community purpose contributions, </w:t>
      </w:r>
      <w:r w:rsidRPr="00E70556">
        <w:rPr>
          <w:rFonts w:cs="Arial"/>
        </w:rPr>
        <w:t>Section 69K (1)</w:t>
      </w:r>
    </w:p>
    <w:p w14:paraId="7ED7232B" w14:textId="4B7AEB83" w:rsidR="007346DD" w:rsidRPr="00E70556" w:rsidRDefault="007346DD" w:rsidP="007346DD">
      <w:pPr>
        <w:rPr>
          <w:rFonts w:ascii="Arial" w:hAnsi="Arial" w:cs="Arial"/>
        </w:rPr>
      </w:pPr>
      <w:r w:rsidRPr="00E70556">
        <w:rPr>
          <w:rFonts w:ascii="Arial" w:hAnsi="Arial" w:cs="Arial"/>
        </w:rPr>
        <w:t xml:space="preserve">This clause forms part of the amendments that clarify </w:t>
      </w:r>
      <w:r w:rsidR="0066577B" w:rsidRPr="00E70556">
        <w:rPr>
          <w:rFonts w:ascii="Arial" w:hAnsi="Arial" w:cs="Arial"/>
        </w:rPr>
        <w:t xml:space="preserve">community contribution </w:t>
      </w:r>
      <w:r w:rsidRPr="00E70556">
        <w:rPr>
          <w:rFonts w:ascii="Arial" w:hAnsi="Arial" w:cs="Arial"/>
        </w:rPr>
        <w:t>requirements for licensees that are clubs with more than one venue (authorised premises). See notes on Clause 1</w:t>
      </w:r>
      <w:r w:rsidR="00576CDA" w:rsidRPr="00E70556">
        <w:rPr>
          <w:rFonts w:ascii="Arial" w:hAnsi="Arial" w:cs="Arial"/>
        </w:rPr>
        <w:t>8</w:t>
      </w:r>
      <w:r w:rsidRPr="00E70556">
        <w:rPr>
          <w:rFonts w:ascii="Arial" w:hAnsi="Arial" w:cs="Arial"/>
        </w:rPr>
        <w:t xml:space="preserve"> (section 167) for further explanation.</w:t>
      </w:r>
    </w:p>
    <w:p w14:paraId="3AED1CE0" w14:textId="482443C7" w:rsidR="0032121A" w:rsidRPr="00E70556" w:rsidRDefault="0032121A" w:rsidP="00F56FD4">
      <w:pPr>
        <w:pStyle w:val="Heading3"/>
        <w:ind w:left="1440" w:hanging="1440"/>
        <w:rPr>
          <w:rFonts w:cs="Arial"/>
        </w:rPr>
      </w:pPr>
      <w:r w:rsidRPr="00E70556">
        <w:rPr>
          <w:rFonts w:cs="Arial"/>
        </w:rPr>
        <w:t xml:space="preserve">Clause </w:t>
      </w:r>
      <w:r w:rsidR="000110BD" w:rsidRPr="00E70556">
        <w:rPr>
          <w:rFonts w:cs="Arial"/>
        </w:rPr>
        <w:t>4</w:t>
      </w:r>
      <w:r w:rsidR="006F5549" w:rsidRPr="00E70556">
        <w:rPr>
          <w:rFonts w:cs="Arial"/>
        </w:rPr>
        <w:t>4</w:t>
      </w:r>
      <w:r w:rsidRPr="00E70556">
        <w:rPr>
          <w:rFonts w:cs="Arial"/>
        </w:rPr>
        <w:tab/>
      </w:r>
      <w:r w:rsidR="00E70556" w:rsidRPr="00F56FD4">
        <w:rPr>
          <w:rFonts w:cs="Arial"/>
        </w:rPr>
        <w:t>Other statements to be included in annual report of clubs–</w:t>
      </w:r>
      <w:r w:rsidR="00E70556" w:rsidRPr="00F56FD4">
        <w:rPr>
          <w:rFonts w:cs="Arial"/>
        </w:rPr>
        <w:br/>
        <w:t xml:space="preserve">Act, s 54 (1) (f), </w:t>
      </w:r>
      <w:r w:rsidRPr="00E70556">
        <w:rPr>
          <w:rFonts w:cs="Arial"/>
        </w:rPr>
        <w:t>Section 74A</w:t>
      </w:r>
    </w:p>
    <w:p w14:paraId="1E6D2DD9" w14:textId="29A931BC" w:rsidR="007346DD" w:rsidRPr="00E70556" w:rsidRDefault="007346DD" w:rsidP="007346DD">
      <w:pPr>
        <w:rPr>
          <w:rFonts w:ascii="Arial" w:hAnsi="Arial" w:cs="Arial"/>
        </w:rPr>
      </w:pPr>
      <w:r w:rsidRPr="00E70556">
        <w:rPr>
          <w:rFonts w:ascii="Arial" w:hAnsi="Arial" w:cs="Arial"/>
        </w:rPr>
        <w:t xml:space="preserve">This clause forms part of the amendments that clarify </w:t>
      </w:r>
      <w:r w:rsidR="0066577B" w:rsidRPr="00E70556">
        <w:rPr>
          <w:rFonts w:ascii="Arial" w:hAnsi="Arial" w:cs="Arial"/>
        </w:rPr>
        <w:t>community contribution</w:t>
      </w:r>
      <w:r w:rsidRPr="00E70556">
        <w:rPr>
          <w:rFonts w:ascii="Arial" w:hAnsi="Arial" w:cs="Arial"/>
        </w:rPr>
        <w:t xml:space="preserve"> requirements for licensees that are clubs with more than one venue (authorised premises). See notes on Clause 1</w:t>
      </w:r>
      <w:r w:rsidR="00576CDA" w:rsidRPr="00E70556">
        <w:rPr>
          <w:rFonts w:ascii="Arial" w:hAnsi="Arial" w:cs="Arial"/>
        </w:rPr>
        <w:t>8</w:t>
      </w:r>
      <w:r w:rsidRPr="00E70556">
        <w:rPr>
          <w:rFonts w:ascii="Arial" w:hAnsi="Arial" w:cs="Arial"/>
        </w:rPr>
        <w:t xml:space="preserve"> (section 167) for further explanation.</w:t>
      </w:r>
    </w:p>
    <w:p w14:paraId="7B66B6F4" w14:textId="5F2DB0BC" w:rsidR="000110BD" w:rsidRPr="00E70556" w:rsidRDefault="000110BD" w:rsidP="000110BD">
      <w:pPr>
        <w:pStyle w:val="Heading3"/>
        <w:rPr>
          <w:rFonts w:cs="Arial"/>
        </w:rPr>
      </w:pPr>
      <w:r w:rsidRPr="00E70556">
        <w:rPr>
          <w:rFonts w:cs="Arial"/>
        </w:rPr>
        <w:t>Clause 4</w:t>
      </w:r>
      <w:r w:rsidR="006F5549" w:rsidRPr="00E70556">
        <w:rPr>
          <w:rFonts w:cs="Arial"/>
        </w:rPr>
        <w:t>5</w:t>
      </w:r>
      <w:r w:rsidRPr="00E70556">
        <w:rPr>
          <w:rFonts w:cs="Arial"/>
        </w:rPr>
        <w:tab/>
        <w:t xml:space="preserve">Further amendments, mentions of </w:t>
      </w:r>
      <w:r w:rsidRPr="00E70556">
        <w:rPr>
          <w:rFonts w:cs="Arial"/>
          <w:i/>
          <w:iCs/>
        </w:rPr>
        <w:t>club</w:t>
      </w:r>
    </w:p>
    <w:p w14:paraId="2BC7DF8E" w14:textId="4AAA25BA" w:rsidR="0032121A" w:rsidRPr="009F61F8" w:rsidRDefault="00C1766A" w:rsidP="00C1766A">
      <w:pPr>
        <w:rPr>
          <w:rFonts w:ascii="Arial" w:hAnsi="Arial" w:cs="Arial"/>
        </w:rPr>
      </w:pPr>
      <w:r w:rsidRPr="00E70556">
        <w:rPr>
          <w:rFonts w:ascii="Arial" w:hAnsi="Arial" w:cs="Arial"/>
        </w:rPr>
        <w:t xml:space="preserve">This clause forms part of the amendments that clarify </w:t>
      </w:r>
      <w:r w:rsidR="0066577B" w:rsidRPr="00E70556">
        <w:rPr>
          <w:rFonts w:ascii="Arial" w:hAnsi="Arial" w:cs="Arial"/>
        </w:rPr>
        <w:t>community contribution</w:t>
      </w:r>
      <w:r w:rsidRPr="00E70556">
        <w:rPr>
          <w:rFonts w:ascii="Arial" w:hAnsi="Arial" w:cs="Arial"/>
        </w:rPr>
        <w:t xml:space="preserve"> requirements for licensees that are clubs with more than one venue (authorised premises). See notes on Clause 1</w:t>
      </w:r>
      <w:r w:rsidR="00576CDA" w:rsidRPr="00E70556">
        <w:rPr>
          <w:rFonts w:ascii="Arial" w:hAnsi="Arial" w:cs="Arial"/>
        </w:rPr>
        <w:t>8</w:t>
      </w:r>
      <w:r w:rsidRPr="00E70556">
        <w:rPr>
          <w:rFonts w:ascii="Arial" w:hAnsi="Arial" w:cs="Arial"/>
        </w:rPr>
        <w:t xml:space="preserve"> (section 167) for further explanation.</w:t>
      </w:r>
    </w:p>
    <w:sectPr w:rsidR="0032121A" w:rsidRPr="009F61F8" w:rsidSect="00F41A2F">
      <w:footerReference w:type="default" r:id="rId11"/>
      <w:footerReference w:type="first" r:id="rId12"/>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4BB50" w14:textId="77777777" w:rsidR="006425C2" w:rsidRDefault="006425C2">
      <w:pPr>
        <w:spacing w:after="0" w:line="240" w:lineRule="auto"/>
      </w:pPr>
      <w:r>
        <w:separator/>
      </w:r>
    </w:p>
  </w:endnote>
  <w:endnote w:type="continuationSeparator" w:id="0">
    <w:p w14:paraId="4B6F305A" w14:textId="77777777" w:rsidR="006425C2" w:rsidRDefault="006425C2">
      <w:pPr>
        <w:spacing w:after="0" w:line="240" w:lineRule="auto"/>
      </w:pPr>
      <w:r>
        <w:continuationSeparator/>
      </w:r>
    </w:p>
  </w:endnote>
  <w:endnote w:type="continuationNotice" w:id="1">
    <w:p w14:paraId="7CBD6CBE" w14:textId="77777777" w:rsidR="006425C2" w:rsidRDefault="00642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A205" w14:textId="761E308C" w:rsidR="003B1260" w:rsidRPr="00A84D13" w:rsidRDefault="00A84D13" w:rsidP="00A84D13">
    <w:pPr>
      <w:pStyle w:val="Footer"/>
      <w:jc w:val="center"/>
      <w:rPr>
        <w:rFonts w:cs="Arial"/>
        <w:sz w:val="14"/>
      </w:rPr>
    </w:pPr>
    <w:r w:rsidRPr="00A84D1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3B1260" w:rsidRDefault="003B1260">
    <w:pPr>
      <w:pStyle w:val="Footer"/>
      <w:jc w:val="right"/>
    </w:pPr>
  </w:p>
  <w:p w14:paraId="1B19A0D3" w14:textId="77777777" w:rsidR="003B1260" w:rsidRPr="00DC5912" w:rsidRDefault="003B1260" w:rsidP="00DC5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77777777" w:rsidR="003B1260" w:rsidRDefault="003B1260"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305D9BDE" w14:textId="54BC8560" w:rsidR="003B1260" w:rsidRPr="00A84D13" w:rsidRDefault="00A84D13" w:rsidP="00A84D13">
    <w:pPr>
      <w:pStyle w:val="Footer"/>
      <w:spacing w:before="60" w:line="240" w:lineRule="auto"/>
      <w:jc w:val="center"/>
      <w:rPr>
        <w:rFonts w:cs="Arial"/>
        <w:noProof/>
        <w:sz w:val="14"/>
      </w:rPr>
    </w:pPr>
    <w:r w:rsidRPr="00A84D13">
      <w:rPr>
        <w:rFonts w:cs="Arial"/>
        <w:noProof/>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77777777" w:rsidR="003B1260" w:rsidRDefault="003B1260">
    <w:pPr>
      <w:pStyle w:val="Footer"/>
      <w:jc w:val="right"/>
    </w:pPr>
    <w:r>
      <w:fldChar w:fldCharType="begin"/>
    </w:r>
    <w:r>
      <w:instrText xml:space="preserve"> PAGE   \* MERGEFORMAT </w:instrText>
    </w:r>
    <w:r>
      <w:fldChar w:fldCharType="separate"/>
    </w:r>
    <w:r>
      <w:rPr>
        <w:noProof/>
      </w:rPr>
      <w:t>1</w:t>
    </w:r>
    <w:r>
      <w:fldChar w:fldCharType="end"/>
    </w:r>
  </w:p>
  <w:p w14:paraId="302D565C" w14:textId="7F394FEF" w:rsidR="003B1260" w:rsidRPr="00A84D13" w:rsidRDefault="00A84D13" w:rsidP="00A84D13">
    <w:pPr>
      <w:pStyle w:val="Footer"/>
      <w:jc w:val="center"/>
      <w:rPr>
        <w:rFonts w:cs="Arial"/>
        <w:noProof/>
        <w:sz w:val="14"/>
      </w:rPr>
    </w:pPr>
    <w:r w:rsidRPr="00A84D13">
      <w:rPr>
        <w:rFonts w:cs="Arial"/>
        <w:noProof/>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57F1C" w14:textId="77777777" w:rsidR="006425C2" w:rsidRDefault="006425C2">
      <w:pPr>
        <w:spacing w:after="0" w:line="240" w:lineRule="auto"/>
      </w:pPr>
      <w:r>
        <w:separator/>
      </w:r>
    </w:p>
  </w:footnote>
  <w:footnote w:type="continuationSeparator" w:id="0">
    <w:p w14:paraId="29426631" w14:textId="77777777" w:rsidR="006425C2" w:rsidRDefault="006425C2">
      <w:pPr>
        <w:spacing w:after="0" w:line="240" w:lineRule="auto"/>
      </w:pPr>
      <w:r>
        <w:continuationSeparator/>
      </w:r>
    </w:p>
  </w:footnote>
  <w:footnote w:type="continuationNotice" w:id="1">
    <w:p w14:paraId="729F05DD" w14:textId="77777777" w:rsidR="006425C2" w:rsidRDefault="006425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6269"/>
    <w:multiLevelType w:val="hybridMultilevel"/>
    <w:tmpl w:val="208889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014821"/>
    <w:multiLevelType w:val="hybridMultilevel"/>
    <w:tmpl w:val="C040FCA8"/>
    <w:lvl w:ilvl="0" w:tplc="0C090001">
      <w:start w:val="1"/>
      <w:numFmt w:val="bullet"/>
      <w:lvlText w:val=""/>
      <w:lvlJc w:val="left"/>
      <w:pPr>
        <w:ind w:left="928"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63515F"/>
    <w:multiLevelType w:val="hybridMultilevel"/>
    <w:tmpl w:val="E466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5872B8"/>
    <w:multiLevelType w:val="hybridMultilevel"/>
    <w:tmpl w:val="2F8EC9FE"/>
    <w:lvl w:ilvl="0" w:tplc="0D7EFC88">
      <w:start w:val="1"/>
      <w:numFmt w:val="decimal"/>
      <w:pStyle w:val="CSNumbering"/>
      <w:lvlText w:val="%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A50497"/>
    <w:multiLevelType w:val="hybridMultilevel"/>
    <w:tmpl w:val="9D52D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6F124E0B"/>
    <w:multiLevelType w:val="hybridMultilevel"/>
    <w:tmpl w:val="5DCE4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abstractNumId w:val="5"/>
  </w:num>
  <w:num w:numId="2">
    <w:abstractNumId w:val="7"/>
  </w:num>
  <w:num w:numId="3">
    <w:abstractNumId w:val="0"/>
  </w:num>
  <w:num w:numId="4">
    <w:abstractNumId w:val="2"/>
  </w:num>
  <w:num w:numId="5">
    <w:abstractNumId w:val="6"/>
  </w:num>
  <w:num w:numId="6">
    <w:abstractNumId w:val="4"/>
  </w:num>
  <w:num w:numId="7">
    <w:abstractNumId w:val="3"/>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6187C7-DEF2-41D9-BF2B-8726DB5ACC0B}"/>
    <w:docVar w:name="dgnword-eventsink" w:val="761042144"/>
  </w:docVars>
  <w:rsids>
    <w:rsidRoot w:val="00852760"/>
    <w:rsid w:val="00000358"/>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0BD"/>
    <w:rsid w:val="000119D8"/>
    <w:rsid w:val="00011F35"/>
    <w:rsid w:val="00012074"/>
    <w:rsid w:val="000122F3"/>
    <w:rsid w:val="0001253F"/>
    <w:rsid w:val="00012D1B"/>
    <w:rsid w:val="00012F60"/>
    <w:rsid w:val="00013402"/>
    <w:rsid w:val="00013A9C"/>
    <w:rsid w:val="00013E25"/>
    <w:rsid w:val="00014364"/>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CD7"/>
    <w:rsid w:val="00024DD6"/>
    <w:rsid w:val="000273A7"/>
    <w:rsid w:val="000274AB"/>
    <w:rsid w:val="000276C7"/>
    <w:rsid w:val="00030373"/>
    <w:rsid w:val="00030D9D"/>
    <w:rsid w:val="00032126"/>
    <w:rsid w:val="0003311C"/>
    <w:rsid w:val="00033631"/>
    <w:rsid w:val="0003416C"/>
    <w:rsid w:val="00034929"/>
    <w:rsid w:val="00034943"/>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551B"/>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375"/>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95C"/>
    <w:rsid w:val="000E3C40"/>
    <w:rsid w:val="000E43D7"/>
    <w:rsid w:val="000E47FE"/>
    <w:rsid w:val="000E4BD4"/>
    <w:rsid w:val="000E508E"/>
    <w:rsid w:val="000E6447"/>
    <w:rsid w:val="000E661D"/>
    <w:rsid w:val="000E6FF4"/>
    <w:rsid w:val="000F060C"/>
    <w:rsid w:val="000F1D43"/>
    <w:rsid w:val="000F2B96"/>
    <w:rsid w:val="000F3093"/>
    <w:rsid w:val="000F30AB"/>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002"/>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1685"/>
    <w:rsid w:val="001320C7"/>
    <w:rsid w:val="00132486"/>
    <w:rsid w:val="0013280D"/>
    <w:rsid w:val="00132868"/>
    <w:rsid w:val="001328E8"/>
    <w:rsid w:val="00133389"/>
    <w:rsid w:val="00134271"/>
    <w:rsid w:val="00134297"/>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790"/>
    <w:rsid w:val="00183AD3"/>
    <w:rsid w:val="00183CBC"/>
    <w:rsid w:val="00183D5B"/>
    <w:rsid w:val="00183FD9"/>
    <w:rsid w:val="00184BED"/>
    <w:rsid w:val="00184CD2"/>
    <w:rsid w:val="00184E94"/>
    <w:rsid w:val="00185271"/>
    <w:rsid w:val="00185708"/>
    <w:rsid w:val="00186CF6"/>
    <w:rsid w:val="00190048"/>
    <w:rsid w:val="001909E6"/>
    <w:rsid w:val="0019122A"/>
    <w:rsid w:val="0019177A"/>
    <w:rsid w:val="00191B79"/>
    <w:rsid w:val="00191DB6"/>
    <w:rsid w:val="00192203"/>
    <w:rsid w:val="0019295E"/>
    <w:rsid w:val="0019375C"/>
    <w:rsid w:val="00193883"/>
    <w:rsid w:val="00193BA2"/>
    <w:rsid w:val="00193FCD"/>
    <w:rsid w:val="0019444B"/>
    <w:rsid w:val="00194D63"/>
    <w:rsid w:val="0019677F"/>
    <w:rsid w:val="001A0E08"/>
    <w:rsid w:val="001A168A"/>
    <w:rsid w:val="001A1C0B"/>
    <w:rsid w:val="001A1CFA"/>
    <w:rsid w:val="001A250B"/>
    <w:rsid w:val="001A2651"/>
    <w:rsid w:val="001A2890"/>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6ECE"/>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175A"/>
    <w:rsid w:val="001E25FA"/>
    <w:rsid w:val="001E26F3"/>
    <w:rsid w:val="001E2952"/>
    <w:rsid w:val="001E2B5B"/>
    <w:rsid w:val="001E2DED"/>
    <w:rsid w:val="001E33FE"/>
    <w:rsid w:val="001E4E14"/>
    <w:rsid w:val="001E63B6"/>
    <w:rsid w:val="001E6CFF"/>
    <w:rsid w:val="001E73E0"/>
    <w:rsid w:val="001E7D5F"/>
    <w:rsid w:val="001F05AF"/>
    <w:rsid w:val="001F07E2"/>
    <w:rsid w:val="001F08AB"/>
    <w:rsid w:val="001F08B5"/>
    <w:rsid w:val="001F0EAF"/>
    <w:rsid w:val="001F1BD5"/>
    <w:rsid w:val="001F2466"/>
    <w:rsid w:val="001F28B6"/>
    <w:rsid w:val="001F294C"/>
    <w:rsid w:val="001F363F"/>
    <w:rsid w:val="001F428F"/>
    <w:rsid w:val="001F43B0"/>
    <w:rsid w:val="001F4A4B"/>
    <w:rsid w:val="001F4CBC"/>
    <w:rsid w:val="001F5012"/>
    <w:rsid w:val="001F54F6"/>
    <w:rsid w:val="001F5B9E"/>
    <w:rsid w:val="001F5C70"/>
    <w:rsid w:val="001F608D"/>
    <w:rsid w:val="001F6098"/>
    <w:rsid w:val="001F6C4C"/>
    <w:rsid w:val="001F7441"/>
    <w:rsid w:val="002006B8"/>
    <w:rsid w:val="00200B02"/>
    <w:rsid w:val="00201525"/>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6DF"/>
    <w:rsid w:val="002208F0"/>
    <w:rsid w:val="00221BFA"/>
    <w:rsid w:val="002220FE"/>
    <w:rsid w:val="0022225E"/>
    <w:rsid w:val="002222B7"/>
    <w:rsid w:val="00222E7B"/>
    <w:rsid w:val="00223187"/>
    <w:rsid w:val="00223360"/>
    <w:rsid w:val="00223FAE"/>
    <w:rsid w:val="00224320"/>
    <w:rsid w:val="00224B13"/>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39"/>
    <w:rsid w:val="002541C0"/>
    <w:rsid w:val="00254694"/>
    <w:rsid w:val="00254C0E"/>
    <w:rsid w:val="00256552"/>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3BA"/>
    <w:rsid w:val="00272F05"/>
    <w:rsid w:val="0027303E"/>
    <w:rsid w:val="002736D7"/>
    <w:rsid w:val="0027423C"/>
    <w:rsid w:val="00274F51"/>
    <w:rsid w:val="0027734B"/>
    <w:rsid w:val="002774DB"/>
    <w:rsid w:val="00277A64"/>
    <w:rsid w:val="00277CA0"/>
    <w:rsid w:val="0028000F"/>
    <w:rsid w:val="00280425"/>
    <w:rsid w:val="0028089A"/>
    <w:rsid w:val="00280C5C"/>
    <w:rsid w:val="00280E87"/>
    <w:rsid w:val="00281563"/>
    <w:rsid w:val="0028217C"/>
    <w:rsid w:val="0028319B"/>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0268"/>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ACC"/>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06"/>
    <w:rsid w:val="00317ADF"/>
    <w:rsid w:val="003202A0"/>
    <w:rsid w:val="003204A2"/>
    <w:rsid w:val="0032086E"/>
    <w:rsid w:val="0032088F"/>
    <w:rsid w:val="0032121A"/>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DDF"/>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71"/>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4B7E"/>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3EEA"/>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722"/>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422D"/>
    <w:rsid w:val="003953C7"/>
    <w:rsid w:val="003959A3"/>
    <w:rsid w:val="00396AA2"/>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260"/>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646"/>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1DF"/>
    <w:rsid w:val="003E52AE"/>
    <w:rsid w:val="003E5807"/>
    <w:rsid w:val="003E5B05"/>
    <w:rsid w:val="003E5FA3"/>
    <w:rsid w:val="003E61C0"/>
    <w:rsid w:val="003E64B3"/>
    <w:rsid w:val="003E69CE"/>
    <w:rsid w:val="003E6FB5"/>
    <w:rsid w:val="003E79A8"/>
    <w:rsid w:val="003F23D6"/>
    <w:rsid w:val="003F28B1"/>
    <w:rsid w:val="003F2E41"/>
    <w:rsid w:val="003F47CC"/>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2F6F"/>
    <w:rsid w:val="00402FF7"/>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09"/>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784"/>
    <w:rsid w:val="00434E9C"/>
    <w:rsid w:val="0043575C"/>
    <w:rsid w:val="00435777"/>
    <w:rsid w:val="004366F6"/>
    <w:rsid w:val="00436B13"/>
    <w:rsid w:val="00437EB3"/>
    <w:rsid w:val="004407F0"/>
    <w:rsid w:val="00440F58"/>
    <w:rsid w:val="0044116A"/>
    <w:rsid w:val="00441274"/>
    <w:rsid w:val="0044169C"/>
    <w:rsid w:val="00441EF0"/>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2B70"/>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094"/>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97E00"/>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39"/>
    <w:rsid w:val="004B174C"/>
    <w:rsid w:val="004B2186"/>
    <w:rsid w:val="004B2722"/>
    <w:rsid w:val="004B2941"/>
    <w:rsid w:val="004B2E3C"/>
    <w:rsid w:val="004B30DA"/>
    <w:rsid w:val="004B3345"/>
    <w:rsid w:val="004B3508"/>
    <w:rsid w:val="004B3815"/>
    <w:rsid w:val="004B3892"/>
    <w:rsid w:val="004B3A40"/>
    <w:rsid w:val="004B3CE7"/>
    <w:rsid w:val="004B3E72"/>
    <w:rsid w:val="004B4880"/>
    <w:rsid w:val="004B4C90"/>
    <w:rsid w:val="004B4D74"/>
    <w:rsid w:val="004B52FD"/>
    <w:rsid w:val="004B55AD"/>
    <w:rsid w:val="004B66D8"/>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034"/>
    <w:rsid w:val="004D08C1"/>
    <w:rsid w:val="004D0E75"/>
    <w:rsid w:val="004D1162"/>
    <w:rsid w:val="004D1192"/>
    <w:rsid w:val="004D1224"/>
    <w:rsid w:val="004D1AD6"/>
    <w:rsid w:val="004D1E7C"/>
    <w:rsid w:val="004D1F05"/>
    <w:rsid w:val="004D2268"/>
    <w:rsid w:val="004D24EA"/>
    <w:rsid w:val="004D2767"/>
    <w:rsid w:val="004D2BF1"/>
    <w:rsid w:val="004D32FD"/>
    <w:rsid w:val="004D3939"/>
    <w:rsid w:val="004D3B6C"/>
    <w:rsid w:val="004D40A6"/>
    <w:rsid w:val="004D4610"/>
    <w:rsid w:val="004D4D6A"/>
    <w:rsid w:val="004D58DA"/>
    <w:rsid w:val="004D5F79"/>
    <w:rsid w:val="004D6514"/>
    <w:rsid w:val="004D6700"/>
    <w:rsid w:val="004D70FB"/>
    <w:rsid w:val="004D7F27"/>
    <w:rsid w:val="004E04EE"/>
    <w:rsid w:val="004E0526"/>
    <w:rsid w:val="004E0E1E"/>
    <w:rsid w:val="004E10AA"/>
    <w:rsid w:val="004E14B9"/>
    <w:rsid w:val="004E1579"/>
    <w:rsid w:val="004E173A"/>
    <w:rsid w:val="004E1B55"/>
    <w:rsid w:val="004E2DBF"/>
    <w:rsid w:val="004E3A64"/>
    <w:rsid w:val="004E3C31"/>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C9E"/>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37D80"/>
    <w:rsid w:val="00540411"/>
    <w:rsid w:val="00541C26"/>
    <w:rsid w:val="0054299D"/>
    <w:rsid w:val="005429CB"/>
    <w:rsid w:val="00543111"/>
    <w:rsid w:val="005431F6"/>
    <w:rsid w:val="005437F5"/>
    <w:rsid w:val="00543B3D"/>
    <w:rsid w:val="00543DB4"/>
    <w:rsid w:val="00544371"/>
    <w:rsid w:val="00544A57"/>
    <w:rsid w:val="00545603"/>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5959"/>
    <w:rsid w:val="005566EF"/>
    <w:rsid w:val="005568AA"/>
    <w:rsid w:val="00557CAC"/>
    <w:rsid w:val="0056007E"/>
    <w:rsid w:val="0056027E"/>
    <w:rsid w:val="005607CD"/>
    <w:rsid w:val="00560959"/>
    <w:rsid w:val="0056160E"/>
    <w:rsid w:val="00561A1A"/>
    <w:rsid w:val="00562216"/>
    <w:rsid w:val="00562402"/>
    <w:rsid w:val="005626C8"/>
    <w:rsid w:val="00562A0E"/>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6CDA"/>
    <w:rsid w:val="005772AA"/>
    <w:rsid w:val="00577F77"/>
    <w:rsid w:val="005805C1"/>
    <w:rsid w:val="00582246"/>
    <w:rsid w:val="0058269D"/>
    <w:rsid w:val="00582D0F"/>
    <w:rsid w:val="005834C4"/>
    <w:rsid w:val="00584942"/>
    <w:rsid w:val="00585947"/>
    <w:rsid w:val="005865E5"/>
    <w:rsid w:val="00586606"/>
    <w:rsid w:val="005866CC"/>
    <w:rsid w:val="0058680E"/>
    <w:rsid w:val="00586D3C"/>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979E2"/>
    <w:rsid w:val="00597C93"/>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4FC0"/>
    <w:rsid w:val="005B6270"/>
    <w:rsid w:val="005B6457"/>
    <w:rsid w:val="005B6A08"/>
    <w:rsid w:val="005B6C48"/>
    <w:rsid w:val="005B6E2F"/>
    <w:rsid w:val="005B77A2"/>
    <w:rsid w:val="005B7C06"/>
    <w:rsid w:val="005B7F41"/>
    <w:rsid w:val="005C13CA"/>
    <w:rsid w:val="005C18A0"/>
    <w:rsid w:val="005C3491"/>
    <w:rsid w:val="005C36E0"/>
    <w:rsid w:val="005C43F0"/>
    <w:rsid w:val="005C5625"/>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18C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9BB"/>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5F75D7"/>
    <w:rsid w:val="00600233"/>
    <w:rsid w:val="00600DC5"/>
    <w:rsid w:val="0060116B"/>
    <w:rsid w:val="00601497"/>
    <w:rsid w:val="00603A99"/>
    <w:rsid w:val="0060434E"/>
    <w:rsid w:val="0060478F"/>
    <w:rsid w:val="00605637"/>
    <w:rsid w:val="006056B0"/>
    <w:rsid w:val="00605F6B"/>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300"/>
    <w:rsid w:val="006337D8"/>
    <w:rsid w:val="00633F04"/>
    <w:rsid w:val="00634288"/>
    <w:rsid w:val="006344B9"/>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5C2"/>
    <w:rsid w:val="00642730"/>
    <w:rsid w:val="00642833"/>
    <w:rsid w:val="00642B5B"/>
    <w:rsid w:val="00642C89"/>
    <w:rsid w:val="00642CC7"/>
    <w:rsid w:val="00643D81"/>
    <w:rsid w:val="00644C9B"/>
    <w:rsid w:val="0064553F"/>
    <w:rsid w:val="00645EA2"/>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22"/>
    <w:rsid w:val="006566FF"/>
    <w:rsid w:val="00657271"/>
    <w:rsid w:val="00660596"/>
    <w:rsid w:val="00660EB1"/>
    <w:rsid w:val="00661098"/>
    <w:rsid w:val="006613E7"/>
    <w:rsid w:val="006614E1"/>
    <w:rsid w:val="00662661"/>
    <w:rsid w:val="00665195"/>
    <w:rsid w:val="0066575D"/>
    <w:rsid w:val="0066577B"/>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861"/>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2B8"/>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B0E"/>
    <w:rsid w:val="006D3F79"/>
    <w:rsid w:val="006D41DA"/>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54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4D9A"/>
    <w:rsid w:val="007052B3"/>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B70"/>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6DD"/>
    <w:rsid w:val="007349B8"/>
    <w:rsid w:val="0073546A"/>
    <w:rsid w:val="00735E50"/>
    <w:rsid w:val="00735FB3"/>
    <w:rsid w:val="00736109"/>
    <w:rsid w:val="00736C5D"/>
    <w:rsid w:val="007371FC"/>
    <w:rsid w:val="007373F1"/>
    <w:rsid w:val="00737475"/>
    <w:rsid w:val="00737843"/>
    <w:rsid w:val="00737AD9"/>
    <w:rsid w:val="00737E4C"/>
    <w:rsid w:val="00737FE2"/>
    <w:rsid w:val="00740038"/>
    <w:rsid w:val="007407E0"/>
    <w:rsid w:val="00740AFF"/>
    <w:rsid w:val="007412BC"/>
    <w:rsid w:val="007416B7"/>
    <w:rsid w:val="007417F0"/>
    <w:rsid w:val="00741C4A"/>
    <w:rsid w:val="007429CF"/>
    <w:rsid w:val="00742BD8"/>
    <w:rsid w:val="00742F48"/>
    <w:rsid w:val="00743742"/>
    <w:rsid w:val="00743D60"/>
    <w:rsid w:val="00743F9E"/>
    <w:rsid w:val="00744732"/>
    <w:rsid w:val="007448DB"/>
    <w:rsid w:val="0074526A"/>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67A61"/>
    <w:rsid w:val="007703F7"/>
    <w:rsid w:val="0077059A"/>
    <w:rsid w:val="00770A14"/>
    <w:rsid w:val="00771B9A"/>
    <w:rsid w:val="007729F5"/>
    <w:rsid w:val="00772B39"/>
    <w:rsid w:val="00772C86"/>
    <w:rsid w:val="00773057"/>
    <w:rsid w:val="00773ABF"/>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68"/>
    <w:rsid w:val="007839D0"/>
    <w:rsid w:val="00783B0C"/>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712"/>
    <w:rsid w:val="007A08C5"/>
    <w:rsid w:val="007A0A16"/>
    <w:rsid w:val="007A0AFE"/>
    <w:rsid w:val="007A185D"/>
    <w:rsid w:val="007A1C3D"/>
    <w:rsid w:val="007A21DF"/>
    <w:rsid w:val="007A2B14"/>
    <w:rsid w:val="007A2C59"/>
    <w:rsid w:val="007A2E8D"/>
    <w:rsid w:val="007A2F11"/>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96"/>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1F7F"/>
    <w:rsid w:val="007D2A96"/>
    <w:rsid w:val="007D3145"/>
    <w:rsid w:val="007D33F7"/>
    <w:rsid w:val="007D34E4"/>
    <w:rsid w:val="007D395B"/>
    <w:rsid w:val="007D3D6A"/>
    <w:rsid w:val="007D424D"/>
    <w:rsid w:val="007D47FA"/>
    <w:rsid w:val="007D528D"/>
    <w:rsid w:val="007D5FC0"/>
    <w:rsid w:val="007D63F7"/>
    <w:rsid w:val="007D6581"/>
    <w:rsid w:val="007D660F"/>
    <w:rsid w:val="007D6CCB"/>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1102"/>
    <w:rsid w:val="007F1E07"/>
    <w:rsid w:val="007F1F8C"/>
    <w:rsid w:val="007F346C"/>
    <w:rsid w:val="007F34B1"/>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AD4"/>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A72"/>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5744"/>
    <w:rsid w:val="008358C8"/>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295F"/>
    <w:rsid w:val="008837A3"/>
    <w:rsid w:val="00884EDD"/>
    <w:rsid w:val="00884FF2"/>
    <w:rsid w:val="00885580"/>
    <w:rsid w:val="008859B7"/>
    <w:rsid w:val="0088608D"/>
    <w:rsid w:val="00886384"/>
    <w:rsid w:val="0088641E"/>
    <w:rsid w:val="00886F8C"/>
    <w:rsid w:val="00887DBF"/>
    <w:rsid w:val="0089386B"/>
    <w:rsid w:val="00893BEB"/>
    <w:rsid w:val="00893FE7"/>
    <w:rsid w:val="008947E4"/>
    <w:rsid w:val="008950F3"/>
    <w:rsid w:val="00895619"/>
    <w:rsid w:val="0089578E"/>
    <w:rsid w:val="00896BC7"/>
    <w:rsid w:val="00896F64"/>
    <w:rsid w:val="008A0D2C"/>
    <w:rsid w:val="008A17B4"/>
    <w:rsid w:val="008A1E44"/>
    <w:rsid w:val="008A28FF"/>
    <w:rsid w:val="008A2BA0"/>
    <w:rsid w:val="008A33AA"/>
    <w:rsid w:val="008A34DC"/>
    <w:rsid w:val="008A3835"/>
    <w:rsid w:val="008A499F"/>
    <w:rsid w:val="008A52E3"/>
    <w:rsid w:val="008A546C"/>
    <w:rsid w:val="008A54FE"/>
    <w:rsid w:val="008A5913"/>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B7C2F"/>
    <w:rsid w:val="008C0BB3"/>
    <w:rsid w:val="008C14D6"/>
    <w:rsid w:val="008C1DC2"/>
    <w:rsid w:val="008C225D"/>
    <w:rsid w:val="008C2C28"/>
    <w:rsid w:val="008C2D23"/>
    <w:rsid w:val="008C2FC1"/>
    <w:rsid w:val="008C3122"/>
    <w:rsid w:val="008C380B"/>
    <w:rsid w:val="008C3B92"/>
    <w:rsid w:val="008C439C"/>
    <w:rsid w:val="008C5355"/>
    <w:rsid w:val="008C5857"/>
    <w:rsid w:val="008C5A45"/>
    <w:rsid w:val="008C5ADD"/>
    <w:rsid w:val="008C6DE5"/>
    <w:rsid w:val="008C7431"/>
    <w:rsid w:val="008C76C4"/>
    <w:rsid w:val="008C7840"/>
    <w:rsid w:val="008C7CB3"/>
    <w:rsid w:val="008D07F6"/>
    <w:rsid w:val="008D188E"/>
    <w:rsid w:val="008D1C3A"/>
    <w:rsid w:val="008D2509"/>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A0"/>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2F02"/>
    <w:rsid w:val="00923485"/>
    <w:rsid w:val="00923B75"/>
    <w:rsid w:val="00923F8C"/>
    <w:rsid w:val="00924911"/>
    <w:rsid w:val="00924C44"/>
    <w:rsid w:val="00925DE4"/>
    <w:rsid w:val="009267CC"/>
    <w:rsid w:val="00926A36"/>
    <w:rsid w:val="00926A7D"/>
    <w:rsid w:val="00926EFD"/>
    <w:rsid w:val="009277EA"/>
    <w:rsid w:val="009301EF"/>
    <w:rsid w:val="009307A7"/>
    <w:rsid w:val="00931948"/>
    <w:rsid w:val="00932784"/>
    <w:rsid w:val="00932BCC"/>
    <w:rsid w:val="00933059"/>
    <w:rsid w:val="009338D2"/>
    <w:rsid w:val="00934A55"/>
    <w:rsid w:val="00934A74"/>
    <w:rsid w:val="00934EF0"/>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4D20"/>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4B60"/>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2B1F"/>
    <w:rsid w:val="009C31F9"/>
    <w:rsid w:val="009C39FB"/>
    <w:rsid w:val="009C3A1D"/>
    <w:rsid w:val="009C3AA2"/>
    <w:rsid w:val="009C437C"/>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69FF"/>
    <w:rsid w:val="009E732A"/>
    <w:rsid w:val="009E7622"/>
    <w:rsid w:val="009E7D1D"/>
    <w:rsid w:val="009F06C8"/>
    <w:rsid w:val="009F0759"/>
    <w:rsid w:val="009F15E1"/>
    <w:rsid w:val="009F16AC"/>
    <w:rsid w:val="009F250A"/>
    <w:rsid w:val="009F2D9C"/>
    <w:rsid w:val="009F3A7B"/>
    <w:rsid w:val="009F3F1D"/>
    <w:rsid w:val="009F4DF9"/>
    <w:rsid w:val="009F5927"/>
    <w:rsid w:val="009F61F8"/>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5C82"/>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87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0D2"/>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4D13"/>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170B"/>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070E"/>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343"/>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C0F"/>
    <w:rsid w:val="00B00F8B"/>
    <w:rsid w:val="00B00FC9"/>
    <w:rsid w:val="00B01571"/>
    <w:rsid w:val="00B01827"/>
    <w:rsid w:val="00B01960"/>
    <w:rsid w:val="00B02596"/>
    <w:rsid w:val="00B02D9C"/>
    <w:rsid w:val="00B033B7"/>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02D"/>
    <w:rsid w:val="00B13C95"/>
    <w:rsid w:val="00B143B1"/>
    <w:rsid w:val="00B14650"/>
    <w:rsid w:val="00B147E9"/>
    <w:rsid w:val="00B14C4A"/>
    <w:rsid w:val="00B15339"/>
    <w:rsid w:val="00B156E7"/>
    <w:rsid w:val="00B15C49"/>
    <w:rsid w:val="00B1658A"/>
    <w:rsid w:val="00B166A6"/>
    <w:rsid w:val="00B16AB1"/>
    <w:rsid w:val="00B170D8"/>
    <w:rsid w:val="00B20B5E"/>
    <w:rsid w:val="00B21A71"/>
    <w:rsid w:val="00B21E45"/>
    <w:rsid w:val="00B21F9A"/>
    <w:rsid w:val="00B22EDB"/>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08F4"/>
    <w:rsid w:val="00B61083"/>
    <w:rsid w:val="00B61837"/>
    <w:rsid w:val="00B619E8"/>
    <w:rsid w:val="00B61E0C"/>
    <w:rsid w:val="00B62151"/>
    <w:rsid w:val="00B621B1"/>
    <w:rsid w:val="00B626C3"/>
    <w:rsid w:val="00B62D98"/>
    <w:rsid w:val="00B6303F"/>
    <w:rsid w:val="00B6324D"/>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1D5A"/>
    <w:rsid w:val="00B82AF0"/>
    <w:rsid w:val="00B82FA8"/>
    <w:rsid w:val="00B83E35"/>
    <w:rsid w:val="00B84190"/>
    <w:rsid w:val="00B843B0"/>
    <w:rsid w:val="00B8557F"/>
    <w:rsid w:val="00B857B9"/>
    <w:rsid w:val="00B85C1B"/>
    <w:rsid w:val="00B8633D"/>
    <w:rsid w:val="00B866DD"/>
    <w:rsid w:val="00B86912"/>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4B83"/>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E1B"/>
    <w:rsid w:val="00BC0FB8"/>
    <w:rsid w:val="00BC14F6"/>
    <w:rsid w:val="00BC1AE5"/>
    <w:rsid w:val="00BC217E"/>
    <w:rsid w:val="00BC22D0"/>
    <w:rsid w:val="00BC28C4"/>
    <w:rsid w:val="00BC3542"/>
    <w:rsid w:val="00BC3ADE"/>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347"/>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E7A9C"/>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4BE9"/>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66A"/>
    <w:rsid w:val="00C17C56"/>
    <w:rsid w:val="00C17D82"/>
    <w:rsid w:val="00C2040D"/>
    <w:rsid w:val="00C20B13"/>
    <w:rsid w:val="00C21160"/>
    <w:rsid w:val="00C211D7"/>
    <w:rsid w:val="00C21360"/>
    <w:rsid w:val="00C22961"/>
    <w:rsid w:val="00C2356C"/>
    <w:rsid w:val="00C23C95"/>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2FF"/>
    <w:rsid w:val="00C56753"/>
    <w:rsid w:val="00C56E6A"/>
    <w:rsid w:val="00C56EA0"/>
    <w:rsid w:val="00C57174"/>
    <w:rsid w:val="00C57291"/>
    <w:rsid w:val="00C57DF3"/>
    <w:rsid w:val="00C60347"/>
    <w:rsid w:val="00C60AC0"/>
    <w:rsid w:val="00C60BE7"/>
    <w:rsid w:val="00C61B07"/>
    <w:rsid w:val="00C61BC7"/>
    <w:rsid w:val="00C623C4"/>
    <w:rsid w:val="00C6280F"/>
    <w:rsid w:val="00C62D24"/>
    <w:rsid w:val="00C645C1"/>
    <w:rsid w:val="00C649C5"/>
    <w:rsid w:val="00C65D88"/>
    <w:rsid w:val="00C65E0C"/>
    <w:rsid w:val="00C6685B"/>
    <w:rsid w:val="00C668C9"/>
    <w:rsid w:val="00C66D38"/>
    <w:rsid w:val="00C673A7"/>
    <w:rsid w:val="00C6783F"/>
    <w:rsid w:val="00C704CA"/>
    <w:rsid w:val="00C70B4D"/>
    <w:rsid w:val="00C71911"/>
    <w:rsid w:val="00C72676"/>
    <w:rsid w:val="00C73074"/>
    <w:rsid w:val="00C73140"/>
    <w:rsid w:val="00C73855"/>
    <w:rsid w:val="00C73ABE"/>
    <w:rsid w:val="00C741DB"/>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4F63"/>
    <w:rsid w:val="00C850AF"/>
    <w:rsid w:val="00C854AC"/>
    <w:rsid w:val="00C854E5"/>
    <w:rsid w:val="00C8595F"/>
    <w:rsid w:val="00C8642E"/>
    <w:rsid w:val="00C876F8"/>
    <w:rsid w:val="00C9022E"/>
    <w:rsid w:val="00C90F90"/>
    <w:rsid w:val="00C912A4"/>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5F2"/>
    <w:rsid w:val="00CA5B43"/>
    <w:rsid w:val="00CA5CD2"/>
    <w:rsid w:val="00CA6039"/>
    <w:rsid w:val="00CA6606"/>
    <w:rsid w:val="00CA6E3C"/>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1F9F"/>
    <w:rsid w:val="00CC29F4"/>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67D"/>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471"/>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3EA5"/>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2FFC"/>
    <w:rsid w:val="00D03DC1"/>
    <w:rsid w:val="00D04119"/>
    <w:rsid w:val="00D04124"/>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2FC"/>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680"/>
    <w:rsid w:val="00D478A1"/>
    <w:rsid w:val="00D47D37"/>
    <w:rsid w:val="00D47FCA"/>
    <w:rsid w:val="00D521BD"/>
    <w:rsid w:val="00D522F2"/>
    <w:rsid w:val="00D534CB"/>
    <w:rsid w:val="00D535F1"/>
    <w:rsid w:val="00D53802"/>
    <w:rsid w:val="00D53A67"/>
    <w:rsid w:val="00D54052"/>
    <w:rsid w:val="00D546EF"/>
    <w:rsid w:val="00D5473A"/>
    <w:rsid w:val="00D548D9"/>
    <w:rsid w:val="00D54C43"/>
    <w:rsid w:val="00D54EFF"/>
    <w:rsid w:val="00D55614"/>
    <w:rsid w:val="00D57997"/>
    <w:rsid w:val="00D57C33"/>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37C"/>
    <w:rsid w:val="00D909F1"/>
    <w:rsid w:val="00D90AD5"/>
    <w:rsid w:val="00D911E6"/>
    <w:rsid w:val="00D91989"/>
    <w:rsid w:val="00D92660"/>
    <w:rsid w:val="00D92B72"/>
    <w:rsid w:val="00D92F38"/>
    <w:rsid w:val="00D93187"/>
    <w:rsid w:val="00D937FE"/>
    <w:rsid w:val="00D9386D"/>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5F2"/>
    <w:rsid w:val="00DB066B"/>
    <w:rsid w:val="00DB0A2D"/>
    <w:rsid w:val="00DB1712"/>
    <w:rsid w:val="00DB1750"/>
    <w:rsid w:val="00DB1893"/>
    <w:rsid w:val="00DB194D"/>
    <w:rsid w:val="00DB200D"/>
    <w:rsid w:val="00DB2AE0"/>
    <w:rsid w:val="00DB3268"/>
    <w:rsid w:val="00DB3517"/>
    <w:rsid w:val="00DB36C4"/>
    <w:rsid w:val="00DB3D37"/>
    <w:rsid w:val="00DB3ED8"/>
    <w:rsid w:val="00DB3F45"/>
    <w:rsid w:val="00DB412A"/>
    <w:rsid w:val="00DB4222"/>
    <w:rsid w:val="00DB450C"/>
    <w:rsid w:val="00DB4806"/>
    <w:rsid w:val="00DB4E5B"/>
    <w:rsid w:val="00DB5819"/>
    <w:rsid w:val="00DB5A12"/>
    <w:rsid w:val="00DB67B3"/>
    <w:rsid w:val="00DB6E48"/>
    <w:rsid w:val="00DB76CF"/>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0B6"/>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B28"/>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221"/>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556"/>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1D0"/>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7CF"/>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6F00"/>
    <w:rsid w:val="00EA7EEE"/>
    <w:rsid w:val="00EA7FED"/>
    <w:rsid w:val="00EB0103"/>
    <w:rsid w:val="00EB0382"/>
    <w:rsid w:val="00EB0A44"/>
    <w:rsid w:val="00EB1166"/>
    <w:rsid w:val="00EB1209"/>
    <w:rsid w:val="00EB186E"/>
    <w:rsid w:val="00EB1B8B"/>
    <w:rsid w:val="00EB1BC7"/>
    <w:rsid w:val="00EB2590"/>
    <w:rsid w:val="00EB25D0"/>
    <w:rsid w:val="00EB2988"/>
    <w:rsid w:val="00EB3DDA"/>
    <w:rsid w:val="00EB4D36"/>
    <w:rsid w:val="00EB56BE"/>
    <w:rsid w:val="00EB584A"/>
    <w:rsid w:val="00EB6519"/>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710"/>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1F01"/>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5566"/>
    <w:rsid w:val="00F162FA"/>
    <w:rsid w:val="00F17B36"/>
    <w:rsid w:val="00F206B7"/>
    <w:rsid w:val="00F20FB7"/>
    <w:rsid w:val="00F21056"/>
    <w:rsid w:val="00F21194"/>
    <w:rsid w:val="00F220C1"/>
    <w:rsid w:val="00F227F2"/>
    <w:rsid w:val="00F229AB"/>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56FD4"/>
    <w:rsid w:val="00F57BDE"/>
    <w:rsid w:val="00F60487"/>
    <w:rsid w:val="00F60523"/>
    <w:rsid w:val="00F60906"/>
    <w:rsid w:val="00F60E65"/>
    <w:rsid w:val="00F61807"/>
    <w:rsid w:val="00F61DA1"/>
    <w:rsid w:val="00F61DF0"/>
    <w:rsid w:val="00F62826"/>
    <w:rsid w:val="00F63072"/>
    <w:rsid w:val="00F634EF"/>
    <w:rsid w:val="00F635A7"/>
    <w:rsid w:val="00F638B1"/>
    <w:rsid w:val="00F63E7E"/>
    <w:rsid w:val="00F64187"/>
    <w:rsid w:val="00F645A7"/>
    <w:rsid w:val="00F646E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5FE8"/>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5EA1"/>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customStyle="1" w:styleId="instructionsChar">
    <w:name w:val="instructions Char"/>
    <w:basedOn w:val="DefaultParagraphFont"/>
    <w:link w:val="instructions"/>
    <w:locked/>
    <w:rsid w:val="00FF5EA1"/>
    <w:rPr>
      <w:color w:val="595959"/>
    </w:rPr>
  </w:style>
  <w:style w:type="paragraph" w:customStyle="1" w:styleId="instructions">
    <w:name w:val="instructions"/>
    <w:basedOn w:val="Normal"/>
    <w:link w:val="instructionsChar"/>
    <w:rsid w:val="00FF5EA1"/>
    <w:pPr>
      <w:spacing w:line="240" w:lineRule="auto"/>
    </w:pPr>
    <w:rPr>
      <w:rFonts w:cs="Calibri"/>
      <w:color w:val="595959"/>
      <w:sz w:val="20"/>
      <w:szCs w:val="20"/>
      <w:lang w:eastAsia="en-AU"/>
    </w:rPr>
  </w:style>
  <w:style w:type="paragraph" w:customStyle="1" w:styleId="CSNumbering">
    <w:name w:val="CS Numbering"/>
    <w:basedOn w:val="Normal"/>
    <w:qFormat/>
    <w:rsid w:val="00402FF7"/>
    <w:pPr>
      <w:widowControl w:val="0"/>
      <w:numPr>
        <w:numId w:val="7"/>
      </w:numPr>
      <w:spacing w:after="240" w:line="240" w:lineRule="auto"/>
      <w:ind w:right="-45"/>
    </w:pPr>
    <w:rPr>
      <w:rFonts w:asciiTheme="minorHAnsi" w:hAnsiTheme="minorHAns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624997257">
      <w:bodyDiv w:val="1"/>
      <w:marLeft w:val="0"/>
      <w:marRight w:val="0"/>
      <w:marTop w:val="0"/>
      <w:marBottom w:val="0"/>
      <w:divBdr>
        <w:top w:val="none" w:sz="0" w:space="0" w:color="auto"/>
        <w:left w:val="none" w:sz="0" w:space="0" w:color="auto"/>
        <w:bottom w:val="none" w:sz="0" w:space="0" w:color="auto"/>
        <w:right w:val="none" w:sz="0" w:space="0" w:color="auto"/>
      </w:divBdr>
    </w:div>
    <w:div w:id="1779790630">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85EFA-5B7A-477A-83AA-F232930A7CB6}">
  <ds:schemaRefs>
    <ds:schemaRef ds:uri="http://schemas.openxmlformats.org/officeDocument/2006/bibliography"/>
  </ds:schemaRefs>
</ds:datastoreItem>
</file>

<file path=customXml/itemProps2.xml><?xml version="1.0" encoding="utf-8"?>
<ds:datastoreItem xmlns:ds="http://schemas.openxmlformats.org/officeDocument/2006/customXml" ds:itemID="{A3168CA5-2566-445E-8F60-6D20C671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4865</Words>
  <Characters>25365</Characters>
  <Application>Microsoft Office Word</Application>
  <DocSecurity>0</DocSecurity>
  <Lines>437</Lines>
  <Paragraphs>193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5</cp:revision>
  <cp:lastPrinted>2019-05-13T07:51:00Z</cp:lastPrinted>
  <dcterms:created xsi:type="dcterms:W3CDTF">2020-02-18T01:33:00Z</dcterms:created>
  <dcterms:modified xsi:type="dcterms:W3CDTF">2020-02-19T00:05:00Z</dcterms:modified>
</cp:coreProperties>
</file>